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bookmarkEnd w:id="0"/>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4"/>
      <w:bookmarkStart w:id="2" w:name="_Toc15396598"/>
      <w:bookmarkStart w:id="3" w:name="_Toc15378442"/>
      <w:bookmarkStart w:id="4" w:name="_Toc15396476"/>
      <w:bookmarkStart w:id="5" w:name="_Toc15377426"/>
      <w:r>
        <w:rPr>
          <w:rFonts w:hint="eastAsia" w:ascii="方正小标宋简体" w:hAnsi="方正小标宋简体" w:eastAsia="方正小标宋简体" w:cs="方正小标宋简体"/>
          <w:sz w:val="72"/>
          <w:szCs w:val="72"/>
        </w:rPr>
        <w:t>四川省</w:t>
      </w:r>
      <w:bookmarkStart w:id="6" w:name="_Toc15306268"/>
      <w:r>
        <w:rPr>
          <w:rFonts w:hint="eastAsia" w:ascii="方正小标宋简体" w:hAnsi="方正小标宋简体" w:eastAsia="方正小标宋简体" w:cs="方正小标宋简体"/>
          <w:sz w:val="72"/>
          <w:szCs w:val="72"/>
        </w:rPr>
        <w:t>攀枝花市西区</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经济和信息化局部门决算</w:t>
      </w:r>
      <w:bookmarkEnd w:id="1"/>
      <w:bookmarkEnd w:id="2"/>
      <w:bookmarkEnd w:id="3"/>
      <w:bookmarkEnd w:id="4"/>
      <w:bookmarkEnd w:id="5"/>
      <w:bookmarkEnd w:id="6"/>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3"/>
      </w:pPr>
      <w:r>
        <w:rPr>
          <w:rFonts w:hint="eastAsia"/>
        </w:rPr>
        <w:t>公开时间：2022年10月10日</w:t>
      </w:r>
    </w:p>
    <w:p/>
    <w:p>
      <w:pPr>
        <w:pStyle w:val="13"/>
        <w:adjustRightInd w:val="0"/>
        <w:snapToGrid w:val="0"/>
        <w:spacing w:before="0" w:line="440" w:lineRule="exact"/>
        <w:jc w:val="left"/>
        <w:rPr>
          <w:rFonts w:cstheme="minorBidi"/>
          <w:sz w:val="24"/>
          <w:szCs w:val="24"/>
        </w:rPr>
      </w:pPr>
      <w:r>
        <w:rPr>
          <w:rFonts w:hint="eastAsia"/>
          <w:sz w:val="24"/>
        </w:rPr>
        <w:t>第一部分</w:t>
      </w:r>
      <w:r>
        <w:rPr>
          <w:rFonts w:hint="eastAsia"/>
          <w:sz w:val="24"/>
          <w:lang w:val="en-US" w:eastAsia="zh-CN"/>
        </w:rPr>
        <w:t>部门</w:t>
      </w:r>
      <w:r>
        <w:rPr>
          <w:rFonts w:hint="eastAsia"/>
          <w:sz w:val="24"/>
        </w:rPr>
        <w:t>概况</w:t>
      </w:r>
      <w:r>
        <w:tab/>
      </w:r>
      <w:r>
        <w:rPr>
          <w:rFonts w:hint="eastAsia" w:ascii="Times New Roman" w:hAnsi="Times New Roman" w:eastAsia="宋体"/>
          <w:sz w:val="21"/>
          <w:szCs w:val="24"/>
        </w:rPr>
        <w:t>4</w:t>
      </w:r>
    </w:p>
    <w:p>
      <w:pPr>
        <w:pStyle w:val="14"/>
        <w:adjustRightInd w:val="0"/>
        <w:snapToGrid w:val="0"/>
        <w:spacing w:line="440" w:lineRule="exact"/>
        <w:jc w:val="left"/>
        <w:rPr>
          <w:sz w:val="24"/>
        </w:rPr>
      </w:pPr>
      <w:r>
        <w:rPr>
          <w:rFonts w:hint="eastAsia"/>
          <w:sz w:val="24"/>
        </w:rPr>
        <w:t>一、基本职能及主要工作</w:t>
      </w:r>
      <w:r>
        <w:tab/>
      </w:r>
      <w:r>
        <w:rPr>
          <w:rFonts w:hint="eastAsia"/>
        </w:rPr>
        <w:t>4</w:t>
      </w:r>
    </w:p>
    <w:p>
      <w:pPr>
        <w:pStyle w:val="14"/>
        <w:adjustRightInd w:val="0"/>
        <w:snapToGrid w:val="0"/>
        <w:spacing w:line="440" w:lineRule="exact"/>
        <w:jc w:val="left"/>
        <w:rPr>
          <w:rFonts w:hint="eastAsia" w:eastAsia="宋体" w:asciiTheme="minorEastAsia" w:hAnsiTheme="minorEastAsia" w:cstheme="minorEastAsia"/>
          <w:sz w:val="24"/>
          <w:lang w:eastAsia="zh-CN"/>
        </w:rPr>
      </w:pPr>
      <w:r>
        <w:rPr>
          <w:rFonts w:hint="eastAsia" w:asciiTheme="minorEastAsia" w:hAnsiTheme="minorEastAsia" w:eastAsiaTheme="minorEastAsia" w:cstheme="minorEastAsia"/>
          <w:sz w:val="24"/>
        </w:rPr>
        <w:t>二、</w:t>
      </w:r>
      <w:r>
        <w:rPr>
          <w:rFonts w:hint="eastAsia"/>
          <w:sz w:val="24"/>
        </w:rPr>
        <w:t>机构设置</w:t>
      </w:r>
      <w:r>
        <w:tab/>
      </w:r>
      <w:r>
        <w:rPr>
          <w:rFonts w:hint="eastAsia"/>
          <w:lang w:val="en-US" w:eastAsia="zh-CN"/>
        </w:rPr>
        <w:t>9</w:t>
      </w:r>
    </w:p>
    <w:p>
      <w:pPr>
        <w:pStyle w:val="13"/>
        <w:adjustRightInd w:val="0"/>
        <w:snapToGrid w:val="0"/>
        <w:spacing w:before="0" w:line="440" w:lineRule="exact"/>
        <w:jc w:val="left"/>
        <w:rPr>
          <w:sz w:val="24"/>
          <w:szCs w:val="24"/>
        </w:rPr>
      </w:pPr>
      <w:r>
        <w:rPr>
          <w:rFonts w:hint="eastAsia"/>
          <w:sz w:val="24"/>
        </w:rPr>
        <w:t>第二部分 2021年度部门决算情况说明</w:t>
      </w:r>
      <w:r>
        <w:tab/>
      </w:r>
      <w:r>
        <w:rPr>
          <w:rFonts w:hint="eastAsia" w:ascii="Times New Roman" w:hAnsi="Times New Roman" w:eastAsia="宋体"/>
          <w:sz w:val="21"/>
          <w:szCs w:val="24"/>
        </w:rPr>
        <w:t>9</w:t>
      </w:r>
    </w:p>
    <w:p>
      <w:pPr>
        <w:pStyle w:val="14"/>
        <w:adjustRightInd w:val="0"/>
        <w:snapToGrid w:val="0"/>
        <w:spacing w:line="440" w:lineRule="exact"/>
        <w:jc w:val="left"/>
        <w:rPr>
          <w:rFonts w:ascii="仿宋" w:hAnsi="仿宋" w:cstheme="minorBidi"/>
          <w:sz w:val="24"/>
        </w:rPr>
      </w:pPr>
      <w:r>
        <w:rPr>
          <w:rFonts w:hint="eastAsia"/>
          <w:sz w:val="24"/>
        </w:rPr>
        <w:t>一、收入支出决算总体情况说明</w:t>
      </w:r>
      <w:r>
        <w:tab/>
      </w:r>
      <w:r>
        <w:rPr>
          <w:rFonts w:hint="eastAsia"/>
        </w:rPr>
        <w:t>9</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二、收入决算情况说明</w:t>
      </w:r>
      <w:r>
        <w:tab/>
      </w:r>
      <w:r>
        <w:rPr>
          <w:rFonts w:hint="eastAsia"/>
          <w:lang w:val="en-US" w:eastAsia="zh-CN"/>
        </w:rPr>
        <w:t>10</w:t>
      </w:r>
    </w:p>
    <w:p>
      <w:pPr>
        <w:pStyle w:val="14"/>
        <w:adjustRightInd w:val="0"/>
        <w:snapToGrid w:val="0"/>
        <w:spacing w:line="440" w:lineRule="exact"/>
        <w:jc w:val="left"/>
        <w:rPr>
          <w:rFonts w:hint="eastAsia" w:ascii="仿宋" w:hAnsi="仿宋" w:eastAsia="宋体" w:cstheme="minorBidi"/>
          <w:sz w:val="24"/>
          <w:lang w:eastAsia="zh-CN"/>
        </w:rPr>
      </w:pPr>
      <w:r>
        <w:rPr>
          <w:rFonts w:hint="eastAsia"/>
          <w:sz w:val="24"/>
        </w:rPr>
        <w:t>三、支出决算情况说明</w:t>
      </w:r>
      <w:r>
        <w:tab/>
      </w:r>
      <w:r>
        <w:rPr>
          <w:rFonts w:hint="eastAsia"/>
        </w:rPr>
        <w:t>1</w:t>
      </w:r>
      <w:r>
        <w:rPr>
          <w:rFonts w:hint="eastAsia"/>
          <w:lang w:val="en-US" w:eastAsia="zh-CN"/>
        </w:rPr>
        <w:t>1</w:t>
      </w:r>
    </w:p>
    <w:p>
      <w:pPr>
        <w:pStyle w:val="14"/>
        <w:adjustRightInd w:val="0"/>
        <w:snapToGrid w:val="0"/>
        <w:spacing w:line="440" w:lineRule="exact"/>
        <w:jc w:val="left"/>
        <w:rPr>
          <w:rFonts w:hint="eastAsia" w:ascii="仿宋" w:hAnsi="仿宋" w:eastAsia="宋体" w:cstheme="minorBidi"/>
          <w:sz w:val="24"/>
          <w:lang w:eastAsia="zh-CN"/>
        </w:rPr>
      </w:pPr>
      <w:r>
        <w:rPr>
          <w:rFonts w:hint="eastAsia"/>
          <w:sz w:val="24"/>
        </w:rPr>
        <w:t>四、财政拨款收入支出决算总体情况说明</w:t>
      </w:r>
      <w:r>
        <w:tab/>
      </w:r>
      <w:r>
        <w:rPr>
          <w:rFonts w:hint="eastAsia"/>
        </w:rPr>
        <w:t>1</w:t>
      </w:r>
      <w:r>
        <w:rPr>
          <w:rFonts w:hint="eastAsia"/>
          <w:lang w:val="en-US" w:eastAsia="zh-CN"/>
        </w:rPr>
        <w:t>1</w:t>
      </w:r>
    </w:p>
    <w:p>
      <w:pPr>
        <w:pStyle w:val="14"/>
        <w:adjustRightInd w:val="0"/>
        <w:snapToGrid w:val="0"/>
        <w:spacing w:line="440" w:lineRule="exact"/>
        <w:jc w:val="left"/>
        <w:rPr>
          <w:rFonts w:hint="eastAsia" w:ascii="仿宋" w:hAnsi="仿宋" w:eastAsia="宋体" w:cstheme="minorBidi"/>
          <w:sz w:val="24"/>
          <w:lang w:eastAsia="zh-CN"/>
        </w:rPr>
      </w:pPr>
      <w:r>
        <w:rPr>
          <w:rFonts w:hint="eastAsia"/>
          <w:sz w:val="24"/>
        </w:rPr>
        <w:t>五、一般公共预算财政拨款支出决算情况说明</w:t>
      </w:r>
      <w:r>
        <w:tab/>
      </w:r>
      <w:r>
        <w:rPr>
          <w:rFonts w:hint="eastAsia"/>
        </w:rPr>
        <w:t>1</w:t>
      </w:r>
      <w:r>
        <w:rPr>
          <w:rFonts w:hint="eastAsia"/>
          <w:lang w:val="en-US" w:eastAsia="zh-CN"/>
        </w:rPr>
        <w:t>2</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tab/>
      </w:r>
      <w:r>
        <w:rPr>
          <w:rFonts w:hint="eastAsia"/>
          <w:lang w:val="en-US" w:eastAsia="zh-CN"/>
        </w:rPr>
        <w:t>14</w:t>
      </w:r>
    </w:p>
    <w:p>
      <w:pPr>
        <w:pStyle w:val="14"/>
        <w:adjustRightInd w:val="0"/>
        <w:snapToGrid w:val="0"/>
        <w:spacing w:line="440" w:lineRule="exact"/>
        <w:jc w:val="left"/>
        <w:rPr>
          <w:rFonts w:ascii="仿宋" w:hAnsi="仿宋" w:cstheme="minorBidi"/>
          <w:sz w:val="24"/>
        </w:rPr>
      </w:pPr>
      <w:r>
        <w:rPr>
          <w:rFonts w:hint="eastAsia"/>
          <w:sz w:val="24"/>
        </w:rPr>
        <w:t>七、“三公”经费财政拨款支出决算情况说明</w:t>
      </w:r>
      <w:r>
        <w:tab/>
      </w:r>
      <w:r>
        <w:rPr>
          <w:rFonts w:hint="eastAsia"/>
        </w:rPr>
        <w:t>14</w:t>
      </w:r>
    </w:p>
    <w:p>
      <w:pPr>
        <w:pStyle w:val="14"/>
        <w:adjustRightInd w:val="0"/>
        <w:snapToGrid w:val="0"/>
        <w:spacing w:line="440" w:lineRule="exact"/>
        <w:jc w:val="left"/>
        <w:rPr>
          <w:rFonts w:hint="eastAsia" w:ascii="仿宋" w:hAnsi="仿宋" w:eastAsia="宋体" w:cstheme="minorBidi"/>
          <w:sz w:val="24"/>
          <w:lang w:eastAsia="zh-CN"/>
        </w:rPr>
      </w:pPr>
      <w:r>
        <w:rPr>
          <w:rFonts w:hint="eastAsia"/>
          <w:sz w:val="24"/>
        </w:rPr>
        <w:t>八、政府性基金预算支出决算情况说明</w:t>
      </w:r>
      <w:r>
        <w:tab/>
      </w:r>
      <w:r>
        <w:rPr>
          <w:rFonts w:hint="eastAsia"/>
        </w:rPr>
        <w:t>1</w:t>
      </w:r>
      <w:r>
        <w:rPr>
          <w:rFonts w:hint="eastAsia"/>
          <w:lang w:val="en-US" w:eastAsia="zh-CN"/>
        </w:rPr>
        <w:t>6</w:t>
      </w:r>
    </w:p>
    <w:p>
      <w:pPr>
        <w:pStyle w:val="14"/>
        <w:adjustRightInd w:val="0"/>
        <w:snapToGrid w:val="0"/>
        <w:spacing w:line="440" w:lineRule="exact"/>
        <w:jc w:val="left"/>
        <w:rPr>
          <w:rFonts w:hint="eastAsia" w:eastAsia="宋体"/>
          <w:sz w:val="24"/>
          <w:lang w:eastAsia="zh-CN"/>
        </w:rPr>
      </w:pPr>
      <w:r>
        <w:rPr>
          <w:rFonts w:hint="eastAsia"/>
          <w:sz w:val="24"/>
        </w:rPr>
        <w:t>九、国有资本经营预算支出决算情况说明</w:t>
      </w:r>
      <w:r>
        <w:tab/>
      </w:r>
      <w:r>
        <w:rPr>
          <w:rFonts w:hint="eastAsia"/>
        </w:rPr>
        <w:t>1</w:t>
      </w:r>
      <w:r>
        <w:rPr>
          <w:rFonts w:hint="eastAsia"/>
          <w:lang w:val="en-US" w:eastAsia="zh-CN"/>
        </w:rPr>
        <w:t>6</w:t>
      </w:r>
    </w:p>
    <w:p>
      <w:pPr>
        <w:pStyle w:val="14"/>
        <w:adjustRightInd w:val="0"/>
        <w:snapToGrid w:val="0"/>
        <w:spacing w:line="440" w:lineRule="exact"/>
        <w:jc w:val="left"/>
        <w:rPr>
          <w:rFonts w:hint="eastAsia" w:eastAsia="宋体"/>
          <w:sz w:val="24"/>
          <w:lang w:eastAsia="zh-CN"/>
        </w:rPr>
      </w:pPr>
      <w:r>
        <w:rPr>
          <w:rFonts w:hint="eastAsia"/>
          <w:sz w:val="24"/>
        </w:rPr>
        <w:t>十、其他重要事项的情况说明</w:t>
      </w:r>
      <w:r>
        <w:tab/>
      </w:r>
      <w:r>
        <w:rPr>
          <w:rFonts w:hint="eastAsia"/>
        </w:rPr>
        <w:t>1</w:t>
      </w:r>
      <w:r>
        <w:rPr>
          <w:rFonts w:hint="eastAsia"/>
          <w:lang w:val="en-US" w:eastAsia="zh-CN"/>
        </w:rPr>
        <w:t>6</w:t>
      </w:r>
    </w:p>
    <w:p>
      <w:pPr>
        <w:pStyle w:val="13"/>
        <w:adjustRightInd w:val="0"/>
        <w:snapToGrid w:val="0"/>
        <w:spacing w:before="0" w:line="440" w:lineRule="exact"/>
        <w:jc w:val="left"/>
        <w:rPr>
          <w:rFonts w:hint="eastAsia" w:eastAsia="仿宋" w:cstheme="minorBidi"/>
          <w:sz w:val="24"/>
          <w:szCs w:val="24"/>
          <w:lang w:eastAsia="zh-CN"/>
        </w:rPr>
      </w:pPr>
      <w:r>
        <w:rPr>
          <w:rFonts w:hint="eastAsia"/>
          <w:sz w:val="24"/>
        </w:rPr>
        <w:t>第三部分名词解释...................................................1</w:t>
      </w:r>
      <w:r>
        <w:rPr>
          <w:rFonts w:hint="eastAsia"/>
          <w:sz w:val="24"/>
          <w:lang w:val="en-US" w:eastAsia="zh-CN"/>
        </w:rPr>
        <w:t>8</w:t>
      </w:r>
    </w:p>
    <w:p>
      <w:pPr>
        <w:pStyle w:val="13"/>
        <w:adjustRightInd w:val="0"/>
        <w:snapToGrid w:val="0"/>
        <w:spacing w:before="0" w:line="440" w:lineRule="exact"/>
        <w:jc w:val="left"/>
        <w:rPr>
          <w:rFonts w:hint="eastAsia" w:eastAsia="仿宋" w:cstheme="minorBidi"/>
          <w:sz w:val="24"/>
          <w:szCs w:val="24"/>
          <w:lang w:eastAsia="zh-CN"/>
        </w:rPr>
      </w:pPr>
      <w:r>
        <w:rPr>
          <w:rFonts w:hint="eastAsia"/>
          <w:sz w:val="24"/>
        </w:rPr>
        <w:t>第四部分附件.......................................................2</w:t>
      </w:r>
      <w:r>
        <w:rPr>
          <w:rFonts w:hint="eastAsia"/>
          <w:sz w:val="24"/>
          <w:lang w:val="en-US" w:eastAsia="zh-CN"/>
        </w:rPr>
        <w:t>1</w:t>
      </w:r>
    </w:p>
    <w:p>
      <w:pPr>
        <w:pStyle w:val="13"/>
        <w:adjustRightInd w:val="0"/>
        <w:snapToGrid w:val="0"/>
        <w:spacing w:before="0" w:line="440" w:lineRule="exact"/>
        <w:jc w:val="left"/>
        <w:rPr>
          <w:rFonts w:hint="eastAsia" w:eastAsia="仿宋" w:cstheme="minorBidi"/>
          <w:sz w:val="24"/>
          <w:szCs w:val="24"/>
          <w:lang w:eastAsia="zh-CN"/>
        </w:rPr>
      </w:pPr>
      <w:r>
        <w:rPr>
          <w:rFonts w:hint="eastAsia"/>
          <w:sz w:val="24"/>
        </w:rPr>
        <w:t>第五部分附表.......................................................3</w:t>
      </w:r>
      <w:r>
        <w:rPr>
          <w:rFonts w:hint="eastAsia"/>
          <w:sz w:val="24"/>
          <w:lang w:val="en-US" w:eastAsia="zh-CN"/>
        </w:rPr>
        <w:t>4</w:t>
      </w:r>
    </w:p>
    <w:p>
      <w:pPr>
        <w:pStyle w:val="14"/>
        <w:adjustRightInd w:val="0"/>
        <w:snapToGrid w:val="0"/>
        <w:spacing w:line="440" w:lineRule="exact"/>
        <w:jc w:val="left"/>
        <w:rPr>
          <w:rFonts w:hint="eastAsia" w:eastAsia="宋体"/>
          <w:sz w:val="24"/>
          <w:lang w:eastAsia="zh-CN"/>
        </w:rPr>
      </w:pPr>
      <w:r>
        <w:rPr>
          <w:rFonts w:hint="eastAsia"/>
          <w:sz w:val="24"/>
        </w:rPr>
        <w:t>一、收入支出决算总表...................................................................................... 3</w:t>
      </w:r>
      <w:r>
        <w:rPr>
          <w:rFonts w:hint="eastAsia"/>
          <w:sz w:val="24"/>
          <w:lang w:val="en-US" w:eastAsia="zh-CN"/>
        </w:rPr>
        <w:t>4</w:t>
      </w:r>
    </w:p>
    <w:p>
      <w:pPr>
        <w:pStyle w:val="14"/>
        <w:adjustRightInd w:val="0"/>
        <w:snapToGrid w:val="0"/>
        <w:spacing w:line="440" w:lineRule="exact"/>
        <w:jc w:val="left"/>
        <w:rPr>
          <w:rFonts w:hint="eastAsia" w:eastAsia="宋体"/>
          <w:sz w:val="24"/>
          <w:lang w:eastAsia="zh-CN"/>
        </w:rPr>
      </w:pPr>
      <w:r>
        <w:rPr>
          <w:rFonts w:hint="eastAsia"/>
          <w:sz w:val="24"/>
        </w:rPr>
        <w:t>二、收入决算表</w:t>
      </w:r>
      <w:r>
        <w:tab/>
      </w:r>
      <w:r>
        <w:rPr>
          <w:rFonts w:hint="eastAsia"/>
        </w:rPr>
        <w:t>3</w:t>
      </w:r>
      <w:r>
        <w:rPr>
          <w:rFonts w:hint="eastAsia"/>
          <w:lang w:val="en-US" w:eastAsia="zh-CN"/>
        </w:rPr>
        <w:t>4</w:t>
      </w:r>
    </w:p>
    <w:p>
      <w:pPr>
        <w:pStyle w:val="14"/>
        <w:adjustRightInd w:val="0"/>
        <w:snapToGrid w:val="0"/>
        <w:spacing w:line="440" w:lineRule="exact"/>
        <w:jc w:val="left"/>
        <w:rPr>
          <w:rFonts w:hint="eastAsia" w:eastAsia="宋体"/>
          <w:sz w:val="24"/>
          <w:lang w:eastAsia="zh-CN"/>
        </w:rPr>
      </w:pPr>
      <w:r>
        <w:rPr>
          <w:rFonts w:hint="eastAsia"/>
          <w:sz w:val="24"/>
        </w:rPr>
        <w:t>三、支出决算表</w:t>
      </w:r>
      <w:r>
        <w:tab/>
      </w:r>
      <w:r>
        <w:rPr>
          <w:rFonts w:hint="eastAsia"/>
        </w:rPr>
        <w:t>3</w:t>
      </w:r>
      <w:r>
        <w:rPr>
          <w:rFonts w:hint="eastAsia"/>
          <w:lang w:val="en-US" w:eastAsia="zh-CN"/>
        </w:rPr>
        <w:t>4</w:t>
      </w:r>
    </w:p>
    <w:p>
      <w:pPr>
        <w:pStyle w:val="14"/>
        <w:adjustRightInd w:val="0"/>
        <w:snapToGrid w:val="0"/>
        <w:spacing w:line="440" w:lineRule="exact"/>
        <w:jc w:val="left"/>
        <w:rPr>
          <w:rFonts w:hint="eastAsia" w:eastAsia="宋体"/>
          <w:sz w:val="24"/>
          <w:lang w:eastAsia="zh-CN"/>
        </w:rPr>
      </w:pPr>
      <w:r>
        <w:rPr>
          <w:rFonts w:hint="eastAsia"/>
          <w:sz w:val="24"/>
        </w:rPr>
        <w:t>四、财政拨款收入支出决算总表</w:t>
      </w:r>
      <w:r>
        <w:tab/>
      </w:r>
      <w:r>
        <w:rPr>
          <w:rFonts w:hint="eastAsia"/>
        </w:rPr>
        <w:t>3</w:t>
      </w:r>
      <w:r>
        <w:rPr>
          <w:rFonts w:hint="eastAsia"/>
          <w:lang w:val="en-US" w:eastAsia="zh-CN"/>
        </w:rPr>
        <w:t>4</w:t>
      </w:r>
    </w:p>
    <w:p>
      <w:pPr>
        <w:pStyle w:val="14"/>
        <w:adjustRightInd w:val="0"/>
        <w:snapToGrid w:val="0"/>
        <w:spacing w:line="440" w:lineRule="exact"/>
        <w:jc w:val="left"/>
        <w:rPr>
          <w:rFonts w:hint="eastAsia" w:eastAsia="宋体"/>
          <w:sz w:val="24"/>
          <w:lang w:eastAsia="zh-CN"/>
        </w:rPr>
      </w:pPr>
      <w:r>
        <w:rPr>
          <w:rFonts w:hint="eastAsia"/>
          <w:sz w:val="24"/>
        </w:rPr>
        <w:t>五、财政拨款支出决算明细表</w:t>
      </w:r>
      <w:r>
        <w:tab/>
      </w:r>
      <w:r>
        <w:rPr>
          <w:rFonts w:hint="eastAsia"/>
        </w:rPr>
        <w:t>3</w:t>
      </w:r>
      <w:r>
        <w:rPr>
          <w:rFonts w:hint="eastAsia"/>
          <w:lang w:val="en-US" w:eastAsia="zh-CN"/>
        </w:rPr>
        <w:t>4</w:t>
      </w:r>
    </w:p>
    <w:p>
      <w:pPr>
        <w:pStyle w:val="14"/>
        <w:adjustRightInd w:val="0"/>
        <w:snapToGrid w:val="0"/>
        <w:spacing w:line="440" w:lineRule="exact"/>
        <w:jc w:val="left"/>
        <w:rPr>
          <w:rFonts w:hint="eastAsia" w:eastAsia="宋体"/>
          <w:sz w:val="24"/>
          <w:lang w:eastAsia="zh-CN"/>
        </w:rPr>
      </w:pPr>
      <w:r>
        <w:rPr>
          <w:rFonts w:hint="eastAsia"/>
          <w:sz w:val="24"/>
        </w:rPr>
        <w:t>六、一般公共预算财政拨款支出决算表</w:t>
      </w:r>
      <w:r>
        <w:tab/>
      </w:r>
      <w:r>
        <w:rPr>
          <w:rFonts w:hint="eastAsia"/>
        </w:rPr>
        <w:t>3</w:t>
      </w:r>
      <w:r>
        <w:rPr>
          <w:rFonts w:hint="eastAsia"/>
          <w:lang w:val="en-US" w:eastAsia="zh-CN"/>
        </w:rPr>
        <w:t>4</w:t>
      </w:r>
    </w:p>
    <w:p>
      <w:pPr>
        <w:pStyle w:val="14"/>
        <w:adjustRightInd w:val="0"/>
        <w:snapToGrid w:val="0"/>
        <w:spacing w:line="440" w:lineRule="exact"/>
        <w:jc w:val="left"/>
        <w:rPr>
          <w:rFonts w:hint="eastAsia" w:eastAsia="宋体"/>
          <w:sz w:val="24"/>
          <w:lang w:val="en-US" w:eastAsia="zh-CN"/>
        </w:rPr>
      </w:pPr>
      <w:r>
        <w:rPr>
          <w:rFonts w:hint="eastAsia"/>
          <w:sz w:val="24"/>
        </w:rPr>
        <w:t>七、一般公共预算财政拨款支出决算明细表</w:t>
      </w:r>
      <w:r>
        <w:tab/>
      </w:r>
      <w:r>
        <w:rPr>
          <w:rFonts w:hint="eastAsia"/>
        </w:rPr>
        <w:t>3</w:t>
      </w:r>
      <w:r>
        <w:rPr>
          <w:rFonts w:hint="eastAsia"/>
          <w:lang w:val="en-US" w:eastAsia="zh-CN"/>
        </w:rPr>
        <w:t>4</w:t>
      </w:r>
    </w:p>
    <w:p>
      <w:pPr>
        <w:pStyle w:val="14"/>
        <w:adjustRightInd w:val="0"/>
        <w:snapToGrid w:val="0"/>
        <w:spacing w:line="440" w:lineRule="exact"/>
        <w:jc w:val="left"/>
        <w:rPr>
          <w:rFonts w:hint="eastAsia" w:eastAsia="宋体"/>
          <w:sz w:val="24"/>
          <w:lang w:eastAsia="zh-CN"/>
        </w:rPr>
      </w:pPr>
      <w:r>
        <w:rPr>
          <w:rFonts w:hint="eastAsia"/>
          <w:sz w:val="24"/>
        </w:rPr>
        <w:t>八、一般公共预算财政拨款基本支出决算表</w:t>
      </w:r>
      <w:r>
        <w:tab/>
      </w:r>
      <w:r>
        <w:rPr>
          <w:rFonts w:hint="eastAsia"/>
        </w:rPr>
        <w:t>3</w:t>
      </w:r>
      <w:r>
        <w:rPr>
          <w:rFonts w:hint="eastAsia"/>
          <w:lang w:val="en-US" w:eastAsia="zh-CN"/>
        </w:rPr>
        <w:t>4</w:t>
      </w:r>
    </w:p>
    <w:p>
      <w:pPr>
        <w:pStyle w:val="14"/>
        <w:adjustRightInd w:val="0"/>
        <w:snapToGrid w:val="0"/>
        <w:spacing w:line="440" w:lineRule="exact"/>
        <w:jc w:val="left"/>
        <w:rPr>
          <w:rFonts w:hint="eastAsia" w:eastAsia="宋体"/>
          <w:sz w:val="24"/>
          <w:lang w:eastAsia="zh-CN"/>
        </w:rPr>
      </w:pPr>
      <w:r>
        <w:rPr>
          <w:rFonts w:hint="eastAsia"/>
          <w:sz w:val="24"/>
        </w:rPr>
        <w:t>九、一般公共预算财政拨款项目支出决算表</w:t>
      </w:r>
      <w:r>
        <w:tab/>
      </w:r>
      <w:r>
        <w:rPr>
          <w:rFonts w:hint="eastAsia"/>
        </w:rPr>
        <w:t>3</w:t>
      </w:r>
      <w:r>
        <w:rPr>
          <w:rFonts w:hint="eastAsia"/>
          <w:lang w:val="en-US" w:eastAsia="zh-CN"/>
        </w:rPr>
        <w:t>4</w:t>
      </w:r>
    </w:p>
    <w:p>
      <w:pPr>
        <w:pStyle w:val="14"/>
        <w:adjustRightInd w:val="0"/>
        <w:snapToGrid w:val="0"/>
        <w:spacing w:line="440" w:lineRule="exact"/>
        <w:jc w:val="left"/>
        <w:rPr>
          <w:sz w:val="24"/>
        </w:rPr>
      </w:pPr>
      <w:r>
        <w:rPr>
          <w:rFonts w:hint="eastAsia"/>
          <w:sz w:val="24"/>
        </w:rPr>
        <w:t>十、一般公共预算财政拨款“三公”经费支出决算表</w:t>
      </w:r>
      <w:r>
        <w:tab/>
      </w:r>
      <w:r>
        <w:rPr>
          <w:rFonts w:hint="eastAsia"/>
        </w:rPr>
        <w:t>3</w:t>
      </w:r>
      <w:r>
        <w:rPr>
          <w:rFonts w:hint="eastAsia"/>
          <w:lang w:val="en-US" w:eastAsia="zh-CN"/>
        </w:rPr>
        <w:t>4</w:t>
      </w:r>
    </w:p>
    <w:p>
      <w:pPr>
        <w:pStyle w:val="14"/>
        <w:adjustRightInd w:val="0"/>
        <w:snapToGrid w:val="0"/>
        <w:spacing w:line="440" w:lineRule="exact"/>
        <w:jc w:val="left"/>
        <w:rPr>
          <w:sz w:val="24"/>
        </w:rPr>
      </w:pPr>
      <w:r>
        <w:rPr>
          <w:rFonts w:hint="eastAsia"/>
          <w:sz w:val="24"/>
        </w:rPr>
        <w:t>十一、政府性基金预算财政拨款收入支出决算表</w:t>
      </w:r>
      <w:r>
        <w:tab/>
      </w:r>
      <w:r>
        <w:rPr>
          <w:rFonts w:hint="eastAsia"/>
        </w:rPr>
        <w:t>3</w:t>
      </w:r>
      <w:r>
        <w:rPr>
          <w:rFonts w:hint="eastAsia"/>
          <w:lang w:val="en-US" w:eastAsia="zh-CN"/>
        </w:rPr>
        <w:t>4</w:t>
      </w:r>
    </w:p>
    <w:p>
      <w:pPr>
        <w:pStyle w:val="14"/>
        <w:adjustRightInd w:val="0"/>
        <w:snapToGrid w:val="0"/>
        <w:spacing w:line="440" w:lineRule="exact"/>
        <w:jc w:val="left"/>
        <w:rPr>
          <w:sz w:val="24"/>
        </w:rPr>
      </w:pPr>
      <w:r>
        <w:rPr>
          <w:rFonts w:hint="eastAsia"/>
          <w:sz w:val="24"/>
        </w:rPr>
        <w:t>十二、政府性基金预算财政拨款“三公”经费支出决算表</w:t>
      </w:r>
      <w:r>
        <w:tab/>
      </w:r>
      <w:r>
        <w:rPr>
          <w:rFonts w:hint="eastAsia"/>
        </w:rPr>
        <w:t>3</w:t>
      </w:r>
      <w:r>
        <w:rPr>
          <w:rFonts w:hint="eastAsia"/>
          <w:lang w:val="en-US" w:eastAsia="zh-CN"/>
        </w:rPr>
        <w:t>4</w:t>
      </w:r>
    </w:p>
    <w:p>
      <w:pPr>
        <w:pStyle w:val="14"/>
        <w:adjustRightInd w:val="0"/>
        <w:snapToGrid w:val="0"/>
        <w:spacing w:line="440" w:lineRule="exact"/>
        <w:jc w:val="left"/>
        <w:rPr>
          <w:sz w:val="24"/>
        </w:rPr>
      </w:pPr>
      <w:r>
        <w:rPr>
          <w:rFonts w:hint="eastAsia"/>
          <w:sz w:val="24"/>
        </w:rPr>
        <w:t>十三、国有资本经营预算财政拨款收入支出决算表</w:t>
      </w:r>
      <w:r>
        <w:tab/>
      </w:r>
      <w:r>
        <w:rPr>
          <w:rFonts w:hint="eastAsia"/>
        </w:rPr>
        <w:t>3</w:t>
      </w:r>
      <w:r>
        <w:rPr>
          <w:rFonts w:hint="eastAsia"/>
          <w:lang w:val="en-US" w:eastAsia="zh-CN"/>
        </w:rPr>
        <w:t>4</w:t>
      </w:r>
    </w:p>
    <w:p>
      <w:pPr>
        <w:pStyle w:val="14"/>
        <w:adjustRightInd w:val="0"/>
        <w:snapToGrid w:val="0"/>
        <w:spacing w:line="440" w:lineRule="exact"/>
        <w:jc w:val="left"/>
        <w:rPr>
          <w:sz w:val="24"/>
        </w:rPr>
      </w:pPr>
      <w:r>
        <w:rPr>
          <w:rFonts w:hint="eastAsia"/>
          <w:sz w:val="24"/>
        </w:rPr>
        <w:t>十四、国有资本经营预算财政拨款支出决算表</w:t>
      </w:r>
      <w:r>
        <w:tab/>
      </w:r>
      <w:r>
        <w:rPr>
          <w:rFonts w:hint="eastAsia"/>
        </w:rPr>
        <w:t>3</w:t>
      </w:r>
      <w:r>
        <w:rPr>
          <w:rFonts w:hint="eastAsia"/>
          <w:lang w:val="en-US" w:eastAsia="zh-CN"/>
        </w:rPr>
        <w:t>4</w:t>
      </w:r>
    </w:p>
    <w:p>
      <w:pPr>
        <w:widowControl/>
        <w:spacing w:line="440" w:lineRule="exact"/>
        <w:jc w:val="left"/>
        <w:rPr>
          <w:rFonts w:ascii="仿宋" w:hAnsi="仿宋" w:eastAsia="仿宋"/>
          <w:bCs/>
          <w:kern w:val="44"/>
          <w:sz w:val="24"/>
        </w:rPr>
      </w:pPr>
      <w:bookmarkStart w:id="7" w:name="_Toc15377196"/>
      <w:bookmarkStart w:id="8" w:name="_Toc15396599"/>
      <w:r>
        <w:rPr>
          <w:rFonts w:ascii="仿宋" w:hAnsi="仿宋" w:eastAsia="仿宋"/>
          <w:b/>
          <w:sz w:val="24"/>
        </w:rPr>
        <w:br w:type="page"/>
      </w:r>
    </w:p>
    <w:p>
      <w:pPr>
        <w:pStyle w:val="3"/>
        <w:jc w:val="center"/>
        <w:rPr>
          <w:rStyle w:val="28"/>
          <w:rFonts w:ascii="黑体" w:hAnsi="黑体" w:eastAsia="黑体"/>
          <w:b/>
          <w:bCs w:val="0"/>
        </w:rPr>
      </w:pPr>
      <w:r>
        <w:rPr>
          <w:rFonts w:hint="eastAsia" w:ascii="黑体" w:hAnsi="黑体" w:eastAsia="黑体"/>
          <w:b w:val="0"/>
        </w:rPr>
        <w:t xml:space="preserve">第一部分 </w:t>
      </w:r>
      <w:bookmarkEnd w:id="7"/>
      <w:bookmarkEnd w:id="8"/>
      <w:r>
        <w:rPr>
          <w:rStyle w:val="28"/>
          <w:rFonts w:hint="eastAsia" w:ascii="黑体" w:hAnsi="黑体" w:eastAsia="黑体"/>
          <w:b w:val="0"/>
          <w:bCs w:val="0"/>
        </w:rPr>
        <w:t>部门概况</w:t>
      </w:r>
    </w:p>
    <w:p>
      <w:pPr>
        <w:pStyle w:val="4"/>
        <w:ind w:firstLine="640" w:firstLineChars="200"/>
        <w:rPr>
          <w:rStyle w:val="29"/>
          <w:rFonts w:hint="eastAsia" w:ascii="黑体" w:hAnsi="黑体" w:eastAsia="黑体"/>
          <w:b w:val="0"/>
          <w:bCs w:val="0"/>
        </w:rPr>
      </w:pPr>
      <w:bookmarkStart w:id="9" w:name="_Toc15396600"/>
      <w:bookmarkStart w:id="10" w:name="_Toc15377197"/>
      <w:r>
        <w:rPr>
          <w:rFonts w:hint="eastAsia" w:ascii="黑体" w:hAnsi="黑体" w:eastAsia="黑体"/>
          <w:b w:val="0"/>
        </w:rPr>
        <w:t>一、基</w:t>
      </w:r>
      <w:r>
        <w:rPr>
          <w:rStyle w:val="29"/>
          <w:rFonts w:hint="eastAsia" w:ascii="黑体" w:hAnsi="黑体" w:eastAsia="黑体"/>
          <w:b w:val="0"/>
          <w:bCs w:val="0"/>
        </w:rPr>
        <w:t>本职能及主要工作</w:t>
      </w:r>
    </w:p>
    <w:p>
      <w:pPr>
        <w:pStyle w:val="4"/>
        <w:ind w:firstLine="640" w:firstLineChars="200"/>
        <w:rPr>
          <w:rFonts w:ascii="Times New Roman" w:hAnsi="Times New Roman" w:eastAsia="楷体_GB2312" w:cs="Times New Roman"/>
          <w:b w:val="0"/>
          <w:bCs w:val="0"/>
          <w:sz w:val="32"/>
          <w:szCs w:val="32"/>
        </w:rPr>
      </w:pPr>
      <w:r>
        <w:rPr>
          <w:rFonts w:ascii="Times New Roman" w:hAnsi="Times New Roman" w:eastAsia="楷体_GB2312" w:cs="Times New Roman"/>
          <w:b w:val="0"/>
          <w:bCs w:val="0"/>
          <w:sz w:val="32"/>
          <w:szCs w:val="32"/>
        </w:rPr>
        <w:t>（一）主要职责。</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区经济和信息化局主要职责，即贯彻实施国家、省、市、区有关工业经济、工业循环经济、信息化、无线电管理和行业范围内中小企业发展的法律、法规和方针政策；负责拟订新型工业化发展战略和重大政策，协调解决新型工业化进程中的重大问题，组织实施工业强区战略；监测、分析全区工业经济运行态势和质量，协调解决工业经济运行中的重大问题；负责全区企业技术改造推进工作；负责全区企业技术创新体系建设；负责全区工业和信息化领域的节能节水、清洁生产和资源节约与综合利用工作；负责推进企业信用制度建设；负责全区工业企业治乱减负工作；负责对全区工业行业（不包括煤炭、矿山）实施行业管理，指导工业、信息化和无线电领域的社会中介组织发展；统筹推进全区信息化工作，组织协调全区信息安全保障体系建设；负责研究制定并推动全区非公有制经济发展规划和政策措施；指导工业和信息化企业开展对外交流与合作、国际化经营、区外投资及兼并重组；执行全区无线电管理的具体办法；负责全区工业、信息化、无线电管理、工业循环经济等有关行政审批事项的初审、转报、审批；负责盐业行业管理和食盐专营管理工作；负责职责范围内的安全生产和职业健康、生态环境保护、审批服务便民化等工作；完成区委和区政府交办的其他任务。</w:t>
      </w:r>
    </w:p>
    <w:bookmarkEnd w:id="9"/>
    <w:bookmarkEnd w:id="10"/>
    <w:p>
      <w:pPr>
        <w:snapToGrid w:val="0"/>
        <w:spacing w:line="353" w:lineRule="auto"/>
        <w:ind w:firstLine="643" w:firstLineChars="200"/>
        <w:rPr>
          <w:rFonts w:hint="eastAsia" w:ascii="仿宋" w:hAnsi="仿宋" w:eastAsia="仿宋"/>
          <w:bCs/>
          <w:sz w:val="32"/>
          <w:szCs w:val="32"/>
        </w:rPr>
      </w:pPr>
      <w:bookmarkStart w:id="11" w:name="_Toc15396602"/>
      <w:bookmarkStart w:id="12" w:name="_Toc15377204"/>
      <w:r>
        <w:rPr>
          <w:rFonts w:hint="eastAsia" w:ascii="仿宋" w:hAnsi="仿宋" w:eastAsia="仿宋"/>
          <w:bCs/>
          <w:sz w:val="32"/>
          <w:szCs w:val="32"/>
        </w:rPr>
        <w:t>（二）</w:t>
      </w:r>
      <w:r>
        <w:rPr>
          <w:rFonts w:ascii="仿宋" w:hAnsi="仿宋" w:eastAsia="仿宋"/>
          <w:bCs/>
          <w:sz w:val="32"/>
          <w:szCs w:val="32"/>
        </w:rPr>
        <w:t>20</w:t>
      </w:r>
      <w:r>
        <w:rPr>
          <w:rFonts w:hint="eastAsia" w:ascii="仿宋" w:hAnsi="仿宋" w:eastAsia="仿宋"/>
          <w:bCs/>
          <w:sz w:val="32"/>
          <w:szCs w:val="32"/>
        </w:rPr>
        <w:t>21年重点工作完成情况</w:t>
      </w:r>
    </w:p>
    <w:p>
      <w:pPr>
        <w:snapToGrid w:val="0"/>
        <w:spacing w:line="353" w:lineRule="auto"/>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1.</w:t>
      </w:r>
      <w:r>
        <w:rPr>
          <w:rFonts w:ascii="仿宋_GB2312" w:hAnsi="宋体" w:eastAsia="仿宋_GB2312" w:cs="宋体"/>
          <w:b/>
          <w:bCs/>
          <w:kern w:val="0"/>
          <w:sz w:val="32"/>
          <w:szCs w:val="32"/>
        </w:rPr>
        <w:t>工业经济稳定运行。</w:t>
      </w:r>
    </w:p>
    <w:p>
      <w:pPr>
        <w:overflowPunct w:val="0"/>
        <w:topLinePunct/>
        <w:autoSpaceDE w:val="0"/>
        <w:snapToGrid w:val="0"/>
        <w:spacing w:line="353" w:lineRule="auto"/>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全区70户规上工业企业中有5</w:t>
      </w:r>
      <w:r>
        <w:rPr>
          <w:rFonts w:hint="eastAsia" w:ascii="仿宋_GB2312" w:hAnsi="宋体" w:eastAsia="仿宋_GB2312" w:cs="宋体"/>
          <w:kern w:val="0"/>
          <w:sz w:val="32"/>
          <w:szCs w:val="32"/>
        </w:rPr>
        <w:t>4</w:t>
      </w:r>
      <w:r>
        <w:rPr>
          <w:rFonts w:ascii="仿宋_GB2312" w:hAnsi="宋体" w:eastAsia="仿宋_GB2312" w:cs="宋体"/>
          <w:kern w:val="0"/>
          <w:sz w:val="32"/>
          <w:szCs w:val="32"/>
        </w:rPr>
        <w:t>户企业产值呈现增长趋势，产值增长面为</w:t>
      </w:r>
      <w:r>
        <w:rPr>
          <w:rFonts w:hint="eastAsia" w:ascii="仿宋_GB2312" w:hAnsi="宋体" w:eastAsia="仿宋_GB2312" w:cs="宋体"/>
          <w:kern w:val="0"/>
          <w:sz w:val="32"/>
          <w:szCs w:val="32"/>
        </w:rPr>
        <w:t>77</w:t>
      </w:r>
      <w:r>
        <w:rPr>
          <w:rFonts w:ascii="仿宋_GB2312" w:hAnsi="宋体" w:eastAsia="仿宋_GB2312" w:cs="宋体"/>
          <w:kern w:val="0"/>
          <w:sz w:val="32"/>
          <w:szCs w:val="32"/>
        </w:rPr>
        <w:t>%。工业生产增势向好，</w:t>
      </w:r>
      <w:r>
        <w:rPr>
          <w:rFonts w:hint="eastAsia" w:ascii="仿宋_GB2312" w:hAnsi="宋体" w:eastAsia="仿宋_GB2312" w:cs="宋体"/>
          <w:kern w:val="0"/>
          <w:sz w:val="32"/>
          <w:szCs w:val="32"/>
        </w:rPr>
        <w:t>1-11月</w:t>
      </w:r>
      <w:r>
        <w:rPr>
          <w:rFonts w:ascii="仿宋_GB2312" w:hAnsi="宋体" w:eastAsia="仿宋_GB2312" w:cs="宋体"/>
          <w:kern w:val="0"/>
          <w:sz w:val="32"/>
          <w:szCs w:val="32"/>
        </w:rPr>
        <w:t>，西区规上工业增加值增速累计完成</w:t>
      </w:r>
      <w:r>
        <w:rPr>
          <w:rFonts w:hint="eastAsia" w:ascii="仿宋_GB2312" w:hAnsi="宋体" w:eastAsia="仿宋_GB2312" w:cs="宋体"/>
          <w:kern w:val="0"/>
          <w:sz w:val="32"/>
          <w:szCs w:val="32"/>
        </w:rPr>
        <w:t>10.6</w:t>
      </w:r>
      <w:r>
        <w:rPr>
          <w:rFonts w:ascii="仿宋_GB2312" w:hAnsi="宋体" w:eastAsia="仿宋_GB2312" w:cs="宋体"/>
          <w:kern w:val="0"/>
          <w:sz w:val="32"/>
          <w:szCs w:val="32"/>
        </w:rPr>
        <w:t>%，全市排名第3；工业用电量</w:t>
      </w:r>
      <w:r>
        <w:rPr>
          <w:rFonts w:hint="eastAsia" w:ascii="仿宋_GB2312" w:hAnsi="宋体" w:eastAsia="仿宋_GB2312" w:cs="宋体"/>
          <w:kern w:val="0"/>
          <w:sz w:val="32"/>
          <w:szCs w:val="32"/>
        </w:rPr>
        <w:t>5.88</w:t>
      </w:r>
      <w:r>
        <w:rPr>
          <w:rFonts w:ascii="仿宋_GB2312" w:hAnsi="宋体" w:eastAsia="仿宋_GB2312" w:cs="宋体"/>
          <w:kern w:val="0"/>
          <w:sz w:val="32"/>
          <w:szCs w:val="32"/>
        </w:rPr>
        <w:t>亿千瓦时，同比增长</w:t>
      </w:r>
      <w:r>
        <w:rPr>
          <w:rFonts w:hint="eastAsia" w:ascii="仿宋_GB2312" w:hAnsi="宋体" w:eastAsia="仿宋_GB2312" w:cs="宋体"/>
          <w:kern w:val="0"/>
          <w:sz w:val="32"/>
          <w:szCs w:val="32"/>
        </w:rPr>
        <w:t>6.4</w:t>
      </w:r>
      <w:r>
        <w:rPr>
          <w:rFonts w:ascii="仿宋_GB2312" w:hAnsi="宋体" w:eastAsia="仿宋_GB2312" w:cs="宋体"/>
          <w:kern w:val="0"/>
          <w:sz w:val="32"/>
          <w:szCs w:val="32"/>
        </w:rPr>
        <w:t>%；</w:t>
      </w:r>
      <w:r>
        <w:rPr>
          <w:rFonts w:hint="eastAsia" w:ascii="仿宋_GB2312" w:hAnsi="宋体" w:eastAsia="仿宋_GB2312" w:cs="宋体"/>
          <w:kern w:val="0"/>
          <w:sz w:val="32"/>
          <w:szCs w:val="32"/>
        </w:rPr>
        <w:t>1-11月</w:t>
      </w:r>
      <w:r>
        <w:rPr>
          <w:rFonts w:ascii="仿宋_GB2312" w:hAnsi="宋体" w:eastAsia="仿宋_GB2312" w:cs="宋体"/>
          <w:kern w:val="0"/>
          <w:sz w:val="32"/>
          <w:szCs w:val="32"/>
        </w:rPr>
        <w:t>工业投资、技改投资分别完成</w:t>
      </w:r>
      <w:r>
        <w:rPr>
          <w:rFonts w:hint="eastAsia" w:ascii="仿宋_GB2312" w:hAnsi="宋体" w:eastAsia="仿宋_GB2312" w:cs="宋体"/>
          <w:kern w:val="0"/>
          <w:sz w:val="32"/>
          <w:szCs w:val="32"/>
        </w:rPr>
        <w:t>42.24</w:t>
      </w:r>
      <w:r>
        <w:rPr>
          <w:rFonts w:ascii="仿宋_GB2312" w:hAnsi="宋体" w:eastAsia="仿宋_GB2312" w:cs="宋体"/>
          <w:kern w:val="0"/>
          <w:sz w:val="32"/>
          <w:szCs w:val="32"/>
        </w:rPr>
        <w:t>亿元、</w:t>
      </w:r>
      <w:r>
        <w:rPr>
          <w:rFonts w:hint="eastAsia" w:ascii="仿宋_GB2312" w:hAnsi="宋体" w:eastAsia="仿宋_GB2312" w:cs="宋体"/>
          <w:kern w:val="0"/>
          <w:sz w:val="32"/>
          <w:szCs w:val="32"/>
        </w:rPr>
        <w:t>33.86</w:t>
      </w:r>
      <w:r>
        <w:rPr>
          <w:rFonts w:ascii="仿宋_GB2312" w:hAnsi="宋体" w:eastAsia="仿宋_GB2312" w:cs="宋体"/>
          <w:kern w:val="0"/>
          <w:sz w:val="32"/>
          <w:szCs w:val="32"/>
        </w:rPr>
        <w:t>亿元，</w:t>
      </w:r>
      <w:r>
        <w:rPr>
          <w:rFonts w:hint="eastAsia" w:ascii="仿宋_GB2312" w:hAnsi="宋体" w:eastAsia="仿宋_GB2312" w:cs="宋体"/>
          <w:kern w:val="0"/>
          <w:sz w:val="32"/>
          <w:szCs w:val="32"/>
        </w:rPr>
        <w:t>同比分别增长14.7%、24.7%，</w:t>
      </w:r>
      <w:r>
        <w:rPr>
          <w:rFonts w:ascii="仿宋_GB2312" w:hAnsi="宋体" w:eastAsia="仿宋_GB2312" w:cs="宋体"/>
          <w:kern w:val="0"/>
          <w:sz w:val="32"/>
          <w:szCs w:val="32"/>
        </w:rPr>
        <w:t>较去年分别提升</w:t>
      </w:r>
      <w:r>
        <w:rPr>
          <w:rFonts w:hint="eastAsia" w:ascii="仿宋_GB2312" w:hAnsi="宋体" w:eastAsia="仿宋_GB2312" w:cs="宋体"/>
          <w:kern w:val="0"/>
          <w:sz w:val="32"/>
          <w:szCs w:val="32"/>
        </w:rPr>
        <w:t>13.6</w:t>
      </w:r>
      <w:r>
        <w:rPr>
          <w:rFonts w:ascii="仿宋_GB2312" w:hAnsi="宋体" w:eastAsia="仿宋_GB2312" w:cs="宋体"/>
          <w:kern w:val="0"/>
          <w:sz w:val="32"/>
          <w:szCs w:val="32"/>
        </w:rPr>
        <w:t>、</w:t>
      </w:r>
      <w:r>
        <w:rPr>
          <w:rFonts w:hint="eastAsia" w:ascii="仿宋_GB2312" w:hAnsi="宋体" w:eastAsia="仿宋_GB2312" w:cs="宋体"/>
          <w:kern w:val="0"/>
          <w:sz w:val="32"/>
          <w:szCs w:val="32"/>
        </w:rPr>
        <w:t>16</w:t>
      </w:r>
      <w:r>
        <w:rPr>
          <w:rFonts w:ascii="仿宋_GB2312" w:hAnsi="宋体" w:eastAsia="仿宋_GB2312" w:cs="宋体"/>
          <w:kern w:val="0"/>
          <w:sz w:val="32"/>
          <w:szCs w:val="32"/>
        </w:rPr>
        <w:t>个百分点。预计</w:t>
      </w:r>
      <w:r>
        <w:rPr>
          <w:rFonts w:hint="eastAsia" w:ascii="仿宋_GB2312" w:hAnsi="宋体" w:eastAsia="仿宋_GB2312" w:cs="宋体"/>
          <w:kern w:val="0"/>
          <w:sz w:val="32"/>
          <w:szCs w:val="32"/>
        </w:rPr>
        <w:t>12</w:t>
      </w:r>
      <w:r>
        <w:rPr>
          <w:rFonts w:ascii="仿宋_GB2312" w:hAnsi="宋体" w:eastAsia="仿宋_GB2312" w:cs="宋体"/>
          <w:kern w:val="0"/>
          <w:sz w:val="32"/>
          <w:szCs w:val="32"/>
        </w:rPr>
        <w:t>月规上工业增加值增速</w:t>
      </w:r>
      <w:r>
        <w:rPr>
          <w:rFonts w:hint="eastAsia" w:ascii="仿宋_GB2312" w:hAnsi="宋体" w:eastAsia="仿宋_GB2312" w:cs="宋体"/>
          <w:kern w:val="0"/>
          <w:sz w:val="32"/>
          <w:szCs w:val="32"/>
        </w:rPr>
        <w:t>当月</w:t>
      </w:r>
      <w:r>
        <w:rPr>
          <w:rFonts w:ascii="仿宋_GB2312" w:hAnsi="宋体" w:eastAsia="仿宋_GB2312" w:cs="宋体"/>
          <w:kern w:val="0"/>
          <w:sz w:val="32"/>
          <w:szCs w:val="32"/>
        </w:rPr>
        <w:t>完成</w:t>
      </w:r>
      <w:r>
        <w:rPr>
          <w:rFonts w:hint="eastAsia" w:ascii="仿宋_GB2312" w:hAnsi="宋体" w:eastAsia="仿宋_GB2312" w:cs="宋体"/>
          <w:kern w:val="0"/>
          <w:sz w:val="32"/>
          <w:szCs w:val="32"/>
        </w:rPr>
        <w:t>8</w:t>
      </w:r>
      <w:r>
        <w:rPr>
          <w:rFonts w:ascii="仿宋_GB2312" w:hAnsi="宋体" w:eastAsia="仿宋_GB2312" w:cs="宋体"/>
          <w:kern w:val="0"/>
          <w:sz w:val="32"/>
          <w:szCs w:val="32"/>
        </w:rPr>
        <w:t>%，</w:t>
      </w:r>
      <w:r>
        <w:rPr>
          <w:rFonts w:hint="eastAsia" w:ascii="仿宋_GB2312" w:hAnsi="宋体" w:eastAsia="仿宋_GB2312" w:cs="宋体"/>
          <w:kern w:val="0"/>
          <w:sz w:val="32"/>
          <w:szCs w:val="32"/>
        </w:rPr>
        <w:t>全年</w:t>
      </w:r>
      <w:r>
        <w:rPr>
          <w:rFonts w:ascii="仿宋_GB2312" w:hAnsi="宋体" w:eastAsia="仿宋_GB2312" w:cs="宋体"/>
          <w:kern w:val="0"/>
          <w:sz w:val="32"/>
          <w:szCs w:val="32"/>
        </w:rPr>
        <w:t>完成</w:t>
      </w:r>
      <w:r>
        <w:rPr>
          <w:rFonts w:hint="eastAsia" w:ascii="仿宋_GB2312" w:hAnsi="宋体" w:eastAsia="仿宋_GB2312" w:cs="宋体"/>
          <w:kern w:val="0"/>
          <w:sz w:val="32"/>
          <w:szCs w:val="32"/>
        </w:rPr>
        <w:t>10.4</w:t>
      </w:r>
      <w:r>
        <w:rPr>
          <w:rFonts w:ascii="仿宋_GB2312" w:hAnsi="宋体" w:eastAsia="仿宋_GB2312" w:cs="宋体"/>
          <w:kern w:val="0"/>
          <w:sz w:val="32"/>
          <w:szCs w:val="32"/>
        </w:rPr>
        <w:t>%；预计</w:t>
      </w:r>
      <w:r>
        <w:rPr>
          <w:rFonts w:hint="eastAsia" w:ascii="仿宋_GB2312" w:hAnsi="宋体" w:eastAsia="仿宋_GB2312" w:cs="宋体"/>
          <w:kern w:val="0"/>
          <w:sz w:val="32"/>
          <w:szCs w:val="32"/>
        </w:rPr>
        <w:t>全年</w:t>
      </w:r>
      <w:r>
        <w:rPr>
          <w:rFonts w:ascii="仿宋_GB2312" w:hAnsi="宋体" w:eastAsia="仿宋_GB2312" w:cs="宋体"/>
          <w:kern w:val="0"/>
          <w:sz w:val="32"/>
          <w:szCs w:val="32"/>
        </w:rPr>
        <w:t>工业投资累计完成</w:t>
      </w:r>
      <w:r>
        <w:rPr>
          <w:rFonts w:hint="eastAsia" w:ascii="仿宋_GB2312" w:hAnsi="宋体" w:eastAsia="仿宋_GB2312" w:cs="宋体"/>
          <w:kern w:val="0"/>
          <w:sz w:val="32"/>
          <w:szCs w:val="32"/>
        </w:rPr>
        <w:t>45.81</w:t>
      </w:r>
      <w:r>
        <w:rPr>
          <w:rFonts w:ascii="仿宋_GB2312" w:hAnsi="宋体" w:eastAsia="仿宋_GB2312" w:cs="宋体"/>
          <w:kern w:val="0"/>
          <w:sz w:val="32"/>
          <w:szCs w:val="32"/>
        </w:rPr>
        <w:t>亿元，同比增长</w:t>
      </w:r>
      <w:r>
        <w:rPr>
          <w:rFonts w:hint="eastAsia" w:ascii="仿宋_GB2312" w:hAnsi="宋体" w:eastAsia="仿宋_GB2312" w:cs="宋体"/>
          <w:kern w:val="0"/>
          <w:sz w:val="32"/>
          <w:szCs w:val="32"/>
        </w:rPr>
        <w:t>15.2</w:t>
      </w:r>
      <w:r>
        <w:rPr>
          <w:rFonts w:ascii="仿宋_GB2312" w:hAnsi="宋体" w:eastAsia="仿宋_GB2312" w:cs="宋体"/>
          <w:kern w:val="0"/>
          <w:sz w:val="32"/>
          <w:szCs w:val="32"/>
        </w:rPr>
        <w:t>%；技改投资累计完成</w:t>
      </w:r>
      <w:r>
        <w:rPr>
          <w:rFonts w:hint="eastAsia" w:ascii="仿宋_GB2312" w:hAnsi="宋体" w:eastAsia="仿宋_GB2312" w:cs="宋体"/>
          <w:kern w:val="0"/>
          <w:sz w:val="32"/>
          <w:szCs w:val="32"/>
        </w:rPr>
        <w:t>35.49</w:t>
      </w:r>
      <w:r>
        <w:rPr>
          <w:rFonts w:ascii="仿宋_GB2312" w:hAnsi="宋体" w:eastAsia="仿宋_GB2312" w:cs="宋体"/>
          <w:kern w:val="0"/>
          <w:sz w:val="32"/>
          <w:szCs w:val="32"/>
        </w:rPr>
        <w:t>亿元，同比增长</w:t>
      </w:r>
      <w:r>
        <w:rPr>
          <w:rFonts w:hint="eastAsia" w:ascii="仿宋_GB2312" w:hAnsi="宋体" w:eastAsia="仿宋_GB2312" w:cs="宋体"/>
          <w:kern w:val="0"/>
          <w:sz w:val="32"/>
          <w:szCs w:val="32"/>
        </w:rPr>
        <w:t>22.1</w:t>
      </w:r>
      <w:r>
        <w:rPr>
          <w:rFonts w:ascii="仿宋_GB2312" w:hAnsi="宋体" w:eastAsia="仿宋_GB2312" w:cs="宋体"/>
          <w:kern w:val="0"/>
          <w:sz w:val="32"/>
          <w:szCs w:val="32"/>
        </w:rPr>
        <w:t>%。</w:t>
      </w:r>
    </w:p>
    <w:p>
      <w:pPr>
        <w:overflowPunct w:val="0"/>
        <w:topLinePunct/>
        <w:autoSpaceDE w:val="0"/>
        <w:snapToGrid w:val="0"/>
        <w:spacing w:line="353" w:lineRule="auto"/>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2.</w:t>
      </w:r>
      <w:r>
        <w:rPr>
          <w:rFonts w:ascii="仿宋_GB2312" w:hAnsi="宋体" w:eastAsia="仿宋_GB2312" w:cs="宋体"/>
          <w:b/>
          <w:bCs/>
          <w:kern w:val="0"/>
          <w:sz w:val="32"/>
          <w:szCs w:val="32"/>
        </w:rPr>
        <w:t>重点项目竞进提速。</w:t>
      </w:r>
    </w:p>
    <w:p>
      <w:pPr>
        <w:overflowPunct w:val="0"/>
        <w:topLinePunct/>
        <w:autoSpaceDE w:val="0"/>
        <w:snapToGrid w:val="0"/>
        <w:spacing w:line="353" w:lineRule="auto"/>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2021年，西区共推进省、市、区重点工业项目9个，其中，金沙水电站全面建成并投产发电；容则钒钛钛粉热等静压产业化、泓岩科技工业固体废弃物环保治理及资源化利用等项目正在加快建设中；攀煤煤系固废高值化利用、川能投煤化新能源煤气制LNG、合强科技建筑再生资源循环利用、双辰环保煤化再生资源循环综合利用等项目正在开展前期手续办理。</w:t>
      </w:r>
    </w:p>
    <w:p>
      <w:pPr>
        <w:overflowPunct w:val="0"/>
        <w:topLinePunct/>
        <w:autoSpaceDE w:val="0"/>
        <w:snapToGrid w:val="0"/>
        <w:spacing w:line="353" w:lineRule="auto"/>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3.</w:t>
      </w:r>
      <w:r>
        <w:rPr>
          <w:rFonts w:ascii="仿宋_GB2312" w:hAnsi="宋体" w:eastAsia="仿宋_GB2312" w:cs="宋体"/>
          <w:b/>
          <w:bCs/>
          <w:kern w:val="0"/>
          <w:sz w:val="32"/>
          <w:szCs w:val="32"/>
        </w:rPr>
        <w:t>升规入库稳步推进。</w:t>
      </w:r>
    </w:p>
    <w:p>
      <w:pPr>
        <w:tabs>
          <w:tab w:val="left" w:pos="440"/>
        </w:tabs>
        <w:snapToGrid w:val="0"/>
        <w:spacing w:line="353" w:lineRule="auto"/>
        <w:ind w:firstLine="640" w:firstLineChars="200"/>
        <w:contextualSpacing/>
        <w:rPr>
          <w:rFonts w:ascii="仿宋_GB2312" w:hAnsi="宋体" w:eastAsia="仿宋_GB2312" w:cs="宋体"/>
          <w:kern w:val="0"/>
          <w:sz w:val="32"/>
          <w:szCs w:val="32"/>
        </w:rPr>
      </w:pPr>
      <w:r>
        <w:rPr>
          <w:rFonts w:ascii="仿宋_GB2312" w:hAnsi="宋体" w:eastAsia="仿宋_GB2312" w:cs="宋体"/>
          <w:kern w:val="0"/>
          <w:sz w:val="32"/>
          <w:szCs w:val="32"/>
        </w:rPr>
        <w:t>今年一季度杰杰工贸、恒实工贸2户企业已完成升规入库，完成目标任务（新增7户、净增5户）的28.6%。正在培育“小升规”目标企业5户（华荣公司、宏林环保、龙焱矿业、盛谷环保科技、</w:t>
      </w:r>
      <w:r>
        <w:rPr>
          <w:rFonts w:hint="eastAsia" w:ascii="仿宋_GB2312" w:hAnsi="宋体" w:eastAsia="仿宋_GB2312" w:cs="宋体"/>
          <w:kern w:val="0"/>
          <w:sz w:val="32"/>
          <w:szCs w:val="32"/>
        </w:rPr>
        <w:t>钛鸿科技</w:t>
      </w:r>
      <w:r>
        <w:rPr>
          <w:rFonts w:ascii="仿宋_GB2312" w:hAnsi="宋体" w:eastAsia="仿宋_GB2312" w:cs="宋体"/>
          <w:kern w:val="0"/>
          <w:sz w:val="32"/>
          <w:szCs w:val="32"/>
        </w:rPr>
        <w:t>），华荣公司、宏林环保、盛谷环保科技、</w:t>
      </w:r>
      <w:r>
        <w:rPr>
          <w:rFonts w:hint="eastAsia" w:ascii="仿宋_GB2312" w:hAnsi="宋体" w:eastAsia="仿宋_GB2312" w:cs="宋体"/>
          <w:kern w:val="0"/>
          <w:sz w:val="32"/>
          <w:szCs w:val="32"/>
        </w:rPr>
        <w:t>钛鸿科技等4</w:t>
      </w:r>
      <w:r>
        <w:rPr>
          <w:rFonts w:ascii="仿宋_GB2312" w:hAnsi="宋体" w:eastAsia="仿宋_GB2312" w:cs="宋体"/>
          <w:kern w:val="0"/>
          <w:sz w:val="32"/>
          <w:szCs w:val="32"/>
        </w:rPr>
        <w:t>户企业已提交升规资料，</w:t>
      </w:r>
      <w:r>
        <w:rPr>
          <w:rFonts w:hint="eastAsia" w:ascii="仿宋_GB2312" w:hAnsi="宋体" w:eastAsia="仿宋_GB2312" w:cs="宋体"/>
          <w:kern w:val="0"/>
          <w:sz w:val="32"/>
          <w:szCs w:val="32"/>
        </w:rPr>
        <w:t>其中华荣能源、宏林环保已通过省统计局审核，</w:t>
      </w:r>
      <w:r>
        <w:rPr>
          <w:rFonts w:ascii="仿宋_GB2312" w:hAnsi="宋体" w:eastAsia="仿宋_GB2312" w:cs="宋体"/>
          <w:kern w:val="0"/>
          <w:sz w:val="32"/>
          <w:szCs w:val="32"/>
        </w:rPr>
        <w:t>预计全年升规</w:t>
      </w:r>
      <w:r>
        <w:rPr>
          <w:rFonts w:hint="eastAsia" w:ascii="仿宋_GB2312" w:hAnsi="宋体" w:eastAsia="仿宋_GB2312" w:cs="宋体"/>
          <w:kern w:val="0"/>
          <w:sz w:val="32"/>
          <w:szCs w:val="32"/>
        </w:rPr>
        <w:t>6</w:t>
      </w:r>
      <w:r>
        <w:rPr>
          <w:rFonts w:ascii="仿宋_GB2312" w:hAnsi="宋体" w:eastAsia="仿宋_GB2312" w:cs="宋体"/>
          <w:kern w:val="0"/>
          <w:sz w:val="32"/>
          <w:szCs w:val="32"/>
        </w:rPr>
        <w:t>户。</w:t>
      </w:r>
    </w:p>
    <w:p>
      <w:pPr>
        <w:overflowPunct w:val="0"/>
        <w:topLinePunct/>
        <w:autoSpaceDE w:val="0"/>
        <w:adjustRightInd w:val="0"/>
        <w:snapToGrid w:val="0"/>
        <w:spacing w:line="560" w:lineRule="exact"/>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4.招商引资精准有力。</w:t>
      </w:r>
    </w:p>
    <w:p>
      <w:pPr>
        <w:overflowPunct w:val="0"/>
        <w:topLinePunct/>
        <w:autoSpaceDE w:val="0"/>
        <w:adjustRightInd w:val="0"/>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是全力推动钢城集团西渣场废旧公司和环业公司在西区注册并上报产值和税收；二是积极引进裕实科技入驻格里坪特色产业园区，并消纳博信化工剩余的7万余吨硫酸钠固体废弃物；三是全力开展存量招商工作，积极对接徐州伟天集团、河南顺城集团以及山西美景能源（股市代号：000727），全力推动翰通焦化盘活工作取得实效。截至目前，招商引资到位资金完成7.87亿，其中，招商引资国内、省外到位资金完成3.25亿元，已顺利完成2021年全年目标任务。同时赴外参加“第十八届中国西部国际博览会”等招商活动7次。新签约工业项目5个，其中投资2亿元以上项目2个。</w:t>
      </w:r>
    </w:p>
    <w:p>
      <w:pPr>
        <w:pStyle w:val="6"/>
        <w:snapToGrid w:val="0"/>
        <w:spacing w:line="560" w:lineRule="exact"/>
        <w:ind w:firstLine="64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5.</w:t>
      </w:r>
      <w:r>
        <w:rPr>
          <w:rFonts w:ascii="仿宋_GB2312" w:hAnsi="宋体" w:eastAsia="仿宋_GB2312" w:cs="宋体"/>
          <w:b/>
          <w:bCs/>
          <w:kern w:val="0"/>
          <w:sz w:val="32"/>
          <w:szCs w:val="32"/>
        </w:rPr>
        <w:t>要素保障不断强化。</w:t>
      </w:r>
    </w:p>
    <w:p>
      <w:pPr>
        <w:overflowPunct w:val="0"/>
        <w:topLinePunct/>
        <w:autoSpaceDE w:val="0"/>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已</w:t>
      </w:r>
      <w:r>
        <w:rPr>
          <w:rFonts w:ascii="仿宋_GB2312" w:hAnsi="宋体" w:eastAsia="仿宋_GB2312" w:cs="宋体"/>
          <w:kern w:val="0"/>
          <w:sz w:val="32"/>
          <w:szCs w:val="32"/>
        </w:rPr>
        <w:t>帮助午跃科技、西盛金属、构美科技等13户工业企业纳入2021年水电消纳示范区交易用户</w:t>
      </w:r>
      <w:r>
        <w:rPr>
          <w:rFonts w:hint="eastAsia" w:ascii="仿宋_GB2312" w:hAnsi="宋体" w:eastAsia="仿宋_GB2312" w:cs="宋体"/>
          <w:kern w:val="0"/>
          <w:sz w:val="32"/>
          <w:szCs w:val="32"/>
        </w:rPr>
        <w:t>，正在帮助路强科技、和临科技等16户企业申报</w:t>
      </w:r>
      <w:r>
        <w:rPr>
          <w:rFonts w:ascii="仿宋_GB2312" w:hAnsi="宋体" w:eastAsia="仿宋_GB2312" w:cs="宋体"/>
          <w:kern w:val="0"/>
          <w:sz w:val="32"/>
          <w:szCs w:val="32"/>
        </w:rPr>
        <w:t>202</w:t>
      </w:r>
      <w:r>
        <w:rPr>
          <w:rFonts w:hint="eastAsia" w:ascii="仿宋_GB2312" w:hAnsi="宋体" w:eastAsia="仿宋_GB2312" w:cs="宋体"/>
          <w:kern w:val="0"/>
          <w:sz w:val="32"/>
          <w:szCs w:val="32"/>
        </w:rPr>
        <w:t>2</w:t>
      </w:r>
      <w:r>
        <w:rPr>
          <w:rFonts w:ascii="仿宋_GB2312" w:hAnsi="宋体" w:eastAsia="仿宋_GB2312" w:cs="宋体"/>
          <w:kern w:val="0"/>
          <w:sz w:val="32"/>
          <w:szCs w:val="32"/>
        </w:rPr>
        <w:t>年水电消纳示范区</w:t>
      </w:r>
      <w:r>
        <w:rPr>
          <w:rFonts w:hint="eastAsia" w:ascii="仿宋_GB2312" w:hAnsi="宋体" w:eastAsia="仿宋_GB2312" w:cs="宋体"/>
          <w:kern w:val="0"/>
          <w:sz w:val="32"/>
          <w:szCs w:val="32"/>
        </w:rPr>
        <w:t>电力优惠政策。</w:t>
      </w:r>
      <w:r>
        <w:rPr>
          <w:rFonts w:ascii="仿宋_GB2312" w:hAnsi="宋体" w:eastAsia="仿宋_GB2312" w:cs="宋体"/>
          <w:kern w:val="0"/>
          <w:sz w:val="32"/>
          <w:szCs w:val="32"/>
        </w:rPr>
        <w:t>协调解决金沙湖、盛谷环保科技、焦炉煤气制LNG、雅阁居、清乌加气站、格里坪加气站等项目用电、电力搬迁事宜。推动中石油西区分公司经堂撬装加气站项目建设。联合应急、市场监管、公安等部门开展成品油市场乱象整治工作6次，协助公安机关处理成品油非法经营案1例。为攀煤联合焦化、金盛达等10余家重点企业协调生产用油50余吨。</w:t>
      </w:r>
    </w:p>
    <w:p>
      <w:pPr>
        <w:overflowPunct w:val="0"/>
        <w:topLinePunct/>
        <w:autoSpaceDE w:val="0"/>
        <w:adjustRightInd w:val="0"/>
        <w:snapToGrid w:val="0"/>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6.营商环境跨越发展。</w:t>
      </w:r>
    </w:p>
    <w:p>
      <w:pPr>
        <w:overflowPunct w:val="0"/>
        <w:topLinePunct/>
        <w:autoSpaceDE w:val="0"/>
        <w:adjustRightInd w:val="0"/>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是园区综合实力提升。格里坪省级特色产业园区成为首批省级工业资源综合利用示范园区，以园区基础建设年为契机，配合全市做好“一园多区”产业发展规划、“两图一表”编制。园区污水处理厂建成投用，园区发展服务中心加快建设；推进格里坪工业园区煤气管网项目建设，促成川能投煤化新能源与城府旗正能源达成意向性合作。加快完善园区水电、路网等基础配套，产业转移综合承载力持续提升。二是持续加大资金争取力度，积极对接上级部门，目前正在为3家企业积极争取2022年四川省级工业发展资金，指导项目业主做好资金申报评审工作。三是扎实做好农民工工资清欠和宣传工作。截至目前，深入辖区工业企业宣传保障农民工工资46余次，未发现拖欠农民工工资情况。四是持续提升“一网通办”服务水平。已建成涵盖政务服务、数字城管、协同办公等多领域政务信息化系统，环保在线监测运行良好。</w:t>
      </w:r>
    </w:p>
    <w:p>
      <w:pPr>
        <w:pStyle w:val="6"/>
        <w:snapToGrid w:val="0"/>
        <w:spacing w:line="560" w:lineRule="exact"/>
        <w:ind w:firstLine="64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7.</w:t>
      </w:r>
      <w:r>
        <w:rPr>
          <w:rFonts w:ascii="仿宋_GB2312" w:hAnsi="宋体" w:eastAsia="仿宋_GB2312" w:cs="宋体"/>
          <w:b/>
          <w:bCs/>
          <w:kern w:val="0"/>
          <w:sz w:val="32"/>
          <w:szCs w:val="32"/>
        </w:rPr>
        <w:t>安全环保守住防线。</w:t>
      </w:r>
    </w:p>
    <w:p>
      <w:pPr>
        <w:pStyle w:val="6"/>
        <w:snapToGrid w:val="0"/>
        <w:spacing w:line="56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一是</w:t>
      </w:r>
      <w:r>
        <w:rPr>
          <w:rFonts w:ascii="仿宋_GB2312" w:hAnsi="宋体" w:eastAsia="仿宋_GB2312" w:cs="宋体"/>
          <w:kern w:val="0"/>
          <w:sz w:val="32"/>
          <w:szCs w:val="32"/>
        </w:rPr>
        <w:t>今年以来，开展安全生产检查200余家次、出动检查车辆160余台次，人员300余人次，排查出安全隐患问题130余个，已督促企业完成整改120余处，剩余安全隐患问题正在逐项整改中</w:t>
      </w:r>
      <w:r>
        <w:rPr>
          <w:rFonts w:hint="eastAsia" w:ascii="仿宋_GB2312" w:hAnsi="宋体" w:eastAsia="仿宋_GB2312" w:cs="宋体"/>
          <w:kern w:val="0"/>
          <w:sz w:val="32"/>
          <w:szCs w:val="32"/>
        </w:rPr>
        <w:t>。二是</w:t>
      </w:r>
      <w:r>
        <w:rPr>
          <w:rFonts w:ascii="仿宋_GB2312" w:hAnsi="宋体" w:eastAsia="仿宋_GB2312" w:cs="宋体"/>
          <w:kern w:val="0"/>
          <w:sz w:val="32"/>
          <w:szCs w:val="32"/>
        </w:rPr>
        <w:t>全力做好西区生态环境突出问题整改，聘请环保专家对生态环境突出问题整改做技术指导，完成市级园区环境整治联合督查检查情况通报件4个，制定整改方案并按照时间节点推进整改工业领域生态环境突出问题14个。</w:t>
      </w:r>
    </w:p>
    <w:p>
      <w:pPr>
        <w:overflowPunct w:val="0"/>
        <w:topLinePunct/>
        <w:autoSpaceDE w:val="0"/>
        <w:adjustRightInd w:val="0"/>
        <w:snapToGrid w:val="0"/>
        <w:spacing w:line="560" w:lineRule="exact"/>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8.疫情防控抓紧抓实。</w:t>
      </w:r>
    </w:p>
    <w:p>
      <w:pPr>
        <w:overflowPunct w:val="0"/>
        <w:topLinePunct/>
        <w:autoSpaceDE w:val="0"/>
        <w:adjustRightInd w:val="0"/>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是指导辖区规上工业企业、加油站及三大运营商完成“天府健康通”全覆盖，积极推广健康码应用。二是组织辖区60家工业和信息化企业11000余名职工进行新冠疫苗集中接种。三是督促企业落实常态化疫情防控，进行疫情防控检查300余家次，分发宣传手册800余册。四是根据省、市、区疫情防控督导发现的问题，结合日常工作检查实际，持续督促企业进行疫情防控问题整改20余次，整改问题30余条。五是积极配合区卫健局开展流调工作，协助公安等部门开展重点人员信息核查等工作，确保第一时间掌握高中风险地区人员信息。</w:t>
      </w:r>
    </w:p>
    <w:p>
      <w:pPr>
        <w:overflowPunct w:val="0"/>
        <w:topLinePunct/>
        <w:autoSpaceDE w:val="0"/>
        <w:snapToGrid w:val="0"/>
        <w:spacing w:line="560" w:lineRule="exact"/>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9.</w:t>
      </w:r>
      <w:r>
        <w:rPr>
          <w:rFonts w:ascii="仿宋_GB2312" w:hAnsi="宋体" w:eastAsia="仿宋_GB2312" w:cs="宋体"/>
          <w:b/>
          <w:bCs/>
          <w:kern w:val="0"/>
          <w:sz w:val="32"/>
          <w:szCs w:val="32"/>
        </w:rPr>
        <w:t>森林草原防灭火扎实推进。</w:t>
      </w:r>
    </w:p>
    <w:p>
      <w:pPr>
        <w:overflowPunct w:val="0"/>
        <w:topLinePunct/>
        <w:autoSpaceDE w:val="0"/>
        <w:snapToGrid w:val="0"/>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组织召开西区林区输配电设施火灾隐患专项整治月例会及专题推进会6次，深入辖区供发电、用电企业检查电力线路通道治理、防山火地面硬化拓宽、输配电线路老旧设备更换等整治工作200余次，排查并完成隐患整改166条，完成树竹修剪1500余棵、地面硬化120余处，协调企业与农户矛盾纠纷30余次。协调西城供电公司配置测风仪107台，人工风速测量1500余次。协调企业在林区防火重点区域加装新型一二次融合开关88个、360度全方位可视化监控设备30个、配电设备红外监测及微气象防火预警系统57个，大幅提高应急事件处理速度。</w:t>
      </w:r>
    </w:p>
    <w:p>
      <w:pPr>
        <w:overflowPunct w:val="0"/>
        <w:topLinePunct/>
        <w:autoSpaceDE w:val="0"/>
        <w:snapToGrid w:val="0"/>
        <w:spacing w:line="560" w:lineRule="exact"/>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10.</w:t>
      </w:r>
      <w:r>
        <w:rPr>
          <w:rFonts w:ascii="仿宋_GB2312" w:hAnsi="宋体" w:eastAsia="仿宋_GB2312" w:cs="宋体"/>
          <w:b/>
          <w:bCs/>
          <w:kern w:val="0"/>
          <w:sz w:val="32"/>
          <w:szCs w:val="32"/>
        </w:rPr>
        <w:t>信息产业加速发展。</w:t>
      </w:r>
    </w:p>
    <w:p>
      <w:pPr>
        <w:pStyle w:val="6"/>
        <w:snapToGrid w:val="0"/>
        <w:spacing w:line="56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组织西区三家运营商深入走访工业互联项目，促成沃圃生智慧农业、攀西医养中心和瑞峰水泥、雅化恒泰等企业建成工业互联项目，挖掘意向企业3家。加快西区5G基站建设进度，实际规划基站建设数量260个，已建成投入使用</w:t>
      </w:r>
      <w:r>
        <w:rPr>
          <w:rFonts w:hint="eastAsia" w:ascii="仿宋_GB2312" w:hAnsi="宋体" w:eastAsia="仿宋_GB2312" w:cs="宋体"/>
          <w:kern w:val="0"/>
          <w:sz w:val="32"/>
          <w:szCs w:val="32"/>
        </w:rPr>
        <w:t>246</w:t>
      </w:r>
      <w:r>
        <w:rPr>
          <w:rFonts w:ascii="仿宋_GB2312" w:hAnsi="宋体" w:eastAsia="仿宋_GB2312" w:cs="宋体"/>
          <w:kern w:val="0"/>
          <w:sz w:val="32"/>
          <w:szCs w:val="32"/>
        </w:rPr>
        <w:t>个，西区主城区5G网络信号基本实现全覆盖。“雪亮工程”项目建成并投入使用。完成无线电考试保障工作8次。</w:t>
      </w:r>
    </w:p>
    <w:p>
      <w:pPr>
        <w:spacing w:line="353" w:lineRule="auto"/>
        <w:ind w:firstLine="640" w:firstLineChars="200"/>
        <w:rPr>
          <w:rFonts w:eastAsia="黑体"/>
          <w:color w:val="000000"/>
          <w:sz w:val="32"/>
          <w:szCs w:val="32"/>
        </w:rPr>
      </w:pPr>
      <w:r>
        <w:rPr>
          <w:rFonts w:eastAsia="黑体"/>
          <w:color w:val="000000"/>
          <w:sz w:val="32"/>
          <w:szCs w:val="32"/>
        </w:rPr>
        <w:t>三、机构设置情况</w:t>
      </w:r>
    </w:p>
    <w:p>
      <w:pPr>
        <w:spacing w:line="353" w:lineRule="auto"/>
        <w:ind w:firstLine="640" w:firstLineChars="200"/>
        <w:rPr>
          <w:rFonts w:eastAsia="仿宋_GB2312"/>
          <w:color w:val="000000"/>
          <w:sz w:val="32"/>
          <w:szCs w:val="32"/>
        </w:rPr>
      </w:pPr>
      <w:r>
        <w:rPr>
          <w:rFonts w:hint="eastAsia" w:ascii="仿宋" w:hAnsi="仿宋" w:eastAsia="仿宋"/>
          <w:sz w:val="32"/>
          <w:szCs w:val="32"/>
          <w:lang w:eastAsia="zh-CN"/>
        </w:rPr>
        <w:t>西区经济和信息化局</w:t>
      </w:r>
      <w:r>
        <w:rPr>
          <w:rFonts w:hint="eastAsia" w:ascii="仿宋" w:hAnsi="仿宋" w:eastAsia="仿宋"/>
          <w:sz w:val="32"/>
          <w:szCs w:val="32"/>
        </w:rPr>
        <w:t>下属二级单位</w:t>
      </w:r>
      <w:r>
        <w:rPr>
          <w:rFonts w:hint="eastAsia" w:ascii="仿宋" w:hAnsi="仿宋" w:eastAsia="仿宋"/>
          <w:sz w:val="32"/>
          <w:szCs w:val="32"/>
          <w:lang w:val="en-US" w:eastAsia="zh-CN"/>
        </w:rPr>
        <w:t>2</w:t>
      </w:r>
      <w:r>
        <w:rPr>
          <w:rFonts w:hint="eastAsia" w:ascii="仿宋" w:hAnsi="仿宋" w:eastAsia="仿宋"/>
          <w:sz w:val="32"/>
          <w:szCs w:val="32"/>
        </w:rPr>
        <w:t>个，其中行政单位</w:t>
      </w:r>
      <w:r>
        <w:rPr>
          <w:rFonts w:hint="eastAsia" w:ascii="仿宋" w:hAnsi="仿宋" w:eastAsia="仿宋"/>
          <w:sz w:val="32"/>
          <w:szCs w:val="32"/>
          <w:lang w:val="en-US" w:eastAsia="zh-CN"/>
        </w:rPr>
        <w:t>1</w:t>
      </w:r>
      <w:r>
        <w:rPr>
          <w:rFonts w:hint="eastAsia" w:ascii="仿宋" w:hAnsi="仿宋" w:eastAsia="仿宋"/>
          <w:sz w:val="32"/>
          <w:szCs w:val="32"/>
        </w:rPr>
        <w:t>个，参照公务员法管理的事业单位</w:t>
      </w:r>
      <w:r>
        <w:rPr>
          <w:rFonts w:hint="eastAsia" w:ascii="仿宋" w:hAnsi="仿宋" w:eastAsia="仿宋"/>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2</w:t>
      </w:r>
      <w:r>
        <w:rPr>
          <w:rFonts w:hint="eastAsia" w:ascii="仿宋" w:hAnsi="仿宋" w:eastAsia="仿宋"/>
          <w:sz w:val="32"/>
          <w:szCs w:val="32"/>
        </w:rPr>
        <w:t>个</w:t>
      </w:r>
      <w:r>
        <w:rPr>
          <w:rFonts w:eastAsia="仿宋_GB2312"/>
          <w:color w:val="000000"/>
          <w:sz w:val="32"/>
          <w:szCs w:val="32"/>
        </w:rPr>
        <w:t>。</w:t>
      </w:r>
    </w:p>
    <w:p>
      <w:pPr>
        <w:pStyle w:val="7"/>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w:t>
      </w:r>
      <w:r>
        <w:rPr>
          <w:rFonts w:hint="eastAsia" w:ascii="仿宋" w:hAnsi="仿宋" w:eastAsia="仿宋"/>
          <w:sz w:val="32"/>
          <w:szCs w:val="32"/>
          <w:lang w:eastAsia="zh-CN"/>
        </w:rPr>
        <w:t>西区经济和信息化局</w:t>
      </w:r>
      <w:r>
        <w:rPr>
          <w:rFonts w:hint="eastAsia" w:ascii="仿宋" w:hAnsi="仿宋" w:eastAsia="仿宋"/>
          <w:sz w:val="32"/>
          <w:szCs w:val="32"/>
        </w:rPr>
        <w:t>2021年度部门决算编制范围的二级预算单位包括：</w:t>
      </w:r>
    </w:p>
    <w:p>
      <w:pPr>
        <w:pStyle w:val="7"/>
        <w:numPr>
          <w:ilvl w:val="0"/>
          <w:numId w:val="0"/>
        </w:numPr>
        <w:adjustRightInd w:val="0"/>
        <w:snapToGrid w:val="0"/>
        <w:spacing w:before="93" w:line="600" w:lineRule="exact"/>
        <w:outlineLvl w:val="2"/>
        <w:rPr>
          <w:rFonts w:ascii="仿宋" w:hAnsi="仿宋" w:eastAsia="仿宋"/>
          <w:sz w:val="32"/>
          <w:szCs w:val="32"/>
        </w:rPr>
      </w:pPr>
      <w:bookmarkStart w:id="13" w:name="_Toc15306276"/>
      <w:bookmarkStart w:id="14" w:name="_Toc15377433"/>
      <w:bookmarkStart w:id="15" w:name="_Toc15377202"/>
      <w:bookmarkStart w:id="16" w:name="_Toc15378449"/>
      <w:r>
        <w:rPr>
          <w:rFonts w:hint="eastAsia"/>
          <w:color w:val="000000"/>
          <w:sz w:val="32"/>
          <w:szCs w:val="32"/>
          <w:lang w:val="en-US" w:eastAsia="zh-CN"/>
        </w:rPr>
        <w:t xml:space="preserve">    1.</w:t>
      </w:r>
      <w:r>
        <w:rPr>
          <w:rFonts w:hint="eastAsia" w:eastAsia="仿宋_GB2312"/>
          <w:color w:val="000000"/>
          <w:sz w:val="32"/>
          <w:szCs w:val="32"/>
        </w:rPr>
        <w:t>信息产业发展中心</w:t>
      </w:r>
      <w:bookmarkEnd w:id="13"/>
      <w:bookmarkEnd w:id="14"/>
      <w:bookmarkEnd w:id="15"/>
      <w:bookmarkEnd w:id="16"/>
    </w:p>
    <w:p>
      <w:pPr>
        <w:pStyle w:val="2"/>
      </w:pPr>
      <w:r>
        <w:rPr>
          <w:rFonts w:hint="eastAsia"/>
          <w:color w:val="000000"/>
          <w:sz w:val="32"/>
          <w:szCs w:val="32"/>
          <w:lang w:val="en-US" w:eastAsia="zh-CN"/>
        </w:rPr>
        <w:t xml:space="preserve">    2.</w:t>
      </w:r>
      <w:r>
        <w:rPr>
          <w:rFonts w:hint="eastAsia" w:eastAsia="仿宋_GB2312"/>
          <w:color w:val="000000"/>
          <w:sz w:val="32"/>
          <w:szCs w:val="32"/>
        </w:rPr>
        <w:t>企业服务中心</w:t>
      </w:r>
    </w:p>
    <w:p>
      <w:pPr>
        <w:pStyle w:val="3"/>
        <w:pageBreakBefore w:val="0"/>
        <w:widowControl w:val="0"/>
        <w:kinsoku/>
        <w:wordWrap/>
        <w:overflowPunct/>
        <w:topLinePunct w:val="0"/>
        <w:autoSpaceDE/>
        <w:autoSpaceDN/>
        <w:bidi w:val="0"/>
        <w:adjustRightInd/>
        <w:snapToGrid/>
        <w:spacing w:line="353" w:lineRule="auto"/>
        <w:ind w:left="879" w:leftChars="209" w:right="440" w:hanging="440" w:hangingChars="100"/>
        <w:textAlignment w:val="auto"/>
        <w:rPr>
          <w:rStyle w:val="29"/>
          <w:rFonts w:ascii="黑体" w:hAnsi="黑体" w:eastAsia="黑体"/>
          <w:b w:val="0"/>
          <w:bCs/>
          <w:color w:val="0000FF"/>
        </w:rPr>
      </w:pPr>
      <w:r>
        <w:rPr>
          <w:rFonts w:hint="eastAsia" w:ascii="黑体" w:hAnsi="黑体" w:eastAsia="黑体"/>
          <w:b w:val="0"/>
        </w:rPr>
        <w:t xml:space="preserve">第二部分 </w:t>
      </w:r>
      <w:bookmarkStart w:id="17" w:name="_Toc15377205"/>
      <w:bookmarkStart w:id="18" w:name="_Toc15396603"/>
      <w:bookmarkEnd w:id="11"/>
      <w:bookmarkEnd w:id="12"/>
      <w:r>
        <w:rPr>
          <w:rFonts w:hint="eastAsia" w:ascii="黑体" w:hAnsi="黑体" w:eastAsia="黑体"/>
          <w:b w:val="0"/>
        </w:rPr>
        <w:t>2021年度</w:t>
      </w:r>
      <w:r>
        <w:rPr>
          <w:rStyle w:val="28"/>
          <w:rFonts w:hint="eastAsia" w:ascii="黑体" w:hAnsi="黑体" w:eastAsia="黑体"/>
          <w:b w:val="0"/>
          <w:bCs/>
        </w:rPr>
        <w:t>部门决算情况说明</w:t>
      </w:r>
      <w:r>
        <w:rPr>
          <w:rFonts w:hint="eastAsia" w:ascii="黑体" w:hAnsi="黑体" w:eastAsia="黑体"/>
          <w:b w:val="0"/>
          <w:bCs w:val="0"/>
          <w:color w:val="000000" w:themeColor="text1"/>
          <w:sz w:val="32"/>
          <w:szCs w:val="32"/>
          <w:lang w:val="en-US" w:eastAsia="zh-CN"/>
          <w14:textFill>
            <w14:solidFill>
              <w14:schemeClr w14:val="tx1"/>
            </w14:solidFill>
          </w14:textFill>
        </w:rPr>
        <w:t>一、</w:t>
      </w:r>
      <w:r>
        <w:rPr>
          <w:rFonts w:hint="eastAsia" w:ascii="黑体" w:hAnsi="黑体" w:eastAsia="黑体"/>
          <w:b w:val="0"/>
          <w:bCs w:val="0"/>
          <w:color w:val="000000" w:themeColor="text1"/>
          <w:sz w:val="32"/>
          <w:szCs w:val="32"/>
          <w14:textFill>
            <w14:solidFill>
              <w14:schemeClr w14:val="tx1"/>
            </w14:solidFill>
          </w14:textFill>
        </w:rPr>
        <w:t>收</w:t>
      </w:r>
      <w:r>
        <w:rPr>
          <w:rStyle w:val="29"/>
          <w:rFonts w:hint="eastAsia" w:ascii="黑体" w:hAnsi="黑体" w:eastAsia="黑体"/>
          <w:b w:val="0"/>
          <w:bCs w:val="0"/>
          <w:color w:val="000000" w:themeColor="text1"/>
          <w14:textFill>
            <w14:solidFill>
              <w14:schemeClr w14:val="tx1"/>
            </w14:solidFill>
          </w14:textFill>
        </w:rPr>
        <w:t>入支出决算总体情况说明</w:t>
      </w:r>
      <w:bookmarkEnd w:id="17"/>
      <w:bookmarkEnd w:id="18"/>
    </w:p>
    <w:p>
      <w:pPr>
        <w:pageBreakBefore w:val="0"/>
        <w:widowControl w:val="0"/>
        <w:kinsoku/>
        <w:wordWrap/>
        <w:overflowPunct/>
        <w:topLinePunct w:val="0"/>
        <w:autoSpaceDE/>
        <w:autoSpaceDN/>
        <w:bidi w:val="0"/>
        <w:adjustRightInd/>
        <w:snapToGrid/>
        <w:spacing w:line="353" w:lineRule="auto"/>
        <w:ind w:firstLine="640" w:firstLineChars="200"/>
        <w:textAlignment w:val="auto"/>
        <w:rPr>
          <w:rFonts w:ascii="仿宋" w:hAnsi="仿宋" w:eastAsia="仿宋_GB2312"/>
          <w:sz w:val="32"/>
          <w:szCs w:val="32"/>
        </w:rPr>
      </w:pPr>
      <w:r>
        <w:rPr>
          <w:rFonts w:hint="eastAsia" w:ascii="仿宋_GB2312" w:hAnsi="仿宋" w:eastAsia="仿宋_GB2312"/>
          <w:sz w:val="32"/>
          <w:szCs w:val="32"/>
        </w:rPr>
        <w:t>2021年度收、支总计484.04万元。与2020年相比，收、支总计各减少830.17万元，下降63%。主要变动原因是年初结转和结余减少及项目经费拨款收、支减少，收、支总计随之减少。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7"/>
        <w:spacing w:before="93"/>
      </w:pPr>
      <w:r>
        <w:drawing>
          <wp:inline distT="0" distB="0" distL="114300" distR="114300">
            <wp:extent cx="4956175" cy="2206625"/>
            <wp:effectExtent l="0" t="0" r="1206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956175" cy="2206625"/>
                    </a:xfrm>
                    <a:prstGeom prst="rect">
                      <a:avLst/>
                    </a:prstGeom>
                    <a:noFill/>
                    <a:ln>
                      <a:noFill/>
                    </a:ln>
                  </pic:spPr>
                </pic:pic>
              </a:graphicData>
            </a:graphic>
          </wp:inline>
        </w:drawing>
      </w:r>
    </w:p>
    <w:p>
      <w:pPr>
        <w:pStyle w:val="27"/>
        <w:numPr>
          <w:ilvl w:val="0"/>
          <w:numId w:val="0"/>
        </w:numPr>
        <w:spacing w:line="600" w:lineRule="exact"/>
        <w:ind w:left="640" w:leftChars="0"/>
        <w:outlineLvl w:val="1"/>
        <w:rPr>
          <w:rStyle w:val="29"/>
          <w:rFonts w:ascii="黑体" w:hAnsi="黑体" w:eastAsia="黑体"/>
          <w:b w:val="0"/>
          <w:color w:val="000000" w:themeColor="text1"/>
          <w14:textFill>
            <w14:solidFill>
              <w14:schemeClr w14:val="tx1"/>
            </w14:solidFill>
          </w14:textFill>
        </w:rPr>
      </w:pPr>
      <w:bookmarkStart w:id="19" w:name="_Toc15396604"/>
      <w:bookmarkStart w:id="20" w:name="_Toc15377206"/>
      <w:r>
        <w:rPr>
          <w:rFonts w:hint="eastAsia" w:ascii="黑体" w:hAnsi="黑体" w:eastAsia="黑体"/>
          <w:color w:val="000000" w:themeColor="text1"/>
          <w:sz w:val="32"/>
          <w:szCs w:val="32"/>
          <w:lang w:val="en-US" w:eastAsia="zh-CN"/>
          <w14:textFill>
            <w14:solidFill>
              <w14:schemeClr w14:val="tx1"/>
            </w14:solidFill>
          </w14:textFill>
        </w:rPr>
        <w:t>二、</w:t>
      </w:r>
      <w:r>
        <w:rPr>
          <w:rFonts w:hint="eastAsia" w:ascii="黑体" w:hAnsi="黑体" w:eastAsia="黑体"/>
          <w:color w:val="000000" w:themeColor="text1"/>
          <w:sz w:val="32"/>
          <w:szCs w:val="32"/>
          <w14:textFill>
            <w14:solidFill>
              <w14:schemeClr w14:val="tx1"/>
            </w14:solidFill>
          </w14:textFill>
        </w:rPr>
        <w:t>收</w:t>
      </w:r>
      <w:r>
        <w:rPr>
          <w:rStyle w:val="29"/>
          <w:rFonts w:hint="eastAsia" w:ascii="黑体" w:hAnsi="黑体" w:eastAsia="黑体"/>
          <w:b w:val="0"/>
          <w:color w:val="000000" w:themeColor="text1"/>
          <w14:textFill>
            <w14:solidFill>
              <w14:schemeClr w14:val="tx1"/>
            </w14:solidFill>
          </w14:textFill>
        </w:rPr>
        <w:t>入决算情况说明</w:t>
      </w:r>
      <w:bookmarkEnd w:id="19"/>
      <w:bookmarkEnd w:id="20"/>
    </w:p>
    <w:p>
      <w:pPr>
        <w:spacing w:line="600" w:lineRule="exact"/>
        <w:ind w:firstLine="640" w:firstLineChars="200"/>
        <w:outlineLvl w:val="1"/>
        <w:rPr>
          <w:rFonts w:ascii="仿宋_GB2312" w:hAnsi="宋体" w:eastAsia="仿宋_GB2312" w:cs="宋体"/>
          <w:kern w:val="0"/>
          <w:sz w:val="32"/>
          <w:szCs w:val="32"/>
          <w:lang w:val="en-US" w:eastAsia="zh-CN" w:bidi="ar-SA"/>
        </w:rPr>
      </w:pPr>
      <w:r>
        <w:rPr>
          <w:rFonts w:ascii="仿宋_GB2312" w:hAnsi="宋体" w:eastAsia="仿宋_GB2312" w:cs="宋体"/>
          <w:kern w:val="0"/>
          <w:sz w:val="32"/>
          <w:szCs w:val="32"/>
          <w:lang w:val="en-US" w:eastAsia="zh-CN" w:bidi="ar-SA"/>
        </w:rPr>
        <w:t>20</w:t>
      </w:r>
      <w:r>
        <w:rPr>
          <w:rFonts w:hint="eastAsia" w:ascii="仿宋_GB2312" w:hAnsi="宋体" w:eastAsia="仿宋_GB2312" w:cs="宋体"/>
          <w:kern w:val="0"/>
          <w:sz w:val="32"/>
          <w:szCs w:val="32"/>
          <w:lang w:val="en-US" w:eastAsia="zh-CN" w:bidi="ar-SA"/>
        </w:rPr>
        <w:t>21年本年收入合计330.04万元，其中：一般公共预算财政拨款收入311.55万元，占94</w:t>
      </w:r>
      <w:r>
        <w:rPr>
          <w:rFonts w:ascii="仿宋_GB2312" w:hAnsi="宋体" w:eastAsia="仿宋_GB2312" w:cs="宋体"/>
          <w:kern w:val="0"/>
          <w:sz w:val="32"/>
          <w:szCs w:val="32"/>
          <w:lang w:val="en-US" w:eastAsia="zh-CN" w:bidi="ar-SA"/>
        </w:rPr>
        <w:t>%</w:t>
      </w:r>
      <w:r>
        <w:rPr>
          <w:rFonts w:hint="eastAsia" w:ascii="仿宋_GB2312" w:hAnsi="宋体" w:eastAsia="仿宋_GB2312" w:cs="宋体"/>
          <w:kern w:val="0"/>
          <w:sz w:val="32"/>
          <w:szCs w:val="32"/>
          <w:lang w:val="en-US" w:eastAsia="zh-CN" w:bidi="ar-SA"/>
        </w:rPr>
        <w:t>；政府性基金预算财政拨款收入18.48万元，占6</w:t>
      </w:r>
      <w:r>
        <w:rPr>
          <w:rFonts w:ascii="仿宋_GB2312" w:hAnsi="宋体" w:eastAsia="仿宋_GB2312" w:cs="宋体"/>
          <w:kern w:val="0"/>
          <w:sz w:val="32"/>
          <w:szCs w:val="32"/>
          <w:lang w:val="en-US" w:eastAsia="zh-CN" w:bidi="ar-SA"/>
        </w:rPr>
        <w:t>%</w:t>
      </w:r>
      <w:r>
        <w:rPr>
          <w:rFonts w:hint="eastAsia" w:ascii="仿宋_GB2312" w:hAnsi="宋体" w:eastAsia="仿宋_GB2312" w:cs="宋体"/>
          <w:kern w:val="0"/>
          <w:sz w:val="32"/>
          <w:szCs w:val="32"/>
          <w:lang w:val="en-US" w:eastAsia="zh-CN" w:bidi="ar-SA"/>
        </w:rPr>
        <w:t>；其他收入0.01万元，占0</w:t>
      </w:r>
      <w:r>
        <w:rPr>
          <w:rFonts w:ascii="仿宋_GB2312" w:hAnsi="宋体" w:eastAsia="仿宋_GB2312" w:cs="宋体"/>
          <w:kern w:val="0"/>
          <w:sz w:val="32"/>
          <w:szCs w:val="32"/>
          <w:lang w:val="en-US" w:eastAsia="zh-CN" w:bidi="ar-SA"/>
        </w:rPr>
        <w:t>%</w:t>
      </w:r>
      <w:r>
        <w:rPr>
          <w:rFonts w:hint="eastAsia" w:ascii="仿宋_GB2312" w:hAnsi="宋体" w:eastAsia="仿宋_GB2312" w:cs="宋体"/>
          <w:kern w:val="0"/>
          <w:sz w:val="32"/>
          <w:szCs w:val="32"/>
          <w:lang w:val="en-US" w:eastAsia="zh-CN" w:bidi="ar-SA"/>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w:t>
      </w:r>
    </w:p>
    <w:p>
      <w:pPr>
        <w:pStyle w:val="7"/>
        <w:spacing w:before="93"/>
        <w:rPr>
          <w:sz w:val="32"/>
          <w:szCs w:val="32"/>
        </w:rPr>
      </w:pPr>
    </w:p>
    <w:p>
      <w:pPr>
        <w:pStyle w:val="7"/>
        <w:spacing w:before="93"/>
        <w:rPr>
          <w:sz w:val="32"/>
          <w:szCs w:val="32"/>
        </w:rPr>
      </w:pPr>
      <w:r>
        <w:drawing>
          <wp:inline distT="0" distB="0" distL="114300" distR="114300">
            <wp:extent cx="4944110" cy="2225040"/>
            <wp:effectExtent l="0" t="0" r="889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944110" cy="2225040"/>
                    </a:xfrm>
                    <a:prstGeom prst="rect">
                      <a:avLst/>
                    </a:prstGeom>
                    <a:noFill/>
                    <a:ln>
                      <a:noFill/>
                    </a:ln>
                  </pic:spPr>
                </pic:pic>
              </a:graphicData>
            </a:graphic>
          </wp:inline>
        </w:drawing>
      </w:r>
    </w:p>
    <w:p>
      <w:pPr>
        <w:pStyle w:val="7"/>
        <w:spacing w:before="93"/>
        <w:rPr>
          <w:sz w:val="32"/>
          <w:szCs w:val="32"/>
        </w:rPr>
      </w:pPr>
    </w:p>
    <w:p>
      <w:pPr>
        <w:pStyle w:val="7"/>
        <w:spacing w:before="93"/>
        <w:rPr>
          <w:sz w:val="32"/>
          <w:szCs w:val="32"/>
        </w:rPr>
      </w:pPr>
    </w:p>
    <w:p>
      <w:pPr>
        <w:pStyle w:val="27"/>
        <w:numPr>
          <w:ilvl w:val="0"/>
          <w:numId w:val="0"/>
        </w:numPr>
        <w:spacing w:line="600" w:lineRule="exact"/>
        <w:ind w:left="640" w:leftChars="0"/>
        <w:outlineLvl w:val="1"/>
        <w:rPr>
          <w:rStyle w:val="29"/>
          <w:rFonts w:hint="eastAsia" w:ascii="黑体" w:hAnsi="黑体" w:eastAsia="黑体"/>
          <w:b w:val="0"/>
          <w:bCs w:val="0"/>
          <w:color w:val="000000" w:themeColor="text1"/>
          <w:lang w:val="en-US" w:eastAsia="zh-CN" w:bidi="ar-SA"/>
          <w14:textFill>
            <w14:solidFill>
              <w14:schemeClr w14:val="tx1"/>
            </w14:solidFill>
          </w14:textFill>
        </w:rPr>
      </w:pPr>
      <w:bookmarkStart w:id="21" w:name="_Toc15377207"/>
      <w:bookmarkStart w:id="22" w:name="_Toc15396605"/>
      <w:r>
        <w:rPr>
          <w:rStyle w:val="29"/>
          <w:rFonts w:hint="eastAsia" w:ascii="黑体" w:hAnsi="黑体" w:eastAsia="黑体"/>
          <w:b w:val="0"/>
          <w:bCs w:val="0"/>
          <w:color w:val="000000" w:themeColor="text1"/>
          <w:lang w:val="en-US" w:eastAsia="zh-CN" w:bidi="ar-SA"/>
          <w14:textFill>
            <w14:solidFill>
              <w14:schemeClr w14:val="tx1"/>
            </w14:solidFill>
          </w14:textFill>
        </w:rPr>
        <w:t>三、支出决算情况说明</w:t>
      </w:r>
      <w:bookmarkEnd w:id="21"/>
      <w:bookmarkEnd w:id="22"/>
    </w:p>
    <w:p>
      <w:pPr>
        <w:spacing w:line="600" w:lineRule="exact"/>
        <w:ind w:firstLine="640" w:firstLineChars="200"/>
        <w:outlineLvl w:val="1"/>
        <w:rPr>
          <w:rFonts w:ascii="仿宋_GB2312" w:hAnsi="宋体" w:eastAsia="仿宋_GB2312" w:cs="宋体"/>
          <w:kern w:val="0"/>
          <w:sz w:val="32"/>
          <w:szCs w:val="32"/>
          <w:lang w:val="en-US" w:eastAsia="zh-CN" w:bidi="ar-SA"/>
        </w:rPr>
      </w:pPr>
      <w:r>
        <w:rPr>
          <w:rFonts w:ascii="仿宋_GB2312" w:hAnsi="宋体" w:eastAsia="仿宋_GB2312" w:cs="宋体"/>
          <w:kern w:val="0"/>
          <w:sz w:val="32"/>
          <w:szCs w:val="32"/>
          <w:lang w:val="en-US" w:eastAsia="zh-CN" w:bidi="ar-SA"/>
        </w:rPr>
        <w:t>20</w:t>
      </w:r>
      <w:r>
        <w:rPr>
          <w:rFonts w:hint="eastAsia" w:ascii="仿宋_GB2312" w:hAnsi="宋体" w:eastAsia="仿宋_GB2312" w:cs="宋体"/>
          <w:kern w:val="0"/>
          <w:sz w:val="32"/>
          <w:szCs w:val="32"/>
          <w:lang w:val="en-US" w:eastAsia="zh-CN" w:bidi="ar-SA"/>
        </w:rPr>
        <w:t>21年本年支出合计483.80万元，其中：基本支出311.33万元，占64</w:t>
      </w:r>
      <w:r>
        <w:rPr>
          <w:rFonts w:ascii="仿宋_GB2312" w:hAnsi="宋体" w:eastAsia="仿宋_GB2312" w:cs="宋体"/>
          <w:kern w:val="0"/>
          <w:sz w:val="32"/>
          <w:szCs w:val="32"/>
          <w:lang w:val="en-US" w:eastAsia="zh-CN" w:bidi="ar-SA"/>
        </w:rPr>
        <w:t>%</w:t>
      </w:r>
      <w:r>
        <w:rPr>
          <w:rFonts w:hint="eastAsia" w:ascii="仿宋_GB2312" w:hAnsi="宋体" w:eastAsia="仿宋_GB2312" w:cs="宋体"/>
          <w:kern w:val="0"/>
          <w:sz w:val="32"/>
          <w:szCs w:val="32"/>
          <w:lang w:val="en-US" w:eastAsia="zh-CN" w:bidi="ar-SA"/>
        </w:rPr>
        <w:t>；项目支出172.47万元，占36</w:t>
      </w:r>
      <w:r>
        <w:rPr>
          <w:rFonts w:ascii="仿宋_GB2312" w:hAnsi="宋体" w:eastAsia="仿宋_GB2312" w:cs="宋体"/>
          <w:kern w:val="0"/>
          <w:sz w:val="32"/>
          <w:szCs w:val="32"/>
          <w:lang w:val="en-US" w:eastAsia="zh-CN" w:bidi="ar-SA"/>
        </w:rPr>
        <w:t>%</w:t>
      </w:r>
      <w:r>
        <w:rPr>
          <w:rFonts w:hint="eastAsia" w:ascii="仿宋_GB2312" w:hAnsi="宋体" w:eastAsia="仿宋_GB2312" w:cs="宋体"/>
          <w:kern w:val="0"/>
          <w:sz w:val="32"/>
          <w:szCs w:val="32"/>
          <w:lang w:val="en-US" w:eastAsia="zh-CN" w:bidi="ar-SA"/>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w:t>
      </w:r>
    </w:p>
    <w:p>
      <w:pPr>
        <w:pStyle w:val="7"/>
        <w:spacing w:before="93"/>
      </w:pPr>
      <w:r>
        <w:drawing>
          <wp:inline distT="0" distB="0" distL="114300" distR="114300">
            <wp:extent cx="4944110" cy="2212975"/>
            <wp:effectExtent l="0" t="0" r="8890"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4944110" cy="2212975"/>
                    </a:xfrm>
                    <a:prstGeom prst="rect">
                      <a:avLst/>
                    </a:prstGeom>
                    <a:noFill/>
                    <a:ln>
                      <a:noFill/>
                    </a:ln>
                  </pic:spPr>
                </pic:pic>
              </a:graphicData>
            </a:graphic>
          </wp:inline>
        </w:drawing>
      </w:r>
    </w:p>
    <w:p>
      <w:pPr>
        <w:spacing w:line="600" w:lineRule="exact"/>
        <w:ind w:firstLine="640" w:firstLineChars="200"/>
        <w:outlineLvl w:val="1"/>
        <w:rPr>
          <w:rStyle w:val="29"/>
          <w:rFonts w:ascii="黑体" w:hAnsi="黑体" w:eastAsia="黑体"/>
          <w:b w:val="0"/>
          <w:color w:val="000000" w:themeColor="text1"/>
          <w14:textFill>
            <w14:solidFill>
              <w14:schemeClr w14:val="tx1"/>
            </w14:solidFill>
          </w14:textFill>
        </w:rPr>
      </w:pPr>
      <w:bookmarkStart w:id="23" w:name="_Toc15377208"/>
      <w:bookmarkStart w:id="24" w:name="_Toc15396606"/>
      <w:r>
        <w:rPr>
          <w:rFonts w:hint="eastAsia" w:ascii="黑体" w:hAnsi="黑体" w:eastAsia="黑体"/>
          <w:color w:val="000000" w:themeColor="text1"/>
          <w:sz w:val="32"/>
          <w:szCs w:val="32"/>
          <w14:textFill>
            <w14:solidFill>
              <w14:schemeClr w14:val="tx1"/>
            </w14:solidFill>
          </w14:textFill>
        </w:rPr>
        <w:t>四、财</w:t>
      </w:r>
      <w:r>
        <w:rPr>
          <w:rStyle w:val="29"/>
          <w:rFonts w:hint="eastAsia" w:ascii="黑体" w:hAnsi="黑体" w:eastAsia="黑体"/>
          <w:b w:val="0"/>
          <w:color w:val="000000" w:themeColor="text1"/>
          <w14:textFill>
            <w14:solidFill>
              <w14:schemeClr w14:val="tx1"/>
            </w14:solidFill>
          </w14:textFill>
        </w:rPr>
        <w:t>政拨款收入支出决算总体情况说明</w:t>
      </w:r>
      <w:bookmarkEnd w:id="23"/>
      <w:bookmarkEnd w:id="24"/>
    </w:p>
    <w:p>
      <w:pPr>
        <w:spacing w:line="600" w:lineRule="exact"/>
        <w:ind w:firstLine="640" w:firstLineChars="200"/>
        <w:outlineLvl w:val="1"/>
        <w:rPr>
          <w:rFonts w:ascii="仿宋_GB2312" w:hAnsi="宋体" w:eastAsia="仿宋_GB2312" w:cs="宋体"/>
          <w:kern w:val="0"/>
          <w:sz w:val="32"/>
          <w:szCs w:val="32"/>
          <w:lang w:val="en-US" w:eastAsia="zh-CN" w:bidi="ar-SA"/>
        </w:rPr>
      </w:pPr>
      <w:r>
        <w:rPr>
          <w:rFonts w:ascii="仿宋_GB2312" w:hAnsi="宋体" w:eastAsia="仿宋_GB2312" w:cs="宋体"/>
          <w:kern w:val="0"/>
          <w:sz w:val="32"/>
          <w:szCs w:val="32"/>
          <w:lang w:val="en-US" w:eastAsia="zh-CN" w:bidi="ar-SA"/>
        </w:rPr>
        <w:t>20</w:t>
      </w:r>
      <w:r>
        <w:rPr>
          <w:rFonts w:hint="eastAsia" w:ascii="仿宋_GB2312" w:hAnsi="宋体" w:eastAsia="仿宋_GB2312" w:cs="宋体"/>
          <w:kern w:val="0"/>
          <w:sz w:val="32"/>
          <w:szCs w:val="32"/>
          <w:lang w:val="en-US" w:eastAsia="zh-CN" w:bidi="ar-SA"/>
        </w:rPr>
        <w:t>21年财政拨款收、支总计484.02万元。与</w:t>
      </w:r>
      <w:r>
        <w:rPr>
          <w:rFonts w:ascii="仿宋_GB2312" w:hAnsi="宋体" w:eastAsia="仿宋_GB2312" w:cs="宋体"/>
          <w:kern w:val="0"/>
          <w:sz w:val="32"/>
          <w:szCs w:val="32"/>
          <w:lang w:val="en-US" w:eastAsia="zh-CN" w:bidi="ar-SA"/>
        </w:rPr>
        <w:t>20</w:t>
      </w:r>
      <w:r>
        <w:rPr>
          <w:rFonts w:hint="eastAsia" w:ascii="仿宋_GB2312" w:hAnsi="宋体" w:eastAsia="仿宋_GB2312" w:cs="宋体"/>
          <w:kern w:val="0"/>
          <w:sz w:val="32"/>
          <w:szCs w:val="32"/>
          <w:lang w:val="en-US" w:eastAsia="zh-CN" w:bidi="ar-SA"/>
        </w:rPr>
        <w:t>20年相比，财政拨款收、支总计各减少828.61万元，下降63</w:t>
      </w:r>
      <w:r>
        <w:rPr>
          <w:rFonts w:ascii="仿宋_GB2312" w:hAnsi="宋体" w:eastAsia="仿宋_GB2312" w:cs="宋体"/>
          <w:kern w:val="0"/>
          <w:sz w:val="32"/>
          <w:szCs w:val="32"/>
          <w:lang w:val="en-US" w:eastAsia="zh-CN" w:bidi="ar-SA"/>
        </w:rPr>
        <w:t>%</w:t>
      </w:r>
      <w:r>
        <w:rPr>
          <w:rFonts w:hint="eastAsia" w:ascii="仿宋_GB2312" w:hAnsi="宋体" w:eastAsia="仿宋_GB2312" w:cs="宋体"/>
          <w:kern w:val="0"/>
          <w:sz w:val="32"/>
          <w:szCs w:val="32"/>
          <w:lang w:val="en-US" w:eastAsia="zh-CN" w:bidi="ar-SA"/>
        </w:rPr>
        <w:t>。主要变动原因是年初结转和结余减少及项目经费拨款收、支减少，财政拨款收、支总计随之减少。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pPr>
        <w:pStyle w:val="7"/>
        <w:spacing w:before="93"/>
        <w:rPr>
          <w:rFonts w:ascii="仿宋" w:hAnsi="仿宋" w:eastAsia="仿宋"/>
          <w:b/>
          <w:sz w:val="32"/>
          <w:szCs w:val="32"/>
        </w:rPr>
      </w:pPr>
      <w:r>
        <w:drawing>
          <wp:inline distT="0" distB="0" distL="114300" distR="114300">
            <wp:extent cx="4937760" cy="2243455"/>
            <wp:effectExtent l="0" t="0" r="0" b="1206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4937760" cy="2243455"/>
                    </a:xfrm>
                    <a:prstGeom prst="rect">
                      <a:avLst/>
                    </a:prstGeom>
                    <a:noFill/>
                    <a:ln>
                      <a:noFill/>
                    </a:ln>
                  </pic:spPr>
                </pic:pic>
              </a:graphicData>
            </a:graphic>
          </wp:inline>
        </w:drawing>
      </w:r>
    </w:p>
    <w:p>
      <w:pPr>
        <w:spacing w:line="600" w:lineRule="exact"/>
        <w:ind w:firstLine="640" w:firstLineChars="200"/>
        <w:outlineLvl w:val="1"/>
        <w:rPr>
          <w:rStyle w:val="29"/>
          <w:rFonts w:ascii="黑体" w:hAnsi="黑体" w:eastAsia="黑体"/>
          <w:b w:val="0"/>
          <w:color w:val="000000" w:themeColor="text1"/>
          <w14:textFill>
            <w14:solidFill>
              <w14:schemeClr w14:val="tx1"/>
            </w14:solidFill>
          </w14:textFill>
        </w:rPr>
      </w:pPr>
      <w:bookmarkStart w:id="25" w:name="_Toc15377209"/>
      <w:bookmarkStart w:id="26" w:name="_Toc15396607"/>
      <w:r>
        <w:rPr>
          <w:rFonts w:hint="eastAsia" w:ascii="黑体" w:hAnsi="黑体" w:eastAsia="黑体"/>
          <w:color w:val="000000" w:themeColor="text1"/>
          <w:sz w:val="32"/>
          <w:szCs w:val="32"/>
          <w14:textFill>
            <w14:solidFill>
              <w14:schemeClr w14:val="tx1"/>
            </w14:solidFill>
          </w14:textFill>
        </w:rPr>
        <w:t>五、</w:t>
      </w:r>
      <w:r>
        <w:rPr>
          <w:rFonts w:hint="eastAsia" w:ascii="黑体" w:hAnsi="黑体" w:eastAsia="黑体"/>
          <w:b/>
          <w:color w:val="000000" w:themeColor="text1"/>
          <w:sz w:val="32"/>
          <w:szCs w:val="32"/>
          <w14:textFill>
            <w14:solidFill>
              <w14:schemeClr w14:val="tx1"/>
            </w14:solidFill>
          </w14:textFill>
        </w:rPr>
        <w:t>一</w:t>
      </w:r>
      <w:r>
        <w:rPr>
          <w:rStyle w:val="29"/>
          <w:rFonts w:hint="eastAsia" w:ascii="黑体" w:hAnsi="黑体" w:eastAsia="黑体"/>
          <w:b w:val="0"/>
          <w:color w:val="000000" w:themeColor="text1"/>
          <w14:textFill>
            <w14:solidFill>
              <w14:schemeClr w14:val="tx1"/>
            </w14:solidFill>
          </w14:textFill>
        </w:rPr>
        <w:t>般公共预算财政拨款支出决算情况说明</w:t>
      </w:r>
      <w:bookmarkEnd w:id="25"/>
      <w:bookmarkEnd w:id="26"/>
    </w:p>
    <w:p>
      <w:pPr>
        <w:spacing w:line="600" w:lineRule="exact"/>
        <w:ind w:firstLine="643" w:firstLineChars="200"/>
        <w:outlineLvl w:val="2"/>
        <w:rPr>
          <w:rFonts w:ascii="仿宋" w:hAnsi="仿宋" w:eastAsia="仿宋"/>
          <w:b/>
          <w:sz w:val="32"/>
          <w:szCs w:val="32"/>
        </w:rPr>
      </w:pPr>
      <w:bookmarkStart w:id="27" w:name="_Toc15377210"/>
      <w:r>
        <w:rPr>
          <w:rFonts w:hint="eastAsia" w:ascii="仿宋" w:hAnsi="仿宋" w:eastAsia="仿宋"/>
          <w:b/>
          <w:sz w:val="32"/>
          <w:szCs w:val="32"/>
        </w:rPr>
        <w:t>（一）一般公共预算财政拨款支出决算总体情况</w:t>
      </w:r>
      <w:bookmarkEnd w:id="27"/>
    </w:p>
    <w:p>
      <w:pPr>
        <w:spacing w:line="600" w:lineRule="exact"/>
        <w:ind w:firstLine="640" w:firstLineChars="200"/>
        <w:rPr>
          <w:rFonts w:ascii="仿宋" w:hAnsi="仿宋" w:eastAsia="仿宋"/>
          <w:sz w:val="32"/>
          <w:szCs w:val="32"/>
        </w:rPr>
      </w:pPr>
      <w:r>
        <w:rPr>
          <w:rFonts w:ascii="仿宋_GB2312" w:hAnsi="宋体" w:eastAsia="仿宋_GB2312" w:cs="宋体"/>
          <w:kern w:val="0"/>
          <w:sz w:val="32"/>
          <w:szCs w:val="32"/>
          <w:lang w:val="en-US" w:eastAsia="zh-CN" w:bidi="ar-SA"/>
        </w:rPr>
        <w:t>20</w:t>
      </w:r>
      <w:r>
        <w:rPr>
          <w:rFonts w:hint="eastAsia" w:ascii="仿宋_GB2312" w:hAnsi="宋体" w:eastAsia="仿宋_GB2312" w:cs="宋体"/>
          <w:kern w:val="0"/>
          <w:sz w:val="32"/>
          <w:szCs w:val="32"/>
          <w:lang w:val="en-US" w:eastAsia="zh-CN" w:bidi="ar-SA"/>
        </w:rPr>
        <w:t>21年一般公共预算财政拨款支出465.30万元，占本年支出合计的96</w:t>
      </w:r>
      <w:r>
        <w:rPr>
          <w:rFonts w:ascii="仿宋_GB2312" w:hAnsi="宋体" w:eastAsia="仿宋_GB2312" w:cs="宋体"/>
          <w:kern w:val="0"/>
          <w:sz w:val="32"/>
          <w:szCs w:val="32"/>
          <w:lang w:val="en-US" w:eastAsia="zh-CN" w:bidi="ar-SA"/>
        </w:rPr>
        <w:t>%</w:t>
      </w:r>
      <w:r>
        <w:rPr>
          <w:rFonts w:hint="eastAsia" w:ascii="仿宋_GB2312" w:hAnsi="宋体" w:eastAsia="仿宋_GB2312" w:cs="宋体"/>
          <w:kern w:val="0"/>
          <w:sz w:val="32"/>
          <w:szCs w:val="32"/>
          <w:lang w:val="en-US" w:eastAsia="zh-CN" w:bidi="ar-SA"/>
        </w:rPr>
        <w:t>。与</w:t>
      </w:r>
      <w:r>
        <w:rPr>
          <w:rFonts w:ascii="仿宋_GB2312" w:hAnsi="宋体" w:eastAsia="仿宋_GB2312" w:cs="宋体"/>
          <w:kern w:val="0"/>
          <w:sz w:val="32"/>
          <w:szCs w:val="32"/>
          <w:lang w:val="en-US" w:eastAsia="zh-CN" w:bidi="ar-SA"/>
        </w:rPr>
        <w:t>20</w:t>
      </w:r>
      <w:r>
        <w:rPr>
          <w:rFonts w:hint="eastAsia" w:ascii="仿宋_GB2312" w:hAnsi="宋体" w:eastAsia="仿宋_GB2312" w:cs="宋体"/>
          <w:kern w:val="0"/>
          <w:sz w:val="32"/>
          <w:szCs w:val="32"/>
          <w:lang w:val="en-US" w:eastAsia="zh-CN" w:bidi="ar-SA"/>
        </w:rPr>
        <w:t>20年相比，一般公共预算财政拨款支出减少324.74万元，下降41</w:t>
      </w:r>
      <w:r>
        <w:rPr>
          <w:rFonts w:ascii="仿宋_GB2312" w:hAnsi="宋体" w:eastAsia="仿宋_GB2312" w:cs="宋体"/>
          <w:kern w:val="0"/>
          <w:sz w:val="32"/>
          <w:szCs w:val="32"/>
          <w:lang w:val="en-US" w:eastAsia="zh-CN" w:bidi="ar-SA"/>
        </w:rPr>
        <w:t>%</w:t>
      </w:r>
      <w:r>
        <w:rPr>
          <w:rFonts w:hint="eastAsia" w:ascii="仿宋_GB2312" w:hAnsi="宋体" w:eastAsia="仿宋_GB2312" w:cs="宋体"/>
          <w:kern w:val="0"/>
          <w:sz w:val="32"/>
          <w:szCs w:val="32"/>
          <w:lang w:val="en-US" w:eastAsia="zh-CN" w:bidi="ar-SA"/>
        </w:rPr>
        <w:t>。主要变动原因是项目经费拨款支出减少，一般公共预算财政拨款支出随之减少。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pPr>
        <w:pStyle w:val="7"/>
        <w:spacing w:before="93"/>
        <w:rPr>
          <w:rFonts w:ascii="仿宋" w:hAnsi="仿宋" w:eastAsia="仿宋"/>
          <w:sz w:val="32"/>
          <w:szCs w:val="32"/>
        </w:rPr>
      </w:pPr>
      <w:r>
        <w:drawing>
          <wp:inline distT="0" distB="0" distL="114300" distR="114300">
            <wp:extent cx="4956175" cy="2218690"/>
            <wp:effectExtent l="0" t="0" r="1206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4956175" cy="2218690"/>
                    </a:xfrm>
                    <a:prstGeom prst="rect">
                      <a:avLst/>
                    </a:prstGeom>
                    <a:noFill/>
                    <a:ln>
                      <a:noFill/>
                    </a:ln>
                  </pic:spPr>
                </pic:pic>
              </a:graphicData>
            </a:graphic>
          </wp:inline>
        </w:drawing>
      </w:r>
    </w:p>
    <w:p>
      <w:pPr>
        <w:spacing w:line="600" w:lineRule="exact"/>
        <w:ind w:firstLine="643" w:firstLineChars="200"/>
        <w:outlineLvl w:val="2"/>
        <w:rPr>
          <w:rFonts w:ascii="仿宋" w:hAnsi="仿宋" w:eastAsia="仿宋"/>
          <w:b/>
          <w:sz w:val="32"/>
          <w:szCs w:val="32"/>
        </w:rPr>
      </w:pPr>
      <w:bookmarkStart w:id="28" w:name="_Toc15377211"/>
      <w:r>
        <w:rPr>
          <w:rFonts w:hint="eastAsia" w:ascii="仿宋" w:hAnsi="仿宋" w:eastAsia="仿宋"/>
          <w:b/>
          <w:sz w:val="32"/>
          <w:szCs w:val="32"/>
        </w:rPr>
        <w:t>（二）一般公共预算财政拨款支出决算结构情况</w:t>
      </w:r>
      <w:bookmarkEnd w:id="28"/>
    </w:p>
    <w:p>
      <w:pPr>
        <w:spacing w:line="600" w:lineRule="exact"/>
        <w:ind w:firstLine="640" w:firstLineChars="200"/>
        <w:rPr>
          <w:rFonts w:ascii="仿宋_GB2312" w:hAnsi="宋体" w:eastAsia="仿宋_GB2312" w:cs="宋体"/>
          <w:kern w:val="0"/>
          <w:sz w:val="32"/>
          <w:szCs w:val="32"/>
          <w:lang w:val="en-US" w:eastAsia="zh-CN" w:bidi="ar-SA"/>
        </w:rPr>
      </w:pPr>
      <w:r>
        <w:rPr>
          <w:rFonts w:ascii="仿宋_GB2312" w:hAnsi="宋体" w:eastAsia="仿宋_GB2312" w:cs="宋体"/>
          <w:kern w:val="0"/>
          <w:sz w:val="32"/>
          <w:szCs w:val="32"/>
          <w:lang w:val="en-US" w:eastAsia="zh-CN" w:bidi="ar-SA"/>
        </w:rPr>
        <w:t>20</w:t>
      </w:r>
      <w:r>
        <w:rPr>
          <w:rFonts w:hint="eastAsia" w:ascii="仿宋_GB2312" w:hAnsi="宋体" w:eastAsia="仿宋_GB2312" w:cs="宋体"/>
          <w:kern w:val="0"/>
          <w:sz w:val="32"/>
          <w:szCs w:val="32"/>
          <w:lang w:val="en-US" w:eastAsia="zh-CN" w:bidi="ar-SA"/>
        </w:rPr>
        <w:t>21年一般公共预算财政拨款支出465.30万元，主要用于以下方面</w:t>
      </w:r>
      <w:r>
        <w:rPr>
          <w:rFonts w:ascii="仿宋_GB2312" w:hAnsi="宋体" w:eastAsia="仿宋_GB2312" w:cs="宋体"/>
          <w:kern w:val="0"/>
          <w:sz w:val="32"/>
          <w:szCs w:val="32"/>
          <w:lang w:val="en-US" w:eastAsia="zh-CN" w:bidi="ar-SA"/>
        </w:rPr>
        <w:t>:</w:t>
      </w:r>
      <w:r>
        <w:rPr>
          <w:rFonts w:hint="eastAsia" w:ascii="仿宋_GB2312" w:hAnsi="宋体" w:eastAsia="仿宋_GB2312" w:cs="宋体"/>
          <w:kern w:val="0"/>
          <w:sz w:val="32"/>
          <w:szCs w:val="32"/>
          <w:lang w:val="en-US" w:eastAsia="zh-CN" w:bidi="ar-SA"/>
        </w:rPr>
        <w:t>资源勘探工业信息等（类）支出253.42万元，占54</w:t>
      </w:r>
      <w:r>
        <w:rPr>
          <w:rFonts w:ascii="仿宋_GB2312" w:hAnsi="宋体" w:eastAsia="仿宋_GB2312" w:cs="宋体"/>
          <w:kern w:val="0"/>
          <w:sz w:val="32"/>
          <w:szCs w:val="32"/>
          <w:lang w:val="en-US" w:eastAsia="zh-CN" w:bidi="ar-SA"/>
        </w:rPr>
        <w:t>%</w:t>
      </w:r>
      <w:r>
        <w:rPr>
          <w:rFonts w:hint="eastAsia" w:ascii="仿宋_GB2312" w:hAnsi="宋体" w:eastAsia="仿宋_GB2312" w:cs="宋体"/>
          <w:kern w:val="0"/>
          <w:sz w:val="32"/>
          <w:szCs w:val="32"/>
          <w:lang w:val="en-US" w:eastAsia="zh-CN" w:bidi="ar-SA"/>
        </w:rPr>
        <w:t>；社会保障和就业（类）支出19.78万元，占4</w:t>
      </w:r>
      <w:r>
        <w:rPr>
          <w:rFonts w:ascii="仿宋_GB2312" w:hAnsi="宋体" w:eastAsia="仿宋_GB2312" w:cs="宋体"/>
          <w:kern w:val="0"/>
          <w:sz w:val="32"/>
          <w:szCs w:val="32"/>
          <w:lang w:val="en-US" w:eastAsia="zh-CN" w:bidi="ar-SA"/>
        </w:rPr>
        <w:t>%</w:t>
      </w:r>
      <w:r>
        <w:rPr>
          <w:rFonts w:hint="eastAsia" w:ascii="仿宋_GB2312" w:hAnsi="宋体" w:eastAsia="仿宋_GB2312" w:cs="宋体"/>
          <w:kern w:val="0"/>
          <w:sz w:val="32"/>
          <w:szCs w:val="32"/>
          <w:lang w:val="en-US" w:eastAsia="zh-CN" w:bidi="ar-SA"/>
        </w:rPr>
        <w:t>；卫生健康（类）支出16.34万元，占4</w:t>
      </w:r>
      <w:r>
        <w:rPr>
          <w:rFonts w:ascii="仿宋_GB2312" w:hAnsi="宋体" w:eastAsia="仿宋_GB2312" w:cs="宋体"/>
          <w:kern w:val="0"/>
          <w:sz w:val="32"/>
          <w:szCs w:val="32"/>
          <w:lang w:val="en-US" w:eastAsia="zh-CN" w:bidi="ar-SA"/>
        </w:rPr>
        <w:t>%</w:t>
      </w:r>
      <w:r>
        <w:rPr>
          <w:rFonts w:hint="eastAsia" w:ascii="仿宋_GB2312" w:hAnsi="宋体" w:eastAsia="仿宋_GB2312" w:cs="宋体"/>
          <w:kern w:val="0"/>
          <w:sz w:val="32"/>
          <w:szCs w:val="32"/>
          <w:lang w:val="en-US" w:eastAsia="zh-CN" w:bidi="ar-SA"/>
        </w:rPr>
        <w:t>；住房保障（类）支出25.76万元，占6</w:t>
      </w:r>
      <w:r>
        <w:rPr>
          <w:rFonts w:ascii="仿宋_GB2312" w:hAnsi="宋体" w:eastAsia="仿宋_GB2312" w:cs="宋体"/>
          <w:kern w:val="0"/>
          <w:sz w:val="32"/>
          <w:szCs w:val="32"/>
          <w:lang w:val="en-US" w:eastAsia="zh-CN" w:bidi="ar-SA"/>
        </w:rPr>
        <w:t>%</w:t>
      </w:r>
      <w:r>
        <w:rPr>
          <w:rFonts w:hint="eastAsia" w:ascii="仿宋_GB2312" w:hAnsi="宋体" w:eastAsia="仿宋_GB2312" w:cs="宋体"/>
          <w:kern w:val="0"/>
          <w:sz w:val="32"/>
          <w:szCs w:val="32"/>
          <w:lang w:val="en-US" w:eastAsia="zh-CN" w:bidi="ar-SA"/>
        </w:rPr>
        <w:t>；粮油物资储备支出（类）支出150万元，占32</w:t>
      </w:r>
      <w:r>
        <w:rPr>
          <w:rFonts w:ascii="仿宋_GB2312" w:hAnsi="宋体" w:eastAsia="仿宋_GB2312" w:cs="宋体"/>
          <w:kern w:val="0"/>
          <w:sz w:val="32"/>
          <w:szCs w:val="32"/>
          <w:lang w:val="en-US" w:eastAsia="zh-CN" w:bidi="ar-SA"/>
        </w:rPr>
        <w:t>%</w:t>
      </w:r>
      <w:r>
        <w:rPr>
          <w:rFonts w:hint="eastAsia" w:ascii="仿宋_GB2312" w:hAnsi="宋体" w:eastAsia="仿宋_GB2312" w:cs="宋体"/>
          <w:kern w:val="0"/>
          <w:sz w:val="32"/>
          <w:szCs w:val="32"/>
          <w:lang w:val="en-US" w:eastAsia="zh-CN" w:bidi="ar-SA"/>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pStyle w:val="7"/>
        <w:spacing w:before="93"/>
        <w:rPr>
          <w:rFonts w:ascii="仿宋" w:hAnsi="仿宋" w:eastAsia="仿宋"/>
          <w:sz w:val="32"/>
          <w:szCs w:val="32"/>
        </w:rPr>
      </w:pPr>
      <w:r>
        <w:drawing>
          <wp:inline distT="0" distB="0" distL="114300" distR="114300">
            <wp:extent cx="4956175" cy="2419985"/>
            <wp:effectExtent l="0" t="0" r="12065"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4956175" cy="2419985"/>
                    </a:xfrm>
                    <a:prstGeom prst="rect">
                      <a:avLst/>
                    </a:prstGeom>
                    <a:noFill/>
                    <a:ln>
                      <a:noFill/>
                    </a:ln>
                  </pic:spPr>
                </pic:pic>
              </a:graphicData>
            </a:graphic>
          </wp:inline>
        </w:drawing>
      </w:r>
    </w:p>
    <w:p>
      <w:pPr>
        <w:spacing w:line="600" w:lineRule="exact"/>
        <w:ind w:firstLine="643" w:firstLineChars="200"/>
        <w:outlineLvl w:val="2"/>
        <w:rPr>
          <w:rFonts w:ascii="仿宋" w:hAnsi="仿宋" w:eastAsia="仿宋"/>
          <w:b/>
          <w:sz w:val="32"/>
          <w:szCs w:val="32"/>
        </w:rPr>
      </w:pPr>
      <w:bookmarkStart w:id="29" w:name="_Toc15377212"/>
      <w:r>
        <w:rPr>
          <w:rFonts w:hint="eastAsia" w:ascii="仿宋" w:hAnsi="仿宋" w:eastAsia="仿宋"/>
          <w:b/>
          <w:sz w:val="32"/>
          <w:szCs w:val="32"/>
        </w:rPr>
        <w:t>（三）一般公共预算财政拨款支出决算具体情况</w:t>
      </w:r>
      <w:bookmarkEnd w:id="29"/>
    </w:p>
    <w:p>
      <w:pPr>
        <w:spacing w:line="600" w:lineRule="exact"/>
        <w:ind w:firstLine="640" w:firstLineChars="200"/>
        <w:rPr>
          <w:rFonts w:hint="eastAsia" w:ascii="仿宋_GB2312" w:hAnsi="宋体" w:eastAsia="仿宋_GB2312" w:cs="宋体"/>
          <w:kern w:val="0"/>
          <w:sz w:val="32"/>
          <w:szCs w:val="32"/>
          <w:lang w:val="en-US" w:eastAsia="zh-CN" w:bidi="ar-SA"/>
        </w:rPr>
      </w:pPr>
      <w:bookmarkStart w:id="30" w:name="_Toc15377213"/>
      <w:bookmarkStart w:id="31" w:name="_Toc15377444"/>
      <w:bookmarkStart w:id="32" w:name="_Toc15378460"/>
      <w:r>
        <w:rPr>
          <w:rFonts w:hint="eastAsia" w:ascii="仿宋_GB2312" w:hAnsi="宋体" w:eastAsia="仿宋_GB2312" w:cs="宋体"/>
          <w:kern w:val="0"/>
          <w:sz w:val="32"/>
          <w:szCs w:val="32"/>
          <w:lang w:val="en-US" w:eastAsia="zh-CN" w:bidi="ar-SA"/>
        </w:rPr>
        <w:t>2021年一般公共预算支出决算数为465.30万元，完成预算149%。其中：</w:t>
      </w:r>
      <w:bookmarkEnd w:id="30"/>
      <w:bookmarkEnd w:id="31"/>
      <w:bookmarkEnd w:id="32"/>
    </w:p>
    <w:p>
      <w:pPr>
        <w:spacing w:line="600" w:lineRule="exact"/>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1.社会保障和就业支出（类）行政事业单位养老支出（款）机关事业单位基本养老保险缴费支出（项）:支出决算为19.78万元，完成预算100%。</w:t>
      </w:r>
    </w:p>
    <w:p>
      <w:pPr>
        <w:spacing w:line="600" w:lineRule="exact"/>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卫生健康支出（类）行政事业单位医疗（款）行政单位医疗（项）:支出决算为7.28万元，完成预算100%；事业单位医疗（项）:支出决算为7.61万元，完成预算100%；公务员医疗补助（项）:支出决算为1.45万元，完成预算100%。</w:t>
      </w:r>
    </w:p>
    <w:p>
      <w:pPr>
        <w:spacing w:line="600" w:lineRule="exact"/>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3.资源勘探工业信息等支出（类）制造业（款）其他制造业支出（项）:支出决算为4万元，本年无预算，全部使用上年结转经费；工业和信息产业监管（款）行政运行（项）:支出决算为139.07万元，完成预算100%；其他工业和信息产业监管支出（项）:支出决算为110.35万元，完成预算100%。</w:t>
      </w:r>
    </w:p>
    <w:p>
      <w:pPr>
        <w:spacing w:line="600" w:lineRule="exact"/>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4.住房保障支出（类）住房改革支出（款）住房公积金（项）:支出决算为25.76万元，完成预算99%，决算数小于预算数是因年末有暂未交公积金。</w:t>
      </w:r>
    </w:p>
    <w:p>
      <w:pPr>
        <w:spacing w:line="600" w:lineRule="exact"/>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5.粮油物资储备支出（类）重要商品储备（款）医药储备（项）:支出决算为150万元，本年无预算，全部使用上年结转经费。</w:t>
      </w:r>
    </w:p>
    <w:p>
      <w:pPr>
        <w:tabs>
          <w:tab w:val="right" w:pos="8306"/>
        </w:tabs>
        <w:spacing w:line="600" w:lineRule="exact"/>
        <w:ind w:firstLine="640"/>
        <w:outlineLvl w:val="1"/>
        <w:rPr>
          <w:rStyle w:val="29"/>
          <w:color w:val="0000FF"/>
        </w:rPr>
      </w:pPr>
      <w:bookmarkStart w:id="33" w:name="_Toc15377214"/>
      <w:bookmarkStart w:id="34" w:name="_Toc15396608"/>
      <w:r>
        <w:rPr>
          <w:rFonts w:hint="eastAsia" w:ascii="黑体" w:eastAsia="黑体"/>
          <w:color w:val="000000" w:themeColor="text1"/>
          <w:sz w:val="32"/>
          <w:szCs w:val="32"/>
          <w14:textFill>
            <w14:solidFill>
              <w14:schemeClr w14:val="tx1"/>
            </w14:solidFill>
          </w14:textFill>
        </w:rPr>
        <w:t>六</w:t>
      </w:r>
      <w:r>
        <w:rPr>
          <w:rFonts w:hint="eastAsia" w:ascii="黑体" w:eastAsia="黑体"/>
          <w:b/>
          <w:color w:val="000000" w:themeColor="text1"/>
          <w:sz w:val="32"/>
          <w:szCs w:val="32"/>
          <w14:textFill>
            <w14:solidFill>
              <w14:schemeClr w14:val="tx1"/>
            </w14:solidFill>
          </w14:textFill>
        </w:rPr>
        <w:t>、</w:t>
      </w:r>
      <w:r>
        <w:rPr>
          <w:rFonts w:hint="eastAsia" w:ascii="黑体" w:hAnsi="黑体" w:eastAsia="黑体"/>
          <w:b/>
          <w:color w:val="000000" w:themeColor="text1"/>
          <w:sz w:val="32"/>
          <w:szCs w:val="32"/>
          <w14:textFill>
            <w14:solidFill>
              <w14:schemeClr w14:val="tx1"/>
            </w14:solidFill>
          </w14:textFill>
        </w:rPr>
        <w:t>一</w:t>
      </w:r>
      <w:r>
        <w:rPr>
          <w:rStyle w:val="29"/>
          <w:rFonts w:hint="eastAsia" w:ascii="黑体" w:hAnsi="黑体" w:eastAsia="黑体"/>
          <w:b w:val="0"/>
          <w:color w:val="000000" w:themeColor="text1"/>
          <w14:textFill>
            <w14:solidFill>
              <w14:schemeClr w14:val="tx1"/>
            </w14:solidFill>
          </w14:textFill>
        </w:rPr>
        <w:t>般公共预算财政拨款基本支出决算情况说明</w:t>
      </w:r>
      <w:bookmarkEnd w:id="33"/>
      <w:bookmarkEnd w:id="34"/>
      <w:r>
        <w:rPr>
          <w:rStyle w:val="29"/>
          <w:rFonts w:ascii="黑体" w:hAnsi="黑体" w:eastAsia="黑体"/>
          <w:b w:val="0"/>
          <w:color w:val="0000FF"/>
        </w:rPr>
        <w:tab/>
      </w:r>
    </w:p>
    <w:p>
      <w:pPr>
        <w:spacing w:line="600" w:lineRule="exact"/>
        <w:ind w:firstLine="640" w:firstLineChars="200"/>
        <w:rPr>
          <w:rFonts w:ascii="仿宋_GB2312" w:hAnsi="宋体" w:eastAsia="仿宋_GB2312" w:cs="宋体"/>
          <w:kern w:val="0"/>
          <w:sz w:val="32"/>
          <w:szCs w:val="32"/>
          <w:lang w:val="en-US" w:eastAsia="zh-CN" w:bidi="ar-SA"/>
        </w:rPr>
      </w:pPr>
      <w:r>
        <w:rPr>
          <w:rFonts w:ascii="仿宋_GB2312" w:hAnsi="宋体" w:eastAsia="仿宋_GB2312" w:cs="宋体"/>
          <w:kern w:val="0"/>
          <w:sz w:val="32"/>
          <w:szCs w:val="32"/>
          <w:lang w:val="en-US" w:eastAsia="zh-CN" w:bidi="ar-SA"/>
        </w:rPr>
        <w:t>20</w:t>
      </w:r>
      <w:r>
        <w:rPr>
          <w:rFonts w:hint="eastAsia" w:ascii="仿宋_GB2312" w:hAnsi="宋体" w:eastAsia="仿宋_GB2312" w:cs="宋体"/>
          <w:kern w:val="0"/>
          <w:sz w:val="32"/>
          <w:szCs w:val="32"/>
          <w:lang w:val="en-US" w:eastAsia="zh-CN" w:bidi="ar-SA"/>
        </w:rPr>
        <w:t>21年一般公共预算财政拨款基本支出311.30万元，其中：</w:t>
      </w:r>
    </w:p>
    <w:p>
      <w:pPr>
        <w:spacing w:line="600" w:lineRule="exact"/>
        <w:ind w:firstLine="640" w:firstLineChars="200"/>
        <w:rPr>
          <w:rFonts w:ascii="仿宋" w:hAnsi="仿宋" w:eastAsia="仿宋"/>
          <w:sz w:val="32"/>
          <w:szCs w:val="32"/>
        </w:rPr>
      </w:pPr>
      <w:r>
        <w:rPr>
          <w:rFonts w:hint="eastAsia" w:ascii="仿宋_GB2312" w:hAnsi="宋体" w:eastAsia="仿宋_GB2312" w:cs="宋体"/>
          <w:kern w:val="0"/>
          <w:sz w:val="32"/>
          <w:szCs w:val="32"/>
          <w:lang w:val="en-US" w:eastAsia="zh-CN" w:bidi="ar-SA"/>
        </w:rPr>
        <w:t>人员经费289.54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_GB2312" w:hAnsi="宋体" w:eastAsia="仿宋_GB2312" w:cs="宋体"/>
          <w:kern w:val="0"/>
          <w:sz w:val="32"/>
          <w:szCs w:val="32"/>
          <w:lang w:val="en-US" w:eastAsia="zh-CN" w:bidi="ar-SA"/>
        </w:rPr>
        <w:br w:type="textWrapping"/>
      </w:r>
      <w:r>
        <w:rPr>
          <w:rFonts w:hint="eastAsia" w:ascii="仿宋_GB2312" w:hAnsi="宋体" w:eastAsia="仿宋_GB2312" w:cs="宋体"/>
          <w:kern w:val="0"/>
          <w:sz w:val="32"/>
          <w:szCs w:val="32"/>
          <w:lang w:val="en-US" w:eastAsia="zh-CN" w:bidi="ar-SA"/>
        </w:rPr>
        <w:t>　　公用经费21.76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firstLineChars="200"/>
        <w:outlineLvl w:val="1"/>
        <w:rPr>
          <w:rStyle w:val="29"/>
          <w:rFonts w:ascii="黑体" w:hAnsi="黑体" w:eastAsia="黑体"/>
          <w:b w:val="0"/>
          <w:color w:val="000000" w:themeColor="text1"/>
          <w14:textFill>
            <w14:solidFill>
              <w14:schemeClr w14:val="tx1"/>
            </w14:solidFill>
          </w14:textFill>
        </w:rPr>
      </w:pPr>
      <w:bookmarkStart w:id="35" w:name="_Toc15377215"/>
      <w:bookmarkStart w:id="36" w:name="_Toc15396609"/>
      <w:r>
        <w:rPr>
          <w:rFonts w:hint="eastAsia" w:ascii="黑体" w:eastAsia="黑体"/>
          <w:color w:val="000000" w:themeColor="text1"/>
          <w:sz w:val="32"/>
          <w:szCs w:val="32"/>
          <w14:textFill>
            <w14:solidFill>
              <w14:schemeClr w14:val="tx1"/>
            </w14:solidFill>
          </w14:textFill>
        </w:rPr>
        <w:t>七、</w:t>
      </w:r>
      <w:r>
        <w:rPr>
          <w:rStyle w:val="29"/>
          <w:rFonts w:hint="eastAsia" w:ascii="黑体" w:hAnsi="黑体" w:eastAsia="黑体"/>
          <w:color w:val="000000" w:themeColor="text1"/>
          <w14:textFill>
            <w14:solidFill>
              <w14:schemeClr w14:val="tx1"/>
            </w14:solidFill>
          </w14:textFill>
        </w:rPr>
        <w:t>“</w:t>
      </w:r>
      <w:r>
        <w:rPr>
          <w:rStyle w:val="29"/>
          <w:rFonts w:hint="eastAsia" w:ascii="黑体" w:hAnsi="黑体" w:eastAsia="黑体"/>
          <w:b w:val="0"/>
          <w:color w:val="000000" w:themeColor="text1"/>
          <w14:textFill>
            <w14:solidFill>
              <w14:schemeClr w14:val="tx1"/>
            </w14:solidFill>
          </w14:textFill>
        </w:rPr>
        <w:t>三公”经费财政拨款支出决算情况说明</w:t>
      </w:r>
      <w:bookmarkEnd w:id="35"/>
      <w:bookmarkEnd w:id="36"/>
    </w:p>
    <w:p>
      <w:pPr>
        <w:spacing w:line="600" w:lineRule="exact"/>
        <w:ind w:firstLine="640"/>
        <w:outlineLvl w:val="2"/>
        <w:rPr>
          <w:rFonts w:ascii="仿宋" w:hAnsi="仿宋" w:eastAsia="仿宋"/>
          <w:b/>
          <w:sz w:val="32"/>
          <w:szCs w:val="32"/>
        </w:rPr>
      </w:pPr>
      <w:bookmarkStart w:id="37" w:name="_Toc15377216"/>
      <w:r>
        <w:rPr>
          <w:rFonts w:hint="eastAsia" w:ascii="仿宋" w:hAnsi="仿宋" w:eastAsia="仿宋"/>
          <w:b/>
          <w:sz w:val="32"/>
          <w:szCs w:val="32"/>
        </w:rPr>
        <w:t>（一）“三公”经费财政拨款支出决算总体情况说明</w:t>
      </w:r>
      <w:bookmarkEnd w:id="37"/>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21年“三公”经费财政拨款支出决算为0.16万元，完成预算100</w:t>
      </w:r>
      <w:r>
        <w:rPr>
          <w:rFonts w:ascii="仿宋" w:hAnsi="仿宋" w:eastAsia="仿宋"/>
          <w:sz w:val="32"/>
          <w:szCs w:val="32"/>
        </w:rPr>
        <w:t>%</w:t>
      </w:r>
      <w:r>
        <w:rPr>
          <w:rFonts w:hint="eastAsia" w:ascii="仿宋" w:hAnsi="仿宋" w:eastAsia="仿宋"/>
          <w:sz w:val="32"/>
          <w:szCs w:val="32"/>
        </w:rPr>
        <w:t>，决算数与预算数持平。</w:t>
      </w:r>
    </w:p>
    <w:p>
      <w:pPr>
        <w:spacing w:line="600" w:lineRule="exact"/>
        <w:ind w:firstLine="640"/>
        <w:outlineLvl w:val="2"/>
        <w:rPr>
          <w:rFonts w:ascii="仿宋" w:hAnsi="仿宋" w:eastAsia="仿宋"/>
          <w:b/>
          <w:sz w:val="32"/>
          <w:szCs w:val="32"/>
        </w:rPr>
      </w:pPr>
      <w:bookmarkStart w:id="38" w:name="_Toc15377217"/>
      <w:r>
        <w:rPr>
          <w:rFonts w:hint="eastAsia" w:ascii="仿宋" w:hAnsi="仿宋" w:eastAsia="仿宋"/>
          <w:b/>
          <w:sz w:val="32"/>
          <w:szCs w:val="32"/>
        </w:rPr>
        <w:t>（二）“三公”经费财政拨款支出决算具体情况说明</w:t>
      </w:r>
      <w:bookmarkEnd w:id="38"/>
    </w:p>
    <w:p>
      <w:pPr>
        <w:spacing w:line="600" w:lineRule="exact"/>
        <w:ind w:firstLine="640" w:firstLineChars="200"/>
        <w:rPr>
          <w:rFonts w:ascii="仿宋_GB2312" w:hAnsi="宋体" w:eastAsia="仿宋_GB2312" w:cs="宋体"/>
          <w:kern w:val="0"/>
          <w:sz w:val="32"/>
          <w:szCs w:val="32"/>
          <w:lang w:val="en-US" w:eastAsia="zh-CN" w:bidi="ar-SA"/>
        </w:rPr>
      </w:pPr>
      <w:r>
        <w:rPr>
          <w:rFonts w:ascii="仿宋_GB2312" w:hAnsi="宋体" w:eastAsia="仿宋_GB2312" w:cs="宋体"/>
          <w:kern w:val="0"/>
          <w:sz w:val="32"/>
          <w:szCs w:val="32"/>
          <w:lang w:val="en-US" w:eastAsia="zh-CN" w:bidi="ar-SA"/>
        </w:rPr>
        <w:t>20</w:t>
      </w:r>
      <w:r>
        <w:rPr>
          <w:rFonts w:hint="eastAsia" w:ascii="仿宋_GB2312" w:hAnsi="宋体" w:eastAsia="仿宋_GB2312" w:cs="宋体"/>
          <w:kern w:val="0"/>
          <w:sz w:val="32"/>
          <w:szCs w:val="32"/>
          <w:lang w:val="en-US" w:eastAsia="zh-CN" w:bidi="ar-SA"/>
        </w:rPr>
        <w:t>21年“三公”经费财政拨款支出决算中，因公出国（境）费支出决算0万元，占0</w:t>
      </w:r>
      <w:r>
        <w:rPr>
          <w:rFonts w:ascii="仿宋_GB2312" w:hAnsi="宋体" w:eastAsia="仿宋_GB2312" w:cs="宋体"/>
          <w:kern w:val="0"/>
          <w:sz w:val="32"/>
          <w:szCs w:val="32"/>
          <w:lang w:val="en-US" w:eastAsia="zh-CN" w:bidi="ar-SA"/>
        </w:rPr>
        <w:t>%</w:t>
      </w:r>
      <w:r>
        <w:rPr>
          <w:rFonts w:hint="eastAsia" w:ascii="仿宋_GB2312" w:hAnsi="宋体" w:eastAsia="仿宋_GB2312" w:cs="宋体"/>
          <w:kern w:val="0"/>
          <w:sz w:val="32"/>
          <w:szCs w:val="32"/>
          <w:lang w:val="en-US" w:eastAsia="zh-CN" w:bidi="ar-SA"/>
        </w:rPr>
        <w:t>；公务用车购置及运行维护费支出决算0万元，占0</w:t>
      </w:r>
      <w:r>
        <w:rPr>
          <w:rFonts w:ascii="仿宋_GB2312" w:hAnsi="宋体" w:eastAsia="仿宋_GB2312" w:cs="宋体"/>
          <w:kern w:val="0"/>
          <w:sz w:val="32"/>
          <w:szCs w:val="32"/>
          <w:lang w:val="en-US" w:eastAsia="zh-CN" w:bidi="ar-SA"/>
        </w:rPr>
        <w:t>%</w:t>
      </w:r>
      <w:r>
        <w:rPr>
          <w:rFonts w:hint="eastAsia" w:ascii="仿宋_GB2312" w:hAnsi="宋体" w:eastAsia="仿宋_GB2312" w:cs="宋体"/>
          <w:kern w:val="0"/>
          <w:sz w:val="32"/>
          <w:szCs w:val="32"/>
          <w:lang w:val="en-US" w:eastAsia="zh-CN" w:bidi="ar-SA"/>
        </w:rPr>
        <w:t>；公务接待费支出决算0.16万元，占100</w:t>
      </w:r>
      <w:r>
        <w:rPr>
          <w:rFonts w:ascii="仿宋_GB2312" w:hAnsi="宋体" w:eastAsia="仿宋_GB2312" w:cs="宋体"/>
          <w:kern w:val="0"/>
          <w:sz w:val="32"/>
          <w:szCs w:val="32"/>
          <w:lang w:val="en-US" w:eastAsia="zh-CN" w:bidi="ar-SA"/>
        </w:rPr>
        <w:t>%</w:t>
      </w:r>
      <w:r>
        <w:rPr>
          <w:rFonts w:hint="eastAsia" w:ascii="仿宋_GB2312" w:hAnsi="宋体" w:eastAsia="仿宋_GB2312" w:cs="宋体"/>
          <w:kern w:val="0"/>
          <w:sz w:val="32"/>
          <w:szCs w:val="32"/>
          <w:lang w:val="en-US" w:eastAsia="zh-CN" w:bidi="ar-SA"/>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w:t>
      </w:r>
    </w:p>
    <w:p>
      <w:pPr>
        <w:pStyle w:val="7"/>
        <w:spacing w:before="93"/>
        <w:rPr>
          <w:rFonts w:ascii="仿宋" w:hAnsi="仿宋" w:eastAsia="仿宋"/>
          <w:sz w:val="32"/>
          <w:szCs w:val="32"/>
        </w:rPr>
      </w:pPr>
      <w:r>
        <w:drawing>
          <wp:inline distT="0" distB="0" distL="114300" distR="114300">
            <wp:extent cx="4852670" cy="2225040"/>
            <wp:effectExtent l="0" t="0" r="889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4852670" cy="2225040"/>
                    </a:xfrm>
                    <a:prstGeom prst="rect">
                      <a:avLst/>
                    </a:prstGeom>
                    <a:noFill/>
                    <a:ln>
                      <a:noFill/>
                    </a:ln>
                  </pic:spPr>
                </pic:pic>
              </a:graphicData>
            </a:graphic>
          </wp:inline>
        </w:drawing>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Fonts w:hint="eastAsia" w:ascii="仿宋_GB2312" w:hAnsi="宋体" w:eastAsia="仿宋_GB2312" w:cs="宋体"/>
          <w:kern w:val="0"/>
          <w:sz w:val="32"/>
          <w:szCs w:val="32"/>
          <w:lang w:val="en-US" w:eastAsia="zh-CN" w:bidi="ar-SA"/>
        </w:rPr>
        <w:t>完成预算0%。</w:t>
      </w:r>
      <w:r>
        <w:rPr>
          <w:rFonts w:hint="eastAsia" w:ascii="仿宋_GB2312" w:eastAsia="仿宋_GB2312"/>
          <w:color w:val="000000"/>
          <w:sz w:val="32"/>
          <w:szCs w:val="32"/>
        </w:rPr>
        <w:t>全年安排因公出国（境）团组0次，出国（境）0人。</w:t>
      </w:r>
      <w:r>
        <w:rPr>
          <w:rFonts w:hint="eastAsia" w:ascii="仿宋_GB2312" w:hAnsi="仿宋" w:eastAsia="仿宋_GB2312"/>
          <w:color w:val="000000"/>
          <w:sz w:val="32"/>
          <w:szCs w:val="32"/>
        </w:rPr>
        <w:t>因公出国（境）支出决算与2020年一样为0万元。</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Fonts w:ascii="仿宋_GB2312" w:eastAsia="仿宋_GB2312"/>
          <w:color w:val="000000"/>
          <w:sz w:val="32"/>
          <w:szCs w:val="32"/>
        </w:rPr>
        <w:t>,</w:t>
      </w:r>
      <w:r>
        <w:rPr>
          <w:rFonts w:hint="eastAsia" w:ascii="仿宋_GB2312" w:hAnsi="宋体" w:eastAsia="仿宋_GB2312" w:cs="宋体"/>
          <w:kern w:val="0"/>
          <w:sz w:val="32"/>
          <w:szCs w:val="32"/>
          <w:lang w:val="en-US" w:eastAsia="zh-CN" w:bidi="ar-SA"/>
        </w:rPr>
        <w:t>完成预算0%。</w:t>
      </w:r>
      <w:r>
        <w:rPr>
          <w:rFonts w:hint="eastAsia" w:ascii="仿宋_GB2312" w:eastAsia="仿宋_GB2312"/>
          <w:color w:val="000000"/>
          <w:sz w:val="32"/>
          <w:szCs w:val="32"/>
        </w:rPr>
        <w:t>公务用车购置及运行维护费支出决算</w:t>
      </w:r>
      <w:r>
        <w:rPr>
          <w:rFonts w:hint="eastAsia" w:ascii="仿宋_GB2312" w:hAnsi="仿宋" w:eastAsia="仿宋_GB2312"/>
          <w:color w:val="000000"/>
          <w:sz w:val="32"/>
          <w:szCs w:val="32"/>
        </w:rPr>
        <w:t>与2020年一样为0万元。</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w:t>
      </w:r>
    </w:p>
    <w:p>
      <w:pPr>
        <w:spacing w:line="600" w:lineRule="exact"/>
        <w:ind w:firstLine="643" w:firstLineChars="200"/>
        <w:rPr>
          <w:rFonts w:eastAsia="仿宋_GB231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hAnsi="宋体" w:eastAsia="仿宋_GB2312" w:cs="宋体"/>
          <w:kern w:val="0"/>
          <w:sz w:val="32"/>
          <w:szCs w:val="32"/>
          <w:lang w:val="en-US" w:eastAsia="zh-CN" w:bidi="ar-SA"/>
        </w:rPr>
        <w:t>0.16万元，完成预算100</w:t>
      </w:r>
      <w:r>
        <w:rPr>
          <w:rFonts w:ascii="仿宋_GB2312" w:hAnsi="宋体" w:eastAsia="仿宋_GB2312" w:cs="宋体"/>
          <w:kern w:val="0"/>
          <w:sz w:val="32"/>
          <w:szCs w:val="32"/>
          <w:lang w:val="en-US" w:eastAsia="zh-CN" w:bidi="ar-SA"/>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公务接待费支出决算与</w:t>
      </w:r>
      <w:r>
        <w:rPr>
          <w:rFonts w:ascii="仿宋_GB2312" w:eastAsia="仿宋_GB2312"/>
          <w:color w:val="000000"/>
          <w:sz w:val="32"/>
          <w:szCs w:val="32"/>
        </w:rPr>
        <w:t>20</w:t>
      </w:r>
      <w:r>
        <w:rPr>
          <w:rFonts w:hint="eastAsia" w:ascii="仿宋_GB2312" w:eastAsia="仿宋_GB2312"/>
          <w:color w:val="000000"/>
          <w:sz w:val="32"/>
          <w:szCs w:val="32"/>
        </w:rPr>
        <w:t>20年持平。其中：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0.16</w:t>
      </w:r>
      <w:r>
        <w:rPr>
          <w:rFonts w:hint="eastAsia" w:ascii="仿宋_GB2312" w:eastAsia="仿宋_GB2312"/>
          <w:color w:val="000000"/>
          <w:sz w:val="32"/>
          <w:szCs w:val="32"/>
        </w:rPr>
        <w:t>万元，主要用于执行公务、开展业务活动开支的用餐费。国内公务接待2批次，15人次，共计支出0.16万元，具体内容包括：加油站行业安全检查工作支出0.06万元，核查高晶板簧公司项目申报行业准入工作支出0.10万元。</w:t>
      </w:r>
    </w:p>
    <w:p>
      <w:pPr>
        <w:spacing w:line="600" w:lineRule="exact"/>
        <w:ind w:firstLine="643" w:firstLineChars="200"/>
        <w:rPr>
          <w:rFonts w:ascii="仿宋_GB2312" w:eastAsia="仿宋_GB2312"/>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万元，外事接待0批次，0人。</w:t>
      </w:r>
    </w:p>
    <w:p>
      <w:pPr>
        <w:spacing w:line="600" w:lineRule="exact"/>
        <w:ind w:firstLine="640"/>
        <w:outlineLvl w:val="1"/>
        <w:rPr>
          <w:rStyle w:val="29"/>
          <w:rFonts w:ascii="黑体" w:hAnsi="黑体" w:eastAsia="黑体"/>
        </w:rPr>
      </w:pPr>
      <w:bookmarkStart w:id="39" w:name="_Toc15396610"/>
      <w:bookmarkStart w:id="40" w:name="_Toc15377218"/>
      <w:r>
        <w:rPr>
          <w:rFonts w:hint="eastAsia" w:ascii="黑体" w:eastAsia="黑体"/>
          <w:sz w:val="32"/>
          <w:szCs w:val="32"/>
        </w:rPr>
        <w:t>八、</w:t>
      </w:r>
      <w:r>
        <w:rPr>
          <w:rStyle w:val="29"/>
          <w:rFonts w:hint="eastAsia" w:ascii="黑体" w:hAnsi="黑体" w:eastAsia="黑体"/>
          <w:b w:val="0"/>
        </w:rPr>
        <w:t>政府性基金预算支出决算情况说明</w:t>
      </w:r>
      <w:bookmarkEnd w:id="39"/>
      <w:bookmarkEnd w:id="40"/>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21年政府性基金预算财政拨款支出18.48万元。</w:t>
      </w:r>
    </w:p>
    <w:p>
      <w:pPr>
        <w:numPr>
          <w:ilvl w:val="0"/>
          <w:numId w:val="1"/>
        </w:numPr>
        <w:spacing w:line="600" w:lineRule="exact"/>
        <w:ind w:firstLine="640"/>
        <w:outlineLvl w:val="1"/>
        <w:rPr>
          <w:rStyle w:val="29"/>
          <w:rFonts w:ascii="黑体" w:hAnsi="黑体" w:eastAsia="黑体"/>
          <w:b w:val="0"/>
        </w:rPr>
      </w:pPr>
      <w:bookmarkStart w:id="41" w:name="_Toc15377219"/>
      <w:bookmarkStart w:id="42" w:name="_Toc15396611"/>
      <w:r>
        <w:rPr>
          <w:rStyle w:val="29"/>
          <w:rFonts w:hint="eastAsia" w:ascii="黑体" w:hAnsi="黑体" w:eastAsia="黑体"/>
          <w:b w:val="0"/>
        </w:rPr>
        <w:t>国有资本经营预算支出决算情况说明</w:t>
      </w:r>
      <w:bookmarkEnd w:id="41"/>
      <w:bookmarkEnd w:id="42"/>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1"/>
        </w:numPr>
        <w:spacing w:line="600" w:lineRule="exact"/>
        <w:ind w:firstLine="640"/>
        <w:outlineLvl w:val="1"/>
        <w:rPr>
          <w:rStyle w:val="29"/>
          <w:rFonts w:ascii="黑体" w:hAnsi="黑体" w:eastAsia="黑体"/>
          <w:b w:val="0"/>
        </w:rPr>
      </w:pPr>
      <w:bookmarkStart w:id="43" w:name="_Toc15396612"/>
      <w:bookmarkStart w:id="44" w:name="_Toc15377221"/>
      <w:r>
        <w:rPr>
          <w:rStyle w:val="29"/>
          <w:rFonts w:hint="eastAsia" w:ascii="黑体" w:hAnsi="黑体" w:eastAsia="黑体"/>
          <w:b w:val="0"/>
        </w:rPr>
        <w:t>其他重要事项的情况说明</w:t>
      </w:r>
      <w:bookmarkEnd w:id="43"/>
      <w:bookmarkEnd w:id="44"/>
    </w:p>
    <w:p>
      <w:pPr>
        <w:spacing w:line="600" w:lineRule="exact"/>
        <w:ind w:firstLine="643" w:firstLineChars="200"/>
        <w:outlineLvl w:val="2"/>
        <w:rPr>
          <w:rFonts w:ascii="仿宋" w:hAnsi="仿宋" w:eastAsia="仿宋"/>
          <w:sz w:val="32"/>
          <w:szCs w:val="32"/>
        </w:rPr>
      </w:pPr>
      <w:bookmarkStart w:id="45" w:name="_Toc15377222"/>
      <w:r>
        <w:rPr>
          <w:rFonts w:hint="eastAsia" w:ascii="仿宋" w:hAnsi="仿宋" w:eastAsia="仿宋"/>
          <w:b/>
          <w:sz w:val="32"/>
          <w:szCs w:val="32"/>
        </w:rPr>
        <w:t>（一）机关运行经费支出情况</w:t>
      </w:r>
      <w:bookmarkEnd w:id="45"/>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21年，攀枝花市西区经济和信息化局机关运行经费支出21.76万元，比</w:t>
      </w:r>
      <w:r>
        <w:rPr>
          <w:rFonts w:ascii="仿宋_GB2312" w:eastAsia="仿宋_GB2312"/>
          <w:sz w:val="32"/>
          <w:szCs w:val="32"/>
        </w:rPr>
        <w:t>20</w:t>
      </w:r>
      <w:r>
        <w:rPr>
          <w:rFonts w:hint="eastAsia" w:ascii="仿宋_GB2312" w:eastAsia="仿宋_GB2312"/>
          <w:sz w:val="32"/>
          <w:szCs w:val="32"/>
        </w:rPr>
        <w:t>20年减少10.95万元，下降33</w:t>
      </w:r>
      <w:r>
        <w:rPr>
          <w:rFonts w:ascii="仿宋_GB2312" w:eastAsia="仿宋_GB2312"/>
          <w:sz w:val="32"/>
          <w:szCs w:val="32"/>
        </w:rPr>
        <w:t>%</w:t>
      </w:r>
      <w:r>
        <w:rPr>
          <w:rFonts w:hint="eastAsia" w:ascii="仿宋_GB2312" w:eastAsia="仿宋_GB2312"/>
          <w:sz w:val="32"/>
          <w:szCs w:val="32"/>
        </w:rPr>
        <w:t>。主要原因是严格控制各项公用经费支出。</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6" w:name="_Toc15377223"/>
      <w:r>
        <w:rPr>
          <w:rFonts w:hint="eastAsia" w:ascii="仿宋" w:hAnsi="仿宋" w:eastAsia="仿宋"/>
          <w:b/>
          <w:sz w:val="32"/>
          <w:szCs w:val="32"/>
        </w:rPr>
        <w:t>（二）政府采购支出情况</w:t>
      </w:r>
      <w:bookmarkEnd w:id="46"/>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21年，攀枝花市西区经济和信息化局政府采购支出为0万元，其中：政府采购货物支出0万元、政府采购工程支出0万元、政府采购服务支出0万元。授予中小企业合同金额0万元。</w:t>
      </w:r>
    </w:p>
    <w:p>
      <w:pPr>
        <w:autoSpaceDE w:val="0"/>
        <w:autoSpaceDN w:val="0"/>
        <w:adjustRightInd w:val="0"/>
        <w:spacing w:line="600" w:lineRule="exact"/>
        <w:ind w:firstLine="321" w:firstLineChars="100"/>
        <w:jc w:val="left"/>
        <w:outlineLvl w:val="2"/>
        <w:rPr>
          <w:rFonts w:ascii="仿宋" w:hAnsi="仿宋" w:eastAsia="仿宋"/>
          <w:b/>
          <w:sz w:val="32"/>
          <w:szCs w:val="32"/>
        </w:rPr>
      </w:pPr>
      <w:bookmarkStart w:id="47" w:name="_Toc15377224"/>
      <w:r>
        <w:rPr>
          <w:rFonts w:hint="eastAsia" w:ascii="仿宋" w:hAnsi="仿宋" w:eastAsia="仿宋"/>
          <w:b/>
          <w:sz w:val="32"/>
          <w:szCs w:val="32"/>
        </w:rPr>
        <w:t>（三）国有资产占有使用情况</w:t>
      </w:r>
      <w:bookmarkEnd w:id="47"/>
    </w:p>
    <w:p>
      <w:pPr>
        <w:spacing w:line="600" w:lineRule="exact"/>
        <w:ind w:firstLine="640"/>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日，攀枝花市西区经济和信息化局没有公务车辆,其中：主要领导干部用车0辆、机要通信用车0辆、应急保障用车0辆、其他用车0辆,单价50万元以上通用设备0台（套），单价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rPr>
          <w:rFonts w:hint="eastAsia" w:ascii="仿宋_GB2312" w:eastAsia="仿宋_GB2312"/>
          <w:sz w:val="32"/>
          <w:szCs w:val="32"/>
        </w:rPr>
      </w:pPr>
      <w:r>
        <w:rPr>
          <w:rFonts w:hint="eastAsia" w:ascii="仿宋_GB2312" w:eastAsia="仿宋_GB2312"/>
          <w:sz w:val="32"/>
          <w:szCs w:val="32"/>
        </w:rPr>
        <w:t>根据预算绩效管理要求，本单位在2021年度预算编制阶段，组织对7个项目（业升规培育专项经费”“维护社会稳定经费”“电力供电设施维护保障协调工作经费”““工业+康养”招商引资事前绩效评估报告经费”“技术改造项目节能评审及环境综合治理经费”“2021年区级下达金沙水电站建设项目经营管理团队一次性奖励经费”“2021区级下达攀枝花市西区十四五工业发展规划编制及工作经费”）开展了预算事前绩效评估，对7个项目编制了绩效目标，预算执行过程中，选取7个项目开展绩效监控，年终执行完毕后，对5个项目开展了绩效自评，2021年特定目标类部门预算项目绩效目标自评表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2"/>
        </w:numPr>
        <w:spacing w:line="600" w:lineRule="exact"/>
        <w:ind w:firstLine="660" w:firstLineChars="150"/>
        <w:jc w:val="center"/>
        <w:outlineLvl w:val="0"/>
        <w:rPr>
          <w:rStyle w:val="28"/>
          <w:rFonts w:ascii="黑体" w:hAnsi="黑体" w:eastAsia="黑体"/>
          <w:b w:val="0"/>
        </w:rPr>
      </w:pPr>
      <w:bookmarkStart w:id="48" w:name="_Toc15377225"/>
      <w:bookmarkStart w:id="49" w:name="_Toc15396613"/>
      <w:r>
        <w:rPr>
          <w:rFonts w:hint="eastAsia" w:ascii="黑体" w:hAnsi="黑体" w:eastAsia="黑体"/>
          <w:sz w:val="44"/>
          <w:szCs w:val="44"/>
        </w:rPr>
        <w:t>名</w:t>
      </w:r>
      <w:r>
        <w:rPr>
          <w:rStyle w:val="28"/>
          <w:rFonts w:hint="eastAsia" w:ascii="黑体" w:hAnsi="黑体" w:eastAsia="黑体"/>
          <w:b w:val="0"/>
        </w:rPr>
        <w:t>词解释</w:t>
      </w:r>
      <w:bookmarkEnd w:id="48"/>
      <w:bookmarkEnd w:id="49"/>
    </w:p>
    <w:p>
      <w:pPr>
        <w:spacing w:line="600" w:lineRule="exact"/>
        <w:jc w:val="left"/>
        <w:rPr>
          <w:rFonts w:ascii="宋体"/>
          <w:b/>
          <w:sz w:val="44"/>
          <w:szCs w:val="44"/>
        </w:rPr>
      </w:pPr>
    </w:p>
    <w:p>
      <w:pPr>
        <w:pStyle w:val="26"/>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其他收入：指单位取得的除上述收入以外的各项收入。主要是利息收入。</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结余分配：指事业单位按照事业单位会计制度的规定从非财政补助结余中分配的事业基金和职工福利基金等。</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5.年末结转和结余：指单位按有关规定结转到下年或以后年度继续使用的资金。</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eastAsia="仿宋_GB2312"/>
          <w:color w:val="000000"/>
          <w:sz w:val="32"/>
          <w:szCs w:val="32"/>
        </w:rPr>
        <w:t>6</w:t>
      </w:r>
      <w:r>
        <w:rPr>
          <w:rFonts w:ascii="仿宋_GB2312" w:eastAsia="仿宋_GB2312"/>
          <w:color w:val="000000"/>
          <w:sz w:val="32"/>
          <w:szCs w:val="32"/>
        </w:rPr>
        <w:t>.</w:t>
      </w:r>
      <w:r>
        <w:rPr>
          <w:rFonts w:hint="eastAsia" w:ascii="仿宋_GB2312" w:eastAsia="仿宋_GB2312"/>
          <w:color w:val="000000"/>
          <w:sz w:val="32"/>
          <w:szCs w:val="32"/>
        </w:rPr>
        <w:t>一般公共服务（类）财政事务（款）行政运行（项）：反映行政单位（包括实行公务员管理的事业单位）的基本支出；一般行政管理事务（项）：反映行政单位（包括实行公务员管理的事业单位）未单独设置项级科目的其他项目支出；</w:t>
      </w:r>
      <w:r>
        <w:rPr>
          <w:rFonts w:hint="eastAsia" w:ascii="仿宋_GB2312" w:hAnsi="Calibri" w:eastAsia="仿宋_GB2312" w:cs="仿宋"/>
          <w:color w:val="000000"/>
          <w:kern w:val="0"/>
          <w:sz w:val="32"/>
          <w:szCs w:val="32"/>
          <w:lang w:val="en-US" w:eastAsia="zh-CN" w:bidi="ar-SA"/>
        </w:rPr>
        <w:t>事业运行（项）：反映事业单位的基本支出，不包括行政单位（包括实行公务员管理的事业单位）后勤服务中心、医务室等附属事业单位；其他财政事务支出（项）：反映除上述项目以外其他财政事务方面的支出。</w:t>
      </w:r>
    </w:p>
    <w:p>
      <w:pPr>
        <w:spacing w:line="600" w:lineRule="exact"/>
        <w:ind w:firstLine="640" w:firstLineChars="200"/>
        <w:rPr>
          <w:rFonts w:ascii="仿宋" w:hAnsi="仿宋" w:eastAsia="仿宋"/>
          <w:color w:val="000000"/>
          <w:sz w:val="32"/>
          <w:szCs w:val="32"/>
        </w:rPr>
      </w:pPr>
      <w:r>
        <w:rPr>
          <w:rFonts w:hint="eastAsia" w:ascii="仿宋_GB2312" w:eastAsia="仿宋_GB2312"/>
          <w:color w:val="000000"/>
          <w:sz w:val="32"/>
          <w:szCs w:val="32"/>
        </w:rPr>
        <w:t>7.社会保障和就业支出（类）行政事业单位养老支出（款）</w:t>
      </w:r>
      <w:r>
        <w:rPr>
          <w:rFonts w:hint="eastAsia" w:ascii="仿宋_GB2312" w:hAnsi="Calibri" w:eastAsia="仿宋_GB2312" w:cs="仿宋"/>
          <w:color w:val="000000"/>
          <w:kern w:val="0"/>
          <w:sz w:val="32"/>
          <w:szCs w:val="32"/>
          <w:lang w:val="en-US" w:eastAsia="zh-CN" w:bidi="ar-SA"/>
        </w:rPr>
        <w:t>行政单位离退休（项）：反映行政单位（包括实行公务员管理的事业单位）开支的离退休经费；机关事业</w:t>
      </w:r>
      <w:r>
        <w:rPr>
          <w:rFonts w:hint="eastAsia" w:ascii="仿宋_GB2312" w:eastAsia="仿宋_GB2312"/>
          <w:color w:val="000000"/>
          <w:sz w:val="32"/>
          <w:szCs w:val="32"/>
        </w:rPr>
        <w:t>单位基本养老保险缴费支出（项）：反映机关事业单位实施养老保险制度由单位缴纳的基本养老保险费支出；机关事业单位职业年金缴费支出（项）：反映机关事业单位实施养老保险制度由单位实际缴纳的职业年金支出。残疾人事业（款）其他残疾人事业支出（项）：反映其他用于残疾人事业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8.卫生健康支出（类）行政事业单位医疗（款）行政单位医疗（项）：反映财政部门集中安排的行政单位基本医疗保险缴费经费，未参加医疗保险的行政单位的公费医疗保险经费，按国家规定享受离休人员和红军老战士待遇人员的医疗经费；事业单位医疗（项）：反映财政部门集中安排的事业单位基本医疗保险缴费经费，未参加医疗保险的事业单位公费医疗经费，按国家规定享受离休人员待遇人员的医疗经费；公务员医疗补助（项）：反映财政部门集中安排的公务员医疗补助经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9.住房保障支出（类）住房改革支出（款）住房公积金（项）：指行政事业单位按人力资源和社会保障部、财政部规定的基本工资和津贴补贴以及规定比例为职工缴纳的住房公积金。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10</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11</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pStyle w:val="26"/>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12</w:t>
      </w:r>
      <w:r>
        <w:rPr>
          <w:rFonts w:ascii="仿宋_GB2312" w:eastAsia="仿宋_GB2312"/>
          <w:sz w:val="32"/>
          <w:szCs w:val="32"/>
        </w:rPr>
        <w:t>.</w:t>
      </w:r>
      <w:r>
        <w:rPr>
          <w:rFonts w:hint="eastAsia" w:ascii="仿宋_GB2312" w:eastAsia="仿宋_GB2312"/>
          <w:sz w:val="32"/>
          <w:szCs w:val="32"/>
        </w:rPr>
        <w:t>“三公”经费：</w:t>
      </w:r>
      <w:r>
        <w:rPr>
          <w:rFonts w:hint="eastAsia" w:ascii="仿宋_GB2312" w:eastAsia="仿宋_GB2312"/>
          <w:sz w:val="32"/>
          <w:szCs w:val="32"/>
          <w:lang w:val="en-US" w:eastAsia="zh-CN"/>
        </w:rPr>
        <w:t>纳入预决算管理的“三公”经费，是</w:t>
      </w:r>
      <w:r>
        <w:rPr>
          <w:rFonts w:hint="eastAsia" w:ascii="仿宋_GB2312" w:eastAsia="仿宋_GB2312"/>
          <w:sz w:val="32"/>
          <w:szCs w:val="32"/>
        </w:rPr>
        <w:t>指</w:t>
      </w:r>
      <w:r>
        <w:rPr>
          <w:rFonts w:hint="eastAsia" w:ascii="仿宋_GB2312" w:eastAsia="仿宋_GB2312"/>
          <w:sz w:val="32"/>
          <w:szCs w:val="32"/>
          <w:lang w:val="en-US" w:eastAsia="zh-CN"/>
        </w:rPr>
        <w:t>部门用财政拨款安排的因公出国（境）费、公务用车购置及运行费和公务接待费。其中，因公出国（境）费反映单位公务出国（境）的国际旅费、国外城市间交通费、住宿费、伙食费、培训费、公杂费等支出；公务用车购置及运行维护费反映单位公务用车购置支出（含车辆购置税、牌照费）及按规定保留的公务用车燃料费、维修费、过路过桥费、保险费、安全奖励费用等支出；公务接待费反映单位按规定开支的各类公务接待（含外宾接待）费用。</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黑体" w:hAnsi="黑体" w:eastAsia="黑体"/>
          <w:sz w:val="44"/>
          <w:szCs w:val="44"/>
        </w:rPr>
      </w:pPr>
      <w:bookmarkStart w:id="50" w:name="_Toc15396614"/>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ind w:firstLine="2640" w:firstLineChars="600"/>
        <w:outlineLvl w:val="0"/>
        <w:rPr>
          <w:rStyle w:val="28"/>
          <w:rFonts w:ascii="黑体" w:hAnsi="黑体" w:eastAsia="黑体"/>
          <w:b w:val="0"/>
        </w:rPr>
      </w:pPr>
      <w:r>
        <w:rPr>
          <w:rFonts w:hint="eastAsia" w:ascii="黑体" w:hAnsi="黑体" w:eastAsia="黑体"/>
          <w:sz w:val="44"/>
          <w:szCs w:val="44"/>
        </w:rPr>
        <w:t>第</w:t>
      </w:r>
      <w:r>
        <w:rPr>
          <w:rStyle w:val="28"/>
          <w:rFonts w:hint="eastAsia" w:ascii="黑体" w:hAnsi="黑体" w:eastAsia="黑体"/>
          <w:b w:val="0"/>
        </w:rPr>
        <w:t>四部分 附件</w:t>
      </w:r>
      <w:bookmarkEnd w:id="50"/>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spacing w:line="572" w:lineRule="exact"/>
        <w:jc w:val="center"/>
        <w:rPr>
          <w:rFonts w:ascii="方正小标宋简体" w:hAnsi="宋体" w:eastAsia="方正小标宋简体"/>
          <w:kern w:val="0"/>
          <w:sz w:val="40"/>
          <w:szCs w:val="44"/>
        </w:rPr>
      </w:pPr>
      <w:r>
        <w:rPr>
          <w:rFonts w:hint="eastAsia" w:ascii="方正小标宋简体" w:hAnsi="宋体" w:eastAsia="方正小标宋简体"/>
          <w:kern w:val="0"/>
          <w:sz w:val="40"/>
          <w:szCs w:val="44"/>
        </w:rPr>
        <w:t>2021年攀枝花市西区经济和信息化局</w:t>
      </w:r>
    </w:p>
    <w:p>
      <w:pPr>
        <w:spacing w:line="572"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部门</w:t>
      </w:r>
      <w:bookmarkStart w:id="64" w:name="_GoBack"/>
      <w:bookmarkEnd w:id="64"/>
      <w:r>
        <w:rPr>
          <w:rFonts w:hint="eastAsia" w:ascii="方正小标宋简体" w:hAnsi="宋体" w:eastAsia="方正小标宋简体"/>
          <w:kern w:val="0"/>
          <w:sz w:val="40"/>
          <w:szCs w:val="44"/>
        </w:rPr>
        <w:t>整体绩效评价报告</w:t>
      </w:r>
    </w:p>
    <w:p>
      <w:pPr>
        <w:widowControl/>
        <w:spacing w:line="572"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pPr>
        <w:widowControl/>
        <w:numPr>
          <w:ilvl w:val="0"/>
          <w:numId w:val="3"/>
        </w:numPr>
        <w:adjustRightInd w:val="0"/>
        <w:snapToGrid w:val="0"/>
        <w:spacing w:line="572" w:lineRule="exact"/>
        <w:ind w:firstLine="640" w:firstLineChars="200"/>
        <w:contextualSpacing/>
        <w:jc w:val="left"/>
        <w:rPr>
          <w:rFonts w:hint="eastAsia"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lang w:val="zh-CN"/>
        </w:rPr>
        <w:t>部门（单位）概况</w:t>
      </w:r>
    </w:p>
    <w:p>
      <w:pPr>
        <w:widowControl/>
        <w:numPr>
          <w:numId w:val="0"/>
        </w:numPr>
        <w:adjustRightInd w:val="0"/>
        <w:snapToGrid w:val="0"/>
        <w:spacing w:line="572" w:lineRule="exact"/>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en-US" w:eastAsia="zh-CN"/>
        </w:rPr>
        <w:t xml:space="preserve">   </w:t>
      </w:r>
      <w:r>
        <w:rPr>
          <w:rFonts w:hint="eastAsia" w:ascii="仿宋_GB2312" w:hAnsi="宋体" w:eastAsia="仿宋_GB2312" w:cs="宋体"/>
          <w:kern w:val="0"/>
          <w:sz w:val="32"/>
          <w:szCs w:val="32"/>
          <w:shd w:val="clear" w:color="auto" w:fill="FFFFFF"/>
          <w:lang w:val="zh-CN"/>
        </w:rPr>
        <w:t>（一）机构组成。</w:t>
      </w:r>
    </w:p>
    <w:p>
      <w:pPr>
        <w:pStyle w:val="6"/>
        <w:ind w:firstLine="640"/>
        <w:rPr>
          <w:rFonts w:ascii="仿宋_GB2312" w:eastAsia="仿宋_GB2312"/>
          <w:sz w:val="32"/>
          <w:szCs w:val="32"/>
        </w:rPr>
      </w:pPr>
      <w:r>
        <w:rPr>
          <w:rFonts w:hint="eastAsia" w:ascii="仿宋_GB2312" w:eastAsia="仿宋_GB2312"/>
          <w:sz w:val="32"/>
          <w:szCs w:val="32"/>
        </w:rPr>
        <w:t>攀枝花市西区经济和信息化局为行政单位，有5个内设机构，包括：办公室、工业经济运行股、信息化股、行业安全管理股、企业股。</w:t>
      </w:r>
    </w:p>
    <w:p>
      <w:pPr>
        <w:pStyle w:val="6"/>
        <w:ind w:firstLine="640"/>
        <w:rPr>
          <w:rFonts w:ascii="仿宋_GB2312" w:eastAsia="仿宋_GB2312"/>
          <w:sz w:val="32"/>
          <w:szCs w:val="32"/>
          <w:lang w:val="zh-CN"/>
        </w:rPr>
      </w:pPr>
      <w:r>
        <w:rPr>
          <w:rFonts w:hint="eastAsia" w:ascii="仿宋_GB2312" w:eastAsia="仿宋_GB2312"/>
          <w:sz w:val="32"/>
          <w:szCs w:val="32"/>
        </w:rPr>
        <w:t>下属事业单位（</w:t>
      </w:r>
      <w:r>
        <w:rPr>
          <w:rFonts w:hint="eastAsia" w:ascii="仿宋_GB2312" w:hAnsi="宋体" w:eastAsia="仿宋_GB2312"/>
          <w:sz w:val="32"/>
          <w:szCs w:val="32"/>
        </w:rPr>
        <w:t>非独立核算二级单位</w:t>
      </w:r>
      <w:r>
        <w:rPr>
          <w:rFonts w:hint="eastAsia" w:ascii="仿宋_GB2312" w:eastAsia="仿宋_GB2312"/>
          <w:sz w:val="32"/>
          <w:szCs w:val="32"/>
        </w:rPr>
        <w:t>）2个，包括：西区企业服务中心和西区信息产业发展中心。</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（二）机构职能。</w:t>
      </w:r>
    </w:p>
    <w:p>
      <w:pPr>
        <w:pStyle w:val="9"/>
        <w:snapToGrid w:val="0"/>
        <w:spacing w:line="560" w:lineRule="exact"/>
        <w:ind w:firstLine="640" w:firstLineChars="200"/>
        <w:rPr>
          <w:lang w:val="zh-CN"/>
        </w:rPr>
      </w:pPr>
      <w:r>
        <w:rPr>
          <w:rFonts w:ascii="Times New Roman" w:hAnsi="Times New Roman" w:eastAsia="仿宋_GB2312"/>
          <w:sz w:val="32"/>
          <w:szCs w:val="32"/>
        </w:rPr>
        <w:t>区经济和信息化局主要职责，即贯彻实施国家、省、市、区有关工业经济、工业循环经济、信息化、无线电管理和行业范围内中小企业发展的法律、法规和方针政策；负责拟订新型工业化发展战略和重大政策，协调解决新型工业化进程中的重大问题，组织实施工业强区战略；监测、分析全区工业经济运行态势和质量，协调解决工业经济运行中的重大问题；负责全区企业技术改造推进工作；负责全区企业技术创新体系建设；负责全区工业和信息化领域的节能节水、清洁生产和资源节约与综合利用工作；负责推进企业信用制度建设；负责全区工业企业治乱减负工作；负责对全区工业行业（不包括煤炭、矿山）实施行业管理，指导工业、信息化和无线电领域的社会中介组织发展；统筹推进全区信息化工作，组织协调全区信息安全保障体系建设；负责研究制定并推动全区非公有制经济发展规划和政策措施；指导工业和信息化企业开展对外交流与合作、国际化经营、区外投资及兼并重组；执行全区无线电管理的具体办法；负责全区工业、信息化、无线电管理、工业循环经济等有关行政审批事项的初审、转报、审批；负责盐业行业管理和食盐专营管理工作；负责职责范围内的安全生产和职业健康、生态环境保护、审批服务便民化等工作；完成区委和区政府交办的其他任务。</w:t>
      </w:r>
    </w:p>
    <w:p>
      <w:pPr>
        <w:widowControl/>
        <w:numPr>
          <w:ilvl w:val="0"/>
          <w:numId w:val="4"/>
        </w:numPr>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人员概况。</w:t>
      </w:r>
    </w:p>
    <w:p>
      <w:pPr>
        <w:pStyle w:val="26"/>
        <w:ind w:firstLine="640" w:firstLineChars="200"/>
        <w:rPr>
          <w:lang w:val="zh-CN"/>
        </w:rPr>
      </w:pPr>
      <w:r>
        <w:rPr>
          <w:rFonts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14:textFill>
            <w14:solidFill>
              <w14:schemeClr w14:val="tx1"/>
            </w14:solidFill>
          </w14:textFill>
        </w:rPr>
        <w:t>1</w:t>
      </w:r>
      <w:r>
        <w:rPr>
          <w:rFonts w:ascii="Times New Roman" w:hAnsi="Times New Roman" w:eastAsia="仿宋_GB2312"/>
          <w:color w:val="000000" w:themeColor="text1"/>
          <w:sz w:val="32"/>
          <w:szCs w:val="32"/>
          <w14:textFill>
            <w14:solidFill>
              <w14:schemeClr w14:val="tx1"/>
            </w14:solidFill>
          </w14:textFill>
        </w:rPr>
        <w:t>年，有行政编制</w:t>
      </w:r>
      <w:r>
        <w:rPr>
          <w:rFonts w:hint="eastAsia" w:ascii="Times New Roman" w:hAnsi="Times New Roman" w:eastAsia="仿宋_GB2312"/>
          <w:color w:val="000000" w:themeColor="text1"/>
          <w:sz w:val="32"/>
          <w:szCs w:val="32"/>
          <w14:textFill>
            <w14:solidFill>
              <w14:schemeClr w14:val="tx1"/>
            </w14:solidFill>
          </w14:textFill>
        </w:rPr>
        <w:t>6</w:t>
      </w:r>
      <w:r>
        <w:rPr>
          <w:rFonts w:ascii="Times New Roman" w:hAnsi="Times New Roman" w:eastAsia="仿宋_GB2312"/>
          <w:color w:val="000000" w:themeColor="text1"/>
          <w:sz w:val="32"/>
          <w:szCs w:val="32"/>
          <w14:textFill>
            <w14:solidFill>
              <w14:schemeClr w14:val="tx1"/>
            </w14:solidFill>
          </w14:textFill>
        </w:rPr>
        <w:t>名，实有6人，实有机关工勤1人；事业编制13名，实有</w:t>
      </w:r>
      <w:r>
        <w:rPr>
          <w:rFonts w:hint="eastAsia" w:ascii="Times New Roman" w:hAnsi="Times New Roman" w:eastAsia="仿宋_GB2312"/>
          <w:color w:val="000000" w:themeColor="text1"/>
          <w:sz w:val="32"/>
          <w:szCs w:val="32"/>
          <w14:textFill>
            <w14:solidFill>
              <w14:schemeClr w14:val="tx1"/>
            </w14:solidFill>
          </w14:textFill>
        </w:rPr>
        <w:t>10</w:t>
      </w:r>
      <w:r>
        <w:rPr>
          <w:rFonts w:ascii="Times New Roman" w:hAnsi="Times New Roman" w:eastAsia="仿宋_GB2312"/>
          <w:color w:val="000000" w:themeColor="text1"/>
          <w:sz w:val="32"/>
          <w:szCs w:val="32"/>
          <w14:textFill>
            <w14:solidFill>
              <w14:schemeClr w14:val="tx1"/>
            </w14:solidFill>
          </w14:textFill>
        </w:rPr>
        <w:t>人；临聘编制10名，实有</w:t>
      </w:r>
      <w:r>
        <w:rPr>
          <w:rFonts w:hint="eastAsia" w:ascii="Times New Roman" w:hAnsi="Times New Roman" w:eastAsia="仿宋_GB2312"/>
          <w:color w:val="000000" w:themeColor="text1"/>
          <w:sz w:val="32"/>
          <w:szCs w:val="32"/>
          <w14:textFill>
            <w14:solidFill>
              <w14:schemeClr w14:val="tx1"/>
            </w14:solidFill>
          </w14:textFill>
        </w:rPr>
        <w:t>5</w:t>
      </w:r>
      <w:r>
        <w:rPr>
          <w:rFonts w:ascii="Times New Roman" w:hAnsi="Times New Roman" w:eastAsia="仿宋_GB2312"/>
          <w:color w:val="000000" w:themeColor="text1"/>
          <w:sz w:val="32"/>
          <w:szCs w:val="32"/>
          <w14:textFill>
            <w14:solidFill>
              <w14:schemeClr w14:val="tx1"/>
            </w14:solidFill>
          </w14:textFill>
        </w:rPr>
        <w:t>人。</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（一）部门财政资金收入情况。</w:t>
      </w:r>
    </w:p>
    <w:p>
      <w:pPr>
        <w:snapToGrid w:val="0"/>
        <w:spacing w:line="560" w:lineRule="exact"/>
        <w:ind w:firstLine="640" w:firstLineChars="200"/>
        <w:rPr>
          <w:lang w:val="zh-CN"/>
        </w:rPr>
      </w:pPr>
      <w:r>
        <w:rPr>
          <w:rFonts w:eastAsia="仿宋_GB2312"/>
          <w:color w:val="000000" w:themeColor="text1"/>
          <w:sz w:val="32"/>
          <w:szCs w:val="32"/>
          <w14:textFill>
            <w14:solidFill>
              <w14:schemeClr w14:val="tx1"/>
            </w14:solidFill>
          </w14:textFill>
        </w:rPr>
        <w:t>202</w:t>
      </w:r>
      <w:r>
        <w:rPr>
          <w:rFonts w:hint="eastAsia" w:eastAsia="仿宋_GB2312"/>
          <w:color w:val="000000" w:themeColor="text1"/>
          <w:sz w:val="32"/>
          <w:szCs w:val="32"/>
          <w14:textFill>
            <w14:solidFill>
              <w14:schemeClr w14:val="tx1"/>
            </w14:solidFill>
          </w14:textFill>
        </w:rPr>
        <w:t>1</w:t>
      </w:r>
      <w:r>
        <w:rPr>
          <w:rFonts w:eastAsia="仿宋_GB2312"/>
          <w:color w:val="000000" w:themeColor="text1"/>
          <w:sz w:val="32"/>
          <w:szCs w:val="32"/>
          <w14:textFill>
            <w14:solidFill>
              <w14:schemeClr w14:val="tx1"/>
            </w14:solidFill>
          </w14:textFill>
        </w:rPr>
        <w:t>年全年预算数</w:t>
      </w:r>
      <w:r>
        <w:rPr>
          <w:rFonts w:hint="eastAsia" w:eastAsia="仿宋_GB2312"/>
          <w:color w:val="000000" w:themeColor="text1"/>
          <w:sz w:val="32"/>
          <w:szCs w:val="32"/>
          <w14:textFill>
            <w14:solidFill>
              <w14:schemeClr w14:val="tx1"/>
            </w14:solidFill>
          </w14:textFill>
        </w:rPr>
        <w:t>330.02</w:t>
      </w:r>
      <w:r>
        <w:rPr>
          <w:rFonts w:eastAsia="仿宋_GB2312"/>
          <w:color w:val="000000" w:themeColor="text1"/>
          <w:sz w:val="32"/>
          <w:szCs w:val="32"/>
          <w14:textFill>
            <w14:solidFill>
              <w14:schemeClr w14:val="tx1"/>
            </w14:solidFill>
          </w14:textFill>
        </w:rPr>
        <w:t>万元，本年收入</w:t>
      </w:r>
      <w:r>
        <w:rPr>
          <w:rFonts w:hint="eastAsia" w:eastAsia="仿宋_GB2312"/>
          <w:color w:val="000000" w:themeColor="text1"/>
          <w:sz w:val="32"/>
          <w:szCs w:val="32"/>
          <w14:textFill>
            <w14:solidFill>
              <w14:schemeClr w14:val="tx1"/>
            </w14:solidFill>
          </w14:textFill>
        </w:rPr>
        <w:t>330.02</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14:textFill>
            <w14:solidFill>
              <w14:schemeClr w14:val="tx1"/>
            </w14:solidFill>
          </w14:textFill>
        </w:rPr>
        <w:t>。</w:t>
      </w:r>
    </w:p>
    <w:p>
      <w:pPr>
        <w:widowControl/>
        <w:numPr>
          <w:ilvl w:val="0"/>
          <w:numId w:val="5"/>
        </w:numPr>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部门财政资金支出情况。</w:t>
      </w:r>
    </w:p>
    <w:p>
      <w:pPr>
        <w:pStyle w:val="26"/>
        <w:ind w:firstLine="640" w:firstLineChars="200"/>
        <w:rPr>
          <w:lang w:val="zh-CN"/>
        </w:rPr>
      </w:pPr>
      <w:r>
        <w:rPr>
          <w:rFonts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14:textFill>
            <w14:solidFill>
              <w14:schemeClr w14:val="tx1"/>
            </w14:solidFill>
          </w14:textFill>
        </w:rPr>
        <w:t>1</w:t>
      </w:r>
      <w:r>
        <w:rPr>
          <w:rFonts w:ascii="Times New Roman" w:hAnsi="Times New Roman" w:eastAsia="仿宋_GB2312"/>
          <w:color w:val="000000" w:themeColor="text1"/>
          <w:sz w:val="32"/>
          <w:szCs w:val="32"/>
          <w14:textFill>
            <w14:solidFill>
              <w14:schemeClr w14:val="tx1"/>
            </w14:solidFill>
          </w14:textFill>
        </w:rPr>
        <w:t>年1-12月财政拨款支出总计</w:t>
      </w:r>
      <w:r>
        <w:rPr>
          <w:rFonts w:hint="eastAsia" w:ascii="Times New Roman" w:hAnsi="Times New Roman" w:eastAsia="仿宋_GB2312"/>
          <w:color w:val="000000" w:themeColor="text1"/>
          <w:sz w:val="32"/>
          <w:szCs w:val="32"/>
          <w14:textFill>
            <w14:solidFill>
              <w14:schemeClr w14:val="tx1"/>
            </w14:solidFill>
          </w14:textFill>
        </w:rPr>
        <w:t>483.78</w:t>
      </w:r>
      <w:r>
        <w:rPr>
          <w:rFonts w:ascii="Times New Roman" w:hAnsi="Times New Roman" w:eastAsia="仿宋_GB2312"/>
          <w:color w:val="000000" w:themeColor="text1"/>
          <w:sz w:val="32"/>
          <w:szCs w:val="32"/>
          <w14:textFill>
            <w14:solidFill>
              <w14:schemeClr w14:val="tx1"/>
            </w14:solidFill>
          </w14:textFill>
        </w:rPr>
        <w:t>万元，其中：基本支出</w:t>
      </w:r>
      <w:r>
        <w:rPr>
          <w:rFonts w:hint="eastAsia" w:ascii="Times New Roman" w:hAnsi="Times New Roman" w:eastAsia="仿宋_GB2312"/>
          <w:color w:val="000000" w:themeColor="text1"/>
          <w:sz w:val="32"/>
          <w:szCs w:val="32"/>
          <w:lang w:val="en-US" w:eastAsia="zh-CN"/>
          <w14:textFill>
            <w14:solidFill>
              <w14:schemeClr w14:val="tx1"/>
            </w14:solidFill>
          </w14:textFill>
        </w:rPr>
        <w:t>311.3</w:t>
      </w:r>
      <w:r>
        <w:rPr>
          <w:rFonts w:ascii="Times New Roman" w:hAnsi="Times New Roman" w:eastAsia="仿宋_GB2312"/>
          <w:color w:val="000000" w:themeColor="text1"/>
          <w:sz w:val="32"/>
          <w:szCs w:val="32"/>
          <w14:textFill>
            <w14:solidFill>
              <w14:schemeClr w14:val="tx1"/>
            </w14:solidFill>
          </w14:textFill>
        </w:rPr>
        <w:t>万元，项目支出</w:t>
      </w:r>
      <w:r>
        <w:rPr>
          <w:rFonts w:hint="eastAsia" w:ascii="Times New Roman" w:hAnsi="Times New Roman" w:eastAsia="仿宋_GB2312" w:cs="Times New Roman"/>
          <w:sz w:val="32"/>
          <w:szCs w:val="32"/>
          <w:shd w:val="clear" w:color="auto" w:fill="FFFFFF"/>
          <w:lang w:val="en-US" w:eastAsia="zh-CN"/>
        </w:rPr>
        <w:t>172.48</w:t>
      </w:r>
      <w:r>
        <w:rPr>
          <w:rFonts w:ascii="Times New Roman" w:hAnsi="Times New Roman" w:eastAsia="仿宋_GB2312"/>
          <w:color w:val="000000" w:themeColor="text1"/>
          <w:sz w:val="32"/>
          <w:szCs w:val="32"/>
          <w14:textFill>
            <w14:solidFill>
              <w14:schemeClr w14:val="tx1"/>
            </w14:solidFill>
          </w14:textFill>
        </w:rPr>
        <w:t>万元。</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三、部门整体预算绩效管理情况（涉及到有专项预算的部门，专项预算项目自评报告作为附件报送；特定目标类部门预算项目绩效目标自评表作为附表报送）</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（一）部门预算项目绩效管理。</w:t>
      </w:r>
    </w:p>
    <w:p>
      <w:pPr>
        <w:widowControl/>
        <w:adjustRightInd w:val="0"/>
        <w:snapToGrid w:val="0"/>
        <w:spacing w:line="572" w:lineRule="exact"/>
        <w:ind w:firstLine="640" w:firstLineChars="200"/>
        <w:contextualSpacing/>
        <w:jc w:val="left"/>
        <w:rPr>
          <w:rFonts w:eastAsia="仿宋_GB2312"/>
          <w:bCs/>
          <w:sz w:val="32"/>
          <w:szCs w:val="32"/>
        </w:rPr>
      </w:pPr>
      <w:r>
        <w:rPr>
          <w:rFonts w:eastAsia="仿宋_GB2312"/>
          <w:bCs/>
          <w:sz w:val="32"/>
          <w:szCs w:val="32"/>
        </w:rPr>
        <w:t>2021年，是“十四五”规划开局之年，也是西区开启全面建设社会主义现代化新征程的关键之年。区</w:t>
      </w:r>
      <w:r>
        <w:rPr>
          <w:rFonts w:hint="eastAsia" w:eastAsia="仿宋_GB2312"/>
          <w:bCs/>
          <w:sz w:val="32"/>
          <w:szCs w:val="32"/>
        </w:rPr>
        <w:t>经济和信息化</w:t>
      </w:r>
      <w:r>
        <w:rPr>
          <w:rFonts w:eastAsia="仿宋_GB2312"/>
          <w:bCs/>
          <w:sz w:val="32"/>
          <w:szCs w:val="32"/>
        </w:rPr>
        <w:t>局在区委、区政府的坚强领导下，紧密围绕市委“三个圈层”建设决策部署，认真贯彻落实区委“一二三四五”总体工作思路，</w:t>
      </w:r>
      <w:r>
        <w:rPr>
          <w:bCs/>
          <w:sz w:val="32"/>
          <w:szCs w:val="32"/>
        </w:rPr>
        <w:t>勠</w:t>
      </w:r>
      <w:r>
        <w:rPr>
          <w:rFonts w:eastAsia="仿宋_GB2312"/>
          <w:bCs/>
          <w:sz w:val="32"/>
          <w:szCs w:val="32"/>
        </w:rPr>
        <w:t>力同心，攻坚克难，高质量完成2021年各项工作任务。</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（二）结果应用情况。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2021年度我局预算整体绩效执行情况良好，各项支出绩效目标均在预算内按时保质保量完成，财政支出规范合理，既确保了重点项目开支又保障部门正常运行，财政支出绩效良好。</w:t>
      </w:r>
    </w:p>
    <w:p>
      <w:pPr>
        <w:widowControl/>
        <w:numPr>
          <w:ilvl w:val="0"/>
          <w:numId w:val="6"/>
        </w:numPr>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自评质量</w:t>
      </w:r>
    </w:p>
    <w:p>
      <w:pPr>
        <w:widowControl/>
        <w:adjustRightInd w:val="0"/>
        <w:snapToGrid w:val="0"/>
        <w:spacing w:line="576" w:lineRule="exact"/>
        <w:ind w:firstLine="640" w:firstLineChars="200"/>
        <w:contextualSpacing/>
        <w:jc w:val="left"/>
        <w:rPr>
          <w:rFonts w:eastAsia="仿宋_GB2312"/>
          <w:sz w:val="32"/>
          <w:szCs w:val="32"/>
        </w:rPr>
      </w:pPr>
      <w:r>
        <w:rPr>
          <w:rFonts w:hint="eastAsia" w:eastAsia="仿宋_GB2312"/>
          <w:sz w:val="32"/>
          <w:szCs w:val="32"/>
        </w:rPr>
        <w:t>服务对象及职工抽样满意度达到95%以上。</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w:t>
      </w:r>
    </w:p>
    <w:p>
      <w:pPr>
        <w:tabs>
          <w:tab w:val="left" w:pos="4246"/>
        </w:tabs>
        <w:snapToGrid w:val="0"/>
        <w:spacing w:line="353" w:lineRule="auto"/>
        <w:ind w:firstLine="640" w:firstLineChars="200"/>
        <w:rPr>
          <w:lang w:val="zh-CN"/>
        </w:rPr>
      </w:pPr>
      <w:r>
        <w:rPr>
          <w:rFonts w:eastAsia="仿宋_GB2312"/>
          <w:sz w:val="32"/>
          <w:szCs w:val="32"/>
        </w:rPr>
        <w:t>区经济和信息化局较好地完成了202</w:t>
      </w:r>
      <w:r>
        <w:rPr>
          <w:rFonts w:hint="eastAsia" w:eastAsia="仿宋_GB2312"/>
          <w:sz w:val="32"/>
          <w:szCs w:val="32"/>
        </w:rPr>
        <w:t>1</w:t>
      </w:r>
      <w:r>
        <w:rPr>
          <w:rFonts w:eastAsia="仿宋_GB2312"/>
          <w:sz w:val="32"/>
          <w:szCs w:val="32"/>
        </w:rPr>
        <w:t>年部门预算绩效，</w:t>
      </w:r>
      <w:r>
        <w:rPr>
          <w:rFonts w:eastAsia="仿宋_GB2312"/>
          <w:kern w:val="0"/>
          <w:sz w:val="32"/>
          <w:szCs w:val="32"/>
        </w:rPr>
        <w:t>202</w:t>
      </w:r>
      <w:r>
        <w:rPr>
          <w:rFonts w:hint="eastAsia" w:eastAsia="仿宋_GB2312"/>
          <w:kern w:val="0"/>
          <w:sz w:val="32"/>
          <w:szCs w:val="32"/>
        </w:rPr>
        <w:t>1</w:t>
      </w:r>
      <w:r>
        <w:rPr>
          <w:rFonts w:eastAsia="仿宋_GB2312"/>
          <w:kern w:val="0"/>
          <w:sz w:val="32"/>
          <w:szCs w:val="32"/>
        </w:rPr>
        <w:t>年</w:t>
      </w:r>
      <w:r>
        <w:rPr>
          <w:rFonts w:eastAsia="仿宋_GB2312"/>
          <w:color w:val="000000"/>
          <w:kern w:val="0"/>
          <w:sz w:val="32"/>
          <w:szCs w:val="32"/>
        </w:rPr>
        <w:t>面对持续加大的经济下行压力和突如其来的新冠肺炎疫情，</w:t>
      </w:r>
      <w:r>
        <w:rPr>
          <w:rFonts w:eastAsia="仿宋_GB2312"/>
          <w:kern w:val="0"/>
          <w:sz w:val="32"/>
          <w:szCs w:val="32"/>
        </w:rPr>
        <w:t>在区委、区政府的坚强领导下，西区经济和信息化局围绕成渝地区“双城经济圈”建设，全力推动</w:t>
      </w:r>
      <w:r>
        <w:rPr>
          <w:rFonts w:eastAsia="仿宋_GB2312"/>
          <w:color w:val="000000"/>
          <w:kern w:val="0"/>
          <w:sz w:val="32"/>
          <w:szCs w:val="32"/>
        </w:rPr>
        <w:t>“攀钢航母舰队”</w:t>
      </w:r>
      <w:r>
        <w:rPr>
          <w:rFonts w:eastAsia="仿宋_GB2312"/>
          <w:kern w:val="0"/>
          <w:sz w:val="32"/>
          <w:szCs w:val="32"/>
        </w:rPr>
        <w:t>，坚持防疫、经济“两手抓”，</w:t>
      </w:r>
      <w:r>
        <w:rPr>
          <w:rFonts w:eastAsia="仿宋_GB2312"/>
          <w:spacing w:val="-4"/>
          <w:kern w:val="32"/>
          <w:sz w:val="32"/>
          <w:szCs w:val="32"/>
        </w:rPr>
        <w:t>千方百计稳住“经济盘”，紧盯目标任务不放松，</w:t>
      </w:r>
      <w:r>
        <w:rPr>
          <w:rFonts w:eastAsia="仿宋_GB2312"/>
          <w:kern w:val="0"/>
          <w:sz w:val="32"/>
          <w:szCs w:val="32"/>
        </w:rPr>
        <w:t>帮助企业复工复产，确保西区工业经济趋稳向好。</w:t>
      </w:r>
    </w:p>
    <w:p>
      <w:pPr>
        <w:tabs>
          <w:tab w:val="left" w:pos="4246"/>
        </w:tabs>
        <w:snapToGrid w:val="0"/>
        <w:spacing w:line="353" w:lineRule="auto"/>
        <w:ind w:firstLine="640" w:firstLineChars="200"/>
        <w:rPr>
          <w:rFonts w:eastAsia="仿宋_GB2312"/>
          <w:kern w:val="0"/>
          <w:sz w:val="32"/>
          <w:szCs w:val="32"/>
          <w:lang w:val="zh-CN"/>
        </w:rPr>
      </w:pPr>
      <w:r>
        <w:rPr>
          <w:rFonts w:hint="eastAsia" w:eastAsia="仿宋_GB2312"/>
          <w:kern w:val="0"/>
          <w:sz w:val="32"/>
          <w:szCs w:val="32"/>
          <w:lang w:val="zh-CN"/>
        </w:rPr>
        <w:t>（</w:t>
      </w:r>
      <w:r>
        <w:rPr>
          <w:rFonts w:hint="eastAsia" w:eastAsia="仿宋_GB2312"/>
          <w:kern w:val="0"/>
          <w:sz w:val="32"/>
          <w:szCs w:val="32"/>
        </w:rPr>
        <w:t>二</w:t>
      </w:r>
      <w:r>
        <w:rPr>
          <w:rFonts w:hint="eastAsia" w:eastAsia="仿宋_GB2312"/>
          <w:kern w:val="0"/>
          <w:sz w:val="32"/>
          <w:szCs w:val="32"/>
          <w:lang w:val="zh-CN"/>
        </w:rPr>
        <w:t>）存在问题。</w:t>
      </w:r>
    </w:p>
    <w:p>
      <w:pPr>
        <w:tabs>
          <w:tab w:val="left" w:pos="4246"/>
        </w:tabs>
        <w:snapToGrid w:val="0"/>
        <w:spacing w:line="353" w:lineRule="auto"/>
        <w:ind w:firstLine="640" w:firstLineChars="200"/>
        <w:rPr>
          <w:rFonts w:eastAsia="仿宋_GB2312"/>
          <w:kern w:val="0"/>
          <w:sz w:val="32"/>
          <w:szCs w:val="32"/>
          <w:lang w:val="zh-CN"/>
        </w:rPr>
      </w:pPr>
      <w:r>
        <w:rPr>
          <w:rFonts w:eastAsia="仿宋_GB2312"/>
          <w:kern w:val="0"/>
          <w:sz w:val="32"/>
          <w:szCs w:val="32"/>
        </w:rPr>
        <w:t>一是各股室对绩效评价工作的重要性认识有待进一步提高。二是项目支出绩效评价指标体系不完善，给考核评价及评分工作带来一定的困难。三是内控制度建设需要不断加强。</w:t>
      </w:r>
    </w:p>
    <w:p>
      <w:pPr>
        <w:tabs>
          <w:tab w:val="left" w:pos="4246"/>
        </w:tabs>
        <w:snapToGrid w:val="0"/>
        <w:spacing w:line="353" w:lineRule="auto"/>
        <w:ind w:firstLine="640" w:firstLineChars="200"/>
        <w:rPr>
          <w:rFonts w:eastAsia="仿宋_GB2312"/>
          <w:kern w:val="0"/>
          <w:sz w:val="32"/>
          <w:szCs w:val="32"/>
          <w:lang w:val="zh-CN"/>
        </w:rPr>
      </w:pPr>
      <w:r>
        <w:rPr>
          <w:rFonts w:hint="eastAsia" w:eastAsia="仿宋_GB2312"/>
          <w:kern w:val="0"/>
          <w:sz w:val="32"/>
          <w:szCs w:val="32"/>
          <w:lang w:val="zh-CN"/>
        </w:rPr>
        <w:t>（三）改进建议。</w:t>
      </w:r>
    </w:p>
    <w:p>
      <w:pPr>
        <w:tabs>
          <w:tab w:val="left" w:pos="4246"/>
        </w:tabs>
        <w:snapToGrid w:val="0"/>
        <w:spacing w:line="353" w:lineRule="auto"/>
        <w:ind w:firstLine="640" w:firstLineChars="200"/>
        <w:rPr>
          <w:rFonts w:eastAsia="仿宋_GB2312"/>
          <w:sz w:val="32"/>
          <w:szCs w:val="32"/>
        </w:rPr>
      </w:pPr>
      <w:r>
        <w:rPr>
          <w:rFonts w:eastAsia="仿宋_GB2312"/>
          <w:kern w:val="0"/>
          <w:sz w:val="32"/>
          <w:szCs w:val="32"/>
        </w:rPr>
        <w:t>一是不断加强单位内</w:t>
      </w:r>
      <w:r>
        <w:rPr>
          <w:rFonts w:eastAsia="仿宋_GB2312"/>
          <w:sz w:val="32"/>
          <w:szCs w:val="32"/>
        </w:rPr>
        <w:t>控制度建设，不断加强制度落实的可行性，建设与本单位业务息息相关的内控制度。二是加强业务能力方面的学习培训，增强会计人员的业务能力，切实提高部门预算收支管理水平。</w:t>
      </w:r>
    </w:p>
    <w:p>
      <w:pPr>
        <w:pStyle w:val="7"/>
        <w:spacing w:before="93"/>
        <w:rPr>
          <w:rFonts w:hAnsi="宋体" w:cs="宋体"/>
          <w:sz w:val="32"/>
          <w:szCs w:val="32"/>
          <w:shd w:val="clear" w:color="auto" w:fill="FFFFFF"/>
          <w:lang w:val="zh-CN"/>
        </w:rPr>
      </w:pPr>
    </w:p>
    <w:p>
      <w:pPr>
        <w:pStyle w:val="7"/>
        <w:spacing w:before="93"/>
        <w:rPr>
          <w:rFonts w:hAnsi="宋体" w:cs="宋体"/>
          <w:sz w:val="32"/>
          <w:szCs w:val="32"/>
          <w:shd w:val="clear" w:color="auto" w:fill="FFFFFF"/>
          <w:lang w:val="zh-CN"/>
        </w:rPr>
      </w:pPr>
    </w:p>
    <w:p>
      <w:pPr>
        <w:pStyle w:val="7"/>
        <w:spacing w:before="93"/>
        <w:rPr>
          <w:rFonts w:hAnsi="宋体" w:cs="宋体"/>
          <w:sz w:val="32"/>
          <w:szCs w:val="32"/>
          <w:shd w:val="clear" w:color="auto" w:fill="FFFFFF"/>
          <w:lang w:val="zh-CN"/>
        </w:rPr>
      </w:pPr>
    </w:p>
    <w:p>
      <w:pPr>
        <w:pStyle w:val="7"/>
        <w:spacing w:before="93"/>
        <w:rPr>
          <w:rFonts w:hAnsi="宋体" w:cs="宋体"/>
          <w:sz w:val="32"/>
          <w:szCs w:val="32"/>
          <w:shd w:val="clear" w:color="auto" w:fill="FFFFFF"/>
          <w:lang w:val="zh-CN"/>
        </w:rPr>
      </w:pPr>
    </w:p>
    <w:p>
      <w:pPr>
        <w:pStyle w:val="7"/>
        <w:spacing w:before="93"/>
        <w:rPr>
          <w:rFonts w:hAnsi="宋体" w:cs="宋体"/>
          <w:sz w:val="32"/>
          <w:szCs w:val="32"/>
          <w:shd w:val="clear" w:color="auto" w:fill="FFFFFF"/>
          <w:lang w:val="zh-CN"/>
        </w:rPr>
      </w:pPr>
    </w:p>
    <w:p>
      <w:pPr>
        <w:pStyle w:val="7"/>
        <w:spacing w:before="93"/>
        <w:rPr>
          <w:rFonts w:hAnsi="宋体" w:cs="宋体"/>
          <w:sz w:val="32"/>
          <w:szCs w:val="32"/>
          <w:shd w:val="clear" w:color="auto" w:fill="FFFFFF"/>
          <w:lang w:val="zh-CN"/>
        </w:rPr>
      </w:pPr>
    </w:p>
    <w:p>
      <w:pPr>
        <w:pStyle w:val="7"/>
        <w:spacing w:before="93"/>
        <w:rPr>
          <w:rFonts w:hAnsi="宋体" w:cs="宋体"/>
          <w:sz w:val="32"/>
          <w:szCs w:val="32"/>
          <w:shd w:val="clear" w:color="auto" w:fill="FFFFFF"/>
          <w:lang w:val="zh-CN"/>
        </w:rPr>
      </w:pPr>
    </w:p>
    <w:p>
      <w:pPr>
        <w:pStyle w:val="7"/>
        <w:spacing w:before="93"/>
        <w:rPr>
          <w:rFonts w:hAnsi="宋体" w:cs="宋体"/>
          <w:sz w:val="32"/>
          <w:szCs w:val="32"/>
          <w:shd w:val="clear" w:color="auto" w:fill="FFFFFF"/>
          <w:lang w:val="zh-CN"/>
        </w:rPr>
      </w:pPr>
    </w:p>
    <w:p>
      <w:pPr>
        <w:pStyle w:val="7"/>
        <w:spacing w:before="93"/>
        <w:rPr>
          <w:rFonts w:hAnsi="宋体" w:cs="宋体"/>
          <w:sz w:val="32"/>
          <w:szCs w:val="32"/>
          <w:shd w:val="clear" w:color="auto" w:fill="FFFFFF"/>
          <w:lang w:val="zh-CN"/>
        </w:rPr>
      </w:pPr>
    </w:p>
    <w:p>
      <w:pPr>
        <w:pStyle w:val="7"/>
        <w:spacing w:before="93"/>
        <w:rPr>
          <w:rFonts w:hAnsi="宋体" w:cs="宋体"/>
          <w:sz w:val="32"/>
          <w:szCs w:val="32"/>
          <w:shd w:val="clear" w:color="auto" w:fill="FFFFFF"/>
          <w:lang w:val="zh-CN"/>
        </w:rPr>
      </w:pPr>
    </w:p>
    <w:p>
      <w:pPr>
        <w:pStyle w:val="7"/>
        <w:spacing w:before="93"/>
        <w:rPr>
          <w:rFonts w:hAnsi="宋体" w:cs="宋体"/>
          <w:sz w:val="32"/>
          <w:szCs w:val="32"/>
          <w:shd w:val="clear" w:color="auto" w:fill="FFFFFF"/>
          <w:lang w:val="zh-CN"/>
        </w:rPr>
      </w:pPr>
    </w:p>
    <w:p>
      <w:pPr>
        <w:pStyle w:val="7"/>
        <w:spacing w:before="93"/>
        <w:rPr>
          <w:rFonts w:hAnsi="宋体" w:cs="宋体"/>
          <w:sz w:val="32"/>
          <w:szCs w:val="32"/>
          <w:shd w:val="clear" w:color="auto" w:fill="FFFFFF"/>
          <w:lang w:val="zh-CN"/>
        </w:rPr>
      </w:pPr>
    </w:p>
    <w:p>
      <w:pPr>
        <w:pStyle w:val="7"/>
        <w:spacing w:before="93"/>
        <w:rPr>
          <w:rFonts w:hAnsi="宋体" w:cs="宋体"/>
          <w:sz w:val="32"/>
          <w:szCs w:val="32"/>
          <w:shd w:val="clear" w:color="auto" w:fill="FFFFFF"/>
          <w:lang w:val="zh-CN"/>
        </w:rPr>
      </w:pPr>
    </w:p>
    <w:p>
      <w:pPr>
        <w:pStyle w:val="7"/>
        <w:spacing w:before="93"/>
        <w:rPr>
          <w:lang w:val="zh-CN"/>
        </w:rPr>
      </w:pPr>
      <w:r>
        <w:rPr>
          <w:rFonts w:hint="eastAsia" w:hAnsi="宋体" w:cs="宋体"/>
          <w:sz w:val="32"/>
          <w:szCs w:val="32"/>
          <w:shd w:val="clear" w:color="auto" w:fill="FFFFFF"/>
          <w:lang w:val="zh-CN"/>
        </w:rPr>
        <w:t>附件</w:t>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pPr>
        <w:spacing w:line="600" w:lineRule="exact"/>
        <w:ind w:firstLine="883"/>
        <w:jc w:val="center"/>
        <w:rPr>
          <w:rFonts w:ascii="仿宋_GB2312" w:hAnsi="宋体" w:eastAsia="仿宋_GB2312"/>
          <w:sz w:val="32"/>
          <w:szCs w:val="32"/>
          <w:lang w:val="zh-CN"/>
        </w:rPr>
      </w:pPr>
      <w:r>
        <w:rPr>
          <w:rFonts w:hint="eastAsia" w:ascii="仿宋_GB2312" w:hAnsi="宋体" w:eastAsia="仿宋_GB2312"/>
          <w:sz w:val="32"/>
          <w:szCs w:val="32"/>
          <w:lang w:val="zh-CN"/>
        </w:rPr>
        <w:t>（电力供电设施维护保障协调经费）</w:t>
      </w:r>
    </w:p>
    <w:p>
      <w:pPr>
        <w:spacing w:line="600" w:lineRule="exact"/>
        <w:ind w:firstLine="640"/>
        <w:jc w:val="center"/>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w:t>
      </w:r>
      <w:r>
        <w:rPr>
          <w:rFonts w:hint="eastAsia" w:ascii="仿宋_GB2312" w:hAnsi="宋体" w:eastAsia="仿宋_GB2312"/>
          <w:sz w:val="32"/>
          <w:szCs w:val="32"/>
        </w:rPr>
        <w:t>.</w:t>
      </w:r>
      <w:r>
        <w:rPr>
          <w:rFonts w:hint="eastAsia" w:ascii="仿宋_GB2312" w:hAnsi="宋体" w:eastAsia="仿宋_GB2312"/>
          <w:sz w:val="32"/>
          <w:szCs w:val="32"/>
          <w:lang w:val="zh-CN"/>
        </w:rPr>
        <w:t>西区</w:t>
      </w:r>
      <w:r>
        <w:rPr>
          <w:rFonts w:hint="eastAsia" w:ascii="仿宋_GB2312" w:hAnsi="宋体" w:eastAsia="仿宋_GB2312"/>
          <w:sz w:val="32"/>
          <w:szCs w:val="32"/>
        </w:rPr>
        <w:t>经济和信息化局</w:t>
      </w:r>
      <w:r>
        <w:rPr>
          <w:rFonts w:hint="eastAsia" w:ascii="仿宋_GB2312" w:hAnsi="宋体" w:eastAsia="仿宋_GB2312"/>
          <w:sz w:val="32"/>
          <w:szCs w:val="32"/>
          <w:lang w:val="zh-CN"/>
        </w:rPr>
        <w:t>是该项目的具体实施主体。</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w:t>
      </w:r>
      <w:r>
        <w:rPr>
          <w:rFonts w:hint="eastAsia" w:ascii="仿宋_GB2312" w:hAnsi="宋体" w:eastAsia="仿宋_GB2312"/>
          <w:sz w:val="32"/>
          <w:szCs w:val="32"/>
        </w:rPr>
        <w:t>.</w:t>
      </w:r>
      <w:r>
        <w:rPr>
          <w:rFonts w:hint="eastAsia" w:ascii="仿宋_GB2312" w:hAnsi="宋体" w:eastAsia="仿宋_GB2312"/>
          <w:sz w:val="32"/>
          <w:szCs w:val="32"/>
          <w:lang w:val="zh-CN"/>
        </w:rPr>
        <w:t>项目立项、资金申报的依据是：</w:t>
      </w:r>
      <w:r>
        <w:rPr>
          <w:rFonts w:ascii="仿宋_GB2312" w:hAnsi="仿宋_GB2312" w:eastAsia="仿宋_GB2312" w:cs="仿宋_GB2312"/>
          <w:color w:val="333333"/>
          <w:sz w:val="32"/>
          <w:szCs w:val="32"/>
          <w:shd w:val="clear" w:color="auto" w:fill="FFFFFF"/>
        </w:rPr>
        <w:t>根据</w:t>
      </w:r>
      <w:r>
        <w:rPr>
          <w:rFonts w:hint="eastAsia" w:ascii="仿宋_GB2312" w:hAnsi="仿宋_GB2312" w:eastAsia="仿宋_GB2312" w:cs="仿宋_GB2312"/>
          <w:color w:val="333333"/>
          <w:sz w:val="32"/>
          <w:szCs w:val="32"/>
          <w:shd w:val="clear" w:color="auto" w:fill="FFFFFF"/>
        </w:rPr>
        <w:t>西</w:t>
      </w:r>
      <w:r>
        <w:rPr>
          <w:rFonts w:ascii="仿宋_GB2312" w:hAnsi="仿宋_GB2312" w:eastAsia="仿宋_GB2312" w:cs="仿宋_GB2312"/>
          <w:color w:val="333333"/>
          <w:sz w:val="32"/>
          <w:szCs w:val="32"/>
          <w:shd w:val="clear" w:color="auto" w:fill="FFFFFF"/>
        </w:rPr>
        <w:t>区</w:t>
      </w:r>
      <w:r>
        <w:rPr>
          <w:rFonts w:hint="eastAsia" w:ascii="仿宋_GB2312" w:hAnsi="仿宋_GB2312" w:eastAsia="仿宋_GB2312" w:cs="仿宋_GB2312"/>
          <w:color w:val="333333"/>
          <w:sz w:val="32"/>
          <w:szCs w:val="32"/>
          <w:shd w:val="clear" w:color="auto" w:fill="FFFFFF"/>
        </w:rPr>
        <w:t>经济和信息化局</w:t>
      </w:r>
      <w:r>
        <w:rPr>
          <w:rFonts w:ascii="仿宋_GB2312" w:hAnsi="仿宋_GB2312" w:eastAsia="仿宋_GB2312" w:cs="仿宋_GB2312"/>
          <w:color w:val="333333"/>
          <w:sz w:val="32"/>
          <w:szCs w:val="32"/>
          <w:shd w:val="clear" w:color="auto" w:fill="FFFFFF"/>
        </w:rPr>
        <w:t>的职能职责，按工作需求编制</w:t>
      </w:r>
      <w:r>
        <w:rPr>
          <w:rFonts w:ascii="仿宋_GB2312" w:hAnsi="仿宋_GB2312" w:eastAsia="仿宋_GB2312" w:cs="仿宋_GB2312"/>
          <w:sz w:val="32"/>
          <w:szCs w:val="32"/>
          <w:shd w:val="clear" w:color="auto" w:fill="FFFFFF"/>
        </w:rPr>
        <w:t>预算</w:t>
      </w:r>
      <w:r>
        <w:rPr>
          <w:rFonts w:hint="eastAsia" w:ascii="仿宋_GB2312" w:hAnsi="宋体" w:eastAsia="仿宋_GB2312"/>
          <w:sz w:val="32"/>
          <w:szCs w:val="32"/>
          <w:lang w:val="zh-CN"/>
        </w:rPr>
        <w:t>,经费</w:t>
      </w:r>
      <w:r>
        <w:rPr>
          <w:rFonts w:hint="eastAsia" w:ascii="仿宋_GB2312" w:hAnsi="宋体" w:eastAsia="仿宋_GB2312"/>
          <w:sz w:val="32"/>
          <w:szCs w:val="32"/>
        </w:rPr>
        <w:t>7万</w:t>
      </w:r>
      <w:r>
        <w:rPr>
          <w:rFonts w:hint="eastAsia" w:ascii="仿宋_GB2312" w:hAnsi="宋体" w:eastAsia="仿宋_GB2312"/>
          <w:sz w:val="32"/>
          <w:szCs w:val="32"/>
          <w:lang w:val="zh-CN"/>
        </w:rPr>
        <w:t>元。</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w:t>
      </w:r>
      <w:r>
        <w:rPr>
          <w:rFonts w:hint="eastAsia" w:ascii="仿宋_GB2312" w:hAnsi="宋体" w:eastAsia="仿宋_GB2312"/>
          <w:sz w:val="32"/>
          <w:szCs w:val="32"/>
        </w:rPr>
        <w:t>.</w:t>
      </w:r>
      <w:r>
        <w:rPr>
          <w:rFonts w:hint="eastAsia" w:ascii="仿宋_GB2312" w:hAnsi="宋体" w:eastAsia="仿宋_GB2312"/>
          <w:sz w:val="32"/>
          <w:szCs w:val="32"/>
          <w:lang w:val="zh-CN"/>
        </w:rPr>
        <w:t>资金管理办法制定情况，资金支持具体项目的条件、范围与支持方式概况，此资金只能用于该项目。</w:t>
      </w:r>
    </w:p>
    <w:p>
      <w:pPr>
        <w:pStyle w:val="34"/>
        <w:widowControl w:val="0"/>
        <w:adjustRightInd w:val="0"/>
        <w:snapToGrid w:val="0"/>
        <w:spacing w:line="353" w:lineRule="auto"/>
        <w:ind w:firstLine="640" w:firstLineChars="200"/>
        <w:contextualSpacing/>
        <w:rPr>
          <w:rFonts w:ascii="Times New Roman" w:hAnsi="Times New Roman" w:eastAsia="仿宋_GB2312" w:cs="Times New Roman"/>
          <w:sz w:val="32"/>
          <w:szCs w:val="32"/>
        </w:rPr>
      </w:pPr>
      <w:r>
        <w:rPr>
          <w:rFonts w:hint="eastAsia" w:ascii="仿宋_GB2312" w:hAnsi="宋体" w:eastAsia="仿宋_GB2312"/>
          <w:sz w:val="32"/>
          <w:szCs w:val="32"/>
          <w:lang w:val="zh-CN"/>
        </w:rPr>
        <w:t>4</w:t>
      </w:r>
      <w:r>
        <w:rPr>
          <w:rFonts w:hint="eastAsia" w:ascii="仿宋_GB2312" w:hAnsi="宋体" w:eastAsia="仿宋_GB2312"/>
          <w:sz w:val="32"/>
          <w:szCs w:val="32"/>
        </w:rPr>
        <w:t>.</w:t>
      </w:r>
      <w:r>
        <w:rPr>
          <w:rFonts w:hint="eastAsia" w:ascii="仿宋_GB2312" w:hAnsi="宋体" w:eastAsia="仿宋_GB2312"/>
          <w:sz w:val="32"/>
          <w:szCs w:val="32"/>
          <w:lang w:val="zh-CN"/>
        </w:rPr>
        <w:t>通过</w:t>
      </w:r>
      <w:r>
        <w:rPr>
          <w:rFonts w:ascii="Times New Roman" w:hAnsi="Times New Roman" w:eastAsia="仿宋_GB2312" w:cs="Times New Roman"/>
          <w:sz w:val="32"/>
          <w:szCs w:val="32"/>
        </w:rPr>
        <w:t>通过项目实施，保障企业、居民正常生产生活用电，减少用电安全隐患</w:t>
      </w:r>
      <w:r>
        <w:rPr>
          <w:rFonts w:hint="eastAsia" w:ascii="Times New Roman" w:hAnsi="Times New Roman" w:eastAsia="仿宋_GB2312" w:cs="Times New Roman"/>
          <w:sz w:val="32"/>
          <w:szCs w:val="32"/>
        </w:rPr>
        <w:t>。</w:t>
      </w:r>
    </w:p>
    <w:p>
      <w:pPr>
        <w:pStyle w:val="34"/>
        <w:widowControl w:val="0"/>
        <w:adjustRightInd w:val="0"/>
        <w:snapToGrid w:val="0"/>
        <w:spacing w:line="353" w:lineRule="auto"/>
        <w:ind w:firstLine="643" w:firstLineChars="200"/>
        <w:contextualSpacing/>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zh-CN"/>
        </w:rPr>
        <w:t>项目主要内容。</w:t>
      </w:r>
      <w:r>
        <w:rPr>
          <w:rFonts w:hint="eastAsia" w:eastAsia="仿宋_GB2312"/>
          <w:sz w:val="32"/>
          <w:szCs w:val="32"/>
        </w:rPr>
        <w:t>电力供电设施维护保障协调经费</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rPr>
        <w:t>2.</w:t>
      </w:r>
      <w:r>
        <w:rPr>
          <w:rFonts w:ascii="仿宋_GB2312" w:hAnsi="仿宋_GB2312" w:eastAsia="仿宋_GB2312" w:cs="仿宋_GB2312"/>
          <w:color w:val="333333"/>
          <w:sz w:val="32"/>
          <w:szCs w:val="32"/>
          <w:shd w:val="clear" w:color="auto" w:fill="FFFFFF"/>
        </w:rPr>
        <w:t>项目应实现的具体绩效目标，包括目标的量化、细化情况以及项目实施进度计划等：</w:t>
      </w:r>
      <w:r>
        <w:rPr>
          <w:rFonts w:hint="eastAsia" w:ascii="仿宋_GB2312" w:hAnsi="仿宋_GB2312" w:eastAsia="仿宋_GB2312" w:cs="仿宋_GB2312"/>
          <w:color w:val="333333"/>
          <w:sz w:val="32"/>
          <w:szCs w:val="32"/>
          <w:shd w:val="clear" w:color="auto" w:fill="FFFFFF"/>
        </w:rPr>
        <w:t>开展电力协调</w:t>
      </w:r>
      <w:r>
        <w:rPr>
          <w:rFonts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rPr>
        <w:t>电力安全宣传、</w:t>
      </w:r>
      <w:r>
        <w:rPr>
          <w:rFonts w:ascii="仿宋_GB2312" w:hAnsi="仿宋_GB2312" w:eastAsia="仿宋_GB2312" w:cs="仿宋_GB2312"/>
          <w:color w:val="333333"/>
          <w:sz w:val="32"/>
          <w:szCs w:val="32"/>
          <w:shd w:val="clear" w:color="auto" w:fill="FFFFFF"/>
        </w:rPr>
        <w:t>办公耗材等方面，此项目已按照计划认真落实</w:t>
      </w:r>
      <w:r>
        <w:rPr>
          <w:rFonts w:hint="eastAsia" w:ascii="仿宋_GB2312" w:hAnsi="宋体" w:eastAsia="仿宋_GB2312"/>
          <w:color w:val="FF0000"/>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3．通过自评，申报内容与实际相符，申报目标合理可行。</w:t>
      </w:r>
    </w:p>
    <w:p>
      <w:pPr>
        <w:pStyle w:val="34"/>
        <w:widowControl w:val="0"/>
        <w:adjustRightInd w:val="0"/>
        <w:snapToGrid w:val="0"/>
        <w:spacing w:line="353" w:lineRule="auto"/>
        <w:ind w:firstLine="640" w:firstLineChars="200"/>
        <w:contextualSpacing/>
        <w:rPr>
          <w:rFonts w:ascii="仿宋_GB2312" w:hAnsi="宋体" w:eastAsia="仿宋_GB2312"/>
          <w:sz w:val="32"/>
          <w:szCs w:val="32"/>
          <w:lang w:val="zh-CN"/>
        </w:rPr>
      </w:pP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spacing w:line="353" w:lineRule="auto"/>
        <w:ind w:firstLine="640" w:firstLineChars="200"/>
        <w:rPr>
          <w:rFonts w:eastAsia="仿宋_GB2312"/>
          <w:sz w:val="32"/>
          <w:szCs w:val="32"/>
        </w:rPr>
      </w:pPr>
      <w:r>
        <w:rPr>
          <w:rFonts w:hint="eastAsia" w:eastAsia="仿宋_GB2312"/>
          <w:sz w:val="32"/>
          <w:szCs w:val="32"/>
        </w:rPr>
        <w:t>按照股室职责分工，确定项目协调中心职能职责，应用财政资金投资情况进行评价。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该项目在上年末进行预算工作时申报，年初西区财政局下达批复及下达经费等事宜。</w:t>
      </w:r>
    </w:p>
    <w:p>
      <w:pPr>
        <w:adjustRightInd w:val="0"/>
        <w:snapToGrid w:val="0"/>
        <w:spacing w:line="600" w:lineRule="exact"/>
        <w:ind w:firstLine="720"/>
        <w:rPr>
          <w:rFonts w:ascii="仿宋_GB2312" w:hAnsi="宋体" w:eastAsia="楷体_GB2312"/>
          <w:sz w:val="32"/>
          <w:szCs w:val="32"/>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1．资金计划。该项目属区级预算项目经费，区级预算计划</w:t>
      </w:r>
      <w:r>
        <w:rPr>
          <w:rFonts w:hint="eastAsia" w:ascii="楷体_GB2312" w:hAnsi="宋体" w:eastAsia="楷体_GB2312"/>
          <w:sz w:val="32"/>
          <w:szCs w:val="32"/>
        </w:rPr>
        <w:t>7万</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sz w:val="32"/>
          <w:szCs w:val="32"/>
        </w:rPr>
      </w:pPr>
      <w:r>
        <w:rPr>
          <w:rFonts w:hint="eastAsia" w:ascii="楷体_GB2312" w:hAnsi="宋体" w:eastAsia="楷体_GB2312"/>
          <w:sz w:val="32"/>
          <w:szCs w:val="32"/>
          <w:lang w:val="zh-CN"/>
        </w:rPr>
        <w:t>2．资金到位。实际下达</w:t>
      </w:r>
      <w:r>
        <w:rPr>
          <w:rFonts w:hint="eastAsia" w:ascii="楷体_GB2312" w:hAnsi="宋体" w:eastAsia="楷体_GB2312"/>
          <w:sz w:val="32"/>
          <w:szCs w:val="32"/>
        </w:rPr>
        <w:t>7万。</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单位根据项目预算情况列支费用，</w:t>
      </w:r>
      <w:r>
        <w:rPr>
          <w:rFonts w:ascii="仿宋_GB2312" w:hAnsi="宋体" w:eastAsia="仿宋_GB2312"/>
          <w:sz w:val="32"/>
          <w:szCs w:val="32"/>
          <w:lang w:val="zh-CN"/>
        </w:rPr>
        <w:t>该项目资金财政已在202</w:t>
      </w:r>
      <w:r>
        <w:rPr>
          <w:rFonts w:hint="eastAsia" w:ascii="仿宋_GB2312" w:hAnsi="宋体" w:eastAsia="仿宋_GB2312"/>
          <w:sz w:val="32"/>
          <w:szCs w:val="32"/>
        </w:rPr>
        <w:t>1</w:t>
      </w:r>
      <w:r>
        <w:rPr>
          <w:rFonts w:ascii="仿宋_GB2312" w:hAnsi="宋体" w:eastAsia="仿宋_GB2312"/>
          <w:sz w:val="32"/>
          <w:szCs w:val="32"/>
          <w:lang w:val="zh-CN"/>
        </w:rPr>
        <w:t>年内按规定要求使用完。资金的支付范围、支付标准、支付依据等是合规合法、与预算相符</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有健全的财务制度，项目预算、资金拨付严格按照财务管理制度进行管理。保证专款专用，资金发放复查由财务人员按照财务制度进行资金的审核、支付和核算，在具体支付时，手续是完善的，不存在虚假会计凭证的情况，会计严格执行财务管理制度，财务处理及时，核算规范</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三、项目实施及管理情况</w:t>
      </w:r>
    </w:p>
    <w:p>
      <w:pPr>
        <w:numPr>
          <w:ilvl w:val="0"/>
          <w:numId w:val="7"/>
        </w:num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项目组织架构及实施流程。</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rPr>
        <w:t>1.</w:t>
      </w:r>
      <w:r>
        <w:rPr>
          <w:rFonts w:hint="eastAsia" w:ascii="仿宋_GB2312" w:hAnsi="宋体" w:eastAsia="仿宋_GB2312"/>
          <w:sz w:val="32"/>
          <w:szCs w:val="32"/>
          <w:lang w:val="zh-CN"/>
        </w:rPr>
        <w:t>西区财政局根据预算项目批复，下达项目经费，预算单位进行项目实施计划。</w:t>
      </w:r>
    </w:p>
    <w:p>
      <w:pPr>
        <w:pStyle w:val="2"/>
        <w:rPr>
          <w:lang w:val="zh-CN"/>
        </w:rPr>
      </w:pPr>
      <w:r>
        <w:rPr>
          <w:rFonts w:hint="eastAsia" w:ascii="仿宋_GB2312" w:hAnsi="宋体" w:eastAsia="仿宋_GB2312"/>
          <w:sz w:val="32"/>
          <w:szCs w:val="32"/>
        </w:rPr>
        <w:t xml:space="preserve">     2.</w:t>
      </w:r>
      <w:r>
        <w:rPr>
          <w:rFonts w:hint="eastAsia" w:ascii="仿宋_GB2312" w:hAnsi="宋体" w:eastAsia="仿宋_GB2312"/>
          <w:sz w:val="32"/>
          <w:szCs w:val="32"/>
          <w:lang w:val="zh-CN"/>
        </w:rPr>
        <w:t>拨付时根据项目工作实施情况，报分管领导审批同意，呈报主要负责人审核并批复同意支付。</w:t>
      </w:r>
    </w:p>
    <w:p>
      <w:pPr>
        <w:adjustRightInd w:val="0"/>
        <w:snapToGrid w:val="0"/>
        <w:spacing w:line="600" w:lineRule="exact"/>
        <w:ind w:firstLine="643" w:firstLineChars="20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项目是区财政纳入年度预算，严格安照项目要求及财经法律法规等要求落实的。</w:t>
      </w:r>
    </w:p>
    <w:p>
      <w:pPr>
        <w:adjustRightInd w:val="0"/>
        <w:snapToGrid w:val="0"/>
        <w:spacing w:line="600" w:lineRule="exact"/>
        <w:ind w:firstLine="643" w:firstLineChars="20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项目完成情况每年都要向上级财政部门填写相关的绩效分析评价，并上报相关对口管理部门检查。</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包括项目完成数量、质量、时效、成本等情况，资金结余情况，违规记录等，对照项目计划完成目标，对截止评价时点的任务量完成、质量标准、进度计划、成本控制目标的实现程度进行评价，并进行分析说明。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1.数量指标：总户数约1900户，2021年改造1300户。</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2.质量指标：协调电力保障，确保辖区企业、居民生产生活用电。</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3.时效指标：2021年改造1300户。</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4.成本指标：预算指标为7万元，实际支出7万元。</w:t>
      </w:r>
    </w:p>
    <w:p>
      <w:pPr>
        <w:adjustRightInd w:val="0"/>
        <w:snapToGrid w:val="0"/>
        <w:spacing w:line="600" w:lineRule="exact"/>
        <w:ind w:firstLine="640" w:firstLineChars="200"/>
      </w:pPr>
      <w:r>
        <w:rPr>
          <w:rFonts w:hint="eastAsia" w:ascii="仿宋_GB2312" w:hAnsi="宋体" w:eastAsia="仿宋_GB2312"/>
          <w:sz w:val="32"/>
          <w:szCs w:val="32"/>
        </w:rPr>
        <w:t>5.社会效益指标：保障企业、居民正常生产生活用电。</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72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一是本项目依规立项；二是本项目严格按相关要求执行；三是本项目资金使用合理合规；四是本项目在产出数量、产出质量、产出时效、产出成本方面均达到绩效目标，经济效益、社会效益成果显著。</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spacing w:line="580" w:lineRule="exact"/>
        <w:ind w:firstLine="640" w:firstLineChars="200"/>
        <w:rPr>
          <w:rFonts w:eastAsia="仿宋"/>
          <w:sz w:val="32"/>
          <w:szCs w:val="32"/>
        </w:rPr>
      </w:pPr>
      <w:r>
        <w:rPr>
          <w:rFonts w:eastAsia="仿宋"/>
          <w:sz w:val="32"/>
          <w:szCs w:val="32"/>
        </w:rPr>
        <w:t>1.预算编制时间短，任务重，需要财政做更系统的培训和指导。</w:t>
      </w:r>
    </w:p>
    <w:p>
      <w:pPr>
        <w:spacing w:line="580" w:lineRule="exact"/>
        <w:ind w:firstLine="640" w:firstLineChars="200"/>
        <w:rPr>
          <w:rFonts w:eastAsia="仿宋"/>
          <w:sz w:val="32"/>
          <w:szCs w:val="32"/>
        </w:rPr>
      </w:pPr>
      <w:r>
        <w:rPr>
          <w:rFonts w:eastAsia="仿宋"/>
          <w:sz w:val="32"/>
          <w:szCs w:val="32"/>
        </w:rPr>
        <w:t>2.绩效从制定、评价到使用都缺少系统性训练。</w:t>
      </w:r>
    </w:p>
    <w:p>
      <w:pPr>
        <w:adjustRightInd w:val="0"/>
        <w:snapToGrid w:val="0"/>
        <w:spacing w:line="600" w:lineRule="exact"/>
        <w:ind w:firstLine="640" w:firstLineChars="200"/>
        <w:rPr>
          <w:rFonts w:ascii="仿宋_GB2312" w:hAnsi="宋体" w:eastAsia="仿宋_GB2312"/>
          <w:sz w:val="32"/>
          <w:szCs w:val="32"/>
          <w:lang w:val="zh-CN"/>
        </w:rPr>
      </w:pPr>
      <w:r>
        <w:rPr>
          <w:rFonts w:eastAsia="仿宋"/>
          <w:sz w:val="32"/>
          <w:szCs w:val="32"/>
        </w:rPr>
        <w:t>3.预算编制的合理性需要提高</w:t>
      </w:r>
      <w:r>
        <w:rPr>
          <w:rFonts w:hint="eastAsia" w:ascii="仿宋_GB2312" w:hAnsi="宋体" w:eastAsia="仿宋_GB2312"/>
          <w:sz w:val="32"/>
          <w:szCs w:val="32"/>
          <w:lang w:val="zh-CN"/>
        </w:rPr>
        <w:t>。</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eastAsia="仿宋"/>
          <w:sz w:val="32"/>
          <w:szCs w:val="32"/>
        </w:rPr>
        <w:t>加强预算编制的合理性，平衡预算配置。加强对预算编制和绩效的培训，绩效不仅是在绩效填报上培训，还需要从绩效编制、绩效编制、绩效评价（自评和第三方评价）、绩效结果应用上做一体化培训，促进绩效系统的成熟和稳定</w:t>
      </w:r>
      <w:r>
        <w:rPr>
          <w:rFonts w:hint="eastAsia" w:ascii="仿宋_GB2312" w:hAnsi="宋体" w:eastAsia="仿宋_GB2312"/>
          <w:sz w:val="32"/>
          <w:szCs w:val="32"/>
          <w:lang w:val="zh-CN"/>
        </w:rPr>
        <w:t>。</w:t>
      </w:r>
    </w:p>
    <w:tbl>
      <w:tblPr>
        <w:tblStyle w:val="19"/>
        <w:tblpPr w:leftFromText="180" w:rightFromText="180" w:vertAnchor="text" w:horzAnchor="page" w:tblpX="107" w:tblpY="669"/>
        <w:tblOverlap w:val="never"/>
        <w:tblW w:w="22949" w:type="dxa"/>
        <w:tblInd w:w="0" w:type="dxa"/>
        <w:tblLayout w:type="fixed"/>
        <w:tblCellMar>
          <w:top w:w="0" w:type="dxa"/>
          <w:left w:w="108" w:type="dxa"/>
          <w:bottom w:w="0" w:type="dxa"/>
          <w:right w:w="108" w:type="dxa"/>
        </w:tblCellMar>
      </w:tblPr>
      <w:tblGrid>
        <w:gridCol w:w="735"/>
        <w:gridCol w:w="736"/>
        <w:gridCol w:w="432"/>
        <w:gridCol w:w="2505"/>
        <w:gridCol w:w="1186"/>
        <w:gridCol w:w="1497"/>
        <w:gridCol w:w="1245"/>
        <w:gridCol w:w="1157"/>
        <w:gridCol w:w="3963"/>
        <w:gridCol w:w="5530"/>
        <w:gridCol w:w="426"/>
        <w:gridCol w:w="3537"/>
      </w:tblGrid>
      <w:tr>
        <w:tblPrEx>
          <w:tblLayout w:type="fixed"/>
          <w:tblCellMar>
            <w:top w:w="0" w:type="dxa"/>
            <w:left w:w="108" w:type="dxa"/>
            <w:bottom w:w="0" w:type="dxa"/>
            <w:right w:w="108" w:type="dxa"/>
          </w:tblCellMar>
        </w:tblPrEx>
        <w:trPr>
          <w:gridAfter w:val="2"/>
          <w:wAfter w:w="3963" w:type="dxa"/>
          <w:trHeight w:val="675" w:hRule="atLeast"/>
        </w:trPr>
        <w:tc>
          <w:tcPr>
            <w:tcW w:w="9493" w:type="dxa"/>
            <w:gridSpan w:val="8"/>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项目（政策）资金绩效自评表</w:t>
            </w:r>
          </w:p>
        </w:tc>
        <w:tc>
          <w:tcPr>
            <w:tcW w:w="9493" w:type="dxa"/>
            <w:gridSpan w:val="2"/>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kern w:val="0"/>
                <w:szCs w:val="21"/>
              </w:rPr>
            </w:pPr>
          </w:p>
        </w:tc>
      </w:tr>
      <w:tr>
        <w:tblPrEx>
          <w:tblLayout w:type="fixed"/>
          <w:tblCellMar>
            <w:top w:w="0" w:type="dxa"/>
            <w:left w:w="108" w:type="dxa"/>
            <w:bottom w:w="0" w:type="dxa"/>
            <w:right w:w="108" w:type="dxa"/>
          </w:tblCellMar>
        </w:tblPrEx>
        <w:trPr>
          <w:gridAfter w:val="2"/>
          <w:wAfter w:w="3963" w:type="dxa"/>
          <w:trHeight w:val="285" w:hRule="atLeast"/>
        </w:trPr>
        <w:tc>
          <w:tcPr>
            <w:tcW w:w="9493" w:type="dxa"/>
            <w:gridSpan w:val="8"/>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18"/>
                <w:szCs w:val="18"/>
              </w:rPr>
            </w:pPr>
            <w:r>
              <w:rPr>
                <w:rStyle w:val="35"/>
                <w:rFonts w:hint="default"/>
                <w:sz w:val="18"/>
                <w:szCs w:val="18"/>
              </w:rPr>
              <w:t>（</w:t>
            </w:r>
            <w:r>
              <w:rPr>
                <w:rStyle w:val="36"/>
                <w:sz w:val="18"/>
                <w:szCs w:val="18"/>
              </w:rPr>
              <w:t>2021</w:t>
            </w:r>
            <w:r>
              <w:rPr>
                <w:rStyle w:val="35"/>
                <w:rFonts w:hint="default"/>
                <w:sz w:val="18"/>
                <w:szCs w:val="18"/>
              </w:rPr>
              <w:t>年度）</w:t>
            </w:r>
          </w:p>
        </w:tc>
        <w:tc>
          <w:tcPr>
            <w:tcW w:w="9493" w:type="dxa"/>
            <w:gridSpan w:val="2"/>
            <w:tcBorders>
              <w:top w:val="nil"/>
              <w:left w:val="nil"/>
              <w:bottom w:val="nil"/>
              <w:right w:val="nil"/>
            </w:tcBorders>
            <w:shd w:val="clear" w:color="auto" w:fill="auto"/>
            <w:vAlign w:val="center"/>
          </w:tcPr>
          <w:p>
            <w:pPr>
              <w:widowControl/>
              <w:jc w:val="center"/>
              <w:textAlignment w:val="center"/>
              <w:rPr>
                <w:rStyle w:val="35"/>
                <w:rFonts w:hint="default"/>
                <w:sz w:val="18"/>
                <w:szCs w:val="18"/>
              </w:rPr>
            </w:pPr>
          </w:p>
        </w:tc>
      </w:tr>
      <w:tr>
        <w:tblPrEx>
          <w:tblLayout w:type="fixed"/>
          <w:tblCellMar>
            <w:top w:w="0" w:type="dxa"/>
            <w:left w:w="108" w:type="dxa"/>
            <w:bottom w:w="0" w:type="dxa"/>
            <w:right w:w="108" w:type="dxa"/>
          </w:tblCellMar>
        </w:tblPrEx>
        <w:trPr>
          <w:gridAfter w:val="2"/>
          <w:wAfter w:w="3963" w:type="dxa"/>
          <w:trHeight w:val="435" w:hRule="atLeast"/>
        </w:trPr>
        <w:tc>
          <w:tcPr>
            <w:tcW w:w="735" w:type="dxa"/>
            <w:tcBorders>
              <w:top w:val="nil"/>
              <w:left w:val="nil"/>
              <w:bottom w:val="single" w:color="000000" w:sz="4" w:space="0"/>
              <w:right w:val="nil"/>
            </w:tcBorders>
            <w:shd w:val="clear" w:color="auto" w:fill="auto"/>
            <w:vAlign w:val="center"/>
          </w:tcPr>
          <w:p>
            <w:pPr>
              <w:rPr>
                <w:rFonts w:ascii="宋体" w:hAnsi="宋体" w:cs="宋体"/>
                <w:color w:val="000000"/>
                <w:sz w:val="18"/>
                <w:szCs w:val="18"/>
              </w:rPr>
            </w:pPr>
          </w:p>
        </w:tc>
        <w:tc>
          <w:tcPr>
            <w:tcW w:w="736" w:type="dxa"/>
            <w:tcBorders>
              <w:top w:val="nil"/>
              <w:left w:val="nil"/>
              <w:bottom w:val="single" w:color="000000" w:sz="4" w:space="0"/>
              <w:right w:val="nil"/>
            </w:tcBorders>
            <w:shd w:val="clear" w:color="auto" w:fill="auto"/>
            <w:vAlign w:val="center"/>
          </w:tcPr>
          <w:p>
            <w:pPr>
              <w:rPr>
                <w:rFonts w:ascii="宋体" w:hAnsi="宋体" w:cs="宋体"/>
                <w:color w:val="000000"/>
                <w:sz w:val="18"/>
                <w:szCs w:val="18"/>
              </w:rPr>
            </w:pPr>
          </w:p>
        </w:tc>
        <w:tc>
          <w:tcPr>
            <w:tcW w:w="43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250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1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9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24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15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493" w:type="dxa"/>
            <w:gridSpan w:val="2"/>
            <w:tcBorders>
              <w:top w:val="nil"/>
              <w:left w:val="nil"/>
              <w:bottom w:val="nil"/>
              <w:right w:val="nil"/>
            </w:tcBorders>
            <w:shd w:val="clear" w:color="auto" w:fill="auto"/>
            <w:vAlign w:val="center"/>
          </w:tcPr>
          <w:p>
            <w:pPr>
              <w:rPr>
                <w:rFonts w:ascii="宋体" w:hAnsi="宋体" w:cs="宋体"/>
                <w:color w:val="000000"/>
                <w:sz w:val="18"/>
                <w:szCs w:val="18"/>
              </w:rPr>
            </w:pPr>
          </w:p>
        </w:tc>
      </w:tr>
      <w:tr>
        <w:tblPrEx>
          <w:tblLayout w:type="fixed"/>
          <w:tblCellMar>
            <w:top w:w="0" w:type="dxa"/>
            <w:left w:w="108" w:type="dxa"/>
            <w:bottom w:w="0" w:type="dxa"/>
            <w:right w:w="108" w:type="dxa"/>
          </w:tblCellMar>
        </w:tblPrEx>
        <w:trPr>
          <w:trHeight w:val="439" w:hRule="atLeast"/>
        </w:trPr>
        <w:tc>
          <w:tcPr>
            <w:tcW w:w="19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专项（项目）名称</w:t>
            </w:r>
          </w:p>
        </w:tc>
        <w:tc>
          <w:tcPr>
            <w:tcW w:w="115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电力供电设施维护保障协调工作经费</w:t>
            </w:r>
          </w:p>
        </w:tc>
        <w:tc>
          <w:tcPr>
            <w:tcW w:w="9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39" w:hRule="atLeast"/>
        </w:trPr>
        <w:tc>
          <w:tcPr>
            <w:tcW w:w="19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项目主管单位</w:t>
            </w:r>
          </w:p>
        </w:tc>
        <w:tc>
          <w:tcPr>
            <w:tcW w:w="115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攀枝花市西区经济和信息化局</w:t>
            </w:r>
          </w:p>
        </w:tc>
        <w:tc>
          <w:tcPr>
            <w:tcW w:w="9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39" w:hRule="atLeast"/>
        </w:trPr>
        <w:tc>
          <w:tcPr>
            <w:tcW w:w="19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项目实施单位</w:t>
            </w:r>
          </w:p>
        </w:tc>
        <w:tc>
          <w:tcPr>
            <w:tcW w:w="115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99" w:leftChars="-95" w:firstLine="149" w:firstLineChars="83"/>
              <w:jc w:val="center"/>
              <w:textAlignment w:val="center"/>
              <w:rPr>
                <w:rFonts w:ascii="宋体" w:hAnsi="宋体" w:cs="宋体"/>
                <w:color w:val="000000"/>
                <w:sz w:val="18"/>
                <w:szCs w:val="18"/>
              </w:rPr>
            </w:pPr>
            <w:r>
              <w:rPr>
                <w:rFonts w:hint="eastAsia" w:ascii="宋体" w:hAnsi="宋体" w:cs="宋体"/>
                <w:color w:val="000000"/>
                <w:kern w:val="0"/>
                <w:sz w:val="18"/>
                <w:szCs w:val="18"/>
              </w:rPr>
              <w:t>攀枝花市西区经济和信息化局</w:t>
            </w:r>
          </w:p>
        </w:tc>
        <w:tc>
          <w:tcPr>
            <w:tcW w:w="9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99" w:leftChars="-95" w:firstLine="149" w:firstLineChars="83"/>
              <w:jc w:val="center"/>
              <w:textAlignment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gridAfter w:val="1"/>
          <w:wAfter w:w="3537" w:type="dxa"/>
          <w:trHeight w:val="439" w:hRule="atLeast"/>
        </w:trPr>
        <w:tc>
          <w:tcPr>
            <w:tcW w:w="190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项目资金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（万元）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全年预算数</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实际完成数</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执行率（%）</w:t>
            </w:r>
          </w:p>
        </w:tc>
        <w:tc>
          <w:tcPr>
            <w:tcW w:w="99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gridAfter w:val="1"/>
          <w:wAfter w:w="3537" w:type="dxa"/>
          <w:trHeight w:val="439" w:hRule="atLeast"/>
        </w:trPr>
        <w:tc>
          <w:tcPr>
            <w:tcW w:w="190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年度资金总额：</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70000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70000</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99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gridAfter w:val="1"/>
          <w:wAfter w:w="3537" w:type="dxa"/>
          <w:trHeight w:val="439" w:hRule="atLeast"/>
        </w:trPr>
        <w:tc>
          <w:tcPr>
            <w:tcW w:w="190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其中：上级财政资金</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70000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70000</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99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gridAfter w:val="1"/>
          <w:wAfter w:w="3537" w:type="dxa"/>
          <w:trHeight w:val="439" w:hRule="atLeast"/>
        </w:trPr>
        <w:tc>
          <w:tcPr>
            <w:tcW w:w="190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本级财政资金</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9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Layout w:type="fixed"/>
          <w:tblCellMar>
            <w:top w:w="0" w:type="dxa"/>
            <w:left w:w="108" w:type="dxa"/>
            <w:bottom w:w="0" w:type="dxa"/>
            <w:right w:w="108" w:type="dxa"/>
          </w:tblCellMar>
        </w:tblPrEx>
        <w:trPr>
          <w:gridAfter w:val="1"/>
          <w:wAfter w:w="3537" w:type="dxa"/>
          <w:trHeight w:val="439" w:hRule="atLeast"/>
        </w:trPr>
        <w:tc>
          <w:tcPr>
            <w:tcW w:w="190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其他资金</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9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Layout w:type="fixed"/>
          <w:tblCellMar>
            <w:top w:w="0" w:type="dxa"/>
            <w:left w:w="108" w:type="dxa"/>
            <w:bottom w:w="0" w:type="dxa"/>
            <w:right w:w="108" w:type="dxa"/>
          </w:tblCellMar>
        </w:tblPrEx>
        <w:trPr>
          <w:gridAfter w:val="2"/>
          <w:wAfter w:w="3963" w:type="dxa"/>
          <w:trHeight w:val="43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总体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目标</w:t>
            </w:r>
          </w:p>
        </w:tc>
        <w:tc>
          <w:tcPr>
            <w:tcW w:w="63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年度设定目标</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实际完成情况</w:t>
            </w:r>
          </w:p>
        </w:tc>
        <w:tc>
          <w:tcPr>
            <w:tcW w:w="9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gridAfter w:val="2"/>
          <w:wAfter w:w="3963" w:type="dxa"/>
          <w:trHeight w:val="4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356"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保障企业、居民正常生产生活用电，减少用电安全隐患</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保障企业、居民正常生产生活用电，减少用电安全隐患</w:t>
            </w:r>
          </w:p>
        </w:tc>
        <w:tc>
          <w:tcPr>
            <w:tcW w:w="949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gridAfter w:val="2"/>
          <w:wAfter w:w="3963" w:type="dxa"/>
          <w:trHeight w:val="570" w:hRule="atLeast"/>
        </w:trPr>
        <w:tc>
          <w:tcPr>
            <w:tcW w:w="735"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绩</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标</w:t>
            </w:r>
          </w:p>
        </w:tc>
        <w:tc>
          <w:tcPr>
            <w:tcW w:w="73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指标</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二级指标</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三级指标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年度指标值</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实际完成数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完成率（%）</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未完成原因和改进措施</w:t>
            </w:r>
          </w:p>
        </w:tc>
        <w:tc>
          <w:tcPr>
            <w:tcW w:w="9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gridAfter w:val="2"/>
          <w:wAfter w:w="3963" w:type="dxa"/>
          <w:trHeight w:val="435" w:hRule="atLeast"/>
        </w:trPr>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736"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w:t>
            </w:r>
          </w:p>
        </w:tc>
        <w:tc>
          <w:tcPr>
            <w:tcW w:w="4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1"/>
                <w:szCs w:val="11"/>
              </w:rPr>
            </w:pPr>
            <w:r>
              <w:rPr>
                <w:rFonts w:hint="eastAsia" w:ascii="宋体" w:hAnsi="宋体" w:cs="宋体"/>
                <w:color w:val="000000"/>
                <w:kern w:val="0"/>
                <w:sz w:val="11"/>
                <w:szCs w:val="11"/>
              </w:rPr>
              <w:t>辖区用电居民</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1"/>
                <w:szCs w:val="11"/>
              </w:rPr>
            </w:pPr>
            <w:r>
              <w:rPr>
                <w:rFonts w:hint="eastAsia" w:ascii="宋体" w:hAnsi="宋体" w:cs="宋体"/>
                <w:color w:val="000000"/>
                <w:kern w:val="0"/>
                <w:sz w:val="11"/>
                <w:szCs w:val="11"/>
              </w:rPr>
              <w:t>40000户</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1"/>
                <w:szCs w:val="11"/>
              </w:rPr>
            </w:pPr>
            <w:r>
              <w:rPr>
                <w:rFonts w:hint="eastAsia" w:ascii="宋体" w:hAnsi="宋体" w:cs="宋体"/>
                <w:color w:val="000000"/>
                <w:kern w:val="0"/>
                <w:sz w:val="11"/>
                <w:szCs w:val="11"/>
              </w:rPr>
              <w:t>40000户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9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Layout w:type="fixed"/>
          <w:tblCellMar>
            <w:top w:w="0" w:type="dxa"/>
            <w:left w:w="108" w:type="dxa"/>
            <w:bottom w:w="0" w:type="dxa"/>
            <w:right w:w="108" w:type="dxa"/>
          </w:tblCellMar>
        </w:tblPrEx>
        <w:trPr>
          <w:gridAfter w:val="2"/>
          <w:wAfter w:w="3963" w:type="dxa"/>
          <w:trHeight w:val="760" w:hRule="atLeast"/>
        </w:trPr>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73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1"/>
                <w:szCs w:val="11"/>
              </w:rPr>
            </w:pPr>
            <w:r>
              <w:rPr>
                <w:rFonts w:hint="eastAsia" w:ascii="宋体" w:hAnsi="宋体" w:cs="宋体"/>
                <w:color w:val="000000"/>
                <w:kern w:val="0"/>
                <w:sz w:val="11"/>
                <w:szCs w:val="11"/>
              </w:rPr>
              <w:t>西区老旧小区供配电设施改造项目</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1"/>
                <w:szCs w:val="11"/>
              </w:rPr>
            </w:pPr>
            <w:r>
              <w:rPr>
                <w:rFonts w:hint="eastAsia" w:ascii="宋体" w:hAnsi="宋体" w:cs="宋体"/>
                <w:color w:val="000000"/>
                <w:kern w:val="0"/>
                <w:sz w:val="11"/>
                <w:szCs w:val="11"/>
              </w:rPr>
              <w:t>总户数约1900户，2021年改造1300户。</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1"/>
                <w:szCs w:val="11"/>
              </w:rPr>
            </w:pPr>
            <w:r>
              <w:rPr>
                <w:rFonts w:hint="eastAsia" w:ascii="宋体" w:hAnsi="宋体" w:cs="宋体"/>
                <w:color w:val="000000"/>
                <w:kern w:val="0"/>
                <w:sz w:val="11"/>
                <w:szCs w:val="11"/>
              </w:rPr>
              <w:t>总户数约1900户，2021年改造1300户。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9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Layout w:type="fixed"/>
          <w:tblCellMar>
            <w:top w:w="0" w:type="dxa"/>
            <w:left w:w="108" w:type="dxa"/>
            <w:bottom w:w="0" w:type="dxa"/>
            <w:right w:w="108" w:type="dxa"/>
          </w:tblCellMar>
        </w:tblPrEx>
        <w:trPr>
          <w:gridAfter w:val="2"/>
          <w:wAfter w:w="3963" w:type="dxa"/>
          <w:trHeight w:val="800" w:hRule="atLeast"/>
        </w:trPr>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73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1"/>
                <w:szCs w:val="11"/>
              </w:rPr>
            </w:pPr>
            <w:r>
              <w:rPr>
                <w:rFonts w:hint="eastAsia" w:ascii="宋体" w:hAnsi="宋体" w:cs="宋体"/>
                <w:color w:val="000000"/>
                <w:kern w:val="0"/>
                <w:sz w:val="11"/>
                <w:szCs w:val="11"/>
              </w:rPr>
              <w:t>西大线、河施线110KV电力设施迁复建工程</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1"/>
                <w:szCs w:val="11"/>
              </w:rPr>
            </w:pPr>
            <w:r>
              <w:rPr>
                <w:rFonts w:hint="eastAsia" w:ascii="宋体" w:hAnsi="宋体" w:cs="宋体"/>
                <w:color w:val="000000"/>
                <w:kern w:val="0"/>
                <w:sz w:val="11"/>
                <w:szCs w:val="11"/>
              </w:rPr>
              <w:t>迁改项目</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1"/>
                <w:szCs w:val="11"/>
              </w:rPr>
            </w:pPr>
            <w:r>
              <w:rPr>
                <w:rFonts w:hint="eastAsia" w:ascii="宋体" w:hAnsi="宋体" w:cs="宋体"/>
                <w:color w:val="000000"/>
                <w:kern w:val="0"/>
                <w:sz w:val="11"/>
                <w:szCs w:val="11"/>
              </w:rPr>
              <w:t>迁改项目</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9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Layout w:type="fixed"/>
          <w:tblCellMar>
            <w:top w:w="0" w:type="dxa"/>
            <w:left w:w="108" w:type="dxa"/>
            <w:bottom w:w="0" w:type="dxa"/>
            <w:right w:w="108" w:type="dxa"/>
          </w:tblCellMar>
        </w:tblPrEx>
        <w:trPr>
          <w:gridAfter w:val="2"/>
          <w:wAfter w:w="3963" w:type="dxa"/>
          <w:trHeight w:val="700" w:hRule="atLeast"/>
        </w:trPr>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73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43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1"/>
                <w:szCs w:val="11"/>
              </w:rPr>
            </w:pPr>
            <w:r>
              <w:rPr>
                <w:rFonts w:hint="eastAsia" w:ascii="宋体" w:hAnsi="宋体" w:cs="宋体"/>
                <w:color w:val="000000"/>
                <w:kern w:val="0"/>
                <w:sz w:val="11"/>
                <w:szCs w:val="11"/>
              </w:rPr>
              <w:t>协调电力保障</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1"/>
                <w:szCs w:val="11"/>
              </w:rPr>
            </w:pPr>
            <w:r>
              <w:rPr>
                <w:rFonts w:hint="eastAsia" w:ascii="宋体" w:hAnsi="宋体" w:cs="宋体"/>
                <w:color w:val="000000"/>
                <w:kern w:val="0"/>
                <w:sz w:val="11"/>
                <w:szCs w:val="11"/>
              </w:rPr>
              <w:t>确保辖区企业、居民生产生活用电</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1"/>
                <w:szCs w:val="11"/>
              </w:rPr>
            </w:pPr>
            <w:r>
              <w:rPr>
                <w:rFonts w:hint="eastAsia" w:ascii="宋体" w:hAnsi="宋体" w:cs="宋体"/>
                <w:color w:val="000000"/>
                <w:kern w:val="0"/>
                <w:sz w:val="11"/>
                <w:szCs w:val="11"/>
              </w:rPr>
              <w:t>确保辖区企业、居民生产生活用电</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9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Layout w:type="fixed"/>
          <w:tblCellMar>
            <w:top w:w="0" w:type="dxa"/>
            <w:left w:w="108" w:type="dxa"/>
            <w:bottom w:w="0" w:type="dxa"/>
            <w:right w:w="108" w:type="dxa"/>
          </w:tblCellMar>
        </w:tblPrEx>
        <w:trPr>
          <w:gridAfter w:val="2"/>
          <w:wAfter w:w="3963" w:type="dxa"/>
          <w:trHeight w:val="435" w:hRule="atLeast"/>
        </w:trPr>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73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43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1"/>
                <w:szCs w:val="11"/>
              </w:rPr>
            </w:pPr>
            <w:r>
              <w:rPr>
                <w:rFonts w:hint="eastAsia" w:ascii="宋体" w:hAnsi="宋体" w:cs="宋体"/>
                <w:color w:val="000000"/>
                <w:kern w:val="0"/>
                <w:sz w:val="11"/>
                <w:szCs w:val="11"/>
              </w:rPr>
              <w:t>按工作计划</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1"/>
                <w:szCs w:val="11"/>
              </w:rPr>
            </w:pPr>
            <w:r>
              <w:rPr>
                <w:rFonts w:hint="eastAsia" w:ascii="宋体" w:hAnsi="宋体" w:cs="宋体"/>
                <w:color w:val="000000"/>
                <w:kern w:val="0"/>
                <w:sz w:val="11"/>
                <w:szCs w:val="11"/>
              </w:rPr>
              <w:t>2021年改造1300户</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1"/>
                <w:szCs w:val="11"/>
              </w:rPr>
            </w:pPr>
            <w:r>
              <w:rPr>
                <w:rFonts w:hint="eastAsia" w:ascii="宋体" w:hAnsi="宋体" w:cs="宋体"/>
                <w:color w:val="000000"/>
                <w:kern w:val="0"/>
                <w:sz w:val="11"/>
                <w:szCs w:val="11"/>
              </w:rPr>
              <w:t>2021年改造1300户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9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Layout w:type="fixed"/>
          <w:tblCellMar>
            <w:top w:w="0" w:type="dxa"/>
            <w:left w:w="108" w:type="dxa"/>
            <w:bottom w:w="0" w:type="dxa"/>
            <w:right w:w="108" w:type="dxa"/>
          </w:tblCellMar>
        </w:tblPrEx>
        <w:trPr>
          <w:gridAfter w:val="2"/>
          <w:wAfter w:w="3963" w:type="dxa"/>
          <w:trHeight w:val="580" w:hRule="atLeast"/>
        </w:trPr>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73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4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1"/>
                <w:szCs w:val="11"/>
              </w:rPr>
            </w:pPr>
            <w:r>
              <w:rPr>
                <w:rFonts w:hint="eastAsia" w:ascii="宋体" w:hAnsi="宋体" w:cs="宋体"/>
                <w:color w:val="000000"/>
                <w:kern w:val="0"/>
                <w:sz w:val="11"/>
                <w:szCs w:val="11"/>
              </w:rPr>
              <w:t>现场协调加班误餐费</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1"/>
                <w:szCs w:val="11"/>
              </w:rPr>
            </w:pPr>
            <w:r>
              <w:rPr>
                <w:rFonts w:hint="eastAsia" w:ascii="宋体" w:hAnsi="宋体" w:cs="宋体"/>
                <w:color w:val="000000"/>
                <w:kern w:val="0"/>
                <w:sz w:val="11"/>
                <w:szCs w:val="11"/>
              </w:rPr>
              <w:t>8人×100次×30元/次=18000元</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1"/>
                <w:szCs w:val="11"/>
              </w:rPr>
            </w:pPr>
            <w:r>
              <w:rPr>
                <w:rFonts w:hint="eastAsia" w:ascii="宋体" w:hAnsi="宋体" w:cs="宋体"/>
                <w:color w:val="000000"/>
                <w:kern w:val="0"/>
                <w:sz w:val="11"/>
                <w:szCs w:val="11"/>
              </w:rPr>
              <w:t>8人×100次×30元/次=18000元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9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Layout w:type="fixed"/>
          <w:tblCellMar>
            <w:top w:w="0" w:type="dxa"/>
            <w:left w:w="108" w:type="dxa"/>
            <w:bottom w:w="0" w:type="dxa"/>
            <w:right w:w="108" w:type="dxa"/>
          </w:tblCellMar>
        </w:tblPrEx>
        <w:trPr>
          <w:gridAfter w:val="2"/>
          <w:wAfter w:w="3963" w:type="dxa"/>
          <w:trHeight w:val="600" w:hRule="atLeast"/>
        </w:trPr>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73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1"/>
                <w:szCs w:val="11"/>
              </w:rPr>
            </w:pPr>
            <w:r>
              <w:rPr>
                <w:rFonts w:hint="eastAsia" w:ascii="宋体" w:hAnsi="宋体" w:cs="宋体"/>
                <w:color w:val="000000"/>
                <w:kern w:val="0"/>
                <w:sz w:val="11"/>
                <w:szCs w:val="11"/>
              </w:rPr>
              <w:t>项目对接费</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1"/>
                <w:szCs w:val="11"/>
              </w:rPr>
            </w:pPr>
            <w:r>
              <w:rPr>
                <w:rFonts w:hint="eastAsia" w:ascii="宋体" w:hAnsi="宋体" w:cs="宋体"/>
                <w:color w:val="000000"/>
                <w:kern w:val="0"/>
                <w:sz w:val="11"/>
                <w:szCs w:val="11"/>
              </w:rPr>
              <w:t>8人×100次×30元/次=18000元</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1"/>
                <w:szCs w:val="11"/>
              </w:rPr>
            </w:pPr>
            <w:r>
              <w:rPr>
                <w:rFonts w:hint="eastAsia" w:ascii="宋体" w:hAnsi="宋体" w:cs="宋体"/>
                <w:color w:val="000000"/>
                <w:kern w:val="0"/>
                <w:sz w:val="11"/>
                <w:szCs w:val="11"/>
              </w:rPr>
              <w:t>8人×100次×30元/次=18000元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9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Layout w:type="fixed"/>
          <w:tblCellMar>
            <w:top w:w="0" w:type="dxa"/>
            <w:left w:w="108" w:type="dxa"/>
            <w:bottom w:w="0" w:type="dxa"/>
            <w:right w:w="108" w:type="dxa"/>
          </w:tblCellMar>
        </w:tblPrEx>
        <w:trPr>
          <w:gridAfter w:val="2"/>
          <w:wAfter w:w="3963" w:type="dxa"/>
          <w:trHeight w:val="780" w:hRule="atLeast"/>
        </w:trPr>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73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1"/>
                <w:szCs w:val="11"/>
              </w:rPr>
            </w:pPr>
            <w:r>
              <w:rPr>
                <w:rFonts w:hint="eastAsia" w:ascii="宋体" w:hAnsi="宋体" w:cs="宋体"/>
                <w:color w:val="000000"/>
                <w:kern w:val="0"/>
                <w:sz w:val="11"/>
                <w:szCs w:val="11"/>
              </w:rPr>
              <w:t>制作预防林区输配电设施火灾隐患宣传展板、宣传资料</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1"/>
                <w:szCs w:val="11"/>
              </w:rPr>
            </w:pPr>
            <w:r>
              <w:rPr>
                <w:rFonts w:hint="eastAsia" w:ascii="宋体" w:hAnsi="宋体" w:cs="宋体"/>
                <w:color w:val="000000"/>
                <w:kern w:val="0"/>
                <w:sz w:val="11"/>
                <w:szCs w:val="11"/>
              </w:rPr>
              <w:t>展板印刷：34张×1000元/张=34000元</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1"/>
                <w:szCs w:val="11"/>
              </w:rPr>
            </w:pPr>
            <w:r>
              <w:rPr>
                <w:rFonts w:hint="eastAsia" w:ascii="宋体" w:hAnsi="宋体" w:cs="宋体"/>
                <w:color w:val="000000"/>
                <w:kern w:val="0"/>
                <w:sz w:val="11"/>
                <w:szCs w:val="11"/>
              </w:rPr>
              <w:t>展板印刷：34张×1000元/张=34000元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9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Layout w:type="fixed"/>
          <w:tblCellMar>
            <w:top w:w="0" w:type="dxa"/>
            <w:left w:w="108" w:type="dxa"/>
            <w:bottom w:w="0" w:type="dxa"/>
            <w:right w:w="108" w:type="dxa"/>
          </w:tblCellMar>
        </w:tblPrEx>
        <w:trPr>
          <w:gridAfter w:val="2"/>
          <w:wAfter w:w="3963" w:type="dxa"/>
          <w:trHeight w:val="680" w:hRule="atLeast"/>
        </w:trPr>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736"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项目效益</w:t>
            </w:r>
          </w:p>
        </w:tc>
        <w:tc>
          <w:tcPr>
            <w:tcW w:w="432"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指标</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1"/>
                <w:szCs w:val="11"/>
              </w:rPr>
            </w:pPr>
            <w:r>
              <w:rPr>
                <w:rFonts w:hint="eastAsia" w:ascii="宋体" w:hAnsi="宋体" w:cs="宋体"/>
                <w:color w:val="000000"/>
                <w:kern w:val="0"/>
                <w:sz w:val="11"/>
                <w:szCs w:val="11"/>
              </w:rPr>
              <w:t>满足招商引资需求</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1"/>
                <w:szCs w:val="11"/>
              </w:rPr>
            </w:pPr>
            <w:r>
              <w:rPr>
                <w:rFonts w:hint="eastAsia" w:ascii="宋体" w:hAnsi="宋体" w:cs="宋体"/>
                <w:color w:val="000000"/>
                <w:kern w:val="0"/>
                <w:sz w:val="11"/>
                <w:szCs w:val="11"/>
              </w:rPr>
              <w:t>为项目有效引进提供基础保障</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1"/>
                <w:szCs w:val="11"/>
              </w:rPr>
            </w:pPr>
            <w:r>
              <w:rPr>
                <w:rFonts w:hint="eastAsia" w:ascii="宋体" w:hAnsi="宋体" w:cs="宋体"/>
                <w:color w:val="000000"/>
                <w:kern w:val="0"/>
                <w:sz w:val="11"/>
                <w:szCs w:val="11"/>
              </w:rPr>
              <w:t>为项目有效引进提供基础保障</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9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Layout w:type="fixed"/>
          <w:tblCellMar>
            <w:top w:w="0" w:type="dxa"/>
            <w:left w:w="108" w:type="dxa"/>
            <w:bottom w:w="0" w:type="dxa"/>
            <w:right w:w="108" w:type="dxa"/>
          </w:tblCellMar>
        </w:tblPrEx>
        <w:trPr>
          <w:gridAfter w:val="2"/>
          <w:wAfter w:w="3963" w:type="dxa"/>
          <w:trHeight w:val="560" w:hRule="atLeast"/>
        </w:trPr>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73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43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1"/>
                <w:szCs w:val="11"/>
              </w:rPr>
            </w:pPr>
            <w:r>
              <w:rPr>
                <w:rFonts w:hint="eastAsia" w:ascii="宋体" w:hAnsi="宋体" w:cs="宋体"/>
                <w:color w:val="000000"/>
                <w:kern w:val="0"/>
                <w:sz w:val="11"/>
                <w:szCs w:val="11"/>
              </w:rPr>
              <w:t>减少用电安全隐患</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1"/>
                <w:szCs w:val="11"/>
              </w:rPr>
            </w:pPr>
            <w:r>
              <w:rPr>
                <w:rFonts w:hint="eastAsia" w:ascii="宋体" w:hAnsi="宋体" w:cs="宋体"/>
                <w:color w:val="000000"/>
                <w:kern w:val="0"/>
                <w:sz w:val="11"/>
                <w:szCs w:val="11"/>
              </w:rPr>
              <w:t>保障企业及人民群众用电需求</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9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Layout w:type="fixed"/>
          <w:tblCellMar>
            <w:top w:w="0" w:type="dxa"/>
            <w:left w:w="108" w:type="dxa"/>
            <w:bottom w:w="0" w:type="dxa"/>
            <w:right w:w="108" w:type="dxa"/>
          </w:tblCellMar>
        </w:tblPrEx>
        <w:trPr>
          <w:gridAfter w:val="2"/>
          <w:wAfter w:w="3963" w:type="dxa"/>
          <w:trHeight w:val="570" w:hRule="atLeast"/>
        </w:trPr>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73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18"/>
                <w:szCs w:val="18"/>
              </w:rPr>
            </w:pPr>
          </w:p>
        </w:tc>
        <w:tc>
          <w:tcPr>
            <w:tcW w:w="43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指标</w:t>
            </w:r>
          </w:p>
        </w:tc>
        <w:tc>
          <w:tcPr>
            <w:tcW w:w="250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sz w:val="11"/>
                <w:szCs w:val="11"/>
              </w:rPr>
            </w:pPr>
            <w:r>
              <w:rPr>
                <w:rFonts w:hint="eastAsia" w:ascii="宋体" w:hAnsi="宋体" w:cs="宋体"/>
                <w:color w:val="000000"/>
                <w:kern w:val="0"/>
                <w:sz w:val="11"/>
                <w:szCs w:val="11"/>
              </w:rPr>
              <w:t>满足居民、企业用电需求</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1"/>
                <w:szCs w:val="11"/>
              </w:rPr>
            </w:pPr>
            <w:r>
              <w:rPr>
                <w:rFonts w:hint="eastAsia" w:ascii="宋体" w:hAnsi="宋体" w:cs="宋体"/>
                <w:color w:val="000000"/>
                <w:kern w:val="0"/>
                <w:sz w:val="11"/>
                <w:szCs w:val="11"/>
              </w:rPr>
              <w:t>保障企业、居民正常生产生活用电</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9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Layout w:type="fixed"/>
          <w:tblCellMar>
            <w:top w:w="0" w:type="dxa"/>
            <w:left w:w="108" w:type="dxa"/>
            <w:bottom w:w="0" w:type="dxa"/>
            <w:right w:w="108" w:type="dxa"/>
          </w:tblCellMar>
        </w:tblPrEx>
        <w:trPr>
          <w:gridAfter w:val="2"/>
          <w:wAfter w:w="3963" w:type="dxa"/>
          <w:trHeight w:val="285" w:hRule="atLeast"/>
        </w:trPr>
        <w:tc>
          <w:tcPr>
            <w:tcW w:w="735" w:type="dxa"/>
            <w:vMerge w:val="continue"/>
            <w:tcBorders>
              <w:top w:val="single" w:color="000000" w:sz="4" w:space="0"/>
              <w:left w:val="single" w:color="000000" w:sz="4" w:space="0"/>
              <w:bottom w:val="nil"/>
              <w:right w:val="single" w:color="auto" w:sz="4" w:space="0"/>
            </w:tcBorders>
            <w:shd w:val="clear" w:color="auto" w:fill="auto"/>
            <w:vAlign w:val="center"/>
          </w:tcPr>
          <w:p>
            <w:pPr>
              <w:jc w:val="center"/>
              <w:rPr>
                <w:rFonts w:ascii="宋体" w:hAnsi="宋体" w:cs="宋体"/>
                <w:color w:val="000000"/>
                <w:sz w:val="18"/>
                <w:szCs w:val="18"/>
              </w:rPr>
            </w:pPr>
          </w:p>
        </w:tc>
        <w:tc>
          <w:tcPr>
            <w:tcW w:w="736" w:type="dxa"/>
            <w:vMerge w:val="restart"/>
            <w:tcBorders>
              <w:top w:val="single" w:color="auto" w:sz="4" w:space="0"/>
              <w:left w:val="single" w:color="auto"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432" w:type="dxa"/>
            <w:vMerge w:val="restart"/>
            <w:tcBorders>
              <w:top w:val="single" w:color="auto"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2505"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宋体" w:hAnsi="宋体" w:cs="宋体"/>
                <w:color w:val="000000"/>
                <w:sz w:val="11"/>
                <w:szCs w:val="11"/>
              </w:rPr>
            </w:pPr>
            <w:r>
              <w:rPr>
                <w:rFonts w:hint="eastAsia" w:ascii="宋体" w:hAnsi="宋体" w:cs="宋体"/>
                <w:color w:val="000000"/>
                <w:kern w:val="0"/>
                <w:sz w:val="11"/>
                <w:szCs w:val="11"/>
              </w:rPr>
              <w:t>群众满意度</w:t>
            </w:r>
          </w:p>
        </w:tc>
        <w:tc>
          <w:tcPr>
            <w:tcW w:w="118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1"/>
                <w:szCs w:val="11"/>
              </w:rPr>
            </w:pPr>
            <w:r>
              <w:rPr>
                <w:rFonts w:hint="eastAsia" w:ascii="宋体" w:hAnsi="宋体" w:cs="宋体"/>
                <w:color w:val="000000"/>
                <w:kern w:val="0"/>
                <w:sz w:val="11"/>
                <w:szCs w:val="11"/>
              </w:rPr>
              <w:t>抽样调查满意度达到95%以上</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9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Layout w:type="fixed"/>
          <w:tblCellMar>
            <w:top w:w="0" w:type="dxa"/>
            <w:left w:w="108" w:type="dxa"/>
            <w:bottom w:w="0" w:type="dxa"/>
            <w:right w:w="108" w:type="dxa"/>
          </w:tblCellMar>
        </w:tblPrEx>
        <w:trPr>
          <w:gridAfter w:val="2"/>
          <w:wAfter w:w="3963" w:type="dxa"/>
          <w:trHeight w:val="460" w:hRule="atLeast"/>
        </w:trPr>
        <w:tc>
          <w:tcPr>
            <w:tcW w:w="735" w:type="dxa"/>
            <w:vMerge w:val="continue"/>
            <w:tcBorders>
              <w:top w:val="single" w:color="000000" w:sz="4" w:space="0"/>
              <w:left w:val="single" w:color="000000" w:sz="4" w:space="0"/>
              <w:bottom w:val="nil"/>
              <w:right w:val="single" w:color="auto" w:sz="4" w:space="0"/>
            </w:tcBorders>
            <w:shd w:val="clear" w:color="auto" w:fill="auto"/>
            <w:vAlign w:val="center"/>
          </w:tcPr>
          <w:p>
            <w:pPr>
              <w:jc w:val="center"/>
              <w:rPr>
                <w:rFonts w:ascii="宋体" w:hAnsi="宋体" w:cs="宋体"/>
                <w:color w:val="000000"/>
                <w:sz w:val="18"/>
                <w:szCs w:val="18"/>
              </w:rPr>
            </w:pPr>
          </w:p>
        </w:tc>
        <w:tc>
          <w:tcPr>
            <w:tcW w:w="736"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color w:val="000000"/>
                <w:sz w:val="18"/>
                <w:szCs w:val="18"/>
              </w:rPr>
            </w:pPr>
          </w:p>
        </w:tc>
        <w:tc>
          <w:tcPr>
            <w:tcW w:w="432"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18"/>
                <w:szCs w:val="18"/>
              </w:rPr>
            </w:pPr>
          </w:p>
        </w:tc>
        <w:tc>
          <w:tcPr>
            <w:tcW w:w="2505"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1"/>
                <w:szCs w:val="11"/>
              </w:rPr>
            </w:pPr>
            <w:r>
              <w:rPr>
                <w:rFonts w:hint="eastAsia" w:ascii="宋体" w:hAnsi="宋体" w:cs="宋体"/>
                <w:color w:val="000000"/>
                <w:kern w:val="0"/>
                <w:sz w:val="11"/>
                <w:szCs w:val="11"/>
              </w:rPr>
              <w:t>辖区规上工业企业</w:t>
            </w:r>
          </w:p>
        </w:tc>
        <w:tc>
          <w:tcPr>
            <w:tcW w:w="118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1"/>
                <w:szCs w:val="11"/>
              </w:rPr>
            </w:pPr>
            <w:r>
              <w:rPr>
                <w:rFonts w:hint="eastAsia" w:ascii="宋体" w:hAnsi="宋体" w:cs="宋体"/>
                <w:color w:val="000000"/>
                <w:kern w:val="0"/>
                <w:sz w:val="11"/>
                <w:szCs w:val="11"/>
              </w:rPr>
              <w:t>抽样调查满意度达95%以上</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9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bl>
    <w:p>
      <w:pPr>
        <w:adjustRightInd w:val="0"/>
        <w:snapToGrid w:val="0"/>
        <w:spacing w:line="600" w:lineRule="exact"/>
        <w:ind w:firstLine="640" w:firstLineChars="200"/>
        <w:rPr>
          <w:rFonts w:ascii="仿宋_GB2312" w:hAnsi="宋体" w:eastAsia="仿宋_GB2312"/>
          <w:sz w:val="32"/>
          <w:szCs w:val="32"/>
          <w:lang w:val="zh-CN"/>
        </w:rPr>
      </w:pPr>
    </w:p>
    <w:p>
      <w:pPr>
        <w:pStyle w:val="7"/>
        <w:spacing w:before="93"/>
        <w:rPr>
          <w:rFonts w:hAnsi="宋体"/>
          <w:sz w:val="32"/>
          <w:szCs w:val="32"/>
          <w:lang w:val="zh-CN"/>
        </w:rPr>
      </w:pPr>
    </w:p>
    <w:p>
      <w:pPr>
        <w:pStyle w:val="7"/>
        <w:spacing w:before="93"/>
        <w:rPr>
          <w:rFonts w:hAnsi="宋体"/>
          <w:sz w:val="32"/>
          <w:szCs w:val="32"/>
          <w:lang w:val="zh-CN"/>
        </w:rPr>
      </w:pPr>
    </w:p>
    <w:p>
      <w:pPr>
        <w:spacing w:line="572" w:lineRule="exact"/>
        <w:jc w:val="left"/>
        <w:outlineLvl w:val="0"/>
        <w:rPr>
          <w:rFonts w:ascii="黑体" w:hAnsi="黑体" w:eastAsia="黑体" w:cs="黑体"/>
          <w:sz w:val="32"/>
          <w:szCs w:val="32"/>
        </w:rPr>
      </w:pPr>
      <w:r>
        <w:rPr>
          <w:rFonts w:hint="eastAsia" w:ascii="黑体" w:hAnsi="黑体" w:eastAsia="黑体" w:cs="黑体"/>
          <w:sz w:val="32"/>
          <w:szCs w:val="32"/>
        </w:rPr>
        <w:t>附件</w:t>
      </w:r>
    </w:p>
    <w:p>
      <w:pPr>
        <w:pStyle w:val="6"/>
      </w:pPr>
      <w:r>
        <w:rPr>
          <w:rFonts w:hint="eastAsia"/>
        </w:rPr>
        <w:drawing>
          <wp:inline distT="0" distB="0" distL="114300" distR="114300">
            <wp:extent cx="5271770" cy="5484495"/>
            <wp:effectExtent l="0" t="0" r="1270" b="190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13"/>
                    <a:stretch>
                      <a:fillRect/>
                    </a:stretch>
                  </pic:blipFill>
                  <pic:spPr>
                    <a:xfrm>
                      <a:off x="0" y="0"/>
                      <a:ext cx="5271770" cy="5484495"/>
                    </a:xfrm>
                    <a:prstGeom prst="rect">
                      <a:avLst/>
                    </a:prstGeom>
                  </pic:spPr>
                </pic:pic>
              </a:graphicData>
            </a:graphic>
          </wp:inline>
        </w:drawing>
      </w:r>
    </w:p>
    <w:p>
      <w:pPr>
        <w:pStyle w:val="6"/>
      </w:pPr>
    </w:p>
    <w:tbl>
      <w:tblPr>
        <w:tblStyle w:val="19"/>
        <w:tblpPr w:leftFromText="180" w:rightFromText="180" w:vertAnchor="text" w:horzAnchor="page" w:tblpX="1281" w:tblpY="660"/>
        <w:tblOverlap w:val="never"/>
        <w:tblW w:w="236" w:type="dxa"/>
        <w:tblInd w:w="0" w:type="dxa"/>
        <w:tblLayout w:type="fixed"/>
        <w:tblCellMar>
          <w:top w:w="0" w:type="dxa"/>
          <w:left w:w="108" w:type="dxa"/>
          <w:bottom w:w="0" w:type="dxa"/>
          <w:right w:w="108" w:type="dxa"/>
        </w:tblCellMar>
      </w:tblPr>
      <w:tblGrid>
        <w:gridCol w:w="236"/>
      </w:tblGrid>
      <w:tr>
        <w:tblPrEx>
          <w:tblLayout w:type="fixed"/>
          <w:tblCellMar>
            <w:top w:w="0" w:type="dxa"/>
            <w:left w:w="108" w:type="dxa"/>
            <w:bottom w:w="0" w:type="dxa"/>
            <w:right w:w="108" w:type="dxa"/>
          </w:tblCellMar>
        </w:tblPrEx>
        <w:trPr>
          <w:trHeight w:val="675" w:hRule="atLeast"/>
        </w:trPr>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bl>
    <w:p>
      <w:pPr>
        <w:jc w:val="center"/>
        <w:outlineLvl w:val="0"/>
        <w:rPr>
          <w:rFonts w:ascii="黑体" w:hAnsi="黑体" w:eastAsia="黑体"/>
          <w:sz w:val="44"/>
          <w:szCs w:val="44"/>
        </w:rPr>
      </w:pPr>
      <w:r>
        <w:rPr>
          <w:rFonts w:hint="eastAsia"/>
        </w:rPr>
        <w:drawing>
          <wp:inline distT="0" distB="0" distL="114300" distR="114300">
            <wp:extent cx="5271770" cy="5575300"/>
            <wp:effectExtent l="0" t="0" r="1270" b="2540"/>
            <wp:docPr id="9" name="图片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
                    <pic:cNvPicPr>
                      <a:picLocks noChangeAspect="1"/>
                    </pic:cNvPicPr>
                  </pic:nvPicPr>
                  <pic:blipFill>
                    <a:blip r:embed="rId14"/>
                    <a:stretch>
                      <a:fillRect/>
                    </a:stretch>
                  </pic:blipFill>
                  <pic:spPr>
                    <a:xfrm>
                      <a:off x="0" y="0"/>
                      <a:ext cx="5271770" cy="5575300"/>
                    </a:xfrm>
                    <a:prstGeom prst="rect">
                      <a:avLst/>
                    </a:prstGeom>
                  </pic:spPr>
                </pic:pic>
              </a:graphicData>
            </a:graphic>
          </wp:inline>
        </w:drawing>
      </w:r>
    </w:p>
    <w:p>
      <w:pPr>
        <w:pStyle w:val="6"/>
      </w:pPr>
    </w:p>
    <w:p>
      <w:pPr>
        <w:spacing w:line="600" w:lineRule="exact"/>
        <w:jc w:val="center"/>
        <w:outlineLvl w:val="0"/>
        <w:rPr>
          <w:rFonts w:ascii="黑体" w:hAnsi="黑体" w:eastAsia="黑体"/>
          <w:sz w:val="44"/>
          <w:szCs w:val="44"/>
        </w:rPr>
      </w:pPr>
    </w:p>
    <w:p>
      <w:pPr>
        <w:pStyle w:val="7"/>
        <w:spacing w:before="93"/>
        <w:rPr>
          <w:rFonts w:ascii="黑体" w:hAnsi="黑体" w:eastAsia="黑体"/>
          <w:sz w:val="44"/>
          <w:szCs w:val="44"/>
        </w:rPr>
      </w:pPr>
    </w:p>
    <w:p>
      <w:pPr>
        <w:pStyle w:val="7"/>
        <w:spacing w:before="93"/>
        <w:rPr>
          <w:rFonts w:ascii="黑体" w:hAnsi="黑体" w:eastAsia="黑体"/>
          <w:sz w:val="44"/>
          <w:szCs w:val="44"/>
        </w:rPr>
      </w:pPr>
    </w:p>
    <w:p>
      <w:pPr>
        <w:ind w:firstLine="643" w:firstLineChars="200"/>
        <w:rPr>
          <w:rFonts w:ascii="仿宋" w:hAnsi="仿宋" w:eastAsia="仿宋"/>
          <w:b/>
          <w:sz w:val="32"/>
          <w:szCs w:val="32"/>
        </w:rPr>
      </w:pPr>
    </w:p>
    <w:p>
      <w:pPr>
        <w:spacing w:line="600" w:lineRule="exact"/>
        <w:jc w:val="center"/>
        <w:outlineLvl w:val="0"/>
        <w:rPr>
          <w:rFonts w:ascii="黑体" w:hAnsi="黑体" w:eastAsia="黑体"/>
          <w:sz w:val="44"/>
          <w:szCs w:val="44"/>
        </w:rPr>
      </w:pPr>
      <w:bookmarkStart w:id="51" w:name="_Toc15396619"/>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pStyle w:val="6"/>
        <w:ind w:firstLine="0" w:firstLineChars="0"/>
        <w:rPr>
          <w:rFonts w:ascii="黑体" w:hAnsi="黑体" w:eastAsia="黑体"/>
          <w:sz w:val="44"/>
          <w:szCs w:val="44"/>
        </w:rPr>
      </w:pPr>
      <w:r>
        <w:rPr>
          <w:rFonts w:hint="eastAsia" w:ascii="黑体" w:hAnsi="黑体" w:eastAsia="黑体"/>
          <w:sz w:val="44"/>
          <w:szCs w:val="44"/>
        </w:rPr>
        <w:drawing>
          <wp:inline distT="0" distB="0" distL="114300" distR="114300">
            <wp:extent cx="5271770" cy="6433185"/>
            <wp:effectExtent l="0" t="0" r="1270" b="13335"/>
            <wp:docPr id="12" name="图片 1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4"/>
                    <pic:cNvPicPr>
                      <a:picLocks noChangeAspect="1"/>
                    </pic:cNvPicPr>
                  </pic:nvPicPr>
                  <pic:blipFill>
                    <a:blip r:embed="rId15"/>
                    <a:stretch>
                      <a:fillRect/>
                    </a:stretch>
                  </pic:blipFill>
                  <pic:spPr>
                    <a:xfrm>
                      <a:off x="0" y="0"/>
                      <a:ext cx="5271770" cy="6433185"/>
                    </a:xfrm>
                    <a:prstGeom prst="rect">
                      <a:avLst/>
                    </a:prstGeom>
                  </pic:spPr>
                </pic:pic>
              </a:graphicData>
            </a:graphic>
          </wp:inline>
        </w:drawing>
      </w: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pStyle w:val="6"/>
        <w:ind w:firstLine="0" w:firstLineChars="0"/>
        <w:rPr>
          <w:rFonts w:eastAsia="黑体"/>
        </w:rPr>
      </w:pPr>
      <w:r>
        <w:rPr>
          <w:rFonts w:hint="eastAsia" w:eastAsia="黑体"/>
        </w:rPr>
        <w:drawing>
          <wp:inline distT="0" distB="0" distL="114300" distR="114300">
            <wp:extent cx="5271770" cy="6778625"/>
            <wp:effectExtent l="0" t="0" r="1270" b="3175"/>
            <wp:docPr id="13" name="图片 1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5"/>
                    <pic:cNvPicPr>
                      <a:picLocks noChangeAspect="1"/>
                    </pic:cNvPicPr>
                  </pic:nvPicPr>
                  <pic:blipFill>
                    <a:blip r:embed="rId16"/>
                    <a:stretch>
                      <a:fillRect/>
                    </a:stretch>
                  </pic:blipFill>
                  <pic:spPr>
                    <a:xfrm>
                      <a:off x="0" y="0"/>
                      <a:ext cx="5271770" cy="6778625"/>
                    </a:xfrm>
                    <a:prstGeom prst="rect">
                      <a:avLst/>
                    </a:prstGeom>
                  </pic:spPr>
                </pic:pic>
              </a:graphicData>
            </a:graphic>
          </wp:inline>
        </w:drawing>
      </w:r>
    </w:p>
    <w:p>
      <w:pPr>
        <w:spacing w:line="600" w:lineRule="exact"/>
        <w:jc w:val="both"/>
        <w:outlineLvl w:val="0"/>
        <w:rPr>
          <w:rFonts w:ascii="黑体" w:hAnsi="黑体" w:eastAsia="黑体"/>
          <w:sz w:val="44"/>
          <w:szCs w:val="44"/>
        </w:rPr>
      </w:pPr>
    </w:p>
    <w:p>
      <w:pPr>
        <w:spacing w:line="600" w:lineRule="exact"/>
        <w:ind w:firstLine="3080" w:firstLineChars="700"/>
        <w:outlineLvl w:val="0"/>
        <w:rPr>
          <w:rFonts w:ascii="仿宋" w:hAnsi="仿宋" w:eastAsia="仿宋"/>
        </w:rPr>
      </w:pPr>
      <w:r>
        <w:rPr>
          <w:rFonts w:hint="eastAsia" w:ascii="黑体" w:hAnsi="黑体" w:eastAsia="黑体"/>
          <w:sz w:val="44"/>
          <w:szCs w:val="44"/>
        </w:rPr>
        <w:t>第</w:t>
      </w:r>
      <w:r>
        <w:rPr>
          <w:rStyle w:val="28"/>
          <w:rFonts w:hint="eastAsia" w:ascii="黑体" w:hAnsi="黑体" w:eastAsia="黑体"/>
          <w:b w:val="0"/>
        </w:rPr>
        <w:t>五部分 附表</w:t>
      </w:r>
    </w:p>
    <w:p>
      <w:pPr>
        <w:pStyle w:val="4"/>
        <w:rPr>
          <w:rFonts w:ascii="仿宋" w:hAnsi="仿宋" w:eastAsia="仿宋"/>
        </w:rPr>
      </w:pPr>
      <w:r>
        <w:rPr>
          <w:rFonts w:hint="eastAsia" w:ascii="仿宋" w:hAnsi="仿宋" w:eastAsia="仿宋"/>
          <w:b w:val="0"/>
        </w:rPr>
        <w:t>一、收</w:t>
      </w:r>
      <w:r>
        <w:rPr>
          <w:rStyle w:val="29"/>
          <w:rFonts w:hint="eastAsia" w:ascii="仿宋" w:hAnsi="仿宋" w:eastAsia="仿宋"/>
          <w:b w:val="0"/>
          <w:bCs w:val="0"/>
        </w:rPr>
        <w:t>入支出决算总表</w:t>
      </w:r>
      <w:bookmarkEnd w:id="51"/>
    </w:p>
    <w:p>
      <w:pPr>
        <w:pStyle w:val="4"/>
        <w:rPr>
          <w:rFonts w:ascii="仿宋" w:hAnsi="仿宋" w:eastAsia="仿宋"/>
        </w:rPr>
      </w:pPr>
      <w:bookmarkStart w:id="52" w:name="_Toc15396620"/>
      <w:r>
        <w:rPr>
          <w:rFonts w:hint="eastAsia" w:ascii="仿宋" w:hAnsi="仿宋" w:eastAsia="仿宋"/>
          <w:b w:val="0"/>
        </w:rPr>
        <w:t>二、收</w:t>
      </w:r>
      <w:r>
        <w:rPr>
          <w:rStyle w:val="29"/>
          <w:rFonts w:hint="eastAsia" w:ascii="仿宋" w:hAnsi="仿宋" w:eastAsia="仿宋"/>
          <w:b w:val="0"/>
          <w:bCs w:val="0"/>
        </w:rPr>
        <w:t>入决算表</w:t>
      </w:r>
      <w:bookmarkEnd w:id="52"/>
    </w:p>
    <w:p>
      <w:pPr>
        <w:pStyle w:val="4"/>
        <w:rPr>
          <w:rFonts w:ascii="仿宋" w:hAnsi="仿宋" w:eastAsia="仿宋"/>
        </w:rPr>
      </w:pPr>
      <w:bookmarkStart w:id="53"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53"/>
    </w:p>
    <w:p>
      <w:pPr>
        <w:pStyle w:val="4"/>
        <w:rPr>
          <w:rFonts w:ascii="仿宋" w:hAnsi="仿宋" w:eastAsia="仿宋"/>
          <w:b w:val="0"/>
        </w:rPr>
      </w:pPr>
      <w:bookmarkStart w:id="54"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54"/>
    </w:p>
    <w:p>
      <w:pPr>
        <w:pStyle w:val="4"/>
        <w:rPr>
          <w:rStyle w:val="29"/>
          <w:rFonts w:ascii="仿宋" w:hAnsi="仿宋" w:eastAsia="仿宋"/>
          <w:b w:val="0"/>
          <w:bCs w:val="0"/>
        </w:rPr>
      </w:pPr>
      <w:bookmarkStart w:id="55"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55"/>
      <w:bookmarkStart w:id="56" w:name="_Toc15396624"/>
    </w:p>
    <w:p>
      <w:pPr>
        <w:pStyle w:val="4"/>
        <w:rPr>
          <w:rFonts w:ascii="仿宋" w:hAnsi="仿宋" w:eastAsia="仿宋"/>
        </w:rPr>
      </w:pPr>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56"/>
    </w:p>
    <w:p>
      <w:pPr>
        <w:pStyle w:val="4"/>
        <w:rPr>
          <w:rFonts w:ascii="仿宋" w:hAnsi="仿宋" w:eastAsia="仿宋"/>
        </w:rPr>
      </w:pPr>
      <w:bookmarkStart w:id="57" w:name="_Toc1539662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57"/>
    </w:p>
    <w:p>
      <w:pPr>
        <w:pStyle w:val="4"/>
        <w:rPr>
          <w:rFonts w:ascii="仿宋" w:hAnsi="仿宋" w:eastAsia="仿宋"/>
        </w:rPr>
      </w:pPr>
      <w:bookmarkStart w:id="58"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58"/>
    </w:p>
    <w:p>
      <w:pPr>
        <w:pStyle w:val="4"/>
        <w:rPr>
          <w:rFonts w:ascii="仿宋" w:hAnsi="仿宋" w:eastAsia="仿宋"/>
        </w:rPr>
      </w:pPr>
      <w:bookmarkStart w:id="59"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59"/>
    </w:p>
    <w:p>
      <w:pPr>
        <w:pStyle w:val="4"/>
        <w:rPr>
          <w:rFonts w:ascii="仿宋" w:hAnsi="仿宋" w:eastAsia="仿宋"/>
        </w:rPr>
      </w:pPr>
      <w:bookmarkStart w:id="60" w:name="_Toc15396628"/>
      <w:r>
        <w:rPr>
          <w:rStyle w:val="29"/>
          <w:rFonts w:hint="eastAsia" w:ascii="仿宋" w:hAnsi="仿宋" w:eastAsia="仿宋"/>
          <w:b w:val="0"/>
          <w:bCs w:val="0"/>
        </w:rPr>
        <w:t>十、</w:t>
      </w:r>
      <w:r>
        <w:rPr>
          <w:rFonts w:hint="eastAsia" w:ascii="仿宋" w:hAnsi="仿宋" w:eastAsia="仿宋"/>
          <w:b w:val="0"/>
        </w:rPr>
        <w:t>一</w:t>
      </w:r>
      <w:r>
        <w:rPr>
          <w:rStyle w:val="29"/>
          <w:rFonts w:hint="eastAsia" w:ascii="仿宋" w:hAnsi="仿宋" w:eastAsia="仿宋"/>
          <w:b w:val="0"/>
          <w:bCs w:val="0"/>
        </w:rPr>
        <w:t>般公共预算财政拨款“三公”经费支出决算表</w:t>
      </w:r>
      <w:bookmarkEnd w:id="60"/>
    </w:p>
    <w:p>
      <w:pPr>
        <w:pStyle w:val="4"/>
        <w:rPr>
          <w:rFonts w:ascii="仿宋" w:hAnsi="仿宋" w:eastAsia="仿宋"/>
        </w:rPr>
      </w:pPr>
      <w:bookmarkStart w:id="61" w:name="_Toc15396629"/>
      <w:r>
        <w:rPr>
          <w:rStyle w:val="29"/>
          <w:rFonts w:hint="eastAsia" w:ascii="仿宋" w:hAnsi="仿宋" w:eastAsia="仿宋"/>
          <w:b w:val="0"/>
          <w:bCs w:val="0"/>
        </w:rPr>
        <w:t>十一、</w:t>
      </w:r>
      <w:r>
        <w:rPr>
          <w:rFonts w:hint="eastAsia" w:ascii="仿宋" w:hAnsi="仿宋" w:eastAsia="仿宋"/>
          <w:b w:val="0"/>
        </w:rPr>
        <w:t>政</w:t>
      </w:r>
      <w:r>
        <w:rPr>
          <w:rStyle w:val="29"/>
          <w:rFonts w:hint="eastAsia" w:ascii="仿宋" w:hAnsi="仿宋" w:eastAsia="仿宋"/>
          <w:b w:val="0"/>
          <w:bCs w:val="0"/>
        </w:rPr>
        <w:t>府性基金预算财政拨款收入支出决算表</w:t>
      </w:r>
      <w:bookmarkEnd w:id="61"/>
    </w:p>
    <w:p>
      <w:pPr>
        <w:pStyle w:val="4"/>
        <w:rPr>
          <w:rFonts w:ascii="仿宋" w:hAnsi="仿宋" w:eastAsia="仿宋"/>
        </w:rPr>
      </w:pPr>
      <w:bookmarkStart w:id="62" w:name="_Toc15396630"/>
      <w:r>
        <w:rPr>
          <w:rStyle w:val="29"/>
          <w:rFonts w:hint="eastAsia" w:ascii="仿宋" w:hAnsi="仿宋" w:eastAsia="仿宋"/>
          <w:b w:val="0"/>
          <w:bCs w:val="0"/>
        </w:rPr>
        <w:t>十二、</w:t>
      </w:r>
      <w:r>
        <w:rPr>
          <w:rFonts w:hint="eastAsia" w:ascii="仿宋" w:hAnsi="仿宋" w:eastAsia="仿宋"/>
          <w:b w:val="0"/>
        </w:rPr>
        <w:t>政</w:t>
      </w:r>
      <w:r>
        <w:rPr>
          <w:rStyle w:val="29"/>
          <w:rFonts w:hint="eastAsia" w:ascii="仿宋" w:hAnsi="仿宋" w:eastAsia="仿宋"/>
          <w:b w:val="0"/>
          <w:bCs w:val="0"/>
        </w:rPr>
        <w:t>府性基金预算财政拨款“三公”经费支出决算表</w:t>
      </w:r>
      <w:bookmarkEnd w:id="62"/>
    </w:p>
    <w:p>
      <w:pPr>
        <w:pStyle w:val="4"/>
        <w:rPr>
          <w:rStyle w:val="29"/>
          <w:rFonts w:ascii="仿宋" w:hAnsi="仿宋" w:eastAsia="仿宋"/>
          <w:b w:val="0"/>
          <w:bCs w:val="0"/>
        </w:rPr>
      </w:pPr>
      <w:bookmarkStart w:id="63" w:name="_Toc15396631"/>
      <w:r>
        <w:rPr>
          <w:rStyle w:val="29"/>
          <w:rFonts w:hint="eastAsia" w:ascii="仿宋" w:hAnsi="仿宋" w:eastAsia="仿宋"/>
          <w:b w:val="0"/>
          <w:bCs w:val="0"/>
        </w:rPr>
        <w:t>十三、</w:t>
      </w:r>
      <w:r>
        <w:rPr>
          <w:rFonts w:hint="eastAsia" w:ascii="仿宋" w:hAnsi="仿宋" w:eastAsia="仿宋"/>
          <w:b w:val="0"/>
        </w:rPr>
        <w:t>国</w:t>
      </w:r>
      <w:r>
        <w:rPr>
          <w:rStyle w:val="29"/>
          <w:rFonts w:hint="eastAsia" w:ascii="仿宋" w:hAnsi="仿宋" w:eastAsia="仿宋"/>
          <w:b w:val="0"/>
          <w:bCs w:val="0"/>
        </w:rPr>
        <w:t>有资本经营预算财政拨款收入支出决算表</w:t>
      </w:r>
      <w:bookmarkEnd w:id="63"/>
    </w:p>
    <w:p>
      <w:pPr>
        <w:rPr>
          <w:rFonts w:eastAsia="仿宋"/>
        </w:rPr>
      </w:pPr>
      <w:r>
        <w:rPr>
          <w:rStyle w:val="29"/>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9862F76"/>
    <w:multiLevelType w:val="singleLevel"/>
    <w:tmpl w:val="D9862F76"/>
    <w:lvl w:ilvl="0" w:tentative="0">
      <w:start w:val="1"/>
      <w:numFmt w:val="chineseCounting"/>
      <w:suff w:val="nothing"/>
      <w:lvlText w:val="（%1）"/>
      <w:lvlJc w:val="left"/>
      <w:rPr>
        <w:rFonts w:hint="eastAsia"/>
      </w:rPr>
    </w:lvl>
  </w:abstractNum>
  <w:abstractNum w:abstractNumId="2">
    <w:nsid w:val="DEB6F821"/>
    <w:multiLevelType w:val="singleLevel"/>
    <w:tmpl w:val="DEB6F821"/>
    <w:lvl w:ilvl="0" w:tentative="0">
      <w:start w:val="3"/>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4">
    <w:nsid w:val="3E794925"/>
    <w:multiLevelType w:val="singleLevel"/>
    <w:tmpl w:val="3E794925"/>
    <w:lvl w:ilvl="0" w:tentative="0">
      <w:start w:val="3"/>
      <w:numFmt w:val="chineseCounting"/>
      <w:suff w:val="nothing"/>
      <w:lvlText w:val="（%1）"/>
      <w:lvlJc w:val="left"/>
      <w:rPr>
        <w:rFonts w:hint="eastAsia"/>
      </w:rPr>
    </w:lvl>
  </w:abstractNum>
  <w:abstractNum w:abstractNumId="5">
    <w:nsid w:val="627D089D"/>
    <w:multiLevelType w:val="singleLevel"/>
    <w:tmpl w:val="627D089D"/>
    <w:lvl w:ilvl="0" w:tentative="0">
      <w:start w:val="2"/>
      <w:numFmt w:val="chineseCounting"/>
      <w:suff w:val="nothing"/>
      <w:lvlText w:val="（%1）"/>
      <w:lvlJc w:val="left"/>
      <w:rPr>
        <w:rFonts w:hint="eastAsia"/>
      </w:rPr>
    </w:lvl>
  </w:abstractNum>
  <w:abstractNum w:abstractNumId="6">
    <w:nsid w:val="65268287"/>
    <w:multiLevelType w:val="singleLevel"/>
    <w:tmpl w:val="65268287"/>
    <w:lvl w:ilvl="0" w:tentative="0">
      <w:start w:val="1"/>
      <w:numFmt w:val="chineseCounting"/>
      <w:suff w:val="nothing"/>
      <w:lvlText w:val="%1、"/>
      <w:lvlJc w:val="left"/>
    </w:lvl>
  </w:abstractNum>
  <w:num w:numId="1">
    <w:abstractNumId w:val="0"/>
  </w:num>
  <w:num w:numId="2">
    <w:abstractNumId w:val="3"/>
  </w:num>
  <w:num w:numId="3">
    <w:abstractNumId w:val="6"/>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jMjUzZWNjMGRjNTE2NWQ2Yzk0ODE3MTE0MDhiYWUifQ=="/>
  </w:docVars>
  <w:rsids>
    <w:rsidRoot w:val="00F1361C"/>
    <w:rsid w:val="000222C6"/>
    <w:rsid w:val="0002549F"/>
    <w:rsid w:val="000468DB"/>
    <w:rsid w:val="0006487A"/>
    <w:rsid w:val="00065F8F"/>
    <w:rsid w:val="00070A43"/>
    <w:rsid w:val="000768F2"/>
    <w:rsid w:val="0009184B"/>
    <w:rsid w:val="00094236"/>
    <w:rsid w:val="0009593C"/>
    <w:rsid w:val="00097322"/>
    <w:rsid w:val="000A16E0"/>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9C6"/>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017D4"/>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A1F8F"/>
    <w:rsid w:val="00AB64C9"/>
    <w:rsid w:val="00AC3C6A"/>
    <w:rsid w:val="00AD5620"/>
    <w:rsid w:val="00AD656B"/>
    <w:rsid w:val="00AD7C1B"/>
    <w:rsid w:val="00AE16BA"/>
    <w:rsid w:val="00AE1EBE"/>
    <w:rsid w:val="00AE5702"/>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7911"/>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DF6F9C"/>
    <w:rsid w:val="00E01053"/>
    <w:rsid w:val="00E02F94"/>
    <w:rsid w:val="00E07ACF"/>
    <w:rsid w:val="00E331A1"/>
    <w:rsid w:val="00E33202"/>
    <w:rsid w:val="00E336A9"/>
    <w:rsid w:val="00E472B1"/>
    <w:rsid w:val="00E50624"/>
    <w:rsid w:val="00E568DF"/>
    <w:rsid w:val="00E64269"/>
    <w:rsid w:val="00E82267"/>
    <w:rsid w:val="00E853CE"/>
    <w:rsid w:val="00E867B6"/>
    <w:rsid w:val="00EA010F"/>
    <w:rsid w:val="00EA1536"/>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905F0"/>
    <w:rsid w:val="00FA23E8"/>
    <w:rsid w:val="00FD3CC1"/>
    <w:rsid w:val="00FF1E02"/>
    <w:rsid w:val="00FF30B4"/>
    <w:rsid w:val="06E31716"/>
    <w:rsid w:val="0A2032A3"/>
    <w:rsid w:val="0B8A37D8"/>
    <w:rsid w:val="0BE0446D"/>
    <w:rsid w:val="0DB85B65"/>
    <w:rsid w:val="10C055FF"/>
    <w:rsid w:val="110411AB"/>
    <w:rsid w:val="118107EC"/>
    <w:rsid w:val="11DD6519"/>
    <w:rsid w:val="16BB723D"/>
    <w:rsid w:val="18015F3F"/>
    <w:rsid w:val="1BE8440E"/>
    <w:rsid w:val="1CB710C0"/>
    <w:rsid w:val="1D155CEE"/>
    <w:rsid w:val="20395134"/>
    <w:rsid w:val="20F57F95"/>
    <w:rsid w:val="21102020"/>
    <w:rsid w:val="23AB3D0B"/>
    <w:rsid w:val="23DB11F4"/>
    <w:rsid w:val="240371BF"/>
    <w:rsid w:val="25C741E6"/>
    <w:rsid w:val="27842671"/>
    <w:rsid w:val="281E6E54"/>
    <w:rsid w:val="29FD04D3"/>
    <w:rsid w:val="2ABE7A3E"/>
    <w:rsid w:val="2C0D3ECA"/>
    <w:rsid w:val="2EC54E0E"/>
    <w:rsid w:val="2EFA178C"/>
    <w:rsid w:val="30B46D73"/>
    <w:rsid w:val="30C80D5C"/>
    <w:rsid w:val="319F7F4E"/>
    <w:rsid w:val="38224CDB"/>
    <w:rsid w:val="39AE70AB"/>
    <w:rsid w:val="3C0C0783"/>
    <w:rsid w:val="3C1D5032"/>
    <w:rsid w:val="3C3D6F54"/>
    <w:rsid w:val="3CE65D2B"/>
    <w:rsid w:val="3E68119A"/>
    <w:rsid w:val="3F9F3A96"/>
    <w:rsid w:val="47A95F9F"/>
    <w:rsid w:val="48642D79"/>
    <w:rsid w:val="493C27E9"/>
    <w:rsid w:val="496F39ED"/>
    <w:rsid w:val="49FF41D3"/>
    <w:rsid w:val="4BE068DB"/>
    <w:rsid w:val="4BF6002B"/>
    <w:rsid w:val="4ECE2238"/>
    <w:rsid w:val="509C774A"/>
    <w:rsid w:val="51DB4B86"/>
    <w:rsid w:val="536B7B1E"/>
    <w:rsid w:val="55333C3E"/>
    <w:rsid w:val="5A01782D"/>
    <w:rsid w:val="624F11B0"/>
    <w:rsid w:val="64CA39A1"/>
    <w:rsid w:val="65A5578E"/>
    <w:rsid w:val="6722754E"/>
    <w:rsid w:val="6C4A05C8"/>
    <w:rsid w:val="6F664761"/>
    <w:rsid w:val="72734D90"/>
    <w:rsid w:val="74357F8F"/>
    <w:rsid w:val="76FC1502"/>
    <w:rsid w:val="77A9129E"/>
    <w:rsid w:val="79E7B28D"/>
    <w:rsid w:val="7B2953E8"/>
    <w:rsid w:val="7C882627"/>
    <w:rsid w:val="7F087C5A"/>
    <w:rsid w:val="7F9F20EE"/>
    <w:rsid w:val="9E3A10E2"/>
    <w:rsid w:val="F2E1F9D4"/>
    <w:rsid w:val="F7880819"/>
  </w:rsids>
  <m:mathPr>
    <m:lMargin m:val="0"/>
    <m:mathFont m:val="Cambria Math"/>
    <m:rMargin m:val="0"/>
    <m:wrapIndent m:val="1440"/>
    <m:brkBin m:val="before"/>
    <m:brkBinSub m:val="--"/>
    <m:defJc m:val="centerGroup"/>
    <m:intLim m:val="subSup"/>
    <m:naryLim m:val="undOvr"/>
    <m:smallFrac m:val="1"/>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6">
    <w:name w:val="Normal Indent"/>
    <w:basedOn w:val="1"/>
    <w:qFormat/>
    <w:uiPriority w:val="0"/>
    <w:pPr>
      <w:ind w:firstLine="420" w:firstLineChars="200"/>
    </w:pPr>
  </w:style>
  <w:style w:type="paragraph" w:styleId="7">
    <w:name w:val="Body Text"/>
    <w:basedOn w:val="1"/>
    <w:link w:val="25"/>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qFormat/>
    <w:uiPriority w:val="0"/>
    <w:rPr>
      <w:rFonts w:ascii="宋体" w:hAnsi="Courier New"/>
    </w:rPr>
  </w:style>
  <w:style w:type="paragraph" w:styleId="10">
    <w:name w:val="Balloon Text"/>
    <w:basedOn w:val="1"/>
    <w:link w:val="31"/>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Title"/>
    <w:basedOn w:val="1"/>
    <w:qFormat/>
    <w:uiPriority w:val="0"/>
    <w:pPr>
      <w:spacing w:before="240" w:after="60"/>
      <w:jc w:val="center"/>
      <w:outlineLvl w:val="0"/>
    </w:pPr>
    <w:rPr>
      <w:rFonts w:ascii="Arial" w:hAnsi="Arial" w:cs="Arial"/>
      <w:b/>
      <w:bCs/>
      <w:sz w:val="32"/>
      <w:szCs w:val="32"/>
    </w:r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7"/>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10"/>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p0"/>
    <w:basedOn w:val="1"/>
    <w:qFormat/>
    <w:uiPriority w:val="0"/>
    <w:pPr>
      <w:widowControl/>
    </w:pPr>
    <w:rPr>
      <w:rFonts w:ascii="Calibri" w:hAnsi="Calibri" w:cs="宋体"/>
      <w:kern w:val="0"/>
      <w:szCs w:val="21"/>
    </w:rPr>
  </w:style>
  <w:style w:type="character" w:customStyle="1" w:styleId="35">
    <w:name w:val="font21"/>
    <w:basedOn w:val="16"/>
    <w:qFormat/>
    <w:uiPriority w:val="0"/>
    <w:rPr>
      <w:rFonts w:hint="eastAsia" w:ascii="宋体" w:hAnsi="宋体" w:eastAsia="宋体" w:cs="宋体"/>
      <w:color w:val="000000"/>
      <w:sz w:val="24"/>
      <w:szCs w:val="24"/>
      <w:u w:val="none"/>
    </w:rPr>
  </w:style>
  <w:style w:type="character" w:customStyle="1" w:styleId="36">
    <w:name w:val="font31"/>
    <w:basedOn w:val="16"/>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891CC8-28DC-4F5C-8314-611275C6EE83}">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36</Pages>
  <Words>1870</Words>
  <Characters>10661</Characters>
  <Lines>88</Lines>
  <Paragraphs>25</Paragraphs>
  <ScaleCrop>false</ScaleCrop>
  <LinksUpToDate>false</LinksUpToDate>
  <CharactersWithSpaces>12506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lenovo</cp:lastModifiedBy>
  <cp:lastPrinted>2022-09-21T03:54:00Z</cp:lastPrinted>
  <dcterms:modified xsi:type="dcterms:W3CDTF">2023-10-11T11:09:23Z</dcterms:modified>
  <dc:title>四川省***</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D6041E2DC1F64342BCBD384BF75945C3</vt:lpwstr>
  </property>
</Properties>
</file>