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center"/>
        <w:rPr>
          <w:rFonts w:hint="eastAsia" w:ascii="Times New Roman" w:hAnsi="Times New Roman" w:eastAsia="方正小标宋_GBK" w:cs="Times New Roman"/>
          <w:w w:val="95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w w:val="95"/>
          <w:sz w:val="44"/>
          <w:szCs w:val="44"/>
        </w:rPr>
        <w:t>攀枝花市西区2021年“三公”经费执行情况说明</w:t>
      </w:r>
    </w:p>
    <w:p>
      <w:pPr>
        <w:spacing w:line="0" w:lineRule="atLeast"/>
        <w:jc w:val="center"/>
        <w:rPr>
          <w:rFonts w:ascii="Times New Roman" w:hAnsi="Times New Roman" w:eastAsia="方正小标宋_GBK" w:cs="Times New Roman"/>
          <w:w w:val="95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根据《中华人民共和国预算法》和《国务院关于深化预算管理制度改革的决定》（国发〔2014〕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45号）的有关规定，为进一步规范“三公”经费的管理，严控“三公”经费开支，根据中央八项规定要求，202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</w:t>
      </w:r>
      <w:r>
        <w:rPr>
          <w:rFonts w:ascii="Times New Roman" w:hAnsi="Times New Roman" w:eastAsia="仿宋_GB2312" w:cs="Times New Roman"/>
          <w:sz w:val="32"/>
          <w:szCs w:val="32"/>
        </w:rPr>
        <w:t>年我区“三公”经费支出总额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412.66</w:t>
      </w:r>
      <w:r>
        <w:rPr>
          <w:rFonts w:ascii="Times New Roman" w:hAnsi="Times New Roman" w:eastAsia="仿宋_GB2312" w:cs="Times New Roman"/>
          <w:sz w:val="32"/>
          <w:szCs w:val="32"/>
        </w:rPr>
        <w:t>万元，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为预算的93.67%，</w:t>
      </w:r>
      <w:r>
        <w:rPr>
          <w:rFonts w:ascii="Times New Roman" w:hAnsi="Times New Roman" w:eastAsia="仿宋_GB2312" w:cs="Times New Roman"/>
          <w:sz w:val="32"/>
          <w:szCs w:val="32"/>
        </w:rPr>
        <w:t>同口径比上年减少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3.19</w:t>
      </w:r>
      <w:r>
        <w:rPr>
          <w:rFonts w:ascii="Times New Roman" w:hAnsi="Times New Roman" w:eastAsia="仿宋_GB2312" w:cs="Times New Roman"/>
          <w:sz w:val="32"/>
          <w:szCs w:val="32"/>
        </w:rPr>
        <w:t>万元，下降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0.77</w:t>
      </w:r>
      <w:r>
        <w:rPr>
          <w:rFonts w:ascii="Times New Roman" w:hAnsi="Times New Roman" w:eastAsia="仿宋_GB2312" w:cs="Times New Roman"/>
          <w:sz w:val="32"/>
          <w:szCs w:val="32"/>
        </w:rPr>
        <w:t>%，其中：因公出国（境）支出0万元；公务用车购置及运行维护支出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366.79</w:t>
      </w:r>
      <w:r>
        <w:rPr>
          <w:rFonts w:ascii="Times New Roman" w:hAnsi="Times New Roman" w:eastAsia="仿宋_GB2312" w:cs="Times New Roman"/>
          <w:sz w:val="32"/>
          <w:szCs w:val="32"/>
        </w:rPr>
        <w:t>万元，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为预算的98.47%，</w:t>
      </w:r>
      <w:r>
        <w:rPr>
          <w:rFonts w:ascii="Times New Roman" w:hAnsi="Times New Roman" w:eastAsia="仿宋_GB2312" w:cs="Times New Roman"/>
          <w:sz w:val="32"/>
          <w:szCs w:val="32"/>
        </w:rPr>
        <w:t>比上年增加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18.22</w:t>
      </w:r>
      <w:r>
        <w:rPr>
          <w:rFonts w:ascii="Times New Roman" w:hAnsi="Times New Roman" w:eastAsia="仿宋_GB2312" w:cs="Times New Roman"/>
          <w:sz w:val="32"/>
          <w:szCs w:val="32"/>
        </w:rPr>
        <w:t>万元，增加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5.23</w:t>
      </w:r>
      <w:r>
        <w:rPr>
          <w:rFonts w:ascii="Times New Roman" w:hAnsi="Times New Roman" w:eastAsia="仿宋_GB2312" w:cs="Times New Roman"/>
          <w:sz w:val="32"/>
          <w:szCs w:val="32"/>
        </w:rPr>
        <w:t>%；公务接待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支出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45.87</w:t>
      </w:r>
      <w:r>
        <w:rPr>
          <w:rFonts w:ascii="Times New Roman" w:hAnsi="Times New Roman" w:eastAsia="仿宋_GB2312" w:cs="Times New Roman"/>
          <w:sz w:val="32"/>
          <w:szCs w:val="32"/>
        </w:rPr>
        <w:t>元，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为预算的67.4%，</w:t>
      </w:r>
      <w:r>
        <w:rPr>
          <w:rFonts w:ascii="Times New Roman" w:hAnsi="Times New Roman" w:eastAsia="仿宋_GB2312" w:cs="Times New Roman"/>
          <w:sz w:val="32"/>
          <w:szCs w:val="32"/>
        </w:rPr>
        <w:t>比上年减少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21.41</w:t>
      </w:r>
      <w:r>
        <w:rPr>
          <w:rFonts w:ascii="Times New Roman" w:hAnsi="Times New Roman" w:eastAsia="仿宋_GB2312" w:cs="Times New Roman"/>
          <w:sz w:val="32"/>
          <w:szCs w:val="32"/>
        </w:rPr>
        <w:t>万元，下降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31.82</w:t>
      </w:r>
      <w:r>
        <w:rPr>
          <w:rFonts w:ascii="Times New Roman" w:hAnsi="Times New Roman" w:eastAsia="仿宋_GB2312" w:cs="Times New Roman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Times New Roman" w:hAnsi="Times New Roman" w:eastAsia="方正小标宋_GBK" w:cs="Times New Roman"/>
          <w:sz w:val="32"/>
          <w:szCs w:val="32"/>
        </w:rPr>
      </w:pPr>
      <w:r>
        <w:rPr>
          <w:rFonts w:ascii="Times New Roman" w:hAnsi="Times New Roman" w:eastAsia="方正小标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小标宋_GBK" w:cs="Times New Roman"/>
          <w:sz w:val="32"/>
          <w:szCs w:val="32"/>
        </w:rPr>
        <w:t>1</w:t>
      </w:r>
      <w:r>
        <w:rPr>
          <w:rFonts w:ascii="Times New Roman" w:hAnsi="Times New Roman" w:eastAsia="方正小标宋_GBK" w:cs="Times New Roman"/>
          <w:sz w:val="32"/>
          <w:szCs w:val="32"/>
        </w:rPr>
        <w:t>年“三公”经费增长情况表</w:t>
      </w:r>
    </w:p>
    <w:tbl>
      <w:tblPr>
        <w:tblStyle w:val="4"/>
        <w:tblW w:w="894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40"/>
        <w:gridCol w:w="1662"/>
        <w:gridCol w:w="1843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color w:val="000000"/>
                <w:kern w:val="0"/>
                <w:sz w:val="22"/>
              </w:rPr>
            </w:pPr>
            <w:r>
              <w:rPr>
                <w:rFonts w:ascii="黑体" w:hAnsi="黑体" w:eastAsia="黑体" w:cs="Times New Roman"/>
                <w:color w:val="000000"/>
                <w:kern w:val="0"/>
                <w:sz w:val="22"/>
              </w:rPr>
              <w:t>项  目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color w:val="000000"/>
                <w:kern w:val="0"/>
                <w:sz w:val="22"/>
              </w:rPr>
            </w:pPr>
            <w:r>
              <w:rPr>
                <w:rFonts w:ascii="黑体" w:hAnsi="黑体" w:eastAsia="黑体" w:cs="Times New Roman"/>
                <w:color w:val="000000"/>
                <w:kern w:val="0"/>
                <w:sz w:val="22"/>
              </w:rPr>
              <w:t>20</w:t>
            </w:r>
            <w:r>
              <w:rPr>
                <w:rFonts w:hint="eastAsia" w:ascii="黑体" w:hAnsi="黑体" w:eastAsia="黑体" w:cs="Times New Roman"/>
                <w:color w:val="000000"/>
                <w:kern w:val="0"/>
                <w:sz w:val="22"/>
              </w:rPr>
              <w:t>20</w:t>
            </w:r>
            <w:r>
              <w:rPr>
                <w:rFonts w:ascii="黑体" w:hAnsi="黑体" w:eastAsia="黑体" w:cs="Times New Roman"/>
                <w:color w:val="000000"/>
                <w:kern w:val="0"/>
                <w:sz w:val="22"/>
              </w:rPr>
              <w:t>年度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color w:val="000000"/>
                <w:kern w:val="0"/>
                <w:sz w:val="22"/>
              </w:rPr>
            </w:pPr>
            <w:r>
              <w:rPr>
                <w:rFonts w:ascii="黑体" w:hAnsi="黑体" w:eastAsia="黑体" w:cs="Times New Roman"/>
                <w:color w:val="000000"/>
                <w:kern w:val="0"/>
                <w:sz w:val="22"/>
              </w:rPr>
              <w:t>202</w:t>
            </w:r>
            <w:r>
              <w:rPr>
                <w:rFonts w:hint="eastAsia" w:ascii="黑体" w:hAnsi="黑体" w:eastAsia="黑体" w:cs="Times New Roman"/>
                <w:color w:val="000000"/>
                <w:kern w:val="0"/>
                <w:sz w:val="22"/>
              </w:rPr>
              <w:t>1</w:t>
            </w:r>
            <w:r>
              <w:rPr>
                <w:rFonts w:ascii="黑体" w:hAnsi="黑体" w:eastAsia="黑体" w:cs="Times New Roman"/>
                <w:color w:val="000000"/>
                <w:kern w:val="0"/>
                <w:sz w:val="22"/>
              </w:rPr>
              <w:t>年度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color w:val="000000"/>
                <w:kern w:val="0"/>
                <w:sz w:val="22"/>
              </w:rPr>
            </w:pPr>
            <w:r>
              <w:rPr>
                <w:rFonts w:ascii="黑体" w:hAnsi="黑体" w:eastAsia="黑体" w:cs="Times New Roman"/>
                <w:color w:val="000000"/>
                <w:kern w:val="0"/>
                <w:sz w:val="22"/>
              </w:rPr>
              <w:t>增长率（%）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“三公”经费支出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4,158,492.14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</w:rPr>
              <w:t>4,126,625.42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-0.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</w:rPr>
              <w:t>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 xml:space="preserve">     1．因公出国（境）费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 xml:space="preserve">     2．公务用车购置及运行维护费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3,485,681.02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</w:rPr>
              <w:t>3,667,923.43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</w:rPr>
              <w:t>5.23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 xml:space="preserve">      （1）公务用车购置费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345,200.00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</w:rPr>
              <w:t>346,800.00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</w:rPr>
              <w:t>0.46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 xml:space="preserve">      （2）公务用车运行维护费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3,140,481.02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</w:rPr>
              <w:t>3,321,123.43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</w:rPr>
              <w:t>5.75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 xml:space="preserve">     3．公务接待费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672,811.12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</w:rPr>
              <w:t>458,701.99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</w:rPr>
              <w:t>31.82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 xml:space="preserve">      （1）国内接待费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672,811.12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</w:rPr>
              <w:t>458,701.99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</w:rPr>
              <w:t>31.82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 xml:space="preserve">           其中：外事接待费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right="440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right="440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 xml:space="preserve">      （2）国（境）外接待费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right="440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right="440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3" w:lineRule="auto"/>
        <w:ind w:firstLine="440" w:firstLineChars="200"/>
        <w:textAlignment w:val="auto"/>
        <w:rPr>
          <w:rFonts w:ascii="仿宋_GB2312" w:eastAsia="仿宋_GB2312"/>
          <w:sz w:val="22"/>
          <w:szCs w:val="22"/>
        </w:rPr>
      </w:pPr>
      <w:r>
        <w:rPr>
          <w:rFonts w:hint="eastAsia" w:ascii="Times New Roman" w:hAnsi="Times New Roman" w:eastAsia="仿宋_GB2312" w:cs="Times New Roman"/>
          <w:sz w:val="22"/>
          <w:szCs w:val="22"/>
        </w:rPr>
        <w:t>备注：“三公经费”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>中</w:t>
      </w:r>
      <w:r>
        <w:rPr>
          <w:rFonts w:hint="eastAsia" w:ascii="Times New Roman" w:hAnsi="Times New Roman" w:eastAsia="仿宋_GB2312" w:cs="Times New Roman"/>
          <w:sz w:val="22"/>
          <w:szCs w:val="22"/>
        </w:rPr>
        <w:t>公务用车购置费和运行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>维护</w:t>
      </w:r>
      <w:r>
        <w:rPr>
          <w:rFonts w:hint="eastAsia" w:ascii="Times New Roman" w:hAnsi="Times New Roman" w:eastAsia="仿宋_GB2312" w:cs="Times New Roman"/>
          <w:sz w:val="22"/>
          <w:szCs w:val="22"/>
        </w:rPr>
        <w:t>费增加是因2021年车辆更新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>导致</w:t>
      </w:r>
      <w:r>
        <w:rPr>
          <w:rFonts w:hint="eastAsia" w:ascii="Times New Roman" w:hAnsi="Times New Roman" w:eastAsia="仿宋_GB2312" w:cs="Times New Roman"/>
          <w:sz w:val="22"/>
          <w:szCs w:val="22"/>
        </w:rPr>
        <w:t>。</w:t>
      </w:r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7560086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2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1 -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kN2Q0ZDg2YTczN2NlNzQ3Y2M0NWQwOWZiOTgwNWMifQ=="/>
  </w:docVars>
  <w:rsids>
    <w:rsidRoot w:val="006312C6"/>
    <w:rsid w:val="00373267"/>
    <w:rsid w:val="006312C6"/>
    <w:rsid w:val="006801AC"/>
    <w:rsid w:val="008D6096"/>
    <w:rsid w:val="00B04FC4"/>
    <w:rsid w:val="00F1124D"/>
    <w:rsid w:val="1F254665"/>
    <w:rsid w:val="5B1A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98</Words>
  <Characters>559</Characters>
  <Lines>4</Lines>
  <Paragraphs>1</Paragraphs>
  <TotalTime>8</TotalTime>
  <ScaleCrop>false</ScaleCrop>
  <LinksUpToDate>false</LinksUpToDate>
  <CharactersWithSpaces>656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2021-12-05T08:28:00Z</dcterms:created>
  <dc:creator>林珍宇</dc:creator>
  <cp:lastModifiedBy>高瑀嫔</cp:lastModifiedBy>
  <dcterms:modified xsi:type="dcterms:W3CDTF">2023-10-08T10:28:55Z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79CFE09BDE4441B5923F2D0D90F6F7AD_12</vt:lpwstr>
  </property>
</Properties>
</file>