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2" w:name="_GoBack"/>
      <w:bookmarkEnd w:id="62"/>
      <w:bookmarkStart w:id="0" w:name="_Toc15378441"/>
      <w:bookmarkStart w:id="1" w:name="_Toc15396475"/>
      <w:bookmarkStart w:id="2" w:name="_Toc15396597"/>
      <w:bookmarkStart w:id="3" w:name="_Toc15377425"/>
      <w:bookmarkStart w:id="4" w:name="_Toc15377193"/>
      <w:bookmarkStart w:id="5" w:name="_Toc15306267"/>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pStyle w:val="2"/>
        <w:spacing w:before="93"/>
      </w:pPr>
    </w:p>
    <w:p>
      <w:pPr>
        <w:adjustRightInd w:val="0"/>
        <w:snapToGrid w:val="0"/>
        <w:spacing w:line="360" w:lineRule="auto"/>
        <w:jc w:val="center"/>
        <w:outlineLvl w:val="0"/>
        <w:rPr>
          <w:rFonts w:eastAsia="方正小标宋简体"/>
          <w:color w:val="000000"/>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eastAsia="方正小标宋简体"/>
          <w:color w:val="000000"/>
          <w:sz w:val="72"/>
          <w:szCs w:val="72"/>
        </w:rPr>
        <w:t>攀枝花市西区</w:t>
      </w:r>
    </w:p>
    <w:p>
      <w:pPr>
        <w:pStyle w:val="2"/>
        <w:spacing w:before="93"/>
      </w:pPr>
    </w:p>
    <w:p>
      <w:pPr>
        <w:adjustRightInd w:val="0"/>
        <w:snapToGrid w:val="0"/>
        <w:spacing w:line="360" w:lineRule="auto"/>
        <w:jc w:val="center"/>
        <w:outlineLvl w:val="0"/>
        <w:rPr>
          <w:rFonts w:eastAsia="方正小标宋简体"/>
          <w:color w:val="000000"/>
          <w:sz w:val="72"/>
          <w:szCs w:val="72"/>
        </w:rPr>
      </w:pPr>
      <w:r>
        <w:rPr>
          <w:rFonts w:eastAsia="方正小标宋简体"/>
          <w:color w:val="000000"/>
          <w:sz w:val="72"/>
          <w:szCs w:val="72"/>
        </w:rPr>
        <w:t>妇幼保健服务中心</w:t>
      </w:r>
    </w:p>
    <w:p>
      <w:pPr>
        <w:pStyle w:val="2"/>
        <w:spacing w:before="93"/>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公开时间：2022年10月10日</w:t>
      </w:r>
    </w:p>
    <w:p/>
    <w:p>
      <w:pPr>
        <w:pStyle w:val="10"/>
        <w:adjustRightInd w:val="0"/>
        <w:snapToGrid w:val="0"/>
        <w:spacing w:before="0" w:line="440" w:lineRule="exact"/>
        <w:jc w:val="left"/>
        <w:rPr>
          <w:rFonts w:ascii="黑体" w:hAnsi="黑体" w:eastAsia="黑体" w:cs="黑体"/>
          <w:sz w:val="24"/>
          <w:szCs w:val="24"/>
        </w:rPr>
      </w:pPr>
      <w:r>
        <w:rPr>
          <w:rFonts w:hint="eastAsia" w:ascii="黑体" w:hAnsi="黑体" w:eastAsia="黑体" w:cs="黑体"/>
          <w:sz w:val="24"/>
        </w:rPr>
        <w:t>第一部分 部门概况……………………………………………………………………4</w:t>
      </w:r>
    </w:p>
    <w:p>
      <w:pPr>
        <w:pStyle w:val="11"/>
        <w:adjustRightInd w:val="0"/>
        <w:snapToGrid w:val="0"/>
        <w:spacing w:line="440" w:lineRule="exact"/>
        <w:jc w:val="left"/>
        <w:rPr>
          <w:rFonts w:ascii="仿宋" w:hAnsi="仿宋" w:eastAsia="仿宋"/>
          <w:sz w:val="24"/>
        </w:rPr>
      </w:pPr>
      <w:r>
        <w:rPr>
          <w:rFonts w:hint="eastAsia"/>
          <w:sz w:val="24"/>
        </w:rPr>
        <w:t>一、基本职能及主要工作…………………………………………………………4</w:t>
      </w:r>
    </w:p>
    <w:p>
      <w:pPr>
        <w:pStyle w:val="11"/>
        <w:adjustRightInd w:val="0"/>
        <w:snapToGrid w:val="0"/>
        <w:spacing w:line="440" w:lineRule="exact"/>
        <w:jc w:val="left"/>
        <w:rPr>
          <w:rFonts w:ascii="仿宋" w:hAnsi="仿宋" w:eastAsia="仿宋" w:cstheme="minorBidi"/>
          <w:sz w:val="24"/>
        </w:rPr>
      </w:pPr>
      <w:r>
        <w:rPr>
          <w:rFonts w:hint="eastAsia"/>
          <w:sz w:val="24"/>
        </w:rPr>
        <w:t>二、机构设置………………………………………………………………………9</w:t>
      </w:r>
    </w:p>
    <w:p>
      <w:pPr>
        <w:pStyle w:val="10"/>
        <w:adjustRightInd w:val="0"/>
        <w:snapToGrid w:val="0"/>
        <w:spacing w:before="0" w:line="440" w:lineRule="exact"/>
        <w:jc w:val="left"/>
        <w:rPr>
          <w:rFonts w:ascii="黑体" w:hAnsi="黑体" w:eastAsia="黑体" w:cs="黑体"/>
          <w:sz w:val="24"/>
          <w:szCs w:val="24"/>
        </w:rPr>
      </w:pPr>
      <w:r>
        <w:rPr>
          <w:rFonts w:hint="eastAsia" w:ascii="黑体" w:hAnsi="黑体" w:eastAsia="黑体" w:cs="黑体"/>
          <w:sz w:val="24"/>
        </w:rPr>
        <w:t>第二部分 2021年度部门决算情况说明………………………………………………1</w:t>
      </w:r>
      <w:r>
        <w:rPr>
          <w:rFonts w:ascii="黑体" w:hAnsi="黑体" w:eastAsia="黑体" w:cs="黑体"/>
          <w:sz w:val="24"/>
        </w:rPr>
        <w:t>0</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一、收入支出决算总体情况说明…………………………………………………1</w:t>
      </w:r>
      <w:r>
        <w:rPr>
          <w:sz w:val="24"/>
        </w:rPr>
        <w:t>0</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二、收入决算情况说明……………………………………………………………1</w:t>
      </w:r>
      <w:r>
        <w:rPr>
          <w:sz w:val="24"/>
        </w:rPr>
        <w:t>0</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三、支出决算情况说明……………………………………………………………1</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四、财政拨款收入支出决算总体情况说明………………………………………1</w:t>
      </w:r>
      <w:r>
        <w:rPr>
          <w:sz w:val="24"/>
        </w:rPr>
        <w:t>2</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13</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w:t>
      </w:r>
      <w:r>
        <w:rPr>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七、“三公”经费财政拨款支出决算情况说明…………………………………1</w:t>
      </w:r>
      <w:r>
        <w:rPr>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八、政府性基金预算支出决算情况说明…………………………………………1</w:t>
      </w:r>
      <w:r>
        <w:rPr>
          <w:sz w:val="24"/>
        </w:rPr>
        <w:t>8</w:t>
      </w:r>
    </w:p>
    <w:p>
      <w:pPr>
        <w:pStyle w:val="11"/>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w:t>
      </w:r>
      <w:r>
        <w:rPr>
          <w:rFonts w:asciiTheme="minorEastAsia" w:hAnsiTheme="minorEastAsia" w:eastAsiaTheme="minorEastAsia" w:cstheme="minorEastAsia"/>
          <w:sz w:val="24"/>
        </w:rPr>
        <w:t>8</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4"/>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w:t>
      </w:r>
      <w:r>
        <w:rPr>
          <w:rFonts w:asciiTheme="minorEastAsia" w:hAnsiTheme="minorEastAsia" w:eastAsiaTheme="minorEastAsia" w:cstheme="minorEastAsia"/>
          <w:sz w:val="24"/>
        </w:rPr>
        <w:t>8</w:t>
      </w:r>
    </w:p>
    <w:p>
      <w:pPr>
        <w:pStyle w:val="10"/>
        <w:adjustRightInd w:val="0"/>
        <w:snapToGrid w:val="0"/>
        <w:spacing w:before="0" w:line="440" w:lineRule="exact"/>
        <w:jc w:val="left"/>
        <w:rPr>
          <w:rFonts w:ascii="黑体" w:hAnsi="黑体" w:eastAsia="黑体" w:cs="黑体"/>
          <w:sz w:val="24"/>
        </w:rPr>
      </w:pPr>
      <w:r>
        <w:rPr>
          <w:rFonts w:hint="eastAsia" w:ascii="黑体" w:hAnsi="黑体" w:eastAsia="黑体" w:cs="黑体"/>
          <w:sz w:val="24"/>
        </w:rPr>
        <w:t>第三部分 名词解释……………………………………………………………………2</w:t>
      </w:r>
      <w:r>
        <w:rPr>
          <w:rFonts w:ascii="黑体" w:hAnsi="黑体" w:eastAsia="黑体" w:cs="黑体"/>
          <w:sz w:val="24"/>
        </w:rPr>
        <w:t>0</w:t>
      </w:r>
    </w:p>
    <w:p>
      <w:pPr>
        <w:pStyle w:val="10"/>
        <w:adjustRightInd w:val="0"/>
        <w:snapToGrid w:val="0"/>
        <w:spacing w:before="0" w:line="440" w:lineRule="exact"/>
        <w:jc w:val="left"/>
        <w:rPr>
          <w:rFonts w:ascii="黑体" w:hAnsi="黑体" w:eastAsia="黑体" w:cs="黑体"/>
          <w:sz w:val="24"/>
        </w:rPr>
      </w:pPr>
      <w:r>
        <w:rPr>
          <w:rFonts w:hint="eastAsia" w:ascii="黑体" w:hAnsi="黑体" w:eastAsia="黑体" w:cs="黑体"/>
          <w:sz w:val="24"/>
        </w:rPr>
        <w:t>第四部分 附件…………………………………………………………………………2</w:t>
      </w:r>
      <w:r>
        <w:rPr>
          <w:rFonts w:ascii="黑体" w:hAnsi="黑体" w:eastAsia="黑体" w:cs="黑体"/>
          <w:sz w:val="24"/>
        </w:rPr>
        <w:t>2</w:t>
      </w:r>
    </w:p>
    <w:p>
      <w:pPr>
        <w:pStyle w:val="10"/>
        <w:adjustRightInd w:val="0"/>
        <w:snapToGrid w:val="0"/>
        <w:spacing w:before="0" w:line="440" w:lineRule="exact"/>
        <w:jc w:val="left"/>
        <w:rPr>
          <w:rFonts w:ascii="黑体" w:hAnsi="黑体" w:eastAsia="黑体" w:cs="黑体"/>
          <w:sz w:val="24"/>
        </w:rPr>
      </w:pPr>
      <w:r>
        <w:rPr>
          <w:rFonts w:hint="eastAsia" w:ascii="黑体" w:hAnsi="黑体" w:eastAsia="黑体" w:cs="黑体"/>
          <w:sz w:val="24"/>
        </w:rPr>
        <w:t>第五部分 附表…………………………………………………………………………4</w:t>
      </w:r>
      <w:r>
        <w:rPr>
          <w:rFonts w:ascii="黑体" w:hAnsi="黑体" w:eastAsia="黑体" w:cs="黑体"/>
          <w:sz w:val="24"/>
        </w:rPr>
        <w:t>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spacing w:line="353" w:lineRule="auto"/>
        <w:ind w:firstLine="640" w:firstLineChars="200"/>
        <w:rPr>
          <w:rStyle w:val="25"/>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2"/>
        <w:kinsoku w:val="0"/>
        <w:overflowPunct w:val="0"/>
        <w:autoSpaceDE w:val="0"/>
        <w:autoSpaceDN w:val="0"/>
        <w:adjustRightInd w:val="0"/>
        <w:snapToGrid w:val="0"/>
        <w:spacing w:beforeLines="0" w:line="353" w:lineRule="auto"/>
        <w:ind w:firstLine="640" w:firstLineChars="200"/>
        <w:outlineLvl w:val="2"/>
        <w:rPr>
          <w:rFonts w:ascii="Times New Roman" w:eastAsia="楷体_GB2312"/>
          <w:bCs/>
          <w:color w:val="000000"/>
          <w:sz w:val="32"/>
          <w:szCs w:val="32"/>
        </w:rPr>
      </w:pPr>
      <w:bookmarkStart w:id="16" w:name="_Toc15378445"/>
      <w:bookmarkStart w:id="17" w:name="_Toc15377198"/>
      <w:r>
        <w:rPr>
          <w:rFonts w:hint="eastAsia" w:ascii="Times New Roman" w:eastAsia="楷体_GB2312"/>
          <w:bCs/>
          <w:color w:val="000000"/>
          <w:sz w:val="32"/>
          <w:szCs w:val="32"/>
        </w:rPr>
        <w:t>（一）主要职能。</w:t>
      </w:r>
      <w:bookmarkEnd w:id="16"/>
      <w:bookmarkEnd w:id="17"/>
    </w:p>
    <w:p>
      <w:pPr>
        <w:pStyle w:val="4"/>
        <w:keepNext w:val="0"/>
        <w:keepLines w:val="0"/>
        <w:kinsoku w:val="0"/>
        <w:overflowPunct w:val="0"/>
        <w:autoSpaceDE w:val="0"/>
        <w:autoSpaceDN w:val="0"/>
        <w:adjustRightInd w:val="0"/>
        <w:snapToGrid w:val="0"/>
        <w:spacing w:before="0" w:after="0" w:line="353" w:lineRule="auto"/>
        <w:ind w:firstLine="640" w:firstLineChars="200"/>
        <w:rPr>
          <w:rFonts w:ascii="Times New Roman" w:hAnsi="Times New Roman" w:eastAsia="仿宋_GB2312" w:cs="Times New Roman"/>
          <w:b w:val="0"/>
          <w:bCs w:val="0"/>
          <w:color w:val="000000"/>
          <w:kern w:val="0"/>
        </w:rPr>
      </w:pPr>
      <w:r>
        <w:rPr>
          <w:rFonts w:ascii="Times New Roman" w:hAnsi="Times New Roman" w:eastAsia="仿宋_GB2312" w:cs="Times New Roman"/>
          <w:b w:val="0"/>
          <w:bCs w:val="0"/>
          <w:color w:val="000000"/>
          <w:kern w:val="0"/>
        </w:rPr>
        <w:t>1.针对国家妇女儿童健康目标和支持性目标的要求，协助卫生行政部门制定具体规划并牵头实施。</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2.负责全区孕、产妇健康系统保障及其管理工作，提高孕、产妇及新生儿健康水平，降低孕、产妇死亡率和新生儿出生缺陷的发生。</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3.负责全区七岁以下儿童健康系统保健及其管理工作，提高儿童身心健康水平，降低儿童死亡率。</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4.负责妇女经、孕、产、哺乳、更年期的卫生保健，做好妇女病的普查普治工作。</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5.负责全区计划生育技术服务，掌握全区计划生育技术服务的质量、存在的问题。</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6.负责开展婚前医学检查、优生咨询工作，提高人口素质；负责全区妇女、儿童保健和计划生育知识等健康教育工作，提高妇女、儿童的自我保健意识和能力。</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7.负责全区妇幼保健信息收集、统计、整理、分析评价及上报工作，为卫生行政部门提供妇幼保健服务决策依据。</w:t>
      </w:r>
    </w:p>
    <w:p>
      <w:pPr>
        <w:pStyle w:val="2"/>
        <w:kinsoku w:val="0"/>
        <w:overflowPunct w:val="0"/>
        <w:autoSpaceDE w:val="0"/>
        <w:autoSpaceDN w:val="0"/>
        <w:adjustRightInd w:val="0"/>
        <w:snapToGrid w:val="0"/>
        <w:spacing w:beforeLines="0" w:line="353" w:lineRule="auto"/>
        <w:ind w:firstLine="640" w:firstLineChars="200"/>
        <w:outlineLvl w:val="2"/>
        <w:rPr>
          <w:rFonts w:ascii="Times New Roman" w:eastAsia="楷体_GB2312"/>
          <w:bCs/>
          <w:color w:val="000000"/>
          <w:sz w:val="32"/>
          <w:szCs w:val="32"/>
        </w:rPr>
      </w:pPr>
      <w:r>
        <w:rPr>
          <w:rFonts w:ascii="Times New Roman"/>
          <w:bCs/>
          <w:color w:val="000000"/>
          <w:sz w:val="32"/>
          <w:szCs w:val="32"/>
        </w:rPr>
        <w:t>8.负责对全区承担妇幼保健工作任务医院及基层医疗卫生机构的保健工作业务培训、工作质量检查、指导及评估等工作。</w:t>
      </w:r>
    </w:p>
    <w:p>
      <w:pPr>
        <w:pStyle w:val="2"/>
        <w:adjustRightInd w:val="0"/>
        <w:snapToGrid w:val="0"/>
        <w:spacing w:before="93" w:line="353" w:lineRule="auto"/>
        <w:ind w:firstLine="672" w:firstLineChars="210"/>
        <w:outlineLvl w:val="2"/>
        <w:rPr>
          <w:rFonts w:ascii="Times New Roman" w:eastAsia="楷体_GB2312"/>
          <w:bCs/>
          <w:color w:val="000000"/>
          <w:sz w:val="32"/>
          <w:szCs w:val="32"/>
        </w:rPr>
      </w:pPr>
      <w:bookmarkStart w:id="18" w:name="_Toc15378446"/>
      <w:bookmarkStart w:id="19" w:name="_Toc15377199"/>
      <w:r>
        <w:rPr>
          <w:rFonts w:hint="eastAsia" w:ascii="Times New Roman" w:eastAsia="楷体_GB2312"/>
          <w:bCs/>
          <w:color w:val="000000"/>
          <w:sz w:val="32"/>
          <w:szCs w:val="32"/>
        </w:rPr>
        <w:t>（二）2021年重点工作完成情况。</w:t>
      </w:r>
      <w:bookmarkEnd w:id="18"/>
      <w:bookmarkEnd w:id="19"/>
    </w:p>
    <w:p>
      <w:pPr>
        <w:spacing w:line="353" w:lineRule="auto"/>
        <w:ind w:firstLine="643" w:firstLineChars="200"/>
        <w:rPr>
          <w:rFonts w:eastAsia="楷体_GB2312"/>
          <w:sz w:val="32"/>
          <w:szCs w:val="32"/>
          <w:shd w:val="clear" w:color="auto" w:fill="FFFFFF"/>
        </w:rPr>
      </w:pPr>
      <w:r>
        <w:rPr>
          <w:rFonts w:hint="eastAsia" w:ascii="仿宋_GB2312" w:hAnsi="仿宋_GB2312" w:eastAsia="仿宋_GB2312" w:cs="仿宋_GB2312"/>
          <w:b/>
          <w:bCs/>
          <w:sz w:val="32"/>
          <w:szCs w:val="32"/>
          <w:shd w:val="clear" w:color="auto" w:fill="FFFFFF"/>
        </w:rPr>
        <w:t>1.妇女儿童健康状况。</w:t>
      </w:r>
    </w:p>
    <w:p>
      <w:pPr>
        <w:spacing w:line="353" w:lineRule="auto"/>
        <w:ind w:firstLine="624" w:firstLineChars="200"/>
        <w:rPr>
          <w:rFonts w:eastAsia="仿宋_GB2312"/>
          <w:spacing w:val="-4"/>
          <w:sz w:val="32"/>
          <w:szCs w:val="32"/>
        </w:rPr>
      </w:pPr>
      <w:r>
        <w:rPr>
          <w:rFonts w:eastAsia="仿宋_GB2312"/>
          <w:spacing w:val="-4"/>
          <w:sz w:val="32"/>
          <w:szCs w:val="32"/>
        </w:rPr>
        <w:t>截至目前，全区孕产妇死亡率为0，婴儿死亡率为2.06‰，5岁以下儿童死亡率为2.06‰，住院分娩率为100%，孕产妇系统管理率为97.11%，辖区医疗机构出生缺陷发生率为万分之</w:t>
      </w:r>
      <w:r>
        <w:rPr>
          <w:rFonts w:hint="eastAsia" w:eastAsia="仿宋_GB2312"/>
          <w:spacing w:val="-4"/>
          <w:sz w:val="32"/>
          <w:szCs w:val="32"/>
        </w:rPr>
        <w:t>82.64</w:t>
      </w:r>
      <w:r>
        <w:rPr>
          <w:rFonts w:eastAsia="仿宋_GB2312"/>
          <w:spacing w:val="-4"/>
          <w:sz w:val="32"/>
          <w:szCs w:val="32"/>
        </w:rPr>
        <w:t>。</w:t>
      </w:r>
    </w:p>
    <w:p>
      <w:pPr>
        <w:spacing w:line="353" w:lineRule="auto"/>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2.</w:t>
      </w:r>
      <w:r>
        <w:rPr>
          <w:rFonts w:ascii="仿宋_GB2312" w:hAnsi="仿宋_GB2312" w:eastAsia="仿宋_GB2312" w:cs="仿宋_GB2312"/>
          <w:b/>
          <w:bCs/>
          <w:sz w:val="32"/>
          <w:szCs w:val="32"/>
          <w:shd w:val="clear" w:color="auto" w:fill="FFFFFF"/>
        </w:rPr>
        <w:t>妇女保健服务状况。</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（1）</w:t>
      </w:r>
      <w:r>
        <w:rPr>
          <w:rFonts w:eastAsia="仿宋_GB2312"/>
          <w:b/>
          <w:bCs/>
          <w:sz w:val="32"/>
          <w:szCs w:val="32"/>
          <w:shd w:val="clear" w:color="auto" w:fill="FFFFFF"/>
        </w:rPr>
        <w:t>免费婚前医学检查项目。</w:t>
      </w:r>
      <w:r>
        <w:rPr>
          <w:rFonts w:eastAsia="仿宋_GB2312"/>
          <w:bCs/>
          <w:sz w:val="32"/>
          <w:szCs w:val="32"/>
          <w:shd w:val="clear" w:color="auto" w:fill="FFFFFF"/>
        </w:rPr>
        <w:t>加快推进婚前医学检查项目。</w:t>
      </w:r>
      <w:r>
        <w:rPr>
          <w:rFonts w:eastAsia="仿宋_GB2312"/>
          <w:spacing w:val="-4"/>
          <w:sz w:val="32"/>
          <w:szCs w:val="32"/>
        </w:rPr>
        <w:t>截至目前，共为500.5对拟婚当事人提供自愿免费服务。其中HIV初筛阳性2例；梅毒初筛阳性26例，乙肝患者43例；乙肝携带6例；暂缓结婚1对，建议采取医学措施80对。</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（2）</w:t>
      </w:r>
      <w:r>
        <w:rPr>
          <w:rFonts w:eastAsia="仿宋_GB2312"/>
          <w:b/>
          <w:bCs/>
          <w:sz w:val="32"/>
          <w:szCs w:val="32"/>
          <w:shd w:val="clear" w:color="auto" w:fill="FFFFFF"/>
        </w:rPr>
        <w:t>免费孕前优生健康检查项目。</w:t>
      </w:r>
      <w:r>
        <w:rPr>
          <w:rFonts w:eastAsia="仿宋_GB2312"/>
          <w:bCs/>
          <w:sz w:val="32"/>
          <w:szCs w:val="32"/>
          <w:shd w:val="clear" w:color="auto" w:fill="FFFFFF"/>
        </w:rPr>
        <w:t>加强孕前优生项目质量控制，参加室间质评。</w:t>
      </w:r>
      <w:r>
        <w:rPr>
          <w:rFonts w:eastAsia="仿宋_GB2312"/>
          <w:spacing w:val="-4"/>
          <w:sz w:val="32"/>
          <w:szCs w:val="32"/>
        </w:rPr>
        <w:t>截至目前，为214对城乡夫妇提供提供免费孕前优生健康服务，完成全年任务量的101.9%。</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（3）</w:t>
      </w:r>
      <w:r>
        <w:rPr>
          <w:rFonts w:eastAsia="仿宋_GB2312"/>
          <w:b/>
          <w:bCs/>
          <w:sz w:val="32"/>
          <w:szCs w:val="32"/>
          <w:shd w:val="clear" w:color="auto" w:fill="FFFFFF"/>
        </w:rPr>
        <w:t>孕产妇健康管理项目。</w:t>
      </w:r>
      <w:r>
        <w:rPr>
          <w:rFonts w:eastAsia="仿宋_GB2312"/>
          <w:sz w:val="32"/>
          <w:szCs w:val="32"/>
          <w:shd w:val="clear" w:color="auto" w:fill="FFFFFF"/>
        </w:rPr>
        <w:t>全面落实国家基本公共卫生服务项目中的孕产妇健康管理服务内容，提供免费产前5次检查和产后访视等服务，将流动孕产妇也纳入规范化孕产期保健管理。同时通过各街办、妇联等多渠道收集信息，做到全区信息流通，并将在门诊、婚检中发现怀孕的信息及时分享，避免漏报漏管。</w:t>
      </w:r>
      <w:r>
        <w:rPr>
          <w:rFonts w:eastAsia="仿宋_GB2312"/>
          <w:spacing w:val="-4"/>
          <w:sz w:val="32"/>
          <w:szCs w:val="32"/>
        </w:rPr>
        <w:t>截至目前，</w:t>
      </w:r>
      <w:r>
        <w:rPr>
          <w:rFonts w:eastAsia="仿宋_GB2312"/>
          <w:sz w:val="32"/>
          <w:szCs w:val="32"/>
          <w:shd w:val="clear" w:color="auto" w:fill="FFFFFF"/>
        </w:rPr>
        <w:t>全区活产数484人，住院分娩100%，孕产妇系统管理率为97.11%。</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（4）</w:t>
      </w:r>
      <w:r>
        <w:rPr>
          <w:rFonts w:eastAsia="仿宋_GB2312"/>
          <w:b/>
          <w:bCs/>
          <w:sz w:val="32"/>
          <w:szCs w:val="32"/>
          <w:shd w:val="clear" w:color="auto" w:fill="FFFFFF"/>
        </w:rPr>
        <w:t>妇女常见病防治项目。</w:t>
      </w:r>
      <w:r>
        <w:rPr>
          <w:rFonts w:eastAsia="仿宋_GB2312"/>
          <w:sz w:val="32"/>
          <w:szCs w:val="32"/>
          <w:shd w:val="clear" w:color="auto" w:fill="FFFFFF"/>
        </w:rPr>
        <w:t>针对妇女生理特点，开展健康教育活动，普及妇女常见病防治和生殖健康知识，提高妇女常见病筛查率和早诊早治率，逐步扩大了宫颈癌、乳腺癌免费检查覆盖范围。</w:t>
      </w:r>
      <w:r>
        <w:rPr>
          <w:rFonts w:eastAsia="仿宋_GB2312"/>
          <w:spacing w:val="-4"/>
          <w:sz w:val="32"/>
          <w:szCs w:val="32"/>
        </w:rPr>
        <w:t>截至目前，</w:t>
      </w:r>
      <w:r>
        <w:rPr>
          <w:rFonts w:eastAsia="仿宋_GB2312"/>
          <w:sz w:val="32"/>
          <w:szCs w:val="32"/>
          <w:shd w:val="clear" w:color="auto" w:fill="FFFFFF"/>
        </w:rPr>
        <w:t>开展育龄妇女免费“三查”服务</w:t>
      </w:r>
      <w:r>
        <w:rPr>
          <w:rFonts w:eastAsia="仿宋_GB2312"/>
          <w:spacing w:val="-4"/>
          <w:sz w:val="32"/>
          <w:szCs w:val="32"/>
        </w:rPr>
        <w:t>4次，共筛查1321人次。</w:t>
      </w:r>
    </w:p>
    <w:p>
      <w:pPr>
        <w:spacing w:line="353" w:lineRule="auto"/>
        <w:ind w:firstLine="643" w:firstLineChars="200"/>
        <w:rPr>
          <w:rFonts w:eastAsia="仿宋_GB2312"/>
          <w:b/>
          <w:bCs/>
          <w:sz w:val="32"/>
          <w:szCs w:val="32"/>
          <w:shd w:val="clear" w:color="auto" w:fill="FFFFFF"/>
        </w:rPr>
      </w:pPr>
      <w:r>
        <w:rPr>
          <w:rFonts w:hint="eastAsia" w:eastAsia="仿宋_GB2312"/>
          <w:b/>
          <w:bCs/>
          <w:sz w:val="32"/>
          <w:szCs w:val="32"/>
          <w:shd w:val="clear" w:color="auto" w:fill="FFFFFF"/>
        </w:rPr>
        <w:t>3.</w:t>
      </w:r>
      <w:r>
        <w:rPr>
          <w:rFonts w:eastAsia="仿宋_GB2312"/>
          <w:b/>
          <w:bCs/>
          <w:sz w:val="32"/>
          <w:szCs w:val="32"/>
          <w:shd w:val="clear" w:color="auto" w:fill="FFFFFF"/>
        </w:rPr>
        <w:t>儿童保健服务状况。</w:t>
      </w:r>
    </w:p>
    <w:p>
      <w:pPr>
        <w:spacing w:line="353" w:lineRule="auto"/>
        <w:ind w:firstLine="643" w:firstLineChars="200"/>
        <w:rPr>
          <w:rFonts w:eastAsia="仿宋_GB2312"/>
          <w:kern w:val="0"/>
          <w:sz w:val="32"/>
          <w:szCs w:val="32"/>
        </w:rPr>
      </w:pPr>
      <w:r>
        <w:rPr>
          <w:rFonts w:hint="eastAsia" w:eastAsia="仿宋_GB2312"/>
          <w:b/>
          <w:bCs/>
          <w:sz w:val="32"/>
          <w:szCs w:val="32"/>
          <w:shd w:val="clear" w:color="auto" w:fill="FFFFFF"/>
        </w:rPr>
        <w:t>（1）</w:t>
      </w:r>
      <w:r>
        <w:rPr>
          <w:rFonts w:eastAsia="仿宋_GB2312"/>
          <w:b/>
          <w:bCs/>
          <w:sz w:val="32"/>
          <w:szCs w:val="32"/>
          <w:shd w:val="clear" w:color="auto" w:fill="FFFFFF"/>
        </w:rPr>
        <w:t>儿童系统保健管理项目。</w:t>
      </w:r>
      <w:r>
        <w:rPr>
          <w:rFonts w:eastAsia="仿宋_GB2312"/>
          <w:sz w:val="32"/>
          <w:szCs w:val="32"/>
          <w:shd w:val="clear" w:color="auto" w:fill="FFFFFF"/>
        </w:rPr>
        <w:t>将常规儿童保健与基本公共卫生服务项目中的0—6岁儿童健康管理有机结合，建立长效机制，针对儿童健康影响因素进行干预，全区儿童系统保健管理不断加强。</w:t>
      </w:r>
      <w:r>
        <w:rPr>
          <w:rFonts w:eastAsia="仿宋_GB2312"/>
          <w:spacing w:val="-4"/>
          <w:sz w:val="32"/>
          <w:szCs w:val="32"/>
        </w:rPr>
        <w:t>截至目前，全区新生儿访视率为100%，3岁以下儿童系统管理率为97.29%。</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（2）</w:t>
      </w:r>
      <w:r>
        <w:rPr>
          <w:rFonts w:eastAsia="仿宋_GB2312"/>
          <w:b/>
          <w:bCs/>
          <w:sz w:val="32"/>
          <w:szCs w:val="32"/>
          <w:shd w:val="clear" w:color="auto" w:fill="FFFFFF"/>
        </w:rPr>
        <w:t>新生儿疾病筛查项目。</w:t>
      </w:r>
      <w:r>
        <w:rPr>
          <w:rFonts w:eastAsia="仿宋_GB2312"/>
          <w:spacing w:val="-4"/>
          <w:sz w:val="32"/>
          <w:szCs w:val="32"/>
        </w:rPr>
        <w:t>截至目前，新生儿疾病筛查率达到97.</w:t>
      </w:r>
      <w:r>
        <w:rPr>
          <w:rFonts w:hint="eastAsia" w:eastAsia="仿宋_GB2312"/>
          <w:spacing w:val="-4"/>
          <w:sz w:val="32"/>
          <w:szCs w:val="32"/>
        </w:rPr>
        <w:t>51</w:t>
      </w:r>
      <w:r>
        <w:rPr>
          <w:rFonts w:eastAsia="仿宋_GB2312"/>
          <w:spacing w:val="-4"/>
          <w:sz w:val="32"/>
          <w:szCs w:val="32"/>
        </w:rPr>
        <w:t>%；新生儿听力筛查率9</w:t>
      </w:r>
      <w:r>
        <w:rPr>
          <w:rFonts w:hint="eastAsia" w:eastAsia="仿宋_GB2312"/>
          <w:spacing w:val="-4"/>
          <w:sz w:val="32"/>
          <w:szCs w:val="32"/>
        </w:rPr>
        <w:t>4.57</w:t>
      </w:r>
      <w:r>
        <w:rPr>
          <w:rFonts w:eastAsia="仿宋_GB2312"/>
          <w:spacing w:val="-4"/>
          <w:sz w:val="32"/>
          <w:szCs w:val="32"/>
        </w:rPr>
        <w:t>%。辖区医疗机构出生缺陷发生率为万分之</w:t>
      </w:r>
      <w:r>
        <w:rPr>
          <w:rFonts w:hint="eastAsia" w:eastAsia="仿宋_GB2312"/>
          <w:spacing w:val="-4"/>
          <w:sz w:val="32"/>
          <w:szCs w:val="32"/>
        </w:rPr>
        <w:t>82.64</w:t>
      </w:r>
      <w:r>
        <w:rPr>
          <w:rFonts w:eastAsia="仿宋_GB2312"/>
          <w:spacing w:val="-4"/>
          <w:sz w:val="32"/>
          <w:szCs w:val="32"/>
        </w:rPr>
        <w:t>。</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（3）</w:t>
      </w:r>
      <w:r>
        <w:rPr>
          <w:rFonts w:eastAsia="仿宋_GB2312"/>
          <w:b/>
          <w:bCs/>
          <w:spacing w:val="-4"/>
          <w:sz w:val="32"/>
          <w:szCs w:val="32"/>
        </w:rPr>
        <w:t>残疾儿童关爱项目。</w:t>
      </w:r>
      <w:r>
        <w:rPr>
          <w:rFonts w:eastAsia="仿宋_GB2312"/>
          <w:spacing w:val="-4"/>
          <w:sz w:val="32"/>
          <w:szCs w:val="32"/>
        </w:rPr>
        <w:t>根据《关于加强0</w:t>
      </w:r>
      <w:r>
        <w:rPr>
          <w:rFonts w:eastAsia="仿宋_GB2312"/>
          <w:sz w:val="32"/>
          <w:szCs w:val="32"/>
          <w:shd w:val="clear" w:color="auto" w:fill="FFFFFF"/>
        </w:rPr>
        <w:t>—</w:t>
      </w:r>
      <w:r>
        <w:rPr>
          <w:rFonts w:eastAsia="仿宋_GB2312"/>
          <w:spacing w:val="-4"/>
          <w:sz w:val="32"/>
          <w:szCs w:val="32"/>
        </w:rPr>
        <w:t>6岁残疾筛查工作的通知》，以基层医疗卫生服务机构为基底，依托市二医院开展0</w:t>
      </w:r>
      <w:r>
        <w:rPr>
          <w:rFonts w:eastAsia="仿宋_GB2312"/>
          <w:sz w:val="32"/>
          <w:szCs w:val="32"/>
          <w:shd w:val="clear" w:color="auto" w:fill="FFFFFF"/>
        </w:rPr>
        <w:t>—</w:t>
      </w:r>
      <w:r>
        <w:rPr>
          <w:rFonts w:eastAsia="仿宋_GB2312"/>
          <w:spacing w:val="-4"/>
          <w:sz w:val="32"/>
          <w:szCs w:val="32"/>
        </w:rPr>
        <w:t>6岁残疾儿童（视力、听力、肢体、智力、孤独5类）免费筛查工作。截至目前，共筛查7270人次，未筛查出残疾儿童。</w:t>
      </w:r>
    </w:p>
    <w:p>
      <w:pPr>
        <w:spacing w:line="353" w:lineRule="auto"/>
        <w:ind w:firstLine="643" w:firstLineChars="200"/>
        <w:rPr>
          <w:rFonts w:eastAsia="仿宋_GB2312"/>
          <w:sz w:val="32"/>
          <w:szCs w:val="32"/>
          <w:shd w:val="clear" w:color="auto" w:fill="FFFFFF"/>
        </w:rPr>
      </w:pPr>
      <w:r>
        <w:rPr>
          <w:rFonts w:hint="eastAsia" w:eastAsia="楷体_GB2312"/>
          <w:b/>
          <w:bCs/>
          <w:sz w:val="32"/>
          <w:szCs w:val="32"/>
          <w:shd w:val="clear" w:color="auto" w:fill="FFFFFF"/>
        </w:rPr>
        <w:t>（4）</w:t>
      </w:r>
      <w:r>
        <w:rPr>
          <w:rFonts w:eastAsia="仿宋_GB2312"/>
          <w:b/>
          <w:bCs/>
          <w:sz w:val="32"/>
          <w:szCs w:val="32"/>
          <w:shd w:val="clear" w:color="auto" w:fill="FFFFFF"/>
        </w:rPr>
        <w:t>儿童口腔疾病综合干预项目。</w:t>
      </w:r>
      <w:r>
        <w:rPr>
          <w:rFonts w:eastAsia="仿宋_GB2312"/>
          <w:sz w:val="32"/>
          <w:szCs w:val="32"/>
          <w:shd w:val="clear" w:color="auto" w:fill="FFFFFF"/>
        </w:rPr>
        <w:t>加强儿童口腔疾病综合干预工作，联合区教体局召开启动会议，依托学校资源，实施国家儿童口腔疾病综合干预项目，巩固全区口腔防保网络。截至目前，对全区</w:t>
      </w:r>
      <w:r>
        <w:rPr>
          <w:rFonts w:hint="eastAsia" w:eastAsia="仿宋_GB2312"/>
          <w:sz w:val="32"/>
          <w:szCs w:val="32"/>
          <w:shd w:val="clear" w:color="auto" w:fill="FFFFFF"/>
        </w:rPr>
        <w:t>1007</w:t>
      </w:r>
      <w:r>
        <w:rPr>
          <w:rFonts w:eastAsia="仿宋_GB2312"/>
          <w:sz w:val="32"/>
          <w:szCs w:val="32"/>
          <w:shd w:val="clear" w:color="auto" w:fill="FFFFFF"/>
        </w:rPr>
        <w:t>名3—6岁适龄儿童进行涂氟保护。</w:t>
      </w:r>
    </w:p>
    <w:p>
      <w:pPr>
        <w:spacing w:line="353" w:lineRule="auto"/>
        <w:ind w:firstLine="643" w:firstLineChars="200"/>
        <w:rPr>
          <w:rFonts w:eastAsia="仿宋_GB2312"/>
          <w:b/>
          <w:bCs/>
          <w:sz w:val="32"/>
          <w:szCs w:val="32"/>
          <w:shd w:val="clear" w:color="auto" w:fill="FFFFFF"/>
        </w:rPr>
      </w:pPr>
      <w:r>
        <w:rPr>
          <w:rFonts w:hint="eastAsia" w:eastAsia="仿宋_GB2312"/>
          <w:b/>
          <w:bCs/>
          <w:sz w:val="32"/>
          <w:szCs w:val="32"/>
          <w:shd w:val="clear" w:color="auto" w:fill="FFFFFF"/>
        </w:rPr>
        <w:t>4.</w:t>
      </w:r>
      <w:r>
        <w:rPr>
          <w:rFonts w:eastAsia="仿宋_GB2312"/>
          <w:b/>
          <w:bCs/>
          <w:sz w:val="32"/>
          <w:szCs w:val="32"/>
          <w:shd w:val="clear" w:color="auto" w:fill="FFFFFF"/>
        </w:rPr>
        <w:t>妇幼健康项目顺利实施。</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（1）</w:t>
      </w:r>
      <w:r>
        <w:rPr>
          <w:rFonts w:eastAsia="仿宋_GB2312"/>
          <w:b/>
          <w:bCs/>
          <w:sz w:val="32"/>
          <w:szCs w:val="32"/>
        </w:rPr>
        <w:t>预防艾滋病、梅毒和乙肝母婴阻断传播项目。</w:t>
      </w:r>
      <w:r>
        <w:rPr>
          <w:rFonts w:eastAsia="仿宋_GB2312"/>
          <w:bCs/>
          <w:sz w:val="32"/>
          <w:szCs w:val="32"/>
        </w:rPr>
        <w:t>全面规范落实预防母婴传播综合干预服务，减少相关疾病的母婴传播。</w:t>
      </w:r>
      <w:r>
        <w:rPr>
          <w:rFonts w:eastAsia="仿宋_GB2312"/>
          <w:spacing w:val="-4"/>
          <w:sz w:val="32"/>
          <w:szCs w:val="32"/>
        </w:rPr>
        <w:t>截至目前，</w:t>
      </w:r>
      <w:r>
        <w:rPr>
          <w:rFonts w:eastAsia="仿宋_GB2312"/>
          <w:sz w:val="32"/>
          <w:szCs w:val="32"/>
        </w:rPr>
        <w:t>管理HIV感染育龄妇女40人，男性单阳家庭68人，全区育龄妇女16811人，监测孕情16811人，孕情监测覆盖率为100%。全区开展孕产妇孕期艾滋病、梅毒和乙肝咨询和检测1819人次。发现HIV感染孕妇4人，成功转介2人至仁和妇幼保健院，2例HIV怀孕妇女自愿终止妊娠；发现梅毒感染孕妇9人，其中8人自愿终止妊娠，1人纳入紫色高危孕妇随访管理，发现梅毒单阳孕妇17人，其中14人选择自愿终止妊娠，3人纳入浅紫色高危孕妇随访管理；乙肝感染孕产妇所生儿童31人，随访率均为100%。西区先天艾滋病、梅毒、乙肝母婴传播率为零。</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（2）</w:t>
      </w:r>
      <w:r>
        <w:rPr>
          <w:rFonts w:eastAsia="仿宋_GB2312"/>
          <w:b/>
          <w:bCs/>
          <w:sz w:val="32"/>
          <w:szCs w:val="32"/>
        </w:rPr>
        <w:t>妇女宫颈癌、乳腺癌筛查项目。</w:t>
      </w:r>
      <w:r>
        <w:rPr>
          <w:rFonts w:eastAsia="仿宋_GB2312"/>
          <w:spacing w:val="-4"/>
          <w:sz w:val="32"/>
          <w:szCs w:val="32"/>
        </w:rPr>
        <w:t>两癌筛查与成都迪安检验公司合作，采取“互联网+”信息化操作模式。制定实施方案，召集格里坪镇各村委会主任召开两癌筛查会议，启动两癌筛查工作，截至目前，已</w:t>
      </w:r>
      <w:r>
        <w:rPr>
          <w:rFonts w:eastAsia="仿宋_GB2312"/>
          <w:sz w:val="32"/>
          <w:szCs w:val="32"/>
        </w:rPr>
        <w:t>完成</w:t>
      </w:r>
      <w:r>
        <w:rPr>
          <w:rFonts w:eastAsia="仿宋_GB2312"/>
          <w:spacing w:val="-4"/>
          <w:sz w:val="32"/>
          <w:szCs w:val="32"/>
        </w:rPr>
        <w:t>筛查780人，完成率110%；筛查出宫颈癌高风险9人，乳腺癌高风险6人，已做进一步检查确诊治疗。</w:t>
      </w:r>
    </w:p>
    <w:p>
      <w:pPr>
        <w:spacing w:line="353" w:lineRule="auto"/>
        <w:ind w:firstLine="643" w:firstLineChars="200"/>
        <w:rPr>
          <w:rFonts w:eastAsia="仿宋_GB2312"/>
          <w:sz w:val="32"/>
          <w:szCs w:val="32"/>
          <w:shd w:val="clear" w:color="auto" w:fill="FFFFFF"/>
        </w:rPr>
      </w:pPr>
      <w:r>
        <w:rPr>
          <w:rFonts w:hint="eastAsia" w:eastAsia="仿宋_GB2312"/>
          <w:b/>
          <w:bCs/>
          <w:sz w:val="32"/>
          <w:szCs w:val="32"/>
          <w:shd w:val="clear" w:color="auto" w:fill="FFFFFF"/>
        </w:rPr>
        <w:t>（3）</w:t>
      </w:r>
      <w:r>
        <w:rPr>
          <w:rFonts w:eastAsia="仿宋_GB2312"/>
          <w:b/>
          <w:bCs/>
          <w:sz w:val="32"/>
          <w:szCs w:val="32"/>
          <w:shd w:val="clear" w:color="auto" w:fill="FFFFFF"/>
        </w:rPr>
        <w:t>妇女增补叶酸预防神经管缺陷项目。</w:t>
      </w:r>
      <w:r>
        <w:rPr>
          <w:rFonts w:eastAsia="仿宋_GB2312"/>
          <w:bCs/>
          <w:sz w:val="32"/>
          <w:szCs w:val="32"/>
          <w:shd w:val="clear" w:color="auto" w:fill="FFFFFF"/>
        </w:rPr>
        <w:t>拓展</w:t>
      </w:r>
      <w:r>
        <w:rPr>
          <w:rFonts w:eastAsia="仿宋_GB2312"/>
          <w:sz w:val="32"/>
          <w:szCs w:val="32"/>
          <w:shd w:val="clear" w:color="auto" w:fill="FFFFFF"/>
        </w:rPr>
        <w:t>妇女补服叶酸项目范围，范围由农村妇女扩大到城市人口计划怀孕的妇女，提高待孕妇女的优生优育意识。</w:t>
      </w:r>
      <w:r>
        <w:rPr>
          <w:rFonts w:eastAsia="仿宋_GB2312"/>
          <w:spacing w:val="-4"/>
          <w:sz w:val="32"/>
          <w:szCs w:val="32"/>
        </w:rPr>
        <w:t>截至目前，</w:t>
      </w:r>
      <w:r>
        <w:rPr>
          <w:rFonts w:eastAsia="仿宋_GB2312"/>
          <w:sz w:val="32"/>
          <w:szCs w:val="32"/>
          <w:shd w:val="clear" w:color="auto" w:fill="FFFFFF"/>
        </w:rPr>
        <w:t>为300名妇女提供免费叶酸补服，其中其中非农业166名，农业134名，依从率100%。</w:t>
      </w:r>
    </w:p>
    <w:p>
      <w:pPr>
        <w:spacing w:line="353" w:lineRule="auto"/>
        <w:ind w:firstLine="643" w:firstLineChars="200"/>
        <w:rPr>
          <w:rFonts w:eastAsia="楷体_GB2312"/>
          <w:sz w:val="32"/>
          <w:szCs w:val="32"/>
          <w:shd w:val="clear" w:color="auto" w:fill="FFFFFF"/>
        </w:rPr>
      </w:pPr>
      <w:r>
        <w:rPr>
          <w:rFonts w:hint="eastAsia" w:eastAsia="仿宋_GB2312"/>
          <w:b/>
          <w:bCs/>
          <w:sz w:val="32"/>
          <w:szCs w:val="32"/>
        </w:rPr>
        <w:t>5.</w:t>
      </w:r>
      <w:r>
        <w:rPr>
          <w:rFonts w:eastAsia="仿宋_GB2312"/>
          <w:b/>
          <w:bCs/>
          <w:sz w:val="32"/>
          <w:szCs w:val="32"/>
        </w:rPr>
        <w:t>妇幼健康宣传工作。</w:t>
      </w:r>
    </w:p>
    <w:p>
      <w:pPr>
        <w:spacing w:line="353" w:lineRule="auto"/>
        <w:ind w:firstLine="643" w:firstLineChars="200"/>
        <w:rPr>
          <w:rFonts w:eastAsia="仿宋_GB2312"/>
          <w:sz w:val="32"/>
          <w:szCs w:val="32"/>
        </w:rPr>
      </w:pPr>
      <w:r>
        <w:rPr>
          <w:rFonts w:hint="eastAsia" w:eastAsia="仿宋_GB2312"/>
          <w:b/>
          <w:bCs/>
          <w:sz w:val="32"/>
          <w:szCs w:val="32"/>
        </w:rPr>
        <w:t>（1）</w:t>
      </w:r>
      <w:r>
        <w:rPr>
          <w:rFonts w:eastAsia="仿宋_GB2312"/>
          <w:b/>
          <w:bCs/>
          <w:sz w:val="32"/>
          <w:szCs w:val="32"/>
        </w:rPr>
        <w:t>多种形式媒体宣传。一是</w:t>
      </w:r>
      <w:r>
        <w:rPr>
          <w:rFonts w:eastAsia="仿宋_GB2312"/>
          <w:sz w:val="32"/>
          <w:szCs w:val="32"/>
        </w:rPr>
        <w:t>创新开展线上宣传模式，积极开展预防艾滋病、梅毒和乙肝母婴传播知识“微信答题赢红包”宣传活动，共有4000余人次参与活动，发放红包4900余元。并利用微信公众号推送妇幼卫生健康知识、新冠疫苗接种相关知识及各类安全知识，截至目前，共推送信息41条。</w:t>
      </w:r>
      <w:r>
        <w:rPr>
          <w:rFonts w:eastAsia="仿宋_GB2312"/>
          <w:b/>
          <w:bCs/>
          <w:sz w:val="32"/>
          <w:szCs w:val="32"/>
        </w:rPr>
        <w:t>二是</w:t>
      </w:r>
      <w:r>
        <w:rPr>
          <w:rFonts w:eastAsia="仿宋_GB2312"/>
          <w:sz w:val="32"/>
          <w:szCs w:val="32"/>
        </w:rPr>
        <w:t>利用一楼门诊大厅LED显示屏循环播放预防艾滋病、梅毒、乙肝母婴传播宣传片及安全警示教育片。</w:t>
      </w:r>
      <w:r>
        <w:rPr>
          <w:rFonts w:eastAsia="仿宋_GB2312"/>
          <w:b/>
          <w:bCs/>
          <w:sz w:val="32"/>
          <w:szCs w:val="32"/>
        </w:rPr>
        <w:t>三是</w:t>
      </w:r>
      <w:r>
        <w:rPr>
          <w:rFonts w:eastAsia="仿宋_GB2312"/>
          <w:sz w:val="32"/>
          <w:szCs w:val="32"/>
        </w:rPr>
        <w:t>结合母乳喂养周、免费补服叶酸、艾滋病日等宣传活动开展大型宣传，通过发放宣传资料、设立展板的方式，加大群众对健康知识的知晓率。</w:t>
      </w:r>
    </w:p>
    <w:p>
      <w:pPr>
        <w:pStyle w:val="2"/>
        <w:adjustRightInd w:val="0"/>
        <w:snapToGrid w:val="0"/>
        <w:spacing w:before="93" w:line="353" w:lineRule="auto"/>
        <w:ind w:firstLine="675" w:firstLineChars="210"/>
        <w:outlineLvl w:val="2"/>
        <w:rPr>
          <w:rFonts w:ascii="Times New Roman"/>
          <w:sz w:val="32"/>
          <w:szCs w:val="32"/>
        </w:rPr>
      </w:pPr>
      <w:r>
        <w:rPr>
          <w:rFonts w:hint="eastAsia" w:ascii="Times New Roman"/>
          <w:b/>
          <w:bCs/>
          <w:sz w:val="32"/>
          <w:szCs w:val="32"/>
        </w:rPr>
        <w:t>（2）</w:t>
      </w:r>
      <w:r>
        <w:rPr>
          <w:rFonts w:ascii="Times New Roman"/>
          <w:b/>
          <w:bCs/>
          <w:sz w:val="32"/>
          <w:szCs w:val="32"/>
        </w:rPr>
        <w:t>加强新闻宣传工作。</w:t>
      </w:r>
      <w:r>
        <w:rPr>
          <w:rFonts w:ascii="Times New Roman"/>
          <w:sz w:val="32"/>
          <w:szCs w:val="32"/>
        </w:rPr>
        <w:t>截至目前，在文明攀枝花推送信息1条，攀枝花市西区融媒体推送信息2条，非钒钛度推送信息1条，攀枝花市西区官网推送信息1条，同时围绕全市卫生健康重点工作，加大宣传教育力度、改善服务方式，保障人民群众家庭幸福、促进社会和谐发展。</w:t>
      </w:r>
      <w:bookmarkStart w:id="20" w:name="_Toc15377200"/>
      <w:bookmarkStart w:id="21" w:name="_Toc15396601"/>
    </w:p>
    <w:p>
      <w:pPr>
        <w:pStyle w:val="2"/>
        <w:adjustRightInd w:val="0"/>
        <w:snapToGrid w:val="0"/>
        <w:spacing w:before="93" w:line="353" w:lineRule="auto"/>
        <w:ind w:firstLine="630" w:firstLineChars="210"/>
        <w:outlineLvl w:val="2"/>
        <w:rPr>
          <w:rStyle w:val="25"/>
          <w:b w:val="0"/>
          <w:bCs w:val="0"/>
        </w:rPr>
      </w:pPr>
      <w:r>
        <w:rPr>
          <w:rFonts w:hint="eastAsia" w:ascii="黑体" w:eastAsia="黑体"/>
        </w:rPr>
        <w:t>二、</w:t>
      </w:r>
      <w:r>
        <w:rPr>
          <w:rFonts w:hint="eastAsia" w:ascii="黑体" w:hAnsi="黑体" w:eastAsia="黑体"/>
          <w:sz w:val="32"/>
          <w:szCs w:val="32"/>
        </w:rPr>
        <w:t>机</w:t>
      </w:r>
      <w:r>
        <w:rPr>
          <w:rStyle w:val="25"/>
          <w:rFonts w:hint="eastAsia" w:ascii="黑体" w:hAnsi="黑体" w:eastAsia="黑体"/>
          <w:b w:val="0"/>
          <w:bCs w:val="0"/>
        </w:rPr>
        <w:t>构设置</w:t>
      </w:r>
      <w:bookmarkEnd w:id="20"/>
      <w:bookmarkEnd w:id="21"/>
    </w:p>
    <w:p>
      <w:pPr>
        <w:pStyle w:val="2"/>
        <w:spacing w:before="93"/>
        <w:ind w:firstLine="640" w:firstLineChars="200"/>
        <w:rPr>
          <w:rFonts w:ascii="仿宋" w:hAnsi="仿宋" w:eastAsia="仿宋"/>
          <w:sz w:val="32"/>
          <w:szCs w:val="32"/>
        </w:rPr>
      </w:pPr>
      <w:r>
        <w:rPr>
          <w:rFonts w:ascii="Times New Roman"/>
          <w:sz w:val="32"/>
          <w:szCs w:val="32"/>
        </w:rPr>
        <w:t>攀枝花市西区妇幼保健服务中心属于攀枝花市西区卫生健康局二级预算单位</w:t>
      </w:r>
      <w:r>
        <w:rPr>
          <w:rFonts w:hint="eastAsia" w:ascii="Times New Roman"/>
          <w:sz w:val="32"/>
          <w:szCs w:val="32"/>
        </w:rPr>
        <w:t>，</w:t>
      </w:r>
      <w:r>
        <w:rPr>
          <w:rFonts w:hint="eastAsia" w:ascii="仿宋" w:hAnsi="仿宋" w:eastAsia="仿宋"/>
          <w:sz w:val="32"/>
          <w:szCs w:val="32"/>
        </w:rPr>
        <w:t>下设独立编制机构0个，其中行政机构0个，参照公务员法管理事业机构0个，其他事业机构0个。</w:t>
      </w:r>
    </w:p>
    <w:p>
      <w:pPr>
        <w:ind w:firstLine="640"/>
        <w:rPr>
          <w:rFonts w:ascii="仿宋" w:hAnsi="仿宋" w:eastAsia="仿宋"/>
          <w:sz w:val="32"/>
          <w:szCs w:val="32"/>
        </w:rPr>
      </w:pPr>
      <w:r>
        <w:rPr>
          <w:rFonts w:hint="eastAsia" w:ascii="仿宋" w:hAnsi="仿宋" w:eastAsia="仿宋"/>
          <w:sz w:val="32"/>
          <w:szCs w:val="32"/>
        </w:rPr>
        <w:t>纳入2021年度单位决算编制范围的独立编制机构包括：攀枝花市西区妇幼保健服务中心。</w:t>
      </w:r>
    </w:p>
    <w:p>
      <w:pPr>
        <w:pStyle w:val="2"/>
        <w:spacing w:before="93"/>
        <w:ind w:firstLine="600" w:firstLineChars="200"/>
        <w:rPr>
          <w:rFonts w:hint="eastAsia"/>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4"/>
          <w:rFonts w:hint="eastAsia" w:ascii="黑体" w:hAnsi="黑体" w:eastAsia="黑体"/>
          <w:b w:val="0"/>
          <w:bCs/>
        </w:rPr>
        <w:t>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2021年度收、支总计</w:t>
      </w:r>
      <w:r>
        <w:rPr>
          <w:rFonts w:hint="eastAsia" w:ascii="仿宋" w:hAnsi="仿宋" w:eastAsia="仿宋"/>
          <w:color w:val="auto"/>
          <w:sz w:val="32"/>
          <w:szCs w:val="32"/>
          <w:lang w:val="en-US" w:eastAsia="zh-CN"/>
        </w:rPr>
        <w:t>226.21</w:t>
      </w:r>
      <w:r>
        <w:rPr>
          <w:rFonts w:hint="eastAsia" w:ascii="仿宋" w:hAnsi="仿宋" w:eastAsia="仿宋"/>
          <w:color w:val="auto"/>
          <w:sz w:val="32"/>
          <w:szCs w:val="32"/>
        </w:rPr>
        <w:t>万元。与2020年相比，收、支总计各减少</w:t>
      </w:r>
      <w:r>
        <w:rPr>
          <w:rFonts w:hint="eastAsia" w:ascii="仿宋" w:hAnsi="仿宋" w:eastAsia="仿宋"/>
          <w:color w:val="auto"/>
          <w:sz w:val="32"/>
          <w:szCs w:val="32"/>
          <w:lang w:val="en-US" w:eastAsia="zh-CN"/>
        </w:rPr>
        <w:t>14.11</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5.87</w:t>
      </w:r>
      <w:r>
        <w:rPr>
          <w:rFonts w:ascii="仿宋" w:hAnsi="仿宋" w:eastAsia="仿宋"/>
          <w:color w:val="auto"/>
          <w:sz w:val="32"/>
          <w:szCs w:val="32"/>
        </w:rPr>
        <w:t>%</w:t>
      </w:r>
      <w:r>
        <w:rPr>
          <w:rFonts w:hint="eastAsia" w:ascii="仿宋" w:hAnsi="仿宋" w:eastAsia="仿宋"/>
          <w:color w:val="auto"/>
          <w:sz w:val="32"/>
          <w:szCs w:val="32"/>
        </w:rPr>
        <w:t>。主要变动原因是项目经费减少。</w:t>
      </w:r>
    </w:p>
    <w:p>
      <w:pPr>
        <w:spacing w:line="600" w:lineRule="exact"/>
        <w:ind w:firstLine="640" w:firstLineChars="200"/>
        <w:rPr>
          <w:rFonts w:ascii="仿宋" w:hAnsi="仿宋" w:eastAsia="仿宋"/>
          <w:color w:val="auto"/>
          <w:sz w:val="32"/>
          <w:szCs w:val="32"/>
        </w:rPr>
      </w:pPr>
    </w:p>
    <w:p>
      <w:pPr>
        <w:spacing w:line="600" w:lineRule="exact"/>
        <w:ind w:firstLine="640" w:firstLineChars="200"/>
        <w:jc w:val="left"/>
        <w:rPr>
          <w:rFonts w:ascii="仿宋_GB2312" w:eastAsia="仿宋_GB2312"/>
          <w:sz w:val="32"/>
          <w:szCs w:val="32"/>
        </w:rPr>
      </w:pPr>
      <w:r>
        <w:rPr>
          <w:rFonts w:eastAsia="仿宋_GB2312"/>
          <w:color w:val="000000"/>
          <w:sz w:val="32"/>
          <w:szCs w:val="32"/>
        </w:rPr>
        <w:drawing>
          <wp:anchor distT="0" distB="0" distL="114300" distR="114300" simplePos="0" relativeHeight="251662336" behindDoc="0" locked="0" layoutInCell="1" allowOverlap="1">
            <wp:simplePos x="0" y="0"/>
            <wp:positionH relativeFrom="column">
              <wp:posOffset>1033145</wp:posOffset>
            </wp:positionH>
            <wp:positionV relativeFrom="paragraph">
              <wp:posOffset>269240</wp:posOffset>
            </wp:positionV>
            <wp:extent cx="3189605" cy="3244850"/>
            <wp:effectExtent l="4445" t="4445" r="6350" b="14605"/>
            <wp:wrapTopAndBottom/>
            <wp:docPr id="4" name="图表 4"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5"/>
          <w:rFonts w:hint="eastAsia" w:ascii="黑体" w:hAnsi="黑体" w:eastAsia="黑体"/>
          <w:b w:val="0"/>
        </w:rPr>
        <w:t>入决算情况说明</w:t>
      </w:r>
      <w:bookmarkEnd w:id="26"/>
      <w:bookmarkEnd w:id="27"/>
    </w:p>
    <w:p>
      <w:pPr>
        <w:spacing w:line="600" w:lineRule="exact"/>
        <w:ind w:firstLine="640"/>
        <w:rPr>
          <w:rFonts w:eastAsia="仿宋_GB2312"/>
          <w:color w:val="000000"/>
          <w:sz w:val="32"/>
          <w:szCs w:val="32"/>
        </w:rPr>
      </w:pPr>
      <w:r>
        <w:rPr>
          <w:rFonts w:ascii="仿宋" w:hAnsi="仿宋" w:eastAsia="仿宋"/>
          <w:sz w:val="32"/>
          <w:szCs w:val="32"/>
        </w:rPr>
        <w:t>20</w:t>
      </w:r>
      <w:r>
        <w:rPr>
          <w:rFonts w:hint="eastAsia" w:ascii="仿宋" w:hAnsi="仿宋" w:eastAsia="仿宋"/>
          <w:sz w:val="32"/>
          <w:szCs w:val="32"/>
        </w:rPr>
        <w:t>21年本年收入合计234.54万元，其中：一般公共预算财政拨款收入226.15万元，占96.42</w:t>
      </w:r>
      <w:r>
        <w:rPr>
          <w:rFonts w:ascii="仿宋" w:hAnsi="仿宋" w:eastAsia="仿宋"/>
          <w:sz w:val="32"/>
          <w:szCs w:val="32"/>
        </w:rPr>
        <w:t>%</w:t>
      </w:r>
      <w:r>
        <w:rPr>
          <w:rFonts w:hint="eastAsia" w:ascii="仿宋" w:hAnsi="仿宋" w:eastAsia="仿宋"/>
          <w:sz w:val="32"/>
          <w:szCs w:val="32"/>
        </w:rPr>
        <w:t>；其他收入0.07万元，占0.03</w:t>
      </w:r>
      <w:r>
        <w:rPr>
          <w:rFonts w:ascii="仿宋" w:hAnsi="仿宋" w:eastAsia="仿宋"/>
          <w:sz w:val="32"/>
          <w:szCs w:val="32"/>
        </w:rPr>
        <w:t>%</w:t>
      </w:r>
      <w:r>
        <w:rPr>
          <w:rFonts w:hint="eastAsia" w:ascii="仿宋" w:hAnsi="仿宋" w:eastAsia="仿宋"/>
          <w:sz w:val="32"/>
          <w:szCs w:val="32"/>
        </w:rPr>
        <w:t>；</w:t>
      </w:r>
      <w:r>
        <w:rPr>
          <w:rFonts w:hint="eastAsia" w:eastAsia="仿宋_GB2312"/>
          <w:sz w:val="32"/>
          <w:szCs w:val="32"/>
        </w:rPr>
        <w:t>年初结转和结余8.33万元。占3.56</w:t>
      </w:r>
      <w:r>
        <w:rPr>
          <w:rFonts w:ascii="仿宋" w:hAnsi="仿宋" w:eastAsia="仿宋"/>
          <w:sz w:val="32"/>
          <w:szCs w:val="32"/>
        </w:rPr>
        <w:t>%</w:t>
      </w:r>
      <w:r>
        <w:rPr>
          <w:rFonts w:hint="eastAsia" w:ascii="仿宋" w:hAnsi="仿宋" w:eastAsia="仿宋"/>
          <w:sz w:val="32"/>
          <w:szCs w:val="32"/>
        </w:rPr>
        <w:t>;</w:t>
      </w:r>
      <w:r>
        <w:rPr>
          <w:rFonts w:eastAsia="仿宋_GB2312"/>
          <w:sz w:val="32"/>
          <w:szCs w:val="32"/>
        </w:rPr>
        <w:t>无政府性基金预算</w:t>
      </w:r>
      <w:r>
        <w:rPr>
          <w:rFonts w:eastAsia="仿宋_GB2312"/>
          <w:color w:val="000000"/>
          <w:sz w:val="32"/>
          <w:szCs w:val="32"/>
        </w:rPr>
        <w:t>财政拨款收入、国有资本经营预算财政拨款收入、事业收入、经营收入、附属单位上缴收入。</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4384" behindDoc="0" locked="0" layoutInCell="1" allowOverlap="1">
            <wp:simplePos x="0" y="0"/>
            <wp:positionH relativeFrom="column">
              <wp:posOffset>125730</wp:posOffset>
            </wp:positionH>
            <wp:positionV relativeFrom="paragraph">
              <wp:posOffset>509905</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eastAsia="仿宋_GB2312"/>
          <w:color w:val="000000"/>
          <w:sz w:val="32"/>
          <w:szCs w:val="32"/>
        </w:rPr>
      </w:pPr>
      <w:r>
        <w:rPr>
          <w:rFonts w:ascii="仿宋" w:hAnsi="仿宋" w:eastAsia="仿宋"/>
          <w:sz w:val="32"/>
          <w:szCs w:val="32"/>
        </w:rPr>
        <w:t>20</w:t>
      </w:r>
      <w:r>
        <w:rPr>
          <w:rFonts w:hint="eastAsia" w:ascii="仿宋" w:hAnsi="仿宋" w:eastAsia="仿宋"/>
          <w:sz w:val="32"/>
          <w:szCs w:val="32"/>
        </w:rPr>
        <w:t>21年本年支出合计234.54万元，其中：基本支出180.31万元，占76.88</w:t>
      </w:r>
      <w:r>
        <w:rPr>
          <w:rFonts w:ascii="仿宋" w:hAnsi="仿宋" w:eastAsia="仿宋"/>
          <w:sz w:val="32"/>
          <w:szCs w:val="32"/>
        </w:rPr>
        <w:t>%</w:t>
      </w:r>
      <w:r>
        <w:rPr>
          <w:rFonts w:hint="eastAsia" w:ascii="仿宋" w:hAnsi="仿宋" w:eastAsia="仿宋"/>
          <w:sz w:val="32"/>
          <w:szCs w:val="32"/>
        </w:rPr>
        <w:t>；项目支出54.23万元，占23.12</w:t>
      </w:r>
      <w:r>
        <w:rPr>
          <w:rFonts w:ascii="仿宋" w:hAnsi="仿宋" w:eastAsia="仿宋"/>
          <w:sz w:val="32"/>
          <w:szCs w:val="32"/>
        </w:rPr>
        <w:t>%</w:t>
      </w:r>
      <w:r>
        <w:rPr>
          <w:rFonts w:hint="eastAsia" w:ascii="仿宋" w:hAnsi="仿宋" w:eastAsia="仿宋"/>
          <w:sz w:val="32"/>
          <w:szCs w:val="32"/>
        </w:rPr>
        <w:t>。</w:t>
      </w:r>
      <w:r>
        <w:rPr>
          <w:rFonts w:eastAsia="仿宋_GB2312"/>
          <w:color w:val="000000"/>
          <w:sz w:val="32"/>
          <w:szCs w:val="32"/>
        </w:rPr>
        <w:t>无上缴上级支出、经营支出、对附属单位补助支出。</w:t>
      </w:r>
    </w:p>
    <w:p>
      <w:pPr>
        <w:spacing w:line="600" w:lineRule="exact"/>
        <w:ind w:firstLine="640" w:firstLineChars="200"/>
        <w:rPr>
          <w:rFonts w:ascii="仿宋" w:hAnsi="仿宋" w:eastAsia="仿宋"/>
          <w:sz w:val="32"/>
          <w:szCs w:val="32"/>
        </w:rPr>
      </w:pPr>
    </w:p>
    <w:p>
      <w:pPr>
        <w:spacing w:line="600" w:lineRule="exact"/>
        <w:ind w:firstLine="640" w:firstLineChars="200"/>
        <w:outlineLvl w:val="1"/>
        <w:rPr>
          <w:rFonts w:ascii="黑体" w:hAnsi="黑体" w:eastAsia="黑体"/>
          <w:sz w:val="32"/>
          <w:szCs w:val="32"/>
        </w:rPr>
      </w:pPr>
      <w:bookmarkStart w:id="30" w:name="_Toc15396606"/>
      <w:bookmarkStart w:id="31" w:name="_Toc15377208"/>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r>
        <w:rPr>
          <w:rFonts w:eastAsia="仿宋_GB2312"/>
          <w:color w:val="FF0000"/>
          <w:sz w:val="32"/>
          <w:szCs w:val="32"/>
        </w:rPr>
        <w:drawing>
          <wp:anchor distT="0" distB="0" distL="114300" distR="114300" simplePos="0" relativeHeight="251661312" behindDoc="0" locked="0" layoutInCell="1" allowOverlap="1">
            <wp:simplePos x="0" y="0"/>
            <wp:positionH relativeFrom="column">
              <wp:posOffset>1185545</wp:posOffset>
            </wp:positionH>
            <wp:positionV relativeFrom="paragraph">
              <wp:posOffset>120015</wp:posOffset>
            </wp:positionV>
            <wp:extent cx="3213735" cy="2477770"/>
            <wp:effectExtent l="4445" t="4445" r="7620" b="6985"/>
            <wp:wrapTopAndBottom/>
            <wp:docPr id="8" name="图表 8"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eastAsia="仿宋_GB2312"/>
          <w:color w:val="000000"/>
          <w:sz w:val="32"/>
          <w:szCs w:val="32"/>
        </w:rPr>
        <w:drawing>
          <wp:anchor distT="0" distB="0" distL="114300" distR="114300" simplePos="0" relativeHeight="251660288" behindDoc="0" locked="0" layoutInCell="1" allowOverlap="1">
            <wp:simplePos x="0" y="0"/>
            <wp:positionH relativeFrom="column">
              <wp:posOffset>874395</wp:posOffset>
            </wp:positionH>
            <wp:positionV relativeFrom="paragraph">
              <wp:posOffset>1985010</wp:posOffset>
            </wp:positionV>
            <wp:extent cx="4065905" cy="2845435"/>
            <wp:effectExtent l="4445" t="4445" r="6350" b="7620"/>
            <wp:wrapTopAndBottom/>
            <wp:docPr id="9" name="图表 9"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2021年度财政拨款收、支总计234.</w:t>
      </w:r>
      <w:r>
        <w:rPr>
          <w:rFonts w:ascii="仿宋" w:hAnsi="仿宋" w:eastAsia="仿宋"/>
          <w:sz w:val="32"/>
          <w:szCs w:val="32"/>
        </w:rPr>
        <w:t>47</w:t>
      </w:r>
      <w:r>
        <w:rPr>
          <w:rFonts w:hint="eastAsia" w:ascii="仿宋" w:hAnsi="仿宋" w:eastAsia="仿宋"/>
          <w:sz w:val="32"/>
          <w:szCs w:val="32"/>
        </w:rPr>
        <w:t>万元。与2020年相比，收、支总计各减少</w:t>
      </w:r>
      <w:r>
        <w:rPr>
          <w:rFonts w:ascii="仿宋" w:hAnsi="仿宋" w:eastAsia="仿宋"/>
          <w:sz w:val="32"/>
          <w:szCs w:val="32"/>
        </w:rPr>
        <w:t>5.76</w:t>
      </w:r>
      <w:r>
        <w:rPr>
          <w:rFonts w:hint="eastAsia" w:ascii="仿宋" w:hAnsi="仿宋" w:eastAsia="仿宋"/>
          <w:sz w:val="32"/>
          <w:szCs w:val="32"/>
        </w:rPr>
        <w:t>万元，下降2.</w:t>
      </w:r>
      <w:r>
        <w:rPr>
          <w:rFonts w:ascii="仿宋" w:hAnsi="仿宋" w:eastAsia="仿宋"/>
          <w:sz w:val="32"/>
          <w:szCs w:val="32"/>
        </w:rPr>
        <w:t>4%</w:t>
      </w:r>
      <w:r>
        <w:rPr>
          <w:rFonts w:hint="eastAsia" w:ascii="仿宋" w:hAnsi="仿宋" w:eastAsia="仿宋"/>
          <w:sz w:val="32"/>
          <w:szCs w:val="32"/>
        </w:rPr>
        <w:t>。主要变动原因是项目经费减少。</w:t>
      </w:r>
    </w:p>
    <w:p>
      <w:pPr>
        <w:spacing w:line="600" w:lineRule="exact"/>
        <w:ind w:firstLine="640" w:firstLineChars="200"/>
        <w:rPr>
          <w:rFonts w:ascii="仿宋" w:hAnsi="仿宋" w:eastAsia="仿宋"/>
          <w:sz w:val="32"/>
          <w:szCs w:val="32"/>
        </w:rPr>
      </w:pP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bookmarkStart w:id="34" w:name="_Toc15377210"/>
      <w:r>
        <w:rPr>
          <w:rFonts w:hint="eastAsia" w:ascii="楷体_GB2312" w:hAnsi="楷体_GB2312" w:eastAsia="楷体_GB2312" w:cs="楷体_GB2312"/>
          <w:sz w:val="32"/>
          <w:szCs w:val="32"/>
          <w:lang w:val="zh-CN"/>
        </w:rPr>
        <w:t>（一）一般公共预算财政拨款支出决算总体情况</w:t>
      </w:r>
      <w:bookmarkEnd w:id="34"/>
      <w:r>
        <w:rPr>
          <w:rFonts w:hint="eastAsia" w:ascii="楷体_GB2312" w:hAnsi="楷体_GB2312" w:eastAsia="楷体_GB2312" w:cs="楷体_GB2312"/>
          <w:sz w:val="32"/>
          <w:szCs w:val="32"/>
          <w:lang w:val="zh-CN"/>
        </w:rPr>
        <w:t>。</w:t>
      </w:r>
    </w:p>
    <w:p>
      <w:pPr>
        <w:spacing w:line="600" w:lineRule="exact"/>
        <w:ind w:firstLine="640" w:firstLineChars="200"/>
        <w:rPr>
          <w:rFonts w:ascii="仿宋" w:hAnsi="仿宋" w:eastAsia="仿宋_GB2312"/>
          <w:sz w:val="32"/>
          <w:szCs w:val="32"/>
        </w:rPr>
      </w:pPr>
      <w:r>
        <w:rPr>
          <w:rFonts w:ascii="仿宋" w:hAnsi="仿宋" w:eastAsia="仿宋"/>
          <w:sz w:val="32"/>
          <w:szCs w:val="32"/>
        </w:rPr>
        <w:t>20</w:t>
      </w:r>
      <w:r>
        <w:rPr>
          <w:rFonts w:hint="eastAsia" w:ascii="仿宋" w:hAnsi="仿宋" w:eastAsia="仿宋"/>
          <w:sz w:val="32"/>
          <w:szCs w:val="32"/>
        </w:rPr>
        <w:t>21年一般公共预算财政拨款支出233.48万元，占本年支出合计的99.5</w:t>
      </w:r>
      <w:r>
        <w:rPr>
          <w:rFonts w:ascii="仿宋" w:hAnsi="仿宋" w:eastAsia="仿宋"/>
          <w:sz w:val="32"/>
          <w:szCs w:val="32"/>
        </w:rPr>
        <w:t>8%</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ascii="仿宋" w:hAnsi="仿宋" w:eastAsia="仿宋"/>
          <w:sz w:val="32"/>
          <w:szCs w:val="32"/>
        </w:rPr>
        <w:t>14.05</w:t>
      </w:r>
      <w:r>
        <w:rPr>
          <w:rFonts w:hint="eastAsia" w:ascii="仿宋" w:hAnsi="仿宋" w:eastAsia="仿宋"/>
          <w:sz w:val="32"/>
          <w:szCs w:val="32"/>
        </w:rPr>
        <w:t>万元，增长</w:t>
      </w:r>
      <w:r>
        <w:rPr>
          <w:rFonts w:ascii="仿宋" w:hAnsi="仿宋" w:eastAsia="仿宋"/>
          <w:sz w:val="32"/>
          <w:szCs w:val="32"/>
        </w:rPr>
        <w:t>6.4%</w:t>
      </w:r>
      <w:r>
        <w:rPr>
          <w:rFonts w:hint="eastAsia" w:ascii="仿宋" w:hAnsi="仿宋" w:eastAsia="仿宋"/>
          <w:sz w:val="32"/>
          <w:szCs w:val="32"/>
        </w:rPr>
        <w:t>。主要变动原因是</w:t>
      </w:r>
      <w:r>
        <w:rPr>
          <w:rFonts w:hint="eastAsia" w:eastAsia="仿宋_GB2312"/>
          <w:sz w:val="32"/>
          <w:szCs w:val="32"/>
        </w:rPr>
        <w:t>2021年下半年通过考核招聘新进人员3人</w:t>
      </w:r>
      <w:r>
        <w:rPr>
          <w:rFonts w:eastAsia="仿宋_GB2312"/>
          <w:sz w:val="32"/>
          <w:szCs w:val="32"/>
        </w:rPr>
        <w:t>，</w:t>
      </w:r>
      <w:r>
        <w:rPr>
          <w:rFonts w:hint="eastAsia" w:eastAsia="仿宋_GB2312"/>
          <w:sz w:val="32"/>
          <w:szCs w:val="32"/>
        </w:rPr>
        <w:t>基本支出增加。</w:t>
      </w:r>
    </w:p>
    <w:p>
      <w:pPr>
        <w:spacing w:line="600" w:lineRule="exact"/>
        <w:ind w:firstLine="640" w:firstLineChars="200"/>
        <w:rPr>
          <w:rFonts w:ascii="仿宋" w:hAnsi="仿宋" w:eastAsia="仿宋"/>
          <w:sz w:val="32"/>
          <w:szCs w:val="32"/>
        </w:rPr>
      </w:pPr>
    </w:p>
    <w:p>
      <w:pPr>
        <w:pStyle w:val="2"/>
        <w:spacing w:before="93"/>
      </w:pPr>
      <w:r>
        <w:drawing>
          <wp:inline distT="0" distB="0" distL="0" distR="0">
            <wp:extent cx="5486400" cy="32004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pPr>
    </w:p>
    <w:p>
      <w:pPr>
        <w:pStyle w:val="2"/>
        <w:spacing w:before="93"/>
      </w:pPr>
    </w:p>
    <w:p>
      <w:pPr>
        <w:pStyle w:val="2"/>
        <w:spacing w:before="93"/>
      </w:pPr>
    </w:p>
    <w:p>
      <w:pPr>
        <w:pStyle w:val="2"/>
        <w:spacing w:before="93"/>
      </w:pPr>
    </w:p>
    <w:p>
      <w:pPr>
        <w:pStyle w:val="2"/>
        <w:spacing w:before="93"/>
        <w:rPr>
          <w:rFonts w:hint="eastAsia"/>
        </w:rPr>
      </w:pP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（二）一般公共预算财政拨款支出决算结构情况。</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21年一般公共预算财政拨款支233.48万元，主要用于以下方面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支出14.32万元，占6.13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203.19万元，占87.03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w:t>
      </w:r>
      <w:r>
        <w:rPr>
          <w:rFonts w:hint="eastAsia" w:ascii="仿宋" w:hAnsi="仿宋" w:eastAsia="仿宋"/>
          <w:sz w:val="32"/>
          <w:szCs w:val="32"/>
        </w:rPr>
        <w:t>支出15.96万元，占6.84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r>
        <w:rPr>
          <w:rFonts w:ascii="Times New Roman"/>
          <w:color w:val="000000"/>
          <w:sz w:val="32"/>
          <w:szCs w:val="32"/>
        </w:rPr>
        <w:drawing>
          <wp:anchor distT="0" distB="0" distL="114300" distR="114300" simplePos="0" relativeHeight="251659264" behindDoc="0" locked="0" layoutInCell="1" allowOverlap="1">
            <wp:simplePos x="0" y="0"/>
            <wp:positionH relativeFrom="column">
              <wp:posOffset>518795</wp:posOffset>
            </wp:positionH>
            <wp:positionV relativeFrom="paragraph">
              <wp:posOffset>327660</wp:posOffset>
            </wp:positionV>
            <wp:extent cx="4762500" cy="2996565"/>
            <wp:effectExtent l="4445" t="4445" r="8255" b="8890"/>
            <wp:wrapTopAndBottom/>
            <wp:docPr id="2" name="图表 2"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bookmarkStart w:id="35" w:name="_Toc15377212"/>
      <w:r>
        <w:rPr>
          <w:rFonts w:hint="eastAsia" w:ascii="楷体_GB2312" w:hAnsi="楷体_GB2312" w:eastAsia="楷体_GB2312" w:cs="楷体_GB2312"/>
          <w:sz w:val="32"/>
          <w:szCs w:val="32"/>
          <w:lang w:val="zh-CN"/>
        </w:rPr>
        <w:t>（三）一般公共预算财政拨款支出决算具体情况</w:t>
      </w:r>
      <w:bookmarkEnd w:id="35"/>
      <w:r>
        <w:rPr>
          <w:rFonts w:hint="eastAsia" w:ascii="楷体_GB2312" w:hAnsi="楷体_GB2312" w:eastAsia="楷体_GB2312" w:cs="楷体_GB2312"/>
          <w:sz w:val="32"/>
          <w:szCs w:val="32"/>
          <w:lang w:val="zh-CN"/>
        </w:rPr>
        <w:t>。</w:t>
      </w:r>
    </w:p>
    <w:p>
      <w:pPr>
        <w:spacing w:line="600" w:lineRule="exact"/>
        <w:ind w:firstLine="640" w:firstLineChars="200"/>
        <w:outlineLvl w:val="2"/>
        <w:rPr>
          <w:rFonts w:eastAsia="仿宋_GB2312"/>
          <w:color w:val="000000"/>
          <w:sz w:val="32"/>
          <w:szCs w:val="32"/>
        </w:rPr>
      </w:pPr>
      <w:bookmarkStart w:id="36" w:name="_Toc15377213"/>
      <w:bookmarkStart w:id="37" w:name="_Toc15378460"/>
      <w:bookmarkStart w:id="38" w:name="_Toc15377444"/>
      <w:r>
        <w:rPr>
          <w:rFonts w:eastAsia="仿宋_GB2312"/>
          <w:color w:val="000000"/>
          <w:sz w:val="32"/>
          <w:szCs w:val="32"/>
        </w:rPr>
        <w:t>202</w:t>
      </w:r>
      <w:r>
        <w:rPr>
          <w:rFonts w:hint="eastAsia" w:eastAsia="仿宋_GB2312"/>
          <w:color w:val="000000"/>
          <w:sz w:val="32"/>
          <w:szCs w:val="32"/>
        </w:rPr>
        <w:t>1</w:t>
      </w:r>
      <w:r>
        <w:rPr>
          <w:rFonts w:eastAsia="仿宋_GB2312"/>
          <w:color w:val="000000"/>
          <w:sz w:val="32"/>
          <w:szCs w:val="32"/>
        </w:rPr>
        <w:t>年一般公共预算支出决算数为</w:t>
      </w:r>
      <w:r>
        <w:rPr>
          <w:rFonts w:hint="eastAsia" w:eastAsia="仿宋_GB2312"/>
          <w:color w:val="000000"/>
          <w:sz w:val="32"/>
          <w:szCs w:val="32"/>
        </w:rPr>
        <w:t>233.48</w:t>
      </w:r>
      <w:r>
        <w:rPr>
          <w:rFonts w:eastAsia="仿宋_GB2312"/>
          <w:color w:val="000000"/>
          <w:sz w:val="32"/>
          <w:szCs w:val="32"/>
        </w:rPr>
        <w:t>，完成预算</w:t>
      </w:r>
      <w:r>
        <w:rPr>
          <w:rFonts w:hint="eastAsia" w:eastAsia="仿宋_GB2312"/>
          <w:color w:val="000000"/>
          <w:sz w:val="32"/>
          <w:szCs w:val="32"/>
        </w:rPr>
        <w:t>100</w:t>
      </w:r>
      <w:r>
        <w:rPr>
          <w:rFonts w:eastAsia="仿宋_GB2312"/>
          <w:color w:val="000000"/>
          <w:sz w:val="32"/>
          <w:szCs w:val="32"/>
        </w:rPr>
        <w:t>%，与预算数持平。其中：</w:t>
      </w:r>
    </w:p>
    <w:p>
      <w:pPr>
        <w:spacing w:line="600" w:lineRule="exact"/>
        <w:ind w:firstLine="630" w:firstLineChars="196"/>
        <w:rPr>
          <w:rFonts w:eastAsia="仿宋"/>
          <w:b/>
          <w:color w:val="000000"/>
          <w:sz w:val="32"/>
          <w:szCs w:val="32"/>
        </w:rPr>
      </w:pPr>
      <w:r>
        <w:rPr>
          <w:rStyle w:val="13"/>
          <w:rFonts w:eastAsia="仿宋_GB2312"/>
          <w:bCs/>
          <w:color w:val="000000"/>
          <w:sz w:val="32"/>
          <w:szCs w:val="32"/>
        </w:rPr>
        <w:t>1.社会保障和就业（类）：</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2080505机关事业单位基本养老保险缴费支出：支出决算为</w:t>
      </w:r>
      <w:r>
        <w:rPr>
          <w:rFonts w:hint="eastAsia" w:eastAsia="仿宋_GB2312"/>
          <w:color w:val="000000"/>
          <w:sz w:val="32"/>
          <w:szCs w:val="32"/>
        </w:rPr>
        <w:t>14.32</w:t>
      </w:r>
      <w:r>
        <w:rPr>
          <w:rFonts w:eastAsia="仿宋_GB2312"/>
          <w:color w:val="000000"/>
          <w:sz w:val="32"/>
          <w:szCs w:val="32"/>
        </w:rPr>
        <w:t>万元，完成预算100%，与预算数持平。</w:t>
      </w:r>
    </w:p>
    <w:p>
      <w:pPr>
        <w:spacing w:line="600" w:lineRule="exact"/>
        <w:ind w:firstLine="643" w:firstLineChars="200"/>
        <w:outlineLvl w:val="2"/>
        <w:rPr>
          <w:rFonts w:eastAsia="仿宋_GB2312"/>
          <w:b/>
          <w:bCs/>
          <w:color w:val="000000"/>
          <w:sz w:val="32"/>
          <w:szCs w:val="32"/>
        </w:rPr>
      </w:pPr>
      <w:r>
        <w:rPr>
          <w:rFonts w:eastAsia="仿宋_GB2312"/>
          <w:b/>
          <w:bCs/>
          <w:color w:val="000000"/>
          <w:sz w:val="32"/>
          <w:szCs w:val="32"/>
        </w:rPr>
        <w:t>2.卫生健康（类）</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2100403妇幼保健机构支出:支出决算为</w:t>
      </w:r>
      <w:r>
        <w:rPr>
          <w:rFonts w:hint="eastAsia" w:eastAsia="仿宋_GB2312"/>
          <w:color w:val="000000"/>
          <w:sz w:val="32"/>
          <w:szCs w:val="32"/>
        </w:rPr>
        <w:t>166.2</w:t>
      </w:r>
      <w:r>
        <w:rPr>
          <w:rFonts w:eastAsia="仿宋_GB2312"/>
          <w:color w:val="000000"/>
          <w:sz w:val="32"/>
          <w:szCs w:val="32"/>
        </w:rPr>
        <w:t>万元，完成预算100%，与预算数持平。</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2100408重大公共卫生服务支出：支出决算为</w:t>
      </w:r>
      <w:r>
        <w:rPr>
          <w:rFonts w:hint="eastAsia" w:eastAsia="仿宋_GB2312"/>
          <w:color w:val="000000"/>
          <w:sz w:val="32"/>
          <w:szCs w:val="32"/>
        </w:rPr>
        <w:t>8.04</w:t>
      </w:r>
      <w:r>
        <w:rPr>
          <w:rFonts w:eastAsia="仿宋_GB2312"/>
          <w:color w:val="000000"/>
          <w:sz w:val="32"/>
          <w:szCs w:val="32"/>
        </w:rPr>
        <w:t>万元，完成预算100%，与预算数持平。</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2100409基本公共卫生服务支出：支出决算为</w:t>
      </w:r>
      <w:r>
        <w:rPr>
          <w:rFonts w:hint="eastAsia" w:eastAsia="仿宋_GB2312"/>
          <w:color w:val="000000"/>
          <w:sz w:val="32"/>
          <w:szCs w:val="32"/>
        </w:rPr>
        <w:t>8.01</w:t>
      </w:r>
      <w:r>
        <w:rPr>
          <w:rFonts w:eastAsia="仿宋_GB2312"/>
          <w:color w:val="000000"/>
          <w:sz w:val="32"/>
          <w:szCs w:val="32"/>
        </w:rPr>
        <w:t>万元，完成预算100%，与预算数持平。</w:t>
      </w:r>
    </w:p>
    <w:p>
      <w:pPr>
        <w:spacing w:line="600" w:lineRule="exact"/>
        <w:ind w:firstLine="640" w:firstLineChars="200"/>
        <w:outlineLvl w:val="2"/>
      </w:pPr>
      <w:r>
        <w:rPr>
          <w:rFonts w:hint="eastAsia" w:eastAsia="仿宋_GB2312"/>
          <w:color w:val="000000"/>
          <w:sz w:val="32"/>
          <w:szCs w:val="32"/>
        </w:rPr>
        <w:t>2010449其他公共卫生支出：支出决算为10.06万元，</w:t>
      </w:r>
      <w:r>
        <w:rPr>
          <w:rFonts w:eastAsia="仿宋_GB2312"/>
          <w:color w:val="000000"/>
          <w:sz w:val="32"/>
          <w:szCs w:val="32"/>
        </w:rPr>
        <w:t>完成预算100%，与预算数持平。</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2101102事业单位医疗：支出决算为</w:t>
      </w:r>
      <w:r>
        <w:rPr>
          <w:rFonts w:hint="eastAsia" w:eastAsia="仿宋_GB2312"/>
          <w:color w:val="000000"/>
          <w:sz w:val="32"/>
          <w:szCs w:val="32"/>
        </w:rPr>
        <w:t>9.84</w:t>
      </w:r>
      <w:r>
        <w:rPr>
          <w:rFonts w:eastAsia="仿宋_GB2312"/>
          <w:color w:val="000000"/>
          <w:sz w:val="32"/>
          <w:szCs w:val="32"/>
        </w:rPr>
        <w:t>万元，完成预算100%，与预算数持平。</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2101103公务员医疗补助：支出决算为</w:t>
      </w:r>
      <w:r>
        <w:rPr>
          <w:rFonts w:hint="eastAsia" w:eastAsia="仿宋_GB2312"/>
          <w:color w:val="000000"/>
          <w:sz w:val="32"/>
          <w:szCs w:val="32"/>
        </w:rPr>
        <w:t>0.92</w:t>
      </w:r>
      <w:r>
        <w:rPr>
          <w:rFonts w:eastAsia="仿宋_GB2312"/>
          <w:color w:val="000000"/>
          <w:sz w:val="32"/>
          <w:szCs w:val="32"/>
        </w:rPr>
        <w:t>万元，完成预算100%，与预算数持平。</w:t>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2109901其他卫生健康支出：支出决算为</w:t>
      </w:r>
      <w:r>
        <w:rPr>
          <w:rFonts w:hint="eastAsia" w:eastAsia="仿宋_GB2312"/>
          <w:color w:val="000000"/>
          <w:sz w:val="32"/>
          <w:szCs w:val="32"/>
        </w:rPr>
        <w:t>0.12</w:t>
      </w:r>
      <w:r>
        <w:rPr>
          <w:rFonts w:eastAsia="仿宋_GB2312"/>
          <w:color w:val="000000"/>
          <w:sz w:val="32"/>
          <w:szCs w:val="32"/>
        </w:rPr>
        <w:t>万元，完成预算100%，与预算数持平。</w:t>
      </w:r>
    </w:p>
    <w:p>
      <w:pPr>
        <w:spacing w:line="600" w:lineRule="exact"/>
        <w:ind w:firstLine="643" w:firstLineChars="200"/>
        <w:outlineLvl w:val="2"/>
        <w:rPr>
          <w:rFonts w:eastAsia="仿宋_GB2312"/>
          <w:b/>
          <w:bCs/>
          <w:color w:val="000000"/>
          <w:sz w:val="32"/>
          <w:szCs w:val="32"/>
        </w:rPr>
      </w:pPr>
      <w:r>
        <w:rPr>
          <w:rFonts w:eastAsia="仿宋_GB2312"/>
          <w:b/>
          <w:bCs/>
          <w:color w:val="000000"/>
          <w:sz w:val="32"/>
          <w:szCs w:val="32"/>
        </w:rPr>
        <w:t>3.住房保障（类）:</w:t>
      </w:r>
    </w:p>
    <w:p>
      <w:pPr>
        <w:spacing w:line="600" w:lineRule="exact"/>
        <w:ind w:firstLine="640" w:firstLineChars="200"/>
        <w:outlineLvl w:val="2"/>
        <w:rPr>
          <w:rFonts w:ascii="仿宋" w:hAnsi="仿宋" w:eastAsia="仿宋"/>
          <w:b/>
          <w:sz w:val="32"/>
          <w:szCs w:val="32"/>
        </w:rPr>
      </w:pPr>
      <w:r>
        <w:rPr>
          <w:rFonts w:eastAsia="仿宋_GB2312"/>
          <w:color w:val="000000"/>
          <w:sz w:val="32"/>
          <w:szCs w:val="32"/>
        </w:rPr>
        <w:t>2210201住房保障支出（住房公积金）：支出决算为</w:t>
      </w:r>
      <w:r>
        <w:rPr>
          <w:rFonts w:hint="eastAsia" w:eastAsia="仿宋_GB2312"/>
          <w:color w:val="000000"/>
          <w:sz w:val="32"/>
          <w:szCs w:val="32"/>
        </w:rPr>
        <w:t>15.96</w:t>
      </w:r>
      <w:r>
        <w:rPr>
          <w:rFonts w:eastAsia="仿宋_GB2312"/>
          <w:color w:val="000000"/>
          <w:sz w:val="32"/>
          <w:szCs w:val="32"/>
        </w:rPr>
        <w:t>万元，完成预算100%，与预算数持平。</w:t>
      </w:r>
      <w:bookmarkEnd w:id="36"/>
      <w:bookmarkEnd w:id="37"/>
      <w:bookmarkEnd w:id="38"/>
    </w:p>
    <w:p>
      <w:pPr>
        <w:tabs>
          <w:tab w:val="right" w:pos="8306"/>
        </w:tabs>
        <w:spacing w:line="600" w:lineRule="exact"/>
        <w:ind w:firstLine="640"/>
        <w:outlineLvl w:val="1"/>
        <w:rPr>
          <w:rStyle w:val="25"/>
        </w:rPr>
      </w:pPr>
      <w:bookmarkStart w:id="39" w:name="_Toc15396608"/>
      <w:bookmarkStart w:id="4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9"/>
      <w:bookmarkEnd w:id="40"/>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180.24</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人员经费168.02万元，主要包括：基本工资、津贴补贴、绩效工资、机关事业单位基本养老保险缴费、其他社会保障缴费、医疗费补助、住房公积金等。</w:t>
      </w:r>
      <w:r>
        <w:rPr>
          <w:rFonts w:ascii="仿宋" w:hAnsi="仿宋" w:eastAsia="仿宋"/>
          <w:sz w:val="32"/>
          <w:szCs w:val="32"/>
        </w:rPr>
        <w:br w:type="textWrapping"/>
      </w:r>
      <w:r>
        <w:rPr>
          <w:rFonts w:hint="eastAsia" w:ascii="仿宋" w:hAnsi="仿宋" w:eastAsia="仿宋"/>
          <w:sz w:val="32"/>
          <w:szCs w:val="32"/>
        </w:rPr>
        <w:t xml:space="preserve">    公用经费</w:t>
      </w:r>
      <w:r>
        <w:rPr>
          <w:rFonts w:ascii="仿宋" w:hAnsi="仿宋" w:eastAsia="仿宋"/>
          <w:sz w:val="32"/>
          <w:szCs w:val="32"/>
        </w:rPr>
        <w:t>12.22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1" w:name="_Toc15377215"/>
      <w:bookmarkStart w:id="42"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1"/>
      <w:bookmarkEnd w:id="42"/>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bookmarkStart w:id="43" w:name="_Toc15377216"/>
      <w:r>
        <w:rPr>
          <w:rFonts w:hint="eastAsia" w:ascii="楷体_GB2312" w:hAnsi="楷体_GB2312" w:eastAsia="楷体_GB2312" w:cs="楷体_GB2312"/>
          <w:sz w:val="32"/>
          <w:szCs w:val="32"/>
          <w:lang w:val="zh-CN"/>
        </w:rPr>
        <w:t>（一）“三公”经费财政拨款支出决算总体情况说明</w:t>
      </w:r>
      <w:bookmarkEnd w:id="43"/>
      <w:r>
        <w:rPr>
          <w:rFonts w:hint="eastAsia" w:ascii="楷体_GB2312" w:hAnsi="楷体_GB2312" w:eastAsia="楷体_GB2312" w:cs="楷体_GB2312"/>
          <w:sz w:val="32"/>
          <w:szCs w:val="32"/>
          <w:lang w:val="zh-CN"/>
        </w:rPr>
        <w:t>。</w:t>
      </w:r>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21年“三公”经费财政拨款支出决算为2.49万元，完成预算100</w:t>
      </w:r>
      <w:r>
        <w:rPr>
          <w:rFonts w:ascii="仿宋" w:hAnsi="仿宋" w:eastAsia="仿宋"/>
          <w:sz w:val="32"/>
          <w:szCs w:val="32"/>
        </w:rPr>
        <w:t>%</w:t>
      </w:r>
      <w:r>
        <w:rPr>
          <w:rFonts w:hint="eastAsia" w:ascii="仿宋" w:hAnsi="仿宋" w:eastAsia="仿宋"/>
          <w:sz w:val="32"/>
          <w:szCs w:val="32"/>
        </w:rPr>
        <w:t>，较</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w:t>
      </w:r>
      <w:r>
        <w:rPr>
          <w:rFonts w:hint="eastAsia" w:eastAsia="仿宋_GB2312"/>
          <w:color w:val="000000"/>
          <w:sz w:val="32"/>
          <w:szCs w:val="32"/>
        </w:rPr>
        <w:t>增加0.22</w:t>
      </w:r>
      <w:r>
        <w:rPr>
          <w:rFonts w:eastAsia="仿宋_GB2312"/>
          <w:color w:val="000000"/>
          <w:sz w:val="32"/>
          <w:szCs w:val="32"/>
        </w:rPr>
        <w:t>万元，</w:t>
      </w:r>
      <w:r>
        <w:rPr>
          <w:rFonts w:hint="eastAsia" w:eastAsia="仿宋_GB2312"/>
          <w:color w:val="000000"/>
          <w:sz w:val="32"/>
          <w:szCs w:val="32"/>
        </w:rPr>
        <w:t>上升9.69</w:t>
      </w:r>
      <w:r>
        <w:rPr>
          <w:rFonts w:eastAsia="仿宋_GB2312"/>
          <w:color w:val="000000"/>
          <w:sz w:val="32"/>
          <w:szCs w:val="32"/>
        </w:rPr>
        <w:t>%。主要原因是</w:t>
      </w:r>
      <w:r>
        <w:rPr>
          <w:rFonts w:eastAsia="仿宋_GB2312"/>
          <w:sz w:val="32"/>
          <w:szCs w:val="32"/>
        </w:rPr>
        <w:t>公务车在202</w:t>
      </w:r>
      <w:r>
        <w:rPr>
          <w:rFonts w:hint="eastAsia" w:eastAsia="仿宋_GB2312"/>
          <w:sz w:val="32"/>
          <w:szCs w:val="32"/>
        </w:rPr>
        <w:t>1</w:t>
      </w:r>
      <w:r>
        <w:rPr>
          <w:rFonts w:eastAsia="仿宋_GB2312"/>
          <w:sz w:val="32"/>
          <w:szCs w:val="32"/>
        </w:rPr>
        <w:t>年维修较多</w:t>
      </w:r>
      <w:r>
        <w:rPr>
          <w:rFonts w:eastAsia="仿宋_GB2312"/>
          <w:color w:val="000000"/>
          <w:sz w:val="32"/>
          <w:szCs w:val="32"/>
        </w:rPr>
        <w:t>。</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bookmarkStart w:id="44" w:name="_Toc15377217"/>
      <w:r>
        <w:rPr>
          <w:rFonts w:hint="eastAsia" w:ascii="楷体_GB2312" w:hAnsi="楷体_GB2312" w:eastAsia="楷体_GB2312" w:cs="楷体_GB2312"/>
          <w:sz w:val="32"/>
          <w:szCs w:val="32"/>
          <w:lang w:val="zh-CN"/>
        </w:rPr>
        <w:t>（二）“三公”经费财政拨款支出决算具体情况说明</w:t>
      </w:r>
      <w:bookmarkEnd w:id="44"/>
      <w:r>
        <w:rPr>
          <w:rFonts w:hint="eastAsia" w:ascii="楷体_GB2312" w:hAnsi="楷体_GB2312" w:eastAsia="楷体_GB2312" w:cs="楷体_GB2312"/>
          <w:sz w:val="32"/>
          <w:szCs w:val="32"/>
          <w:lang w:val="zh-CN"/>
        </w:rPr>
        <w:t>。</w:t>
      </w:r>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；公务用车购置及运行维护费支出决算2.49万元，占100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eastAsia="仿宋_GB2312"/>
          <w:b/>
          <w:color w:val="000000"/>
          <w:sz w:val="32"/>
          <w:szCs w:val="32"/>
        </w:rPr>
        <w:drawing>
          <wp:anchor distT="0" distB="0" distL="114300" distR="114300" simplePos="0" relativeHeight="251663360" behindDoc="0" locked="0" layoutInCell="1" allowOverlap="1">
            <wp:simplePos x="0" y="0"/>
            <wp:positionH relativeFrom="column">
              <wp:posOffset>1236980</wp:posOffset>
            </wp:positionH>
            <wp:positionV relativeFrom="paragraph">
              <wp:posOffset>151765</wp:posOffset>
            </wp:positionV>
            <wp:extent cx="3392805" cy="2997200"/>
            <wp:effectExtent l="5080" t="4445" r="5715" b="46355"/>
            <wp:wrapTopAndBottom/>
            <wp:docPr id="3" name="图表 3"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eastAsia="仿宋_GB2312"/>
          <w:color w:val="000000"/>
          <w:sz w:val="32"/>
          <w:szCs w:val="32"/>
        </w:rPr>
      </w:pPr>
      <w:r>
        <w:rPr>
          <w:rFonts w:eastAsia="仿宋_GB2312"/>
          <w:b/>
          <w:color w:val="000000"/>
          <w:sz w:val="32"/>
          <w:szCs w:val="32"/>
        </w:rPr>
        <w:t>1.因公出国（境）经费支出</w:t>
      </w:r>
      <w:r>
        <w:rPr>
          <w:rFonts w:eastAsia="仿宋_GB2312"/>
          <w:color w:val="000000"/>
          <w:sz w:val="32"/>
          <w:szCs w:val="32"/>
        </w:rPr>
        <w:t>0万元，完成预算0%。全年安排因公出国（境）团组0次，出国（境）0人。因公出国（境）支出决算与2020年持平。</w:t>
      </w:r>
    </w:p>
    <w:p>
      <w:pPr>
        <w:spacing w:line="600" w:lineRule="exact"/>
        <w:ind w:firstLine="640"/>
        <w:rPr>
          <w:rFonts w:eastAsia="仿宋_GB2312"/>
          <w:color w:val="000000"/>
          <w:sz w:val="32"/>
          <w:szCs w:val="32"/>
        </w:rPr>
      </w:pPr>
      <w:r>
        <w:rPr>
          <w:rFonts w:eastAsia="仿宋_GB2312"/>
          <w:b/>
          <w:color w:val="000000"/>
          <w:sz w:val="32"/>
          <w:szCs w:val="32"/>
        </w:rPr>
        <w:t>2.公务用车购置及运行维护费支出</w:t>
      </w:r>
      <w:r>
        <w:rPr>
          <w:rFonts w:eastAsia="仿宋_GB2312"/>
          <w:color w:val="000000"/>
          <w:sz w:val="32"/>
          <w:szCs w:val="32"/>
        </w:rPr>
        <w:t>2.</w:t>
      </w:r>
      <w:r>
        <w:rPr>
          <w:rFonts w:hint="eastAsia" w:eastAsia="仿宋_GB2312"/>
          <w:color w:val="000000"/>
          <w:sz w:val="32"/>
          <w:szCs w:val="32"/>
        </w:rPr>
        <w:t>49</w:t>
      </w:r>
      <w:r>
        <w:rPr>
          <w:rFonts w:eastAsia="仿宋_GB2312"/>
          <w:color w:val="000000"/>
          <w:sz w:val="32"/>
          <w:szCs w:val="32"/>
        </w:rPr>
        <w:t>万元,完成预算100%。公务用车运行维护费支出决算比20</w:t>
      </w:r>
      <w:r>
        <w:rPr>
          <w:rFonts w:hint="eastAsia" w:eastAsia="仿宋_GB2312"/>
          <w:color w:val="000000"/>
          <w:sz w:val="32"/>
          <w:szCs w:val="32"/>
        </w:rPr>
        <w:t>20</w:t>
      </w:r>
      <w:r>
        <w:rPr>
          <w:rFonts w:eastAsia="仿宋_GB2312"/>
          <w:color w:val="000000"/>
          <w:sz w:val="32"/>
          <w:szCs w:val="32"/>
        </w:rPr>
        <w:t>年</w:t>
      </w:r>
      <w:r>
        <w:rPr>
          <w:rFonts w:hint="eastAsia" w:eastAsia="仿宋_GB2312"/>
          <w:color w:val="000000"/>
          <w:sz w:val="32"/>
          <w:szCs w:val="32"/>
        </w:rPr>
        <w:t>增加0.22</w:t>
      </w:r>
      <w:r>
        <w:rPr>
          <w:rFonts w:eastAsia="仿宋_GB2312"/>
          <w:color w:val="000000"/>
          <w:sz w:val="32"/>
          <w:szCs w:val="32"/>
        </w:rPr>
        <w:t>万元，</w:t>
      </w:r>
      <w:r>
        <w:rPr>
          <w:rFonts w:hint="eastAsia" w:eastAsia="仿宋_GB2312"/>
          <w:color w:val="000000"/>
          <w:sz w:val="32"/>
          <w:szCs w:val="32"/>
        </w:rPr>
        <w:t>上升9.69</w:t>
      </w:r>
      <w:r>
        <w:rPr>
          <w:rFonts w:eastAsia="仿宋_GB2312"/>
          <w:color w:val="000000"/>
          <w:sz w:val="32"/>
          <w:szCs w:val="32"/>
        </w:rPr>
        <w:t>%。主要原因是</w:t>
      </w:r>
      <w:r>
        <w:rPr>
          <w:rFonts w:eastAsia="仿宋_GB2312"/>
          <w:sz w:val="32"/>
          <w:szCs w:val="32"/>
        </w:rPr>
        <w:t>公务车在202</w:t>
      </w:r>
      <w:r>
        <w:rPr>
          <w:rFonts w:hint="eastAsia" w:eastAsia="仿宋_GB2312"/>
          <w:sz w:val="32"/>
          <w:szCs w:val="32"/>
        </w:rPr>
        <w:t>1</w:t>
      </w:r>
      <w:r>
        <w:rPr>
          <w:rFonts w:eastAsia="仿宋_GB2312"/>
          <w:sz w:val="32"/>
          <w:szCs w:val="32"/>
        </w:rPr>
        <w:t>年维修较多</w:t>
      </w:r>
      <w:r>
        <w:rPr>
          <w:rFonts w:eastAsia="仿宋_GB2312"/>
          <w:color w:val="000000"/>
          <w:sz w:val="32"/>
          <w:szCs w:val="32"/>
        </w:rPr>
        <w:t>。</w:t>
      </w:r>
    </w:p>
    <w:p>
      <w:pPr>
        <w:spacing w:line="600" w:lineRule="exact"/>
        <w:ind w:firstLine="640" w:firstLineChars="20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w:t>
      </w:r>
      <w:r>
        <w:rPr>
          <w:rFonts w:hint="eastAsia" w:ascii="仿宋_GB2312" w:eastAsia="仿宋_GB2312"/>
          <w:sz w:val="32"/>
          <w:szCs w:val="32"/>
        </w:rPr>
        <w:t>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月底，单位共有公务用车1辆，其中：轿车0辆、越野车0辆、载客汽车0辆，</w:t>
      </w:r>
      <w:r>
        <w:rPr>
          <w:rFonts w:eastAsia="仿宋_GB2312"/>
          <w:color w:val="000000"/>
          <w:sz w:val="32"/>
          <w:szCs w:val="32"/>
        </w:rPr>
        <w:t>特种专业技术用车</w:t>
      </w:r>
      <w:r>
        <w:rPr>
          <w:rFonts w:hint="eastAsia" w:eastAsia="仿宋_GB2312"/>
          <w:color w:val="000000"/>
          <w:sz w:val="32"/>
          <w:szCs w:val="32"/>
        </w:rPr>
        <w:t>1辆</w:t>
      </w:r>
      <w:r>
        <w:rPr>
          <w:rFonts w:eastAsia="仿宋_GB2312"/>
          <w:color w:val="000000"/>
          <w:sz w:val="32"/>
          <w:szCs w:val="32"/>
        </w:rPr>
        <w:t>。</w:t>
      </w:r>
    </w:p>
    <w:p>
      <w:pPr>
        <w:spacing w:line="600" w:lineRule="exact"/>
        <w:ind w:firstLine="640"/>
        <w:rPr>
          <w:rFonts w:eastAsia="仿宋_GB2312"/>
          <w:color w:val="000000"/>
          <w:sz w:val="32"/>
          <w:szCs w:val="32"/>
        </w:rPr>
      </w:pPr>
      <w:r>
        <w:rPr>
          <w:rFonts w:eastAsia="仿宋_GB2312"/>
          <w:b/>
          <w:color w:val="000000"/>
          <w:sz w:val="32"/>
          <w:szCs w:val="32"/>
        </w:rPr>
        <w:t>公务用车运行维护费支出</w:t>
      </w:r>
      <w:r>
        <w:rPr>
          <w:rFonts w:eastAsia="仿宋_GB2312"/>
          <w:color w:val="000000"/>
          <w:sz w:val="32"/>
          <w:szCs w:val="32"/>
        </w:rPr>
        <w:t>2.</w:t>
      </w:r>
      <w:r>
        <w:rPr>
          <w:rFonts w:hint="eastAsia" w:eastAsia="仿宋_GB2312"/>
          <w:color w:val="000000"/>
          <w:sz w:val="32"/>
          <w:szCs w:val="32"/>
        </w:rPr>
        <w:t>49</w:t>
      </w:r>
      <w:r>
        <w:rPr>
          <w:rFonts w:eastAsia="仿宋_GB2312"/>
          <w:color w:val="000000"/>
          <w:sz w:val="32"/>
          <w:szCs w:val="32"/>
        </w:rPr>
        <w:t>万元。主要用于开展相关业务工作及公共卫生服务项目质控等所需的公务用车燃料费、维修费、过路过桥费、保险费等支出。</w:t>
      </w:r>
    </w:p>
    <w:p>
      <w:pPr>
        <w:numPr>
          <w:ilvl w:val="0"/>
          <w:numId w:val="2"/>
        </w:numPr>
        <w:spacing w:line="600" w:lineRule="exact"/>
        <w:ind w:firstLine="640"/>
        <w:rPr>
          <w:rFonts w:ascii="仿宋_GB2312" w:eastAsia="仿宋_GB2312"/>
          <w:sz w:val="32"/>
          <w:szCs w:val="32"/>
        </w:rPr>
      </w:pPr>
      <w:r>
        <w:rPr>
          <w:rFonts w:eastAsia="仿宋_GB2312"/>
          <w:b/>
          <w:color w:val="000000"/>
          <w:sz w:val="32"/>
          <w:szCs w:val="32"/>
        </w:rPr>
        <w:t>公务接待费支出</w:t>
      </w:r>
      <w:r>
        <w:rPr>
          <w:rFonts w:eastAsia="仿宋_GB2312"/>
          <w:color w:val="000000"/>
          <w:sz w:val="32"/>
          <w:szCs w:val="32"/>
        </w:rPr>
        <w:t>0万元。</w:t>
      </w:r>
      <w:r>
        <w:rPr>
          <w:rStyle w:val="13"/>
          <w:rFonts w:hint="eastAsia" w:ascii="仿宋" w:hAnsi="仿宋" w:eastAsia="仿宋"/>
          <w:b w:val="0"/>
          <w:bCs/>
          <w:sz w:val="32"/>
          <w:szCs w:val="32"/>
        </w:rPr>
        <w:t>完成预算0</w:t>
      </w:r>
      <w:r>
        <w:rPr>
          <w:rStyle w:val="13"/>
          <w:rFonts w:ascii="仿宋" w:hAnsi="仿宋" w:eastAsia="仿宋"/>
          <w:b w:val="0"/>
          <w:bCs/>
          <w:sz w:val="32"/>
          <w:szCs w:val="32"/>
        </w:rPr>
        <w:t>%</w:t>
      </w:r>
      <w:r>
        <w:rPr>
          <w:rStyle w:val="13"/>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w:t>
      </w:r>
      <w:r>
        <w:rPr>
          <w:rFonts w:eastAsia="仿宋_GB2312"/>
          <w:color w:val="000000"/>
          <w:sz w:val="32"/>
          <w:szCs w:val="32"/>
        </w:rPr>
        <w:t>持平</w:t>
      </w:r>
      <w:r>
        <w:rPr>
          <w:rFonts w:hint="eastAsia" w:eastAsia="仿宋_GB2312"/>
          <w:color w:val="000000"/>
          <w:sz w:val="32"/>
          <w:szCs w:val="32"/>
        </w:rPr>
        <w:t>。</w:t>
      </w:r>
    </w:p>
    <w:p>
      <w:pPr>
        <w:numPr>
          <w:ilvl w:val="0"/>
          <w:numId w:val="2"/>
        </w:numPr>
        <w:spacing w:line="600" w:lineRule="exact"/>
        <w:ind w:firstLine="640"/>
        <w:rPr>
          <w:rFonts w:ascii="仿宋_GB2312" w:eastAsia="仿宋_GB2312"/>
          <w:sz w:val="32"/>
          <w:szCs w:val="32"/>
        </w:rPr>
      </w:pPr>
      <w:r>
        <w:rPr>
          <w:rFonts w:hint="eastAsia" w:ascii="仿宋" w:hAnsi="仿宋" w:eastAsia="仿宋"/>
          <w:b/>
          <w:sz w:val="32"/>
          <w:szCs w:val="32"/>
        </w:rPr>
        <w:t>国内公务接待支出0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万元，外事接待0批次，0人，共计支出0万元。</w:t>
      </w:r>
    </w:p>
    <w:p>
      <w:pPr>
        <w:spacing w:line="600" w:lineRule="exact"/>
        <w:ind w:firstLine="640" w:firstLineChars="200"/>
        <w:outlineLvl w:val="1"/>
        <w:rPr>
          <w:rStyle w:val="30"/>
          <w:rFonts w:ascii="Times New Roman" w:hAnsi="Times New Roman" w:eastAsia="黑体"/>
        </w:rPr>
      </w:pPr>
      <w:r>
        <w:rPr>
          <w:rFonts w:eastAsia="黑体"/>
          <w:color w:val="000000"/>
          <w:sz w:val="32"/>
          <w:szCs w:val="32"/>
        </w:rPr>
        <w:t>八、</w:t>
      </w:r>
      <w:r>
        <w:rPr>
          <w:rStyle w:val="30"/>
          <w:rFonts w:ascii="Times New Roman" w:hAnsi="Times New Roman" w:eastAsia="黑体"/>
          <w:b w:val="0"/>
        </w:rPr>
        <w:t>政府性基金预算支出决算情况说明</w:t>
      </w:r>
    </w:p>
    <w:p>
      <w:pPr>
        <w:spacing w:line="600" w:lineRule="exact"/>
        <w:ind w:firstLine="64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1</w:t>
      </w:r>
      <w:r>
        <w:rPr>
          <w:rFonts w:eastAsia="仿宋_GB2312"/>
          <w:color w:val="000000"/>
          <w:sz w:val="32"/>
          <w:szCs w:val="32"/>
        </w:rPr>
        <w:t>年政府性基金预算拨款支出</w:t>
      </w:r>
      <w:r>
        <w:rPr>
          <w:rFonts w:hint="eastAsia" w:eastAsia="仿宋_GB2312"/>
          <w:color w:val="000000"/>
          <w:sz w:val="32"/>
          <w:szCs w:val="32"/>
        </w:rPr>
        <w:t>0.99</w:t>
      </w:r>
      <w:r>
        <w:rPr>
          <w:rFonts w:eastAsia="仿宋_GB2312"/>
          <w:color w:val="000000"/>
          <w:sz w:val="32"/>
          <w:szCs w:val="32"/>
        </w:rPr>
        <w:t>万元。</w:t>
      </w:r>
    </w:p>
    <w:p>
      <w:pPr>
        <w:numPr>
          <w:ilvl w:val="0"/>
          <w:numId w:val="3"/>
        </w:numPr>
        <w:spacing w:line="600" w:lineRule="exact"/>
        <w:ind w:firstLine="640"/>
        <w:outlineLvl w:val="1"/>
        <w:rPr>
          <w:rStyle w:val="30"/>
          <w:rFonts w:ascii="Times New Roman" w:hAnsi="Times New Roman" w:eastAsia="黑体"/>
          <w:b w:val="0"/>
        </w:rPr>
      </w:pPr>
      <w:r>
        <w:rPr>
          <w:rStyle w:val="30"/>
          <w:rFonts w:ascii="Times New Roman" w:hAnsi="Times New Roman" w:eastAsia="黑体"/>
          <w:b w:val="0"/>
        </w:rPr>
        <w:t>国有资本经营预算支出决算情况说明</w:t>
      </w:r>
    </w:p>
    <w:p>
      <w:pPr>
        <w:spacing w:line="600" w:lineRule="exact"/>
        <w:ind w:firstLine="64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21</w:t>
      </w:r>
      <w:r>
        <w:rPr>
          <w:rFonts w:eastAsia="仿宋_GB2312"/>
          <w:color w:val="000000"/>
          <w:sz w:val="32"/>
          <w:szCs w:val="32"/>
        </w:rPr>
        <w:t>年无国有资本经营预算拨款支出。</w:t>
      </w:r>
    </w:p>
    <w:p>
      <w:pPr>
        <w:spacing w:line="600" w:lineRule="exact"/>
        <w:ind w:firstLine="640" w:firstLineChars="200"/>
        <w:outlineLvl w:val="1"/>
        <w:rPr>
          <w:rStyle w:val="30"/>
          <w:rFonts w:ascii="Times New Roman" w:hAnsi="Times New Roman" w:eastAsia="黑体"/>
        </w:rPr>
      </w:pPr>
      <w:r>
        <w:rPr>
          <w:rFonts w:eastAsia="黑体"/>
          <w:color w:val="000000"/>
          <w:sz w:val="32"/>
          <w:szCs w:val="32"/>
        </w:rPr>
        <w:t>十</w:t>
      </w:r>
      <w:r>
        <w:rPr>
          <w:rStyle w:val="30"/>
          <w:rFonts w:ascii="Times New Roman" w:hAnsi="Times New Roman" w:eastAsia="黑体"/>
        </w:rPr>
        <w:t>、</w:t>
      </w:r>
      <w:r>
        <w:rPr>
          <w:rStyle w:val="30"/>
          <w:rFonts w:ascii="Times New Roman" w:hAnsi="Times New Roman" w:eastAsia="黑体"/>
          <w:b w:val="0"/>
        </w:rPr>
        <w:t>其他重要事项的情况说明</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（一）机关运行经费支出情况</w:t>
      </w:r>
      <w:r>
        <w:rPr>
          <w:rFonts w:hint="eastAsia" w:ascii="楷体_GB2312" w:hAnsi="楷体_GB2312" w:eastAsia="楷体_GB2312" w:cs="楷体_GB2312"/>
          <w:sz w:val="32"/>
          <w:szCs w:val="32"/>
          <w:lang w:val="zh-CN"/>
        </w:rPr>
        <w:t>。</w:t>
      </w:r>
    </w:p>
    <w:p>
      <w:pPr>
        <w:spacing w:line="600" w:lineRule="exact"/>
        <w:ind w:firstLine="64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1</w:t>
      </w:r>
      <w:r>
        <w:rPr>
          <w:rFonts w:eastAsia="仿宋_GB2312"/>
          <w:color w:val="000000"/>
          <w:sz w:val="32"/>
          <w:szCs w:val="32"/>
        </w:rPr>
        <w:t>年，区妇幼保健服务中心机关运行经费支出0万元，与20</w:t>
      </w:r>
      <w:r>
        <w:rPr>
          <w:rFonts w:hint="eastAsia" w:eastAsia="仿宋_GB2312"/>
          <w:color w:val="000000"/>
          <w:sz w:val="32"/>
          <w:szCs w:val="32"/>
        </w:rPr>
        <w:t>20</w:t>
      </w:r>
      <w:r>
        <w:rPr>
          <w:rFonts w:eastAsia="仿宋_GB2312"/>
          <w:color w:val="000000"/>
          <w:sz w:val="32"/>
          <w:szCs w:val="32"/>
        </w:rPr>
        <w:t>年决算数持平。</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（二）政府采购支出情况</w:t>
      </w:r>
      <w:r>
        <w:rPr>
          <w:rFonts w:hint="eastAsia" w:ascii="楷体_GB2312" w:hAnsi="楷体_GB2312" w:eastAsia="楷体_GB2312" w:cs="楷体_GB2312"/>
          <w:sz w:val="32"/>
          <w:szCs w:val="32"/>
          <w:lang w:val="zh-CN"/>
        </w:rPr>
        <w:t>。</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21年，我</w:t>
      </w:r>
      <w:r>
        <w:rPr>
          <w:rFonts w:ascii="仿宋_GB2312" w:eastAsia="仿宋_GB2312"/>
          <w:sz w:val="32"/>
          <w:szCs w:val="32"/>
        </w:rPr>
        <w:t>单位</w:t>
      </w:r>
      <w:r>
        <w:rPr>
          <w:rFonts w:hint="eastAsia" w:ascii="仿宋_GB2312" w:eastAsia="仿宋_GB2312"/>
          <w:sz w:val="32"/>
          <w:szCs w:val="32"/>
        </w:rPr>
        <w:t>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（三）国有资产占有使用情况</w:t>
      </w:r>
      <w:r>
        <w:rPr>
          <w:rFonts w:hint="eastAsia" w:ascii="楷体_GB2312" w:hAnsi="楷体_GB2312" w:eastAsia="楷体_GB2312" w:cs="楷体_GB2312"/>
          <w:sz w:val="32"/>
          <w:szCs w:val="32"/>
          <w:lang w:val="zh-CN"/>
        </w:rPr>
        <w:t>。</w:t>
      </w:r>
    </w:p>
    <w:p>
      <w:pPr>
        <w:autoSpaceDE w:val="0"/>
        <w:autoSpaceDN w:val="0"/>
        <w:adjustRightInd w:val="0"/>
        <w:spacing w:line="600" w:lineRule="exact"/>
        <w:ind w:firstLine="640" w:firstLineChars="200"/>
        <w:jc w:val="left"/>
        <w:rPr>
          <w:rFonts w:eastAsia="仿宋"/>
          <w:b/>
          <w:color w:val="FF0000"/>
          <w:sz w:val="32"/>
          <w:szCs w:val="32"/>
        </w:rPr>
      </w:pPr>
      <w:r>
        <w:rPr>
          <w:rFonts w:eastAsia="仿宋_GB2312"/>
          <w:color w:val="000000"/>
          <w:sz w:val="32"/>
          <w:szCs w:val="32"/>
        </w:rPr>
        <w:t>截至202</w:t>
      </w:r>
      <w:r>
        <w:rPr>
          <w:rFonts w:hint="eastAsia" w:eastAsia="仿宋_GB2312"/>
          <w:color w:val="000000"/>
          <w:sz w:val="32"/>
          <w:szCs w:val="32"/>
        </w:rPr>
        <w:t>1</w:t>
      </w:r>
      <w:r>
        <w:rPr>
          <w:rFonts w:eastAsia="仿宋_GB2312"/>
          <w:color w:val="000000"/>
          <w:sz w:val="32"/>
          <w:szCs w:val="32"/>
        </w:rPr>
        <w:t>年12月31日，区妇幼保健服务中心共有车辆1辆，为特种专业技术用车。单价50万元以上通用设备</w:t>
      </w:r>
      <w:r>
        <w:rPr>
          <w:rFonts w:hint="eastAsia" w:eastAsia="仿宋_GB2312"/>
          <w:color w:val="000000"/>
          <w:sz w:val="32"/>
          <w:szCs w:val="32"/>
        </w:rPr>
        <w:t>1</w:t>
      </w:r>
      <w:r>
        <w:rPr>
          <w:rFonts w:eastAsia="仿宋_GB2312"/>
          <w:color w:val="000000"/>
          <w:sz w:val="32"/>
          <w:szCs w:val="32"/>
        </w:rPr>
        <w:t>台（套），单价100万元以上专用设备0台（套）。</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（四）预算绩效管理情况。</w:t>
      </w:r>
    </w:p>
    <w:p>
      <w:pPr>
        <w:spacing w:line="580" w:lineRule="exact"/>
        <w:ind w:firstLine="640" w:firstLineChars="200"/>
        <w:rPr>
          <w:rFonts w:ascii="仿宋_GB2312" w:hAnsi="仿宋_GB2312" w:eastAsia="仿宋_GB2312" w:cs="仿宋_GB2312"/>
          <w:sz w:val="32"/>
          <w:szCs w:val="32"/>
        </w:rPr>
      </w:pPr>
      <w:r>
        <w:rPr>
          <w:rFonts w:eastAsia="仿宋_GB2312"/>
          <w:sz w:val="32"/>
          <w:szCs w:val="32"/>
        </w:rPr>
        <w:t>根据预算绩效管理要求，本中心在年初预算编制阶段，组织对“妇女两癌筛查项目”“免费婚前医学检查项目”“免费孕前优生健康检查项目”“免费补服叶酸项目项目”“</w:t>
      </w:r>
      <w:r>
        <w:rPr>
          <w:rFonts w:eastAsia="仿宋_GB2312"/>
          <w:bCs/>
          <w:sz w:val="32"/>
          <w:szCs w:val="32"/>
        </w:rPr>
        <w:t>传染病项目</w:t>
      </w:r>
      <w:r>
        <w:rPr>
          <w:rFonts w:eastAsia="仿宋_GB2312"/>
          <w:sz w:val="32"/>
          <w:szCs w:val="32"/>
        </w:rPr>
        <w:t>”“0-6岁儿童健康管理服务专项经费及孕产妇健康管理服务项目”“取消药品加成医疗服务价格补偿项目”“新冠肺炎院感防控项目”</w:t>
      </w:r>
      <w:r>
        <w:rPr>
          <w:rFonts w:hint="eastAsia" w:eastAsia="仿宋_GB2312"/>
          <w:sz w:val="32"/>
          <w:szCs w:val="32"/>
        </w:rPr>
        <w:t>“财政返还医疗收入”共9个项目</w:t>
      </w:r>
      <w:r>
        <w:rPr>
          <w:rFonts w:eastAsia="仿宋_GB2312"/>
          <w:sz w:val="32"/>
          <w:szCs w:val="32"/>
        </w:rPr>
        <w:t>开展了预算事前绩效评估，对</w:t>
      </w:r>
      <w:r>
        <w:rPr>
          <w:rFonts w:hint="eastAsia" w:eastAsia="仿宋_GB2312"/>
          <w:sz w:val="32"/>
          <w:szCs w:val="32"/>
        </w:rPr>
        <w:t>9</w:t>
      </w:r>
      <w:r>
        <w:rPr>
          <w:rFonts w:eastAsia="仿宋_GB2312"/>
          <w:sz w:val="32"/>
          <w:szCs w:val="32"/>
        </w:rPr>
        <w:t>个项目编制了绩效目标，预算执行过程中，选取</w:t>
      </w:r>
      <w:r>
        <w:rPr>
          <w:rFonts w:hint="eastAsia" w:eastAsia="仿宋_GB2312"/>
          <w:sz w:val="32"/>
          <w:szCs w:val="32"/>
        </w:rPr>
        <w:t>9</w:t>
      </w:r>
      <w:r>
        <w:rPr>
          <w:rFonts w:eastAsia="仿宋_GB2312"/>
          <w:sz w:val="32"/>
          <w:szCs w:val="32"/>
        </w:rPr>
        <w:t>个项目开展绩效监控，年终执行完毕后，对</w:t>
      </w:r>
      <w:r>
        <w:rPr>
          <w:rFonts w:hint="eastAsia" w:eastAsia="仿宋_GB2312"/>
          <w:sz w:val="32"/>
          <w:szCs w:val="32"/>
        </w:rPr>
        <w:t>9</w:t>
      </w:r>
      <w:r>
        <w:rPr>
          <w:rFonts w:eastAsia="仿宋_GB2312"/>
          <w:sz w:val="32"/>
          <w:szCs w:val="32"/>
        </w:rPr>
        <w:t>个项目开展了绩效目标完成情况自评。</w:t>
      </w:r>
      <w:r>
        <w:rPr>
          <w:rFonts w:hint="eastAsia" w:ascii="仿宋_GB2312" w:hAnsi="仿宋_GB2312" w:eastAsia="仿宋_GB2312" w:cs="仿宋_GB2312"/>
          <w:sz w:val="32"/>
          <w:szCs w:val="32"/>
        </w:rPr>
        <w:t>同时，本部门对2021年部门整体开展绩效自评，《2021年攀枝花市西区妇幼保健服务中心整体绩效评价报告》见附件（第四部分）。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5" w:name="_Toc15396613"/>
      <w:bookmarkStart w:id="46" w:name="_Toc15377225"/>
      <w:r>
        <w:rPr>
          <w:rFonts w:hint="eastAsia" w:ascii="黑体" w:hAnsi="黑体" w:eastAsia="黑体"/>
          <w:sz w:val="44"/>
          <w:szCs w:val="44"/>
        </w:rPr>
        <w:t>名</w:t>
      </w:r>
      <w:r>
        <w:rPr>
          <w:rStyle w:val="24"/>
          <w:rFonts w:hint="eastAsia" w:ascii="黑体" w:hAnsi="黑体" w:eastAsia="黑体"/>
          <w:b w:val="0"/>
        </w:rPr>
        <w:t>词解释</w:t>
      </w:r>
      <w:bookmarkEnd w:id="45"/>
      <w:bookmarkEnd w:id="46"/>
    </w:p>
    <w:p>
      <w:pPr>
        <w:spacing w:line="600" w:lineRule="exact"/>
        <w:jc w:val="left"/>
        <w:rPr>
          <w:rFonts w:ascii="宋体"/>
          <w:b/>
          <w:sz w:val="44"/>
          <w:szCs w:val="44"/>
        </w:rPr>
      </w:pP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2.其他收入：银行存款利息收入。</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3.年初结转和结余：指以前年度尚未完成、结转到本年按有关规定继续使用的资金。</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4.年末结转和结余：指单位按有关规定结转到下年或以后年度继续使用的资金。</w:t>
      </w:r>
    </w:p>
    <w:p>
      <w:pPr>
        <w:ind w:firstLine="640" w:firstLineChars="200"/>
        <w:rPr>
          <w:rFonts w:eastAsia="仿宋_GB2312"/>
          <w:color w:val="000000"/>
          <w:sz w:val="32"/>
          <w:szCs w:val="32"/>
        </w:rPr>
      </w:pPr>
      <w:r>
        <w:rPr>
          <w:rFonts w:eastAsia="仿宋_GB2312"/>
          <w:color w:val="000000"/>
          <w:sz w:val="32"/>
          <w:szCs w:val="32"/>
        </w:rPr>
        <w:t>5.卫生健康（类）：</w:t>
      </w:r>
    </w:p>
    <w:p>
      <w:pPr>
        <w:ind w:firstLine="640" w:firstLineChars="200"/>
        <w:rPr>
          <w:rFonts w:eastAsia="仿宋_GB2312"/>
          <w:color w:val="000000"/>
          <w:sz w:val="32"/>
          <w:szCs w:val="32"/>
        </w:rPr>
      </w:pPr>
      <w:r>
        <w:rPr>
          <w:rFonts w:eastAsia="仿宋_GB2312"/>
          <w:color w:val="000000"/>
          <w:sz w:val="32"/>
          <w:szCs w:val="32"/>
        </w:rPr>
        <w:t>2080505机关事业单位基本养老保险缴费支出：机关事业人员基本养老保险。</w:t>
      </w:r>
    </w:p>
    <w:p>
      <w:pPr>
        <w:ind w:firstLine="640" w:firstLineChars="200"/>
        <w:rPr>
          <w:rFonts w:eastAsia="仿宋_GB2312"/>
          <w:color w:val="000000"/>
          <w:sz w:val="32"/>
          <w:szCs w:val="32"/>
        </w:rPr>
      </w:pPr>
      <w:r>
        <w:rPr>
          <w:rFonts w:eastAsia="仿宋_GB2312"/>
          <w:color w:val="000000"/>
          <w:sz w:val="32"/>
          <w:szCs w:val="32"/>
        </w:rPr>
        <w:t>6.医疗卫生与计划生育（类）：</w:t>
      </w:r>
    </w:p>
    <w:p>
      <w:pPr>
        <w:ind w:firstLine="640" w:firstLineChars="200"/>
        <w:rPr>
          <w:rStyle w:val="13"/>
          <w:rFonts w:eastAsia="仿宋_GB2312"/>
          <w:b w:val="0"/>
          <w:color w:val="000000"/>
          <w:sz w:val="32"/>
          <w:szCs w:val="32"/>
        </w:rPr>
      </w:pPr>
      <w:r>
        <w:rPr>
          <w:rStyle w:val="13"/>
          <w:rFonts w:eastAsia="仿宋_GB2312"/>
          <w:b w:val="0"/>
          <w:color w:val="000000"/>
          <w:sz w:val="32"/>
          <w:szCs w:val="32"/>
        </w:rPr>
        <w:t>2100403妇幼保健机构:反应卫生和计划生育部门所属妇幼保健机构支出。</w:t>
      </w:r>
    </w:p>
    <w:p>
      <w:pPr>
        <w:spacing w:line="600" w:lineRule="exact"/>
        <w:ind w:firstLine="640" w:firstLineChars="200"/>
        <w:rPr>
          <w:rFonts w:eastAsia="仿宋_GB2312"/>
          <w:color w:val="000000"/>
          <w:sz w:val="32"/>
          <w:szCs w:val="32"/>
        </w:rPr>
      </w:pPr>
      <w:r>
        <w:rPr>
          <w:rFonts w:eastAsia="仿宋_GB2312"/>
          <w:color w:val="000000"/>
          <w:sz w:val="32"/>
          <w:szCs w:val="32"/>
        </w:rPr>
        <w:t>2100409重大公共卫生专项：重大疾病预防控制等重大公共卫生服务项目支出和卫生人员培训。</w:t>
      </w:r>
    </w:p>
    <w:p>
      <w:pPr>
        <w:spacing w:line="600" w:lineRule="exact"/>
        <w:ind w:firstLine="640" w:firstLineChars="200"/>
        <w:rPr>
          <w:rStyle w:val="13"/>
          <w:rFonts w:eastAsia="仿宋_GB2312"/>
          <w:b w:val="0"/>
          <w:color w:val="000000"/>
          <w:sz w:val="32"/>
          <w:szCs w:val="32"/>
        </w:rPr>
      </w:pPr>
      <w:r>
        <w:rPr>
          <w:rStyle w:val="13"/>
          <w:rFonts w:eastAsia="仿宋_GB2312"/>
          <w:b w:val="0"/>
          <w:color w:val="000000"/>
          <w:sz w:val="32"/>
          <w:szCs w:val="32"/>
        </w:rPr>
        <w:t>7.住房保障支出(类）：</w:t>
      </w:r>
    </w:p>
    <w:p>
      <w:pPr>
        <w:spacing w:line="600" w:lineRule="exact"/>
        <w:ind w:firstLine="640" w:firstLineChars="200"/>
        <w:rPr>
          <w:rFonts w:eastAsia="仿宋_GB2312"/>
          <w:color w:val="000000"/>
          <w:sz w:val="32"/>
          <w:szCs w:val="32"/>
        </w:rPr>
      </w:pPr>
      <w:r>
        <w:rPr>
          <w:rStyle w:val="13"/>
          <w:rFonts w:eastAsia="仿宋_GB2312"/>
          <w:b w:val="0"/>
          <w:color w:val="000000"/>
          <w:sz w:val="32"/>
          <w:szCs w:val="32"/>
        </w:rPr>
        <w:t>2210201（住房公积金）:</w:t>
      </w:r>
      <w:r>
        <w:rPr>
          <w:rFonts w:eastAsia="仿宋_GB2312"/>
          <w:color w:val="000000"/>
          <w:sz w:val="32"/>
          <w:szCs w:val="32"/>
        </w:rPr>
        <w:t>行政事业单位按人力资源和社会保障部、财政部规定的基本工资和津贴补贴以及规定比例撮为职工缴纳的住房公积金。</w:t>
      </w:r>
    </w:p>
    <w:p>
      <w:pPr>
        <w:spacing w:line="600" w:lineRule="exact"/>
        <w:ind w:firstLine="640" w:firstLineChars="200"/>
        <w:rPr>
          <w:rFonts w:eastAsia="仿宋_GB2312"/>
          <w:bCs/>
          <w:color w:val="000000"/>
          <w:sz w:val="32"/>
          <w:szCs w:val="32"/>
        </w:rPr>
      </w:pPr>
      <w:r>
        <w:rPr>
          <w:rStyle w:val="13"/>
          <w:rFonts w:eastAsia="仿宋_GB2312"/>
          <w:b w:val="0"/>
          <w:bCs/>
          <w:color w:val="000000"/>
          <w:sz w:val="32"/>
          <w:szCs w:val="32"/>
        </w:rPr>
        <w:t>2101102事业单位医疗：用于缴纳单位医疗保险支出。</w:t>
      </w:r>
    </w:p>
    <w:p>
      <w:pPr>
        <w:ind w:firstLine="640" w:firstLineChars="200"/>
        <w:rPr>
          <w:rFonts w:eastAsia="仿宋_GB2312"/>
          <w:color w:val="000000"/>
          <w:sz w:val="32"/>
          <w:szCs w:val="32"/>
        </w:rPr>
      </w:pPr>
      <w:r>
        <w:rPr>
          <w:rFonts w:eastAsia="仿宋_GB2312"/>
          <w:color w:val="000000"/>
          <w:sz w:val="32"/>
          <w:szCs w:val="32"/>
        </w:rPr>
        <w:t>8.基本支出：指为保障机构正常运转、完成日常工作任务而发生的人员支出和公用支出。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 xml:space="preserve">9.项目支出：指在基本支出之外为完成特定行政任务和事业发展目标所发生的支出。 </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47" w:name="_Toc15377226"/>
      <w:r>
        <w:rPr>
          <w:rFonts w:ascii="宋体"/>
          <w:b/>
          <w:sz w:val="44"/>
          <w:szCs w:val="44"/>
        </w:rPr>
        <w:br w:type="page"/>
      </w:r>
      <w:bookmarkStart w:id="48" w:name="_Toc15396614"/>
      <w:r>
        <w:rPr>
          <w:rFonts w:hint="eastAsia" w:ascii="黑体" w:hAnsi="黑体" w:eastAsia="黑体"/>
          <w:sz w:val="44"/>
          <w:szCs w:val="44"/>
        </w:rPr>
        <w:t>第</w:t>
      </w:r>
      <w:r>
        <w:rPr>
          <w:rStyle w:val="24"/>
          <w:rFonts w:hint="eastAsia" w:ascii="黑体" w:hAnsi="黑体" w:eastAsia="黑体"/>
          <w:b w:val="0"/>
        </w:rPr>
        <w:t>四部分 附件</w:t>
      </w:r>
      <w:bookmarkEnd w:id="4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ascii="方正小标宋简体" w:hAnsi="宋体" w:eastAsia="方正小标宋简体"/>
          <w:kern w:val="0"/>
          <w:sz w:val="40"/>
          <w:szCs w:val="44"/>
        </w:rPr>
        <w:t>攀枝花市西区妇幼保健服务中心</w:t>
      </w:r>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w:t>
      </w:r>
      <w:r>
        <w:rPr>
          <w:rFonts w:hint="eastAsia" w:ascii="方正小标宋简体" w:hAnsi="宋体" w:eastAsia="方正小标宋简体"/>
          <w:kern w:val="0"/>
          <w:sz w:val="40"/>
          <w:szCs w:val="44"/>
        </w:rPr>
        <w:t>1</w:t>
      </w:r>
      <w:r>
        <w:rPr>
          <w:rFonts w:ascii="方正小标宋简体" w:hAnsi="宋体" w:eastAsia="方正小标宋简体"/>
          <w:kern w:val="0"/>
          <w:sz w:val="40"/>
          <w:szCs w:val="44"/>
        </w:rPr>
        <w:t>年部门</w:t>
      </w:r>
      <w:r>
        <w:rPr>
          <w:rFonts w:ascii="方正小标宋简体" w:hAnsi="宋体" w:eastAsia="方正小标宋简体"/>
          <w:kern w:val="0"/>
          <w:sz w:val="40"/>
          <w:szCs w:val="44"/>
          <w:lang w:val="zh-CN"/>
        </w:rPr>
        <w:t>整体支出绩效评价报告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（一）机构组成。</w:t>
      </w:r>
    </w:p>
    <w:p>
      <w:pPr>
        <w:spacing w:line="580" w:lineRule="exact"/>
        <w:ind w:firstLine="640" w:firstLineChars="200"/>
        <w:rPr>
          <w:lang w:val="zh-CN"/>
        </w:rPr>
      </w:pPr>
      <w:r>
        <w:rPr>
          <w:rFonts w:eastAsia="仿宋_GB2312"/>
          <w:sz w:val="32"/>
          <w:szCs w:val="32"/>
        </w:rPr>
        <w:t>我单位是财政拨款事业单位,设有</w:t>
      </w:r>
      <w:r>
        <w:rPr>
          <w:rFonts w:hint="eastAsia" w:eastAsia="仿宋_GB2312"/>
          <w:sz w:val="32"/>
          <w:szCs w:val="32"/>
        </w:rPr>
        <w:t>医政股和基保股两个股室</w:t>
      </w:r>
      <w:r>
        <w:rPr>
          <w:rFonts w:eastAsia="仿宋_GB2312"/>
          <w:sz w:val="32"/>
          <w:szCs w:val="32"/>
        </w:rPr>
        <w:t>，执行事业单位会计制度。</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zh-CN"/>
        </w:rPr>
        <w:t>）机构职能。</w:t>
      </w:r>
    </w:p>
    <w:p>
      <w:pPr>
        <w:spacing w:line="580" w:lineRule="exact"/>
        <w:ind w:firstLine="640" w:firstLineChars="200"/>
        <w:rPr>
          <w:rFonts w:eastAsia="仿宋_GB2312"/>
          <w:sz w:val="32"/>
          <w:szCs w:val="32"/>
        </w:rPr>
      </w:pPr>
      <w:r>
        <w:rPr>
          <w:rFonts w:eastAsia="仿宋_GB2312"/>
          <w:sz w:val="32"/>
          <w:szCs w:val="32"/>
        </w:rPr>
        <w:t>1.针对国家妇女儿童健康目标和支持性目标的要求，协助卫生行政部门制定具体规划并牵头实施。</w:t>
      </w:r>
    </w:p>
    <w:p>
      <w:pPr>
        <w:spacing w:line="580" w:lineRule="exact"/>
        <w:ind w:firstLine="640" w:firstLineChars="200"/>
        <w:rPr>
          <w:rFonts w:eastAsia="仿宋_GB2312"/>
          <w:sz w:val="32"/>
          <w:szCs w:val="32"/>
        </w:rPr>
      </w:pPr>
      <w:r>
        <w:rPr>
          <w:rFonts w:eastAsia="仿宋_GB2312"/>
          <w:sz w:val="32"/>
          <w:szCs w:val="32"/>
        </w:rPr>
        <w:t>2.负责全区孕、产妇健康系统保障及其管理工作，提高孕、产妇及新生儿健康水平，降低孕、产妇死亡率和新生儿出生缺陷的发生。</w:t>
      </w:r>
    </w:p>
    <w:p>
      <w:pPr>
        <w:spacing w:line="580" w:lineRule="exact"/>
        <w:ind w:firstLine="640" w:firstLineChars="200"/>
        <w:rPr>
          <w:rFonts w:eastAsia="仿宋_GB2312"/>
          <w:bCs/>
          <w:color w:val="000000"/>
          <w:kern w:val="0"/>
          <w:sz w:val="32"/>
          <w:szCs w:val="32"/>
        </w:rPr>
      </w:pPr>
      <w:r>
        <w:rPr>
          <w:rFonts w:eastAsia="仿宋_GB2312"/>
          <w:sz w:val="32"/>
          <w:szCs w:val="32"/>
        </w:rPr>
        <w:t>3.负责全区七岁以下儿童健康</w:t>
      </w:r>
      <w:r>
        <w:rPr>
          <w:rFonts w:eastAsia="仿宋_GB2312"/>
          <w:bCs/>
          <w:color w:val="000000"/>
          <w:kern w:val="0"/>
          <w:sz w:val="32"/>
          <w:szCs w:val="32"/>
        </w:rPr>
        <w:t>系统保健及其管理工作，提高儿童身心健康水平，降低儿童死亡率。</w:t>
      </w:r>
    </w:p>
    <w:p>
      <w:pPr>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4.负责妇女经、孕、产、哺乳、更年期的卫生保健，做好妇女病的普查普治工作。</w:t>
      </w:r>
    </w:p>
    <w:p>
      <w:pPr>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5.负责全区计划生育技术服务，掌握全区计划生育技术服务的质量、存在的问题。</w:t>
      </w:r>
    </w:p>
    <w:p>
      <w:pPr>
        <w:spacing w:line="580" w:lineRule="exact"/>
        <w:ind w:firstLine="640" w:firstLineChars="200"/>
        <w:rPr>
          <w:rFonts w:eastAsia="仿宋_GB2312"/>
          <w:sz w:val="32"/>
          <w:szCs w:val="32"/>
        </w:rPr>
      </w:pPr>
      <w:r>
        <w:rPr>
          <w:rFonts w:eastAsia="仿宋_GB2312"/>
          <w:bCs/>
          <w:color w:val="000000"/>
          <w:kern w:val="0"/>
          <w:sz w:val="32"/>
          <w:szCs w:val="32"/>
        </w:rPr>
        <w:t>6.负责开展婚前医学检查、优生咨询工作，提高人口素质；负责</w:t>
      </w:r>
      <w:r>
        <w:rPr>
          <w:rFonts w:eastAsia="仿宋_GB2312"/>
          <w:sz w:val="32"/>
          <w:szCs w:val="32"/>
        </w:rPr>
        <w:t>全区妇女、儿童保健和计划生育知识等健康教育工作，提高妇女、儿童的自我保健意识和能力。</w:t>
      </w:r>
    </w:p>
    <w:p>
      <w:pPr>
        <w:spacing w:line="580" w:lineRule="exact"/>
        <w:ind w:firstLine="640" w:firstLineChars="200"/>
        <w:rPr>
          <w:rFonts w:eastAsia="仿宋_GB2312"/>
          <w:sz w:val="32"/>
          <w:szCs w:val="32"/>
        </w:rPr>
      </w:pPr>
      <w:r>
        <w:rPr>
          <w:rFonts w:eastAsia="仿宋_GB2312"/>
          <w:sz w:val="32"/>
          <w:szCs w:val="32"/>
        </w:rPr>
        <w:t>7.负责全区妇幼保健信息收集、统计、整理、分析评价及上报工作，为卫生行政部门提供妇幼保健服务决策依据。</w:t>
      </w:r>
    </w:p>
    <w:p>
      <w:pPr>
        <w:spacing w:line="580" w:lineRule="exact"/>
        <w:ind w:firstLine="640" w:firstLineChars="200"/>
        <w:rPr>
          <w:rFonts w:eastAsia="仿宋_GB2312"/>
          <w:sz w:val="32"/>
          <w:szCs w:val="32"/>
        </w:rPr>
      </w:pPr>
      <w:r>
        <w:rPr>
          <w:rFonts w:eastAsia="仿宋_GB2312"/>
          <w:sz w:val="32"/>
          <w:szCs w:val="32"/>
        </w:rPr>
        <w:t>8.负</w:t>
      </w:r>
      <w:r>
        <w:rPr>
          <w:rFonts w:hint="eastAsia" w:eastAsia="仿宋_GB2312"/>
          <w:sz w:val="32"/>
          <w:szCs w:val="32"/>
        </w:rPr>
        <w:t>责对全区承担妇幼保健</w:t>
      </w:r>
      <w:r>
        <w:rPr>
          <w:rFonts w:eastAsia="仿宋_GB2312"/>
          <w:sz w:val="32"/>
          <w:szCs w:val="32"/>
        </w:rPr>
        <w:t>工作任务医院及基层医疗卫生机构的保健工作业务培训、工作质量检查、指导及评估等工作</w:t>
      </w:r>
      <w:r>
        <w:rPr>
          <w:rFonts w:hint="eastAsia" w:eastAsia="仿宋_GB2312"/>
          <w:sz w:val="32"/>
          <w:szCs w:val="32"/>
        </w:rPr>
        <w:t>。</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（三）人员概况。</w:t>
      </w:r>
    </w:p>
    <w:p>
      <w:pPr>
        <w:spacing w:line="580" w:lineRule="exact"/>
        <w:ind w:firstLine="640" w:firstLineChars="200"/>
        <w:rPr>
          <w:rFonts w:eastAsia="仿宋_GB2312"/>
          <w:sz w:val="32"/>
          <w:szCs w:val="32"/>
          <w:lang w:val="zh-CN"/>
        </w:rPr>
      </w:pPr>
      <w:r>
        <w:rPr>
          <w:rFonts w:eastAsia="仿宋_GB2312"/>
          <w:sz w:val="32"/>
          <w:szCs w:val="32"/>
        </w:rPr>
        <w:t>20</w:t>
      </w:r>
      <w:r>
        <w:rPr>
          <w:rFonts w:hint="eastAsia" w:eastAsia="仿宋_GB2312"/>
          <w:sz w:val="32"/>
          <w:szCs w:val="32"/>
        </w:rPr>
        <w:t>21</w:t>
      </w:r>
      <w:r>
        <w:rPr>
          <w:rFonts w:eastAsia="仿宋_GB2312"/>
          <w:sz w:val="32"/>
          <w:szCs w:val="32"/>
        </w:rPr>
        <w:t>年，单位编制人数</w:t>
      </w:r>
      <w:r>
        <w:rPr>
          <w:rFonts w:hint="eastAsia" w:eastAsia="仿宋_GB2312"/>
          <w:sz w:val="32"/>
          <w:szCs w:val="32"/>
        </w:rPr>
        <w:t>16</w:t>
      </w:r>
      <w:r>
        <w:rPr>
          <w:rFonts w:eastAsia="仿宋_GB2312"/>
          <w:sz w:val="32"/>
          <w:szCs w:val="32"/>
        </w:rPr>
        <w:t>人，</w:t>
      </w:r>
      <w:r>
        <w:rPr>
          <w:rFonts w:hint="eastAsia" w:eastAsia="仿宋_GB2312"/>
          <w:sz w:val="32"/>
          <w:szCs w:val="32"/>
        </w:rPr>
        <w:t>实有14人，自聘9人，</w:t>
      </w:r>
      <w:r>
        <w:rPr>
          <w:rFonts w:eastAsia="仿宋_GB2312"/>
          <w:sz w:val="32"/>
          <w:szCs w:val="32"/>
        </w:rPr>
        <w:t>年末实有人数</w:t>
      </w:r>
      <w:r>
        <w:rPr>
          <w:rFonts w:hint="eastAsia" w:eastAsia="仿宋_GB2312"/>
          <w:sz w:val="32"/>
          <w:szCs w:val="32"/>
        </w:rPr>
        <w:t>23</w:t>
      </w:r>
      <w:r>
        <w:rPr>
          <w:rFonts w:eastAsia="仿宋_GB2312"/>
          <w:sz w:val="32"/>
          <w:szCs w:val="32"/>
        </w:rPr>
        <w:t>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（一）部门财政资金收入情况。</w:t>
      </w:r>
    </w:p>
    <w:p>
      <w:pPr>
        <w:spacing w:line="580" w:lineRule="exact"/>
        <w:ind w:firstLine="640" w:firstLineChars="200"/>
        <w:rPr>
          <w:lang w:val="zh-CN"/>
        </w:rPr>
      </w:pPr>
      <w:r>
        <w:rPr>
          <w:rFonts w:eastAsia="仿宋_GB2312"/>
          <w:bCs/>
          <w:color w:val="000000"/>
          <w:kern w:val="0"/>
          <w:sz w:val="32"/>
          <w:szCs w:val="32"/>
        </w:rPr>
        <w:t>20</w:t>
      </w:r>
      <w:r>
        <w:rPr>
          <w:rFonts w:hint="eastAsia" w:eastAsia="仿宋_GB2312"/>
          <w:bCs/>
          <w:color w:val="000000"/>
          <w:kern w:val="0"/>
          <w:sz w:val="32"/>
          <w:szCs w:val="32"/>
        </w:rPr>
        <w:t>21</w:t>
      </w:r>
      <w:r>
        <w:rPr>
          <w:rFonts w:eastAsia="仿宋_GB2312"/>
          <w:bCs/>
          <w:color w:val="000000"/>
          <w:kern w:val="0"/>
          <w:sz w:val="32"/>
          <w:szCs w:val="32"/>
        </w:rPr>
        <w:t>年攀枝花市西区妇幼保健服务中心收入预算总额为</w:t>
      </w:r>
      <w:r>
        <w:rPr>
          <w:rFonts w:hint="eastAsia" w:eastAsia="仿宋_GB2312"/>
          <w:bCs/>
          <w:color w:val="000000"/>
          <w:kern w:val="0"/>
          <w:sz w:val="32"/>
          <w:szCs w:val="32"/>
        </w:rPr>
        <w:t>234.54</w:t>
      </w:r>
      <w:r>
        <w:rPr>
          <w:rFonts w:eastAsia="仿宋_GB2312"/>
          <w:bCs/>
          <w:color w:val="000000"/>
          <w:kern w:val="0"/>
          <w:sz w:val="32"/>
          <w:szCs w:val="32"/>
        </w:rPr>
        <w:t>万元，其中：当年财政拨款收</w:t>
      </w:r>
      <w:r>
        <w:rPr>
          <w:rFonts w:eastAsia="仿宋_GB2312"/>
          <w:bCs/>
          <w:kern w:val="0"/>
          <w:sz w:val="32"/>
          <w:szCs w:val="32"/>
        </w:rPr>
        <w:t>入</w:t>
      </w:r>
      <w:r>
        <w:rPr>
          <w:rFonts w:hint="eastAsia" w:eastAsia="仿宋_GB2312"/>
          <w:bCs/>
          <w:kern w:val="0"/>
          <w:sz w:val="32"/>
          <w:szCs w:val="32"/>
        </w:rPr>
        <w:t>226.14</w:t>
      </w:r>
      <w:r>
        <w:rPr>
          <w:rFonts w:eastAsia="仿宋_GB2312"/>
          <w:bCs/>
          <w:kern w:val="0"/>
          <w:sz w:val="32"/>
          <w:szCs w:val="32"/>
        </w:rPr>
        <w:t>万元，其他收入</w:t>
      </w:r>
      <w:r>
        <w:rPr>
          <w:rFonts w:hint="eastAsia" w:eastAsia="仿宋_GB2312"/>
          <w:bCs/>
          <w:kern w:val="0"/>
          <w:sz w:val="32"/>
          <w:szCs w:val="32"/>
        </w:rPr>
        <w:t>8.4</w:t>
      </w:r>
      <w:r>
        <w:rPr>
          <w:rFonts w:eastAsia="仿宋_GB2312"/>
          <w:bCs/>
          <w:kern w:val="0"/>
          <w:sz w:val="32"/>
          <w:szCs w:val="32"/>
        </w:rPr>
        <w:t>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楷体_GB2312" w:hAnsi="楷体_GB2312" w:eastAsia="楷体_GB2312" w:cs="楷体_GB2312"/>
          <w:sz w:val="32"/>
          <w:szCs w:val="32"/>
          <w:lang w:val="zh-CN"/>
        </w:rPr>
        <w:t>（二）部门财政资金支出情况</w:t>
      </w:r>
      <w:r>
        <w:rPr>
          <w:rFonts w:hint="eastAsia" w:ascii="仿宋_GB2312" w:hAnsi="宋体" w:eastAsia="仿宋_GB2312" w:cs="宋体"/>
          <w:kern w:val="0"/>
          <w:sz w:val="32"/>
          <w:szCs w:val="32"/>
          <w:shd w:val="clear" w:color="auto" w:fill="FFFFFF"/>
          <w:lang w:val="zh-CN"/>
        </w:rPr>
        <w:t>。</w:t>
      </w:r>
    </w:p>
    <w:p>
      <w:pPr>
        <w:spacing w:line="600" w:lineRule="exact"/>
        <w:ind w:firstLine="640" w:firstLineChars="200"/>
        <w:outlineLvl w:val="1"/>
        <w:rPr>
          <w:rFonts w:eastAsia="仿宋_GB2312"/>
          <w:bCs/>
          <w:kern w:val="0"/>
          <w:sz w:val="32"/>
          <w:szCs w:val="32"/>
        </w:rPr>
      </w:pPr>
      <w:r>
        <w:rPr>
          <w:rFonts w:eastAsia="仿宋_GB2312"/>
          <w:bCs/>
          <w:kern w:val="0"/>
          <w:sz w:val="32"/>
          <w:szCs w:val="32"/>
        </w:rPr>
        <w:t>202</w:t>
      </w:r>
      <w:r>
        <w:rPr>
          <w:rFonts w:hint="eastAsia" w:eastAsia="仿宋_GB2312"/>
          <w:bCs/>
          <w:kern w:val="0"/>
          <w:sz w:val="32"/>
          <w:szCs w:val="32"/>
        </w:rPr>
        <w:t>1</w:t>
      </w:r>
      <w:r>
        <w:rPr>
          <w:rFonts w:eastAsia="仿宋_GB2312"/>
          <w:bCs/>
          <w:kern w:val="0"/>
          <w:sz w:val="32"/>
          <w:szCs w:val="32"/>
        </w:rPr>
        <w:t>年度预算安排支出</w:t>
      </w:r>
      <w:r>
        <w:rPr>
          <w:rFonts w:hint="eastAsia" w:eastAsia="仿宋_GB2312"/>
          <w:bCs/>
          <w:kern w:val="0"/>
          <w:sz w:val="32"/>
          <w:szCs w:val="32"/>
        </w:rPr>
        <w:t>234.54</w:t>
      </w:r>
      <w:r>
        <w:rPr>
          <w:rFonts w:eastAsia="仿宋_GB2312"/>
          <w:bCs/>
          <w:kern w:val="0"/>
          <w:sz w:val="32"/>
          <w:szCs w:val="32"/>
        </w:rPr>
        <w:t>万元，主要用于保障该部门机构正常运转、完成日常工作任务以及本单位承担的项目工作。</w:t>
      </w:r>
    </w:p>
    <w:p>
      <w:pPr>
        <w:spacing w:line="600" w:lineRule="exact"/>
        <w:ind w:firstLine="640" w:firstLineChars="200"/>
        <w:outlineLvl w:val="1"/>
        <w:rPr>
          <w:rFonts w:eastAsia="仿宋_GB2312"/>
          <w:bCs/>
          <w:kern w:val="0"/>
          <w:sz w:val="32"/>
          <w:szCs w:val="32"/>
        </w:rPr>
      </w:pPr>
      <w:r>
        <w:rPr>
          <w:rFonts w:eastAsia="仿宋_GB2312"/>
          <w:bCs/>
          <w:kern w:val="0"/>
          <w:sz w:val="32"/>
          <w:szCs w:val="32"/>
        </w:rPr>
        <w:t>基本支出</w:t>
      </w:r>
      <w:r>
        <w:rPr>
          <w:rFonts w:hint="eastAsia" w:eastAsia="仿宋_GB2312"/>
          <w:bCs/>
          <w:kern w:val="0"/>
          <w:sz w:val="32"/>
          <w:szCs w:val="32"/>
        </w:rPr>
        <w:t>180.31</w:t>
      </w:r>
      <w:r>
        <w:rPr>
          <w:rFonts w:eastAsia="仿宋_GB2312"/>
          <w:bCs/>
          <w:kern w:val="0"/>
          <w:sz w:val="32"/>
          <w:szCs w:val="32"/>
        </w:rPr>
        <w:t>万元，是用于本单位正常运转的日常支出，包括基本工资、津贴补贴、住房公积金和日常公用经费等。</w:t>
      </w:r>
    </w:p>
    <w:p>
      <w:pPr>
        <w:spacing w:line="600" w:lineRule="exact"/>
        <w:ind w:firstLine="640" w:firstLineChars="200"/>
        <w:outlineLvl w:val="1"/>
        <w:rPr>
          <w:lang w:val="zh-CN"/>
        </w:rPr>
      </w:pPr>
      <w:r>
        <w:rPr>
          <w:rFonts w:eastAsia="仿宋_GB2312"/>
          <w:bCs/>
          <w:kern w:val="0"/>
          <w:sz w:val="32"/>
          <w:szCs w:val="32"/>
        </w:rPr>
        <w:t>项目支出</w:t>
      </w:r>
      <w:r>
        <w:rPr>
          <w:rFonts w:hint="eastAsia" w:eastAsia="仿宋_GB2312"/>
          <w:bCs/>
          <w:kern w:val="0"/>
          <w:sz w:val="32"/>
          <w:szCs w:val="32"/>
        </w:rPr>
        <w:t>54.23</w:t>
      </w:r>
      <w:r>
        <w:rPr>
          <w:rFonts w:eastAsia="仿宋_GB2312"/>
          <w:bCs/>
          <w:kern w:val="0"/>
          <w:sz w:val="32"/>
          <w:szCs w:val="32"/>
        </w:rPr>
        <w:t>万元，是用于是用于西区妇幼保健服务中心为完成特定的行政工作任务，用于专项业务工作的经费支出和项目费用。</w:t>
      </w:r>
    </w:p>
    <w:p>
      <w:pPr>
        <w:widowControl/>
        <w:numPr>
          <w:ilvl w:val="0"/>
          <w:numId w:val="1"/>
        </w:numPr>
        <w:adjustRightInd w:val="0"/>
        <w:snapToGrid w:val="0"/>
        <w:spacing w:line="572" w:lineRule="exact"/>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widowControl/>
        <w:adjustRightInd w:val="0"/>
        <w:snapToGrid w:val="0"/>
        <w:spacing w:line="572" w:lineRule="exact"/>
        <w:ind w:left="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w:t>
      </w:r>
      <w:r>
        <w:rPr>
          <w:rFonts w:hint="eastAsia" w:ascii="楷体_GB2312" w:hAnsi="楷体_GB2312" w:eastAsia="楷体_GB2312" w:cs="楷体_GB2312"/>
          <w:sz w:val="32"/>
          <w:szCs w:val="32"/>
          <w:lang w:val="zh-CN"/>
        </w:rPr>
        <w:t>部门预算项目绩效管理。</w:t>
      </w:r>
    </w:p>
    <w:p>
      <w:pPr>
        <w:spacing w:line="580" w:lineRule="exact"/>
        <w:ind w:firstLine="640" w:firstLineChars="200"/>
        <w:rPr>
          <w:rFonts w:eastAsia="仿宋_GB2312"/>
          <w:bCs/>
          <w:color w:val="000000"/>
          <w:kern w:val="0"/>
          <w:sz w:val="32"/>
          <w:szCs w:val="32"/>
        </w:rPr>
      </w:pPr>
      <w:r>
        <w:rPr>
          <w:rFonts w:eastAsia="仿宋_GB2312"/>
          <w:bCs/>
          <w:kern w:val="0"/>
          <w:sz w:val="32"/>
          <w:szCs w:val="32"/>
        </w:rPr>
        <w:t>20</w:t>
      </w:r>
      <w:r>
        <w:rPr>
          <w:rFonts w:hint="eastAsia" w:eastAsia="仿宋_GB2312"/>
          <w:bCs/>
          <w:kern w:val="0"/>
          <w:sz w:val="32"/>
          <w:szCs w:val="32"/>
        </w:rPr>
        <w:t>21</w:t>
      </w:r>
      <w:r>
        <w:rPr>
          <w:rFonts w:eastAsia="仿宋_GB2312"/>
          <w:bCs/>
          <w:kern w:val="0"/>
          <w:sz w:val="32"/>
          <w:szCs w:val="32"/>
        </w:rPr>
        <w:t>年，区妇幼按预算管理要求制定了预算绩效目标，准确编制年度预算，加强了预算支出控制，预算绩效目标动态调整，严格按照年初预算执行预算支出，20</w:t>
      </w:r>
      <w:r>
        <w:rPr>
          <w:rFonts w:hint="eastAsia" w:eastAsia="仿宋_GB2312"/>
          <w:bCs/>
          <w:kern w:val="0"/>
          <w:sz w:val="32"/>
          <w:szCs w:val="32"/>
        </w:rPr>
        <w:t>21</w:t>
      </w:r>
      <w:r>
        <w:rPr>
          <w:rFonts w:eastAsia="仿宋_GB2312"/>
          <w:bCs/>
          <w:kern w:val="0"/>
          <w:sz w:val="32"/>
          <w:szCs w:val="32"/>
        </w:rPr>
        <w:t>年支出合计</w:t>
      </w:r>
      <w:r>
        <w:rPr>
          <w:rFonts w:hint="eastAsia" w:eastAsia="仿宋_GB2312"/>
          <w:bCs/>
          <w:kern w:val="0"/>
          <w:sz w:val="32"/>
          <w:szCs w:val="32"/>
        </w:rPr>
        <w:t>234.54</w:t>
      </w:r>
      <w:r>
        <w:rPr>
          <w:rFonts w:eastAsia="仿宋_GB2312"/>
          <w:bCs/>
          <w:kern w:val="0"/>
          <w:sz w:val="32"/>
          <w:szCs w:val="32"/>
        </w:rPr>
        <w:t>万元，其中：基本支出</w:t>
      </w:r>
      <w:r>
        <w:rPr>
          <w:rFonts w:hint="eastAsia" w:eastAsia="仿宋_GB2312"/>
          <w:bCs/>
          <w:kern w:val="0"/>
          <w:sz w:val="32"/>
          <w:szCs w:val="32"/>
        </w:rPr>
        <w:t>180.31</w:t>
      </w:r>
      <w:r>
        <w:rPr>
          <w:rFonts w:eastAsia="仿宋_GB2312"/>
          <w:bCs/>
          <w:kern w:val="0"/>
          <w:sz w:val="32"/>
          <w:szCs w:val="32"/>
        </w:rPr>
        <w:t>万元，项目支出</w:t>
      </w:r>
      <w:r>
        <w:rPr>
          <w:rFonts w:hint="eastAsia" w:eastAsia="仿宋_GB2312"/>
          <w:bCs/>
          <w:kern w:val="0"/>
          <w:sz w:val="32"/>
          <w:szCs w:val="32"/>
        </w:rPr>
        <w:t>54.23</w:t>
      </w:r>
      <w:r>
        <w:rPr>
          <w:rFonts w:eastAsia="仿宋_GB2312"/>
          <w:bCs/>
          <w:kern w:val="0"/>
          <w:sz w:val="32"/>
          <w:szCs w:val="32"/>
        </w:rPr>
        <w:t>万元，无违</w:t>
      </w:r>
      <w:r>
        <w:rPr>
          <w:rFonts w:eastAsia="仿宋_GB2312"/>
          <w:bCs/>
          <w:color w:val="000000"/>
          <w:kern w:val="0"/>
          <w:sz w:val="32"/>
          <w:szCs w:val="32"/>
        </w:rPr>
        <w:t>规使用记录。</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仿宋_GB2312" w:hAnsi="宋体" w:eastAsia="仿宋_GB2312" w:cs="宋体"/>
          <w:kern w:val="0"/>
          <w:sz w:val="32"/>
          <w:szCs w:val="32"/>
          <w:shd w:val="clear" w:color="auto" w:fill="FFFFFF"/>
          <w:lang w:val="zh-CN"/>
        </w:rPr>
        <w:t>（二）</w:t>
      </w:r>
      <w:r>
        <w:rPr>
          <w:rFonts w:hint="eastAsia" w:ascii="楷体_GB2312" w:hAnsi="楷体_GB2312" w:eastAsia="楷体_GB2312" w:cs="楷体_GB2312"/>
          <w:sz w:val="32"/>
          <w:szCs w:val="32"/>
          <w:lang w:val="zh-CN"/>
        </w:rPr>
        <w:t>结果应用情况。</w:t>
      </w:r>
    </w:p>
    <w:p>
      <w:pPr>
        <w:pStyle w:val="2"/>
        <w:spacing w:before="93"/>
        <w:ind w:firstLine="640" w:firstLineChars="200"/>
      </w:pPr>
      <w:r>
        <w:rPr>
          <w:rFonts w:ascii="Times New Roman"/>
          <w:bCs/>
          <w:color w:val="000000"/>
          <w:sz w:val="32"/>
          <w:szCs w:val="32"/>
        </w:rPr>
        <w:t>本年度区妇幼通过整体支出绩效评价质量、绩效目标自评公开，规范了预算管理，提高了资金使用效率，保障单位人员经费、单位运转等基本支出，项目支出规范运行。</w:t>
      </w:r>
    </w:p>
    <w:p>
      <w:pPr>
        <w:widowControl/>
        <w:adjustRightInd w:val="0"/>
        <w:snapToGrid w:val="0"/>
        <w:spacing w:line="572" w:lineRule="exact"/>
        <w:ind w:firstLine="640" w:firstLineChars="200"/>
        <w:contextualSpacing/>
        <w:jc w:val="left"/>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zh-CN"/>
        </w:rPr>
        <w:t>）自评质量。</w:t>
      </w:r>
    </w:p>
    <w:p>
      <w:pPr>
        <w:spacing w:line="600" w:lineRule="exact"/>
        <w:ind w:firstLine="640" w:firstLineChars="200"/>
        <w:outlineLvl w:val="1"/>
        <w:rPr>
          <w:rFonts w:eastAsia="仿宋_GB2312"/>
          <w:bCs/>
          <w:color w:val="000000"/>
          <w:kern w:val="0"/>
          <w:sz w:val="32"/>
          <w:szCs w:val="32"/>
        </w:rPr>
      </w:pPr>
      <w:r>
        <w:rPr>
          <w:rFonts w:eastAsia="仿宋_GB2312"/>
          <w:bCs/>
          <w:color w:val="000000"/>
          <w:kern w:val="0"/>
          <w:sz w:val="32"/>
          <w:szCs w:val="32"/>
        </w:rPr>
        <w:t>本年度区妇幼通过整体支出绩效评价质量、绩效目标自评公开，规范了预算管理，提高了资金使用效率，保障单位人员经费、单位运转等基本支出，项目支出规范运行。</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600" w:lineRule="exact"/>
        <w:ind w:firstLine="640" w:firstLineChars="200"/>
        <w:outlineLvl w:val="1"/>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（一）评价结论。</w:t>
      </w:r>
    </w:p>
    <w:p>
      <w:pPr>
        <w:spacing w:line="600" w:lineRule="exact"/>
        <w:ind w:firstLine="640" w:firstLineChars="200"/>
        <w:outlineLvl w:val="1"/>
        <w:rPr>
          <w:rFonts w:eastAsia="仿宋"/>
          <w:sz w:val="32"/>
          <w:szCs w:val="32"/>
        </w:rPr>
      </w:pPr>
      <w:r>
        <w:rPr>
          <w:rFonts w:eastAsia="仿宋_GB2312"/>
          <w:bCs/>
          <w:color w:val="000000"/>
          <w:kern w:val="0"/>
          <w:sz w:val="32"/>
          <w:szCs w:val="32"/>
        </w:rPr>
        <w:t>通过整体支出绩效评价，规范了预算管理，严格按照财经法规和制度使用、管理资金，提高了资金使用效率。</w:t>
      </w:r>
    </w:p>
    <w:p>
      <w:pPr>
        <w:spacing w:line="600" w:lineRule="exact"/>
        <w:ind w:firstLine="640" w:firstLineChars="200"/>
        <w:outlineLvl w:val="1"/>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（二）存在问题。</w:t>
      </w:r>
    </w:p>
    <w:p>
      <w:pPr>
        <w:spacing w:line="600" w:lineRule="exact"/>
        <w:ind w:firstLine="640" w:firstLineChars="200"/>
        <w:outlineLvl w:val="1"/>
        <w:rPr>
          <w:rFonts w:eastAsia="仿宋_GB2312"/>
          <w:bCs/>
          <w:color w:val="000000"/>
          <w:kern w:val="0"/>
          <w:sz w:val="32"/>
          <w:szCs w:val="32"/>
        </w:rPr>
      </w:pPr>
      <w:r>
        <w:rPr>
          <w:rFonts w:eastAsia="仿宋_GB2312"/>
          <w:bCs/>
          <w:color w:val="000000"/>
          <w:kern w:val="0"/>
          <w:sz w:val="32"/>
          <w:szCs w:val="32"/>
        </w:rPr>
        <w:t>绩效目标动态监控不到位，内部控制制度有待于进一步完善，评价结果应用不到位,履职成效不高，没有达到规范的效果。</w:t>
      </w:r>
    </w:p>
    <w:p>
      <w:pPr>
        <w:spacing w:line="600" w:lineRule="exact"/>
        <w:ind w:firstLine="640" w:firstLineChars="200"/>
        <w:outlineLvl w:val="1"/>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（三）改进建议。</w:t>
      </w:r>
    </w:p>
    <w:p>
      <w:pPr>
        <w:spacing w:line="600" w:lineRule="exact"/>
        <w:ind w:firstLine="640" w:firstLineChars="200"/>
        <w:outlineLvl w:val="1"/>
        <w:rPr>
          <w:rFonts w:eastAsia="仿宋_GB2312"/>
          <w:bCs/>
          <w:color w:val="000000"/>
          <w:kern w:val="0"/>
          <w:sz w:val="32"/>
          <w:szCs w:val="32"/>
        </w:rPr>
      </w:pPr>
      <w:r>
        <w:rPr>
          <w:rFonts w:eastAsia="仿宋_GB2312"/>
          <w:bCs/>
          <w:color w:val="000000"/>
          <w:kern w:val="0"/>
          <w:sz w:val="32"/>
          <w:szCs w:val="32"/>
        </w:rPr>
        <w:t>及时进行绩效目标的动态监控。高质量的完善内部制度建设，充分运用评价结果行质量监督，根据评价结果提出改进措施并落到实处。提高绩效评价质量，认真执行绩效监控，按照内部制度制度要求，依照相关流程提高履职成效。结合绩效评价结果，对存在不合理的、需要改进提高的工作方法、管理措施、监督力度，进行进一步提升和规范，确保整体支出绩效评价做出实效。</w:t>
      </w:r>
    </w:p>
    <w:p>
      <w:pPr>
        <w:rPr>
          <w:rFonts w:hAnsi="宋体" w:cs="宋体"/>
          <w:sz w:val="32"/>
          <w:szCs w:val="32"/>
          <w:shd w:val="clear" w:color="auto" w:fill="FFFFFF"/>
          <w:lang w:val="zh-CN"/>
        </w:rPr>
      </w:pPr>
      <w:r>
        <w:rPr>
          <w:rFonts w:hAnsi="宋体" w:cs="宋体"/>
          <w:sz w:val="32"/>
          <w:szCs w:val="32"/>
          <w:shd w:val="clear" w:color="auto" w:fill="FFFFFF"/>
          <w:lang w:val="zh-CN"/>
        </w:rPr>
        <w:br w:type="page"/>
      </w:r>
    </w:p>
    <w:tbl>
      <w:tblPr>
        <w:tblStyle w:val="15"/>
        <w:tblW w:w="9060" w:type="dxa"/>
        <w:tblInd w:w="0" w:type="dxa"/>
        <w:tblLayout w:type="fixed"/>
        <w:tblCellMar>
          <w:top w:w="0" w:type="dxa"/>
          <w:left w:w="108" w:type="dxa"/>
          <w:bottom w:w="0" w:type="dxa"/>
          <w:right w:w="108" w:type="dxa"/>
        </w:tblCellMar>
      </w:tblPr>
      <w:tblGrid>
        <w:gridCol w:w="426"/>
        <w:gridCol w:w="619"/>
        <w:gridCol w:w="620"/>
        <w:gridCol w:w="1656"/>
        <w:gridCol w:w="2106"/>
        <w:gridCol w:w="2106"/>
        <w:gridCol w:w="831"/>
        <w:gridCol w:w="696"/>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Style w:val="31"/>
                <w:rFonts w:hint="default"/>
                <w:sz w:val="21"/>
                <w:szCs w:val="21"/>
                <w:lang w:bidi="ar"/>
              </w:rPr>
              <w:t>（</w:t>
            </w:r>
            <w:r>
              <w:rPr>
                <w:rStyle w:val="32"/>
                <w:sz w:val="21"/>
                <w:szCs w:val="21"/>
                <w:lang w:bidi="ar"/>
              </w:rPr>
              <w:t>2021</w:t>
            </w:r>
            <w:r>
              <w:rPr>
                <w:rStyle w:val="31"/>
                <w:rFonts w:hint="default"/>
                <w:sz w:val="21"/>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619"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620" w:type="dxa"/>
            <w:tcBorders>
              <w:top w:val="nil"/>
              <w:left w:val="nil"/>
              <w:bottom w:val="nil"/>
              <w:right w:val="nil"/>
            </w:tcBorders>
            <w:shd w:val="clear" w:color="auto" w:fill="auto"/>
            <w:vAlign w:val="center"/>
          </w:tcPr>
          <w:p>
            <w:pPr>
              <w:rPr>
                <w:rFonts w:ascii="宋体" w:hAnsi="宋体" w:cs="宋体"/>
                <w:color w:val="000000"/>
                <w:szCs w:val="21"/>
              </w:rPr>
            </w:pPr>
          </w:p>
        </w:tc>
        <w:tc>
          <w:tcPr>
            <w:tcW w:w="1656" w:type="dxa"/>
            <w:tcBorders>
              <w:top w:val="nil"/>
              <w:left w:val="nil"/>
              <w:bottom w:val="nil"/>
              <w:right w:val="nil"/>
            </w:tcBorders>
            <w:shd w:val="clear" w:color="auto" w:fill="auto"/>
            <w:vAlign w:val="center"/>
          </w:tcPr>
          <w:p>
            <w:pPr>
              <w:rPr>
                <w:rFonts w:ascii="宋体" w:hAnsi="宋体" w:cs="宋体"/>
                <w:color w:val="000000"/>
                <w:szCs w:val="21"/>
              </w:rPr>
            </w:pPr>
          </w:p>
        </w:tc>
        <w:tc>
          <w:tcPr>
            <w:tcW w:w="2106" w:type="dxa"/>
            <w:tcBorders>
              <w:top w:val="nil"/>
              <w:left w:val="nil"/>
              <w:bottom w:val="nil"/>
              <w:right w:val="nil"/>
            </w:tcBorders>
            <w:shd w:val="clear" w:color="auto" w:fill="auto"/>
            <w:vAlign w:val="center"/>
          </w:tcPr>
          <w:p>
            <w:pPr>
              <w:rPr>
                <w:rFonts w:ascii="宋体" w:hAnsi="宋体" w:cs="宋体"/>
                <w:color w:val="000000"/>
                <w:szCs w:val="21"/>
              </w:rPr>
            </w:pPr>
          </w:p>
        </w:tc>
        <w:tc>
          <w:tcPr>
            <w:tcW w:w="2106" w:type="dxa"/>
            <w:tcBorders>
              <w:top w:val="nil"/>
              <w:left w:val="nil"/>
              <w:bottom w:val="nil"/>
              <w:right w:val="nil"/>
            </w:tcBorders>
            <w:shd w:val="clear" w:color="auto" w:fill="auto"/>
            <w:vAlign w:val="center"/>
          </w:tcPr>
          <w:p>
            <w:pPr>
              <w:rPr>
                <w:rFonts w:ascii="宋体" w:hAnsi="宋体" w:cs="宋体"/>
                <w:color w:val="000000"/>
                <w:szCs w:val="21"/>
              </w:rPr>
            </w:pPr>
          </w:p>
        </w:tc>
        <w:tc>
          <w:tcPr>
            <w:tcW w:w="831" w:type="dxa"/>
            <w:tcBorders>
              <w:top w:val="nil"/>
              <w:left w:val="nil"/>
              <w:bottom w:val="nil"/>
              <w:right w:val="nil"/>
            </w:tcBorders>
            <w:shd w:val="clear" w:color="auto" w:fill="auto"/>
            <w:vAlign w:val="center"/>
          </w:tcPr>
          <w:p>
            <w:pPr>
              <w:rPr>
                <w:rFonts w:ascii="宋体" w:hAnsi="宋体" w:cs="宋体"/>
                <w:color w:val="000000"/>
                <w:szCs w:val="21"/>
              </w:rPr>
            </w:pPr>
          </w:p>
        </w:tc>
        <w:tc>
          <w:tcPr>
            <w:tcW w:w="696"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7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妇女两癌筛查专项经费</w:t>
            </w:r>
          </w:p>
        </w:tc>
      </w:tr>
      <w:tr>
        <w:tblPrEx>
          <w:tblLayout w:type="fixed"/>
          <w:tblCellMar>
            <w:top w:w="0" w:type="dxa"/>
            <w:left w:w="108" w:type="dxa"/>
            <w:bottom w:w="0" w:type="dxa"/>
            <w:right w:w="108" w:type="dxa"/>
          </w:tblCellMar>
        </w:tblPrEx>
        <w:trPr>
          <w:trHeight w:val="439"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7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7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4.78</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4.78</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3.78</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3.78</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5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通过两癌项目的实施，提高我区妇女宫颈癌和乳腺癌"两癌"的早诊早治率，降低死亡率，切实提高广大妇女的健康水平。</w:t>
            </w:r>
          </w:p>
        </w:tc>
        <w:tc>
          <w:tcPr>
            <w:tcW w:w="5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顺利完成2021年度的两癌筛查。</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指标1：全年妇女两癌筛查约700人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700人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714人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2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指标2：印刷资料，赠送礼品，开展宣传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印刷两癌宣传资料，赠送前来检查人员礼品</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指标3：以电话形式通知检查结果及需进一步检查的人员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及时通知检查结果，并联系需要进一步检查及治疗，预计需250个电话</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7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指标1：妇女两癌筛查规范</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通过问诊、妇科检查、彩超检查及检验手段，判断检查人员是否需要进一步检查，符合规范要求</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通过问诊、妇科检查、彩超检查及检验手段，判断检查人员是否需要进一步检查，符合规范要求</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指标2：印刷资料，赠送礼品，开展宣传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开展宣传，及时普及两癌知识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开展宣传，及时普及两癌知识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2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指标3：以电话形式通知检查结果及需进一步检查的人员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通过电话联系，实现早检查、早治疗</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通过电话联系，实现早检查、早治疗</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指标1：妇女两癌筛查</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约需经费3.6万元</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3.58万元</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指标2：印刷资料，赠送礼品，开展宣传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约需经费1.0万元</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1.0万元</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指标3：以电话形式通知检查结果及需进一步检查的人员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约需经费0.2万元</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0.2万元</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经济效益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 指标1：妇女两癌筛查</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国家配套经费，给予35-64岁农村妇女免费体检，实现早发现，早干预，减少“因病致贫，因病返贫”的现象</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国家配套经费，给予35-65岁农村妇女免费体检，实现早发现，早干预，减少“因病致贫，因病返贫”的现象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8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指标1：妇女两癌筛查</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提高“两癌”筛查质量，提高适龄农村妇女自我保健意识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提高“两癌”筛查质量，提高适龄农村妇女自我保健意识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指标2：印刷资料，赠送礼品，开展宣传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有利于加大宣传力度，使重视和关心身体的农村妇女积极享受免费检查</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有利于加大宣传力度，使重视和关心身体的农村妇女积极享受免费检查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7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指标3：以电话形式通知检查结果及需进一步检查的人员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通过电话随访，使老百姓切实感受到党和政府的关心，达到政府满意、群众满意的双重效果。</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通过电话随访，使老百姓切实感受到党和政府的关心，达到政府满意、群众满意的双重效果。</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指标1：妇女两癌筛查</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指标2：印刷资料、开展宣传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指标1：参检群众满意度</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Cs w:val="21"/>
              </w:rPr>
            </w:pPr>
            <w:r>
              <w:rPr>
                <w:rStyle w:val="33"/>
                <w:sz w:val="21"/>
                <w:szCs w:val="21"/>
                <w:lang w:bidi="ar"/>
              </w:rPr>
              <w:t>≥</w:t>
            </w:r>
            <w:r>
              <w:rPr>
                <w:rStyle w:val="31"/>
                <w:rFonts w:hint="default"/>
                <w:sz w:val="21"/>
                <w:szCs w:val="21"/>
                <w:lang w:bidi="ar"/>
              </w:rPr>
              <w:t>90%</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pPr>
        <w:pStyle w:val="2"/>
        <w:spacing w:before="93"/>
        <w:rPr>
          <w:rFonts w:hAnsi="宋体" w:cs="宋体"/>
          <w:sz w:val="32"/>
          <w:szCs w:val="32"/>
          <w:shd w:val="clear" w:color="auto" w:fill="FFFFFF"/>
          <w:lang w:val="zh-CN"/>
        </w:rPr>
      </w:pPr>
    </w:p>
    <w:p>
      <w:pPr>
        <w:spacing w:line="580" w:lineRule="exac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tbl>
      <w:tblPr>
        <w:tblStyle w:val="15"/>
        <w:tblW w:w="9060" w:type="dxa"/>
        <w:tblInd w:w="0" w:type="dxa"/>
        <w:tblLayout w:type="fixed"/>
        <w:tblCellMar>
          <w:top w:w="0" w:type="dxa"/>
          <w:left w:w="108" w:type="dxa"/>
          <w:bottom w:w="0" w:type="dxa"/>
          <w:right w:w="108" w:type="dxa"/>
        </w:tblCellMar>
      </w:tblPr>
      <w:tblGrid>
        <w:gridCol w:w="416"/>
        <w:gridCol w:w="494"/>
        <w:gridCol w:w="494"/>
        <w:gridCol w:w="810"/>
        <w:gridCol w:w="5016"/>
        <w:gridCol w:w="632"/>
        <w:gridCol w:w="732"/>
        <w:gridCol w:w="466"/>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2021</w:t>
            </w:r>
            <w:r>
              <w:rPr>
                <w:rFonts w:hint="eastAsia" w:ascii="宋体" w:hAnsi="宋体" w:cs="宋体"/>
                <w:color w:val="000000"/>
                <w:kern w:val="0"/>
                <w:sz w:val="20"/>
                <w:szCs w:val="20"/>
                <w:lang w:bidi="ar"/>
              </w:rPr>
              <w:t>年度）</w:t>
            </w:r>
          </w:p>
        </w:tc>
      </w:tr>
      <w:tr>
        <w:tblPrEx>
          <w:tblLayout w:type="fixed"/>
          <w:tblCellMar>
            <w:top w:w="0" w:type="dxa"/>
            <w:left w:w="108" w:type="dxa"/>
            <w:bottom w:w="0" w:type="dxa"/>
            <w:right w:w="108" w:type="dxa"/>
          </w:tblCellMar>
        </w:tblPrEx>
        <w:trPr>
          <w:trHeight w:val="435" w:hRule="atLeast"/>
        </w:trPr>
        <w:tc>
          <w:tcPr>
            <w:tcW w:w="416" w:type="dxa"/>
            <w:tcBorders>
              <w:top w:val="nil"/>
              <w:left w:val="nil"/>
              <w:bottom w:val="single" w:color="000000" w:sz="4" w:space="0"/>
              <w:right w:val="nil"/>
            </w:tcBorders>
            <w:shd w:val="clear" w:color="auto" w:fill="auto"/>
            <w:vAlign w:val="center"/>
          </w:tcPr>
          <w:p>
            <w:pPr>
              <w:rPr>
                <w:rFonts w:ascii="宋体" w:hAnsi="宋体" w:cs="宋体"/>
                <w:color w:val="000000"/>
                <w:sz w:val="20"/>
                <w:szCs w:val="20"/>
              </w:rPr>
            </w:pPr>
          </w:p>
        </w:tc>
        <w:tc>
          <w:tcPr>
            <w:tcW w:w="494" w:type="dxa"/>
            <w:tcBorders>
              <w:top w:val="nil"/>
              <w:left w:val="nil"/>
              <w:bottom w:val="single" w:color="000000" w:sz="4" w:space="0"/>
              <w:right w:val="nil"/>
            </w:tcBorders>
            <w:shd w:val="clear" w:color="auto" w:fill="auto"/>
            <w:vAlign w:val="center"/>
          </w:tcPr>
          <w:p>
            <w:pPr>
              <w:rPr>
                <w:rFonts w:ascii="宋体" w:hAnsi="宋体" w:cs="宋体"/>
                <w:color w:val="000000"/>
                <w:sz w:val="20"/>
                <w:szCs w:val="20"/>
              </w:rPr>
            </w:pPr>
          </w:p>
        </w:tc>
        <w:tc>
          <w:tcPr>
            <w:tcW w:w="494"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81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5016"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632"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732"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466" w:type="dxa"/>
            <w:tcBorders>
              <w:top w:val="nil"/>
              <w:left w:val="nil"/>
              <w:bottom w:val="nil"/>
              <w:right w:val="nil"/>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39" w:hRule="atLeast"/>
        </w:trPr>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专项（项目）名称</w:t>
            </w:r>
          </w:p>
        </w:tc>
        <w:tc>
          <w:tcPr>
            <w:tcW w:w="7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新冠疫情院感防控经费</w:t>
            </w:r>
          </w:p>
        </w:tc>
      </w:tr>
      <w:tr>
        <w:tblPrEx>
          <w:tblLayout w:type="fixed"/>
          <w:tblCellMar>
            <w:top w:w="0" w:type="dxa"/>
            <w:left w:w="108" w:type="dxa"/>
            <w:bottom w:w="0" w:type="dxa"/>
            <w:right w:w="108" w:type="dxa"/>
          </w:tblCellMar>
        </w:tblPrEx>
        <w:trPr>
          <w:trHeight w:val="439" w:hRule="atLeast"/>
        </w:trPr>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项目主管单位</w:t>
            </w:r>
          </w:p>
        </w:tc>
        <w:tc>
          <w:tcPr>
            <w:tcW w:w="7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项目实施单位</w:t>
            </w:r>
          </w:p>
        </w:tc>
        <w:tc>
          <w:tcPr>
            <w:tcW w:w="7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14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实际完成数</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Layout w:type="fixed"/>
          <w:tblCellMar>
            <w:top w:w="0" w:type="dxa"/>
            <w:left w:w="108" w:type="dxa"/>
            <w:bottom w:w="0" w:type="dxa"/>
            <w:right w:w="108" w:type="dxa"/>
          </w:tblCellMar>
        </w:tblPrEx>
        <w:trPr>
          <w:trHeight w:val="439" w:hRule="atLeast"/>
        </w:trPr>
        <w:tc>
          <w:tcPr>
            <w:tcW w:w="1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3.90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3.90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1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其中：上级财政资金</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1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本级财政资金</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3.90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3.90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14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年度设定目标</w:t>
            </w:r>
          </w:p>
        </w:tc>
        <w:tc>
          <w:tcPr>
            <w:tcW w:w="6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Layout w:type="fixed"/>
          <w:tblCellMar>
            <w:top w:w="0" w:type="dxa"/>
            <w:left w:w="108" w:type="dxa"/>
            <w:bottom w:w="0" w:type="dxa"/>
            <w:right w:w="108" w:type="dxa"/>
          </w:tblCellMar>
        </w:tblPrEx>
        <w:trPr>
          <w:trHeight w:val="12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全员落实标准预防措施：手卫生、消毒隔离，防护用品使用，医疗废物管理等，加强对重点部门、重点环节、重点人员的感控工作，做到科学防控，精准措施。</w:t>
            </w:r>
          </w:p>
        </w:tc>
        <w:tc>
          <w:tcPr>
            <w:tcW w:w="6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顺利完成2021年项目相关工作。</w:t>
            </w:r>
          </w:p>
        </w:tc>
      </w:tr>
      <w:tr>
        <w:tblPrEx>
          <w:tblLayout w:type="fixed"/>
          <w:tblCellMar>
            <w:top w:w="0" w:type="dxa"/>
            <w:left w:w="108" w:type="dxa"/>
            <w:bottom w:w="0" w:type="dxa"/>
            <w:right w:w="108" w:type="dxa"/>
          </w:tblCellMar>
        </w:tblPrEx>
        <w:trPr>
          <w:trHeight w:val="60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项目完成</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全员定期核酸检测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标准消杀，科学防控</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严防严控，防止疫情反弹</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及时更换防护用品及消杀制剂，确保防控有效实施</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按防控需求及上级指示严格开展</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2021年12月底前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约需0.9万元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0.9万元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3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约需3万元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3万元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项目效益</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对工作人员全员筛查，防止交叉感染，避免疫情扩大</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阻断传播途径，保证来院人群健康，防止出现疫情扩散</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指标1：开展核酸检测</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营造安全就诊环境，保护来院人群</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指标2：购买防护及消毒用品</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防止疫情传播，稳控院感，保证辖区居民健康生活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指标1：服务群众满意度</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796"/>
        <w:gridCol w:w="797"/>
        <w:gridCol w:w="2748"/>
        <w:gridCol w:w="1389"/>
        <w:gridCol w:w="1380"/>
        <w:gridCol w:w="830"/>
        <w:gridCol w:w="694"/>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9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97" w:type="dxa"/>
            <w:tcBorders>
              <w:top w:val="nil"/>
              <w:left w:val="nil"/>
              <w:bottom w:val="nil"/>
              <w:right w:val="nil"/>
            </w:tcBorders>
            <w:shd w:val="clear" w:color="auto" w:fill="auto"/>
            <w:vAlign w:val="center"/>
          </w:tcPr>
          <w:p>
            <w:pPr>
              <w:rPr>
                <w:rFonts w:ascii="宋体" w:hAnsi="宋体" w:cs="宋体"/>
                <w:color w:val="000000"/>
                <w:szCs w:val="21"/>
              </w:rPr>
            </w:pPr>
          </w:p>
        </w:tc>
        <w:tc>
          <w:tcPr>
            <w:tcW w:w="2748" w:type="dxa"/>
            <w:tcBorders>
              <w:top w:val="nil"/>
              <w:left w:val="nil"/>
              <w:bottom w:val="nil"/>
              <w:right w:val="nil"/>
            </w:tcBorders>
            <w:shd w:val="clear" w:color="auto" w:fill="auto"/>
            <w:vAlign w:val="center"/>
          </w:tcPr>
          <w:p>
            <w:pPr>
              <w:rPr>
                <w:rFonts w:ascii="宋体" w:hAnsi="宋体" w:cs="宋体"/>
                <w:color w:val="000000"/>
                <w:szCs w:val="21"/>
              </w:rPr>
            </w:pPr>
          </w:p>
        </w:tc>
        <w:tc>
          <w:tcPr>
            <w:tcW w:w="1389" w:type="dxa"/>
            <w:tcBorders>
              <w:top w:val="nil"/>
              <w:left w:val="nil"/>
              <w:bottom w:val="nil"/>
              <w:right w:val="nil"/>
            </w:tcBorders>
            <w:shd w:val="clear" w:color="auto" w:fill="auto"/>
            <w:vAlign w:val="center"/>
          </w:tcPr>
          <w:p>
            <w:pPr>
              <w:rPr>
                <w:rFonts w:ascii="宋体" w:hAnsi="宋体" w:cs="宋体"/>
                <w:color w:val="000000"/>
                <w:szCs w:val="21"/>
              </w:rPr>
            </w:pPr>
          </w:p>
        </w:tc>
        <w:tc>
          <w:tcPr>
            <w:tcW w:w="1380" w:type="dxa"/>
            <w:tcBorders>
              <w:top w:val="nil"/>
              <w:left w:val="nil"/>
              <w:bottom w:val="nil"/>
              <w:right w:val="nil"/>
            </w:tcBorders>
            <w:shd w:val="clear" w:color="auto" w:fill="auto"/>
            <w:vAlign w:val="center"/>
          </w:tcPr>
          <w:p>
            <w:pPr>
              <w:rPr>
                <w:rFonts w:ascii="宋体" w:hAnsi="宋体" w:cs="宋体"/>
                <w:color w:val="000000"/>
                <w:szCs w:val="21"/>
              </w:rPr>
            </w:pPr>
          </w:p>
        </w:tc>
        <w:tc>
          <w:tcPr>
            <w:tcW w:w="830" w:type="dxa"/>
            <w:tcBorders>
              <w:top w:val="nil"/>
              <w:left w:val="nil"/>
              <w:bottom w:val="nil"/>
              <w:right w:val="nil"/>
            </w:tcBorders>
            <w:shd w:val="clear" w:color="auto" w:fill="auto"/>
            <w:vAlign w:val="center"/>
          </w:tcPr>
          <w:p>
            <w:pPr>
              <w:rPr>
                <w:rFonts w:ascii="宋体" w:hAnsi="宋体" w:cs="宋体"/>
                <w:color w:val="000000"/>
                <w:szCs w:val="21"/>
              </w:rPr>
            </w:pPr>
          </w:p>
        </w:tc>
        <w:tc>
          <w:tcPr>
            <w:tcW w:w="694"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70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免费孕前优生检查专项经费</w:t>
            </w:r>
          </w:p>
        </w:tc>
      </w:tr>
      <w:tr>
        <w:tblPrEx>
          <w:tblLayout w:type="fixed"/>
          <w:tblCellMar>
            <w:top w:w="0" w:type="dxa"/>
            <w:left w:w="108" w:type="dxa"/>
            <w:bottom w:w="0" w:type="dxa"/>
            <w:right w:w="108" w:type="dxa"/>
          </w:tblCellMar>
        </w:tblPrEx>
        <w:trPr>
          <w:trHeight w:val="439"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70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70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20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9.85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9.85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4.17</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5.68</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4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18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34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通过宣传动员、细致的各项检查、风险评估等,给予孕前指导和及时早孕随访，及时介入不良妊娠,有效的阻止继续妊娠,达到了优生优育的目的。在妊娠结局随访中,按程序及时告知有高风险因素的夫妇做相关的产前检查和产前诊断。</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顺利完成孕前优生人数检测，加大宣传力度，做好了相关产前检查和产前诊断。</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指标1：全年为208对城镇居民夫妇提供免费孕前优生健康检查服务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208对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214对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印刷孕优宣传资料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指标1：免费孕前优生检查</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从源头上预防出生缺陷的发生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从源头上预防出生缺陷的发生</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8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提高计划怀孕夫妇优生科学知识水平，增强孕前风险防范意识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提高计划怀孕夫妇优生科学知识水平，增强孕前风险防范意识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指标1：每对夫妇参检结算标准</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约8.47万元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8.47万元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指标2：印刷资料</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约1.38万元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1.38万元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8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经济效益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指标1：免费孕前优生检查</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国家配套经费，给予计划怀孕夫妇免费体检，减轻经济负担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国家配套经费，给予计划怀孕夫妇免费体检，减轻经济负担</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指标1：群众优生优育意识</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不断提高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不断提高</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生态效益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指标1：出生缺陷发生风险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逐渐降低</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逐渐降低</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指标1：出生人口素质</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不断提升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不断提升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指标1：参检群众满意度</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Cs w:val="21"/>
              </w:rPr>
            </w:pPr>
            <w:r>
              <w:rPr>
                <w:rFonts w:ascii="Arial" w:hAnsi="Arial" w:cs="Arial"/>
                <w:color w:val="000000"/>
                <w:kern w:val="0"/>
                <w:szCs w:val="21"/>
                <w:lang w:bidi="ar"/>
              </w:rPr>
              <w:t>≥</w:t>
            </w:r>
            <w:r>
              <w:rPr>
                <w:rFonts w:hint="eastAsia" w:ascii="宋体" w:hAnsi="宋体" w:cs="宋体"/>
                <w:color w:val="000000"/>
                <w:kern w:val="0"/>
                <w:szCs w:val="21"/>
                <w:lang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16"/>
        <w:gridCol w:w="828"/>
        <w:gridCol w:w="828"/>
        <w:gridCol w:w="2613"/>
        <w:gridCol w:w="1511"/>
        <w:gridCol w:w="1378"/>
        <w:gridCol w:w="804"/>
        <w:gridCol w:w="682"/>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r>
              <w:rPr>
                <w:color w:val="000000"/>
                <w:kern w:val="0"/>
                <w:sz w:val="20"/>
                <w:szCs w:val="20"/>
                <w:lang w:bidi="ar"/>
              </w:rPr>
              <w:t>2021</w:t>
            </w:r>
            <w:r>
              <w:rPr>
                <w:rFonts w:hint="eastAsia" w:ascii="宋体" w:hAnsi="宋体" w:cs="宋体"/>
                <w:color w:val="000000"/>
                <w:kern w:val="0"/>
                <w:sz w:val="20"/>
                <w:szCs w:val="20"/>
                <w:lang w:bidi="ar"/>
              </w:rPr>
              <w:t>年度）</w:t>
            </w:r>
          </w:p>
        </w:tc>
      </w:tr>
      <w:tr>
        <w:tblPrEx>
          <w:tblLayout w:type="fixed"/>
          <w:tblCellMar>
            <w:top w:w="0" w:type="dxa"/>
            <w:left w:w="108" w:type="dxa"/>
            <w:bottom w:w="0" w:type="dxa"/>
            <w:right w:w="108" w:type="dxa"/>
          </w:tblCellMar>
        </w:tblPrEx>
        <w:trPr>
          <w:trHeight w:val="435" w:hRule="atLeast"/>
        </w:trPr>
        <w:tc>
          <w:tcPr>
            <w:tcW w:w="416" w:type="dxa"/>
            <w:tcBorders>
              <w:top w:val="nil"/>
              <w:left w:val="nil"/>
              <w:bottom w:val="single" w:color="000000" w:sz="4" w:space="0"/>
              <w:right w:val="nil"/>
            </w:tcBorders>
            <w:shd w:val="clear" w:color="auto" w:fill="auto"/>
            <w:vAlign w:val="center"/>
          </w:tcPr>
          <w:p>
            <w:pPr>
              <w:rPr>
                <w:rFonts w:ascii="宋体" w:hAnsi="宋体" w:cs="宋体"/>
                <w:color w:val="000000"/>
                <w:sz w:val="20"/>
                <w:szCs w:val="20"/>
              </w:rPr>
            </w:pPr>
          </w:p>
        </w:tc>
        <w:tc>
          <w:tcPr>
            <w:tcW w:w="828" w:type="dxa"/>
            <w:tcBorders>
              <w:top w:val="nil"/>
              <w:left w:val="nil"/>
              <w:bottom w:val="single" w:color="000000" w:sz="4" w:space="0"/>
              <w:right w:val="nil"/>
            </w:tcBorders>
            <w:shd w:val="clear" w:color="auto" w:fill="auto"/>
            <w:vAlign w:val="center"/>
          </w:tcPr>
          <w:p>
            <w:pPr>
              <w:rPr>
                <w:rFonts w:ascii="宋体" w:hAnsi="宋体" w:cs="宋体"/>
                <w:color w:val="000000"/>
                <w:sz w:val="20"/>
                <w:szCs w:val="20"/>
              </w:rPr>
            </w:pPr>
          </w:p>
        </w:tc>
        <w:tc>
          <w:tcPr>
            <w:tcW w:w="828"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2613"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11"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378"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804"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682" w:type="dxa"/>
            <w:tcBorders>
              <w:top w:val="nil"/>
              <w:left w:val="nil"/>
              <w:bottom w:val="nil"/>
              <w:right w:val="nil"/>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39" w:hRule="atLeast"/>
        </w:trPr>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专项（项目）名称</w:t>
            </w:r>
          </w:p>
        </w:tc>
        <w:tc>
          <w:tcPr>
            <w:tcW w:w="6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免费婚前检查专项经费</w:t>
            </w:r>
          </w:p>
        </w:tc>
      </w:tr>
      <w:tr>
        <w:tblPrEx>
          <w:tblLayout w:type="fixed"/>
          <w:tblCellMar>
            <w:top w:w="0" w:type="dxa"/>
            <w:left w:w="108" w:type="dxa"/>
            <w:bottom w:w="0" w:type="dxa"/>
            <w:right w:w="108" w:type="dxa"/>
          </w:tblCellMar>
        </w:tblPrEx>
        <w:trPr>
          <w:trHeight w:val="439" w:hRule="atLeast"/>
        </w:trPr>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项目主管单位</w:t>
            </w:r>
          </w:p>
        </w:tc>
        <w:tc>
          <w:tcPr>
            <w:tcW w:w="6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项目实施单位</w:t>
            </w:r>
          </w:p>
        </w:tc>
        <w:tc>
          <w:tcPr>
            <w:tcW w:w="6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20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实际完成数</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Layout w:type="fixed"/>
          <w:tblCellMar>
            <w:top w:w="0" w:type="dxa"/>
            <w:left w:w="108" w:type="dxa"/>
            <w:bottom w:w="0" w:type="dxa"/>
            <w:right w:w="108" w:type="dxa"/>
          </w:tblCellMar>
        </w:tblPrEx>
        <w:trPr>
          <w:trHeight w:val="439" w:hRule="atLeast"/>
        </w:trPr>
        <w:tc>
          <w:tcPr>
            <w:tcW w:w="2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年度资金总额：</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15.58</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2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其中：上级财政资金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10.18</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2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本级财政资金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20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0.00 </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439"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4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年度设定目标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Layout w:type="fixed"/>
          <w:tblCellMar>
            <w:top w:w="0" w:type="dxa"/>
            <w:left w:w="108" w:type="dxa"/>
            <w:bottom w:w="0" w:type="dxa"/>
            <w:right w:w="108" w:type="dxa"/>
          </w:tblCellMar>
        </w:tblPrEx>
        <w:trPr>
          <w:trHeight w:val="19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过宣传动员、细致的各项检查、风险评估等,给予孕前指导和及时早孕随访，及时介入不良妊娠,有效的阻止继续妊娠,达到了优生优育的目的。在妊娠结局随访中,按程序及时告知有高风险因素的夫妇做相关的产前检查和产前诊断。</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顺利完成2020年度的婚前检查。及时告知有高风险因素的夫妇做相关的产前检查和产前诊断。有效的阻止继续妊娠,达到了优生优育的目的。</w:t>
            </w:r>
          </w:p>
        </w:tc>
      </w:tr>
      <w:tr>
        <w:tblPrEx>
          <w:tblLayout w:type="fixed"/>
          <w:tblCellMar>
            <w:top w:w="0" w:type="dxa"/>
            <w:left w:w="108" w:type="dxa"/>
            <w:bottom w:w="0" w:type="dxa"/>
            <w:right w:w="108" w:type="dxa"/>
          </w:tblCellMar>
        </w:tblPrEx>
        <w:trPr>
          <w:trHeight w:val="60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项目完成</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指标1：全年为680对城镇居民夫妇提供免费婚前检查服务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680对</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6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指标2：印刷资料、赠送礼品</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印制婚检三联单1500份，婚检登记本20本,赠送前来检查人员礼品</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指标1：免费婚前检查</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通过病史采集、体格检查、检验等方式判断双方能否结婚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通过病史采集、体格检查、检验等方式判断双方能否结婚</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指标2：印刷资料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完成必要的留底资料，开展宣传的必要收段</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完成必要的留底资料，开展宣传的必要收段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指标3：办公耗材、网络、电话费及水电费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完成归档资料，保障工作顺利开展。</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完成归档资料，保障工作顺利开展。</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指标1：年度工作完成时间</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2021年12月底前</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指标1：免费婚前检查</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240元/对，约需16.32万元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12万元</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指标2：印刷资料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约需1.58万元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1.58万元</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指标3：办公耗材、网络、电话费及水电费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约需2万元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2万元</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项目效益</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指标1：免费婚前检查</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国家配套经费，给予拟婚夫妇免费体检，减轻经济负担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国家配套经费，给予拟婚夫妇免费体检，减轻经济负担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5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指标1：免费婚前检查</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有利于双方和下一代健康，有利于优生，提高民族素质</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有利于双方和下一代健康，有利于优生，提高民族素质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指标2：印刷资料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有利于加大宣传力度，进一步提高婚检率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有利于加大宣传力度，进一步提高婚检率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指标1：参检群众满意度</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w:t>
            </w:r>
            <w:r>
              <w:rPr>
                <w:rFonts w:hint="eastAsia" w:ascii="宋体" w:hAnsi="宋体" w:cs="宋体"/>
                <w:color w:val="000000"/>
                <w:kern w:val="0"/>
                <w:sz w:val="20"/>
                <w:szCs w:val="20"/>
                <w:lang w:bidi="ar"/>
              </w:rPr>
              <w:t>90%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725"/>
        <w:gridCol w:w="726"/>
        <w:gridCol w:w="2589"/>
        <w:gridCol w:w="1529"/>
        <w:gridCol w:w="1529"/>
        <w:gridCol w:w="833"/>
        <w:gridCol w:w="703"/>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25"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26" w:type="dxa"/>
            <w:tcBorders>
              <w:top w:val="nil"/>
              <w:left w:val="nil"/>
              <w:bottom w:val="nil"/>
              <w:right w:val="nil"/>
            </w:tcBorders>
            <w:shd w:val="clear" w:color="auto" w:fill="auto"/>
            <w:vAlign w:val="center"/>
          </w:tcPr>
          <w:p>
            <w:pPr>
              <w:rPr>
                <w:rFonts w:ascii="宋体" w:hAnsi="宋体" w:cs="宋体"/>
                <w:color w:val="000000"/>
                <w:szCs w:val="21"/>
              </w:rPr>
            </w:pPr>
          </w:p>
        </w:tc>
        <w:tc>
          <w:tcPr>
            <w:tcW w:w="2589" w:type="dxa"/>
            <w:tcBorders>
              <w:top w:val="nil"/>
              <w:left w:val="nil"/>
              <w:bottom w:val="nil"/>
              <w:right w:val="nil"/>
            </w:tcBorders>
            <w:shd w:val="clear" w:color="auto" w:fill="auto"/>
            <w:vAlign w:val="center"/>
          </w:tcPr>
          <w:p>
            <w:pPr>
              <w:rPr>
                <w:rFonts w:ascii="宋体" w:hAnsi="宋体" w:cs="宋体"/>
                <w:color w:val="000000"/>
                <w:szCs w:val="21"/>
              </w:rPr>
            </w:pPr>
          </w:p>
        </w:tc>
        <w:tc>
          <w:tcPr>
            <w:tcW w:w="1529" w:type="dxa"/>
            <w:tcBorders>
              <w:top w:val="nil"/>
              <w:left w:val="nil"/>
              <w:bottom w:val="nil"/>
              <w:right w:val="nil"/>
            </w:tcBorders>
            <w:shd w:val="clear" w:color="auto" w:fill="auto"/>
            <w:vAlign w:val="center"/>
          </w:tcPr>
          <w:p>
            <w:pPr>
              <w:rPr>
                <w:rFonts w:ascii="宋体" w:hAnsi="宋体" w:cs="宋体"/>
                <w:color w:val="000000"/>
                <w:szCs w:val="21"/>
              </w:rPr>
            </w:pPr>
          </w:p>
        </w:tc>
        <w:tc>
          <w:tcPr>
            <w:tcW w:w="1529" w:type="dxa"/>
            <w:tcBorders>
              <w:top w:val="nil"/>
              <w:left w:val="nil"/>
              <w:bottom w:val="nil"/>
              <w:right w:val="nil"/>
            </w:tcBorders>
            <w:shd w:val="clear" w:color="auto" w:fill="auto"/>
            <w:vAlign w:val="center"/>
          </w:tcPr>
          <w:p>
            <w:pPr>
              <w:rPr>
                <w:rFonts w:ascii="宋体" w:hAnsi="宋体" w:cs="宋体"/>
                <w:color w:val="000000"/>
                <w:szCs w:val="21"/>
              </w:rPr>
            </w:pPr>
          </w:p>
        </w:tc>
        <w:tc>
          <w:tcPr>
            <w:tcW w:w="833" w:type="dxa"/>
            <w:tcBorders>
              <w:top w:val="nil"/>
              <w:left w:val="nil"/>
              <w:bottom w:val="nil"/>
              <w:right w:val="nil"/>
            </w:tcBorders>
            <w:shd w:val="clear" w:color="auto" w:fill="auto"/>
            <w:vAlign w:val="center"/>
          </w:tcPr>
          <w:p>
            <w:pPr>
              <w:rPr>
                <w:rFonts w:ascii="宋体" w:hAnsi="宋体" w:cs="宋体"/>
                <w:color w:val="000000"/>
                <w:szCs w:val="21"/>
              </w:rPr>
            </w:pPr>
          </w:p>
        </w:tc>
        <w:tc>
          <w:tcPr>
            <w:tcW w:w="703"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7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预防艾滋病、梅毒和乙肝母婴传播项目</w:t>
            </w:r>
          </w:p>
        </w:tc>
      </w:tr>
      <w:tr>
        <w:tblPrEx>
          <w:tblLayout w:type="fixed"/>
          <w:tblCellMar>
            <w:top w:w="0" w:type="dxa"/>
            <w:left w:w="108" w:type="dxa"/>
            <w:bottom w:w="0" w:type="dxa"/>
            <w:right w:w="108" w:type="dxa"/>
          </w:tblCellMar>
        </w:tblPrEx>
        <w:trPr>
          <w:trHeight w:val="439" w:hRule="atLeast"/>
        </w:trPr>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7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7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1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1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9.60 </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9.60 </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9.10 </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9.10 </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0.50 </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0.50 </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4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159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04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通过传染病项目的实施，进一步预防艾滋病、梅毒和乙肝母婴的传播，把艾滋病、梅毒和乙肝母婴传播控制在尽可能低的水平，最大限度的减少艾滋病、梅毒和乙肝母婴传播对家庭和社会的影响和危害。</w:t>
            </w:r>
          </w:p>
        </w:tc>
        <w:tc>
          <w:tcPr>
            <w:tcW w:w="4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通过2021年项目的实施，艾滋病、梅毒和乙肝母婴的传播率控制为0。</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指标1：孕产妇艾滋病、梅毒和乙肝检测率达100%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指标2：为采取长效避孕措施的感染育龄妇女每季度孕情监测覆盖率达100%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指标3：全市艾滋病母婴传播率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&lt;4%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指标4：梅毒感染孕产妇梅毒治疗率达90%以上</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8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指标1：印刷资料、开展宣传</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规范传染病工作，全面落实预防艾滋病、梅毒和乙肝综合干预措施</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2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指标2：缴纳性病艾滋病防治协会会费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促进性病艾滋病防治协会工作顺利开展</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保障工作顺利开展</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指标1：印刷资料、开展宣传</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约需经费1.4万元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1.4万元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指标2：缴纳性病艾滋病防治协会会费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约需经费0.2万元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0.2万元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约需经费8万元</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8万元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指标1：疾病的母婴传播</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不断减少</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不断减少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指标2：艾滋病、梅毒和乙肝对妇女儿童健康的影响</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不断降低</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不断降低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指标1：印刷资料、开展宣传</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有利于社会发展</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有利于社会发展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指标2：预防艾滋病、梅毒、乙肝母婴传播培训及督导</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通过有针对性的改进工作，提升社会稳定性，提高群众安全感、满意度</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通过有针对性的改进工作，提升社会稳定性，提高群众安全感、满意度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指标1：印刷资料，开展宣传</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指标2：邀请师资，开展培训</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705"/>
        <w:gridCol w:w="706"/>
        <w:gridCol w:w="2741"/>
        <w:gridCol w:w="1317"/>
        <w:gridCol w:w="1317"/>
        <w:gridCol w:w="911"/>
        <w:gridCol w:w="937"/>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05"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06" w:type="dxa"/>
            <w:tcBorders>
              <w:top w:val="nil"/>
              <w:left w:val="nil"/>
              <w:bottom w:val="nil"/>
              <w:right w:val="nil"/>
            </w:tcBorders>
            <w:shd w:val="clear" w:color="auto" w:fill="auto"/>
            <w:vAlign w:val="center"/>
          </w:tcPr>
          <w:p>
            <w:pPr>
              <w:rPr>
                <w:rFonts w:ascii="宋体" w:hAnsi="宋体" w:cs="宋体"/>
                <w:color w:val="000000"/>
                <w:szCs w:val="21"/>
              </w:rPr>
            </w:pPr>
          </w:p>
        </w:tc>
        <w:tc>
          <w:tcPr>
            <w:tcW w:w="2741" w:type="dxa"/>
            <w:tcBorders>
              <w:top w:val="nil"/>
              <w:left w:val="nil"/>
              <w:bottom w:val="nil"/>
              <w:right w:val="nil"/>
            </w:tcBorders>
            <w:shd w:val="clear" w:color="auto" w:fill="auto"/>
            <w:vAlign w:val="center"/>
          </w:tcPr>
          <w:p>
            <w:pPr>
              <w:rPr>
                <w:rFonts w:ascii="宋体" w:hAnsi="宋体" w:cs="宋体"/>
                <w:color w:val="000000"/>
                <w:szCs w:val="21"/>
              </w:rPr>
            </w:pPr>
          </w:p>
        </w:tc>
        <w:tc>
          <w:tcPr>
            <w:tcW w:w="1317" w:type="dxa"/>
            <w:tcBorders>
              <w:top w:val="nil"/>
              <w:left w:val="nil"/>
              <w:bottom w:val="nil"/>
              <w:right w:val="nil"/>
            </w:tcBorders>
            <w:shd w:val="clear" w:color="auto" w:fill="auto"/>
            <w:vAlign w:val="center"/>
          </w:tcPr>
          <w:p>
            <w:pPr>
              <w:rPr>
                <w:rFonts w:ascii="宋体" w:hAnsi="宋体" w:cs="宋体"/>
                <w:color w:val="000000"/>
                <w:szCs w:val="21"/>
              </w:rPr>
            </w:pPr>
          </w:p>
        </w:tc>
        <w:tc>
          <w:tcPr>
            <w:tcW w:w="1317" w:type="dxa"/>
            <w:tcBorders>
              <w:top w:val="nil"/>
              <w:left w:val="nil"/>
              <w:bottom w:val="nil"/>
              <w:right w:val="nil"/>
            </w:tcBorders>
            <w:shd w:val="clear" w:color="auto" w:fill="auto"/>
            <w:vAlign w:val="center"/>
          </w:tcPr>
          <w:p>
            <w:pPr>
              <w:rPr>
                <w:rFonts w:ascii="宋体" w:hAnsi="宋体" w:cs="宋体"/>
                <w:color w:val="000000"/>
                <w:szCs w:val="21"/>
              </w:rPr>
            </w:pPr>
          </w:p>
        </w:tc>
        <w:tc>
          <w:tcPr>
            <w:tcW w:w="911" w:type="dxa"/>
            <w:tcBorders>
              <w:top w:val="nil"/>
              <w:left w:val="nil"/>
              <w:bottom w:val="nil"/>
              <w:right w:val="nil"/>
            </w:tcBorders>
            <w:shd w:val="clear" w:color="auto" w:fill="auto"/>
            <w:vAlign w:val="center"/>
          </w:tcPr>
          <w:p>
            <w:pPr>
              <w:rPr>
                <w:rFonts w:ascii="宋体" w:hAnsi="宋体" w:cs="宋体"/>
                <w:color w:val="000000"/>
                <w:szCs w:val="21"/>
              </w:rPr>
            </w:pPr>
          </w:p>
        </w:tc>
        <w:tc>
          <w:tcPr>
            <w:tcW w:w="937"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7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农村待孕妇女免费补服叶酸项目专项经费</w:t>
            </w:r>
          </w:p>
        </w:tc>
      </w:tr>
      <w:tr>
        <w:tblPrEx>
          <w:tblLayout w:type="fixed"/>
          <w:tblCellMar>
            <w:top w:w="0" w:type="dxa"/>
            <w:left w:w="108" w:type="dxa"/>
            <w:bottom w:w="0" w:type="dxa"/>
            <w:right w:w="108" w:type="dxa"/>
          </w:tblCellMar>
        </w:tblPrEx>
        <w:trPr>
          <w:trHeight w:val="439"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7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7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18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0.49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0.49 </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0.49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0.49 </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8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10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通过农村妇女免费补服叶酸项目的实施，有效预防新生儿神经管畸形的发生，为我区降低新生儿出生缺陷打下坚实基础。</w:t>
            </w:r>
          </w:p>
        </w:tc>
        <w:tc>
          <w:tcPr>
            <w:tcW w:w="4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顺利完成2021年度的叶酸补服项目工作。</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741" w:type="dxa"/>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指标1：农村妇女叶酸补服项目</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约102人</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134人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741" w:type="dxa"/>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指标1：农村妇女叶酸补服项目</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及时让辖区妇女补服叶酸</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及时让辖区妇女补服叶酸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指标2：开展宣传，需场地协调、印刷宣传资料、水电费等费用</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普及相关知识</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普及相关知识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指标3：开展培训，需邀请师资、场地协调、培训资料印刷费、水电费等费用</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学习相关知识</w:t>
            </w:r>
          </w:p>
        </w:tc>
        <w:tc>
          <w:tcPr>
            <w:tcW w:w="131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学习相关知识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指标1：农村妇女叶酸补服项目</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约0.2万元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0.2万元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指标2：开展宣传</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约0.1万元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0.1万元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约0.19万元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0.19万元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指标1：农村妇女叶酸补服项目</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降低新生儿神经管缺陷发生</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降低新生儿神经管缺陷发生</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指标2：开展宣传</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及时普及相关知识，增加覆盖率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及时普及相关知识，增加覆盖率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指标1：农村妇女叶酸补服项目</w:t>
            </w:r>
          </w:p>
        </w:tc>
        <w:tc>
          <w:tcPr>
            <w:tcW w:w="1317"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提高出生人口素质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提高出生人口素质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指标2：开展宣传，需场地协调、印刷宣传资料、水电费等费用</w:t>
            </w:r>
          </w:p>
        </w:tc>
        <w:tc>
          <w:tcPr>
            <w:tcW w:w="1317"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对社会对人民有持续影响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指标1：农村妇女叶酸补服人员</w:t>
            </w:r>
          </w:p>
        </w:tc>
        <w:tc>
          <w:tcPr>
            <w:tcW w:w="131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1085"/>
        <w:gridCol w:w="1085"/>
        <w:gridCol w:w="2179"/>
        <w:gridCol w:w="1497"/>
        <w:gridCol w:w="1346"/>
        <w:gridCol w:w="810"/>
        <w:gridCol w:w="632"/>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1085"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1085" w:type="dxa"/>
            <w:tcBorders>
              <w:top w:val="nil"/>
              <w:left w:val="nil"/>
              <w:bottom w:val="nil"/>
              <w:right w:val="nil"/>
            </w:tcBorders>
            <w:shd w:val="clear" w:color="auto" w:fill="auto"/>
            <w:vAlign w:val="center"/>
          </w:tcPr>
          <w:p>
            <w:pPr>
              <w:rPr>
                <w:rFonts w:ascii="宋体" w:hAnsi="宋体" w:cs="宋体"/>
                <w:color w:val="000000"/>
                <w:szCs w:val="21"/>
              </w:rPr>
            </w:pPr>
          </w:p>
        </w:tc>
        <w:tc>
          <w:tcPr>
            <w:tcW w:w="2179" w:type="dxa"/>
            <w:tcBorders>
              <w:top w:val="nil"/>
              <w:left w:val="nil"/>
              <w:bottom w:val="nil"/>
              <w:right w:val="nil"/>
            </w:tcBorders>
            <w:shd w:val="clear" w:color="auto" w:fill="auto"/>
            <w:vAlign w:val="center"/>
          </w:tcPr>
          <w:p>
            <w:pPr>
              <w:rPr>
                <w:rFonts w:ascii="宋体" w:hAnsi="宋体" w:cs="宋体"/>
                <w:color w:val="000000"/>
                <w:szCs w:val="21"/>
              </w:rPr>
            </w:pPr>
          </w:p>
        </w:tc>
        <w:tc>
          <w:tcPr>
            <w:tcW w:w="1497" w:type="dxa"/>
            <w:tcBorders>
              <w:top w:val="nil"/>
              <w:left w:val="nil"/>
              <w:bottom w:val="nil"/>
              <w:right w:val="nil"/>
            </w:tcBorders>
            <w:shd w:val="clear" w:color="auto" w:fill="auto"/>
            <w:vAlign w:val="center"/>
          </w:tcPr>
          <w:p>
            <w:pPr>
              <w:rPr>
                <w:rFonts w:ascii="宋体" w:hAnsi="宋体" w:cs="宋体"/>
                <w:color w:val="000000"/>
                <w:szCs w:val="21"/>
              </w:rPr>
            </w:pPr>
          </w:p>
        </w:tc>
        <w:tc>
          <w:tcPr>
            <w:tcW w:w="1346" w:type="dxa"/>
            <w:tcBorders>
              <w:top w:val="nil"/>
              <w:left w:val="nil"/>
              <w:bottom w:val="nil"/>
              <w:right w:val="nil"/>
            </w:tcBorders>
            <w:shd w:val="clear" w:color="auto" w:fill="auto"/>
            <w:vAlign w:val="center"/>
          </w:tcPr>
          <w:p>
            <w:pPr>
              <w:rPr>
                <w:rFonts w:ascii="宋体" w:hAnsi="宋体" w:cs="宋体"/>
                <w:color w:val="000000"/>
                <w:szCs w:val="21"/>
              </w:rPr>
            </w:pPr>
          </w:p>
        </w:tc>
        <w:tc>
          <w:tcPr>
            <w:tcW w:w="810" w:type="dxa"/>
            <w:tcBorders>
              <w:top w:val="nil"/>
              <w:left w:val="nil"/>
              <w:bottom w:val="nil"/>
              <w:right w:val="nil"/>
            </w:tcBorders>
            <w:shd w:val="clear" w:color="auto" w:fill="auto"/>
            <w:vAlign w:val="center"/>
          </w:tcPr>
          <w:p>
            <w:pPr>
              <w:rPr>
                <w:rFonts w:ascii="宋体" w:hAnsi="宋体" w:cs="宋体"/>
                <w:color w:val="000000"/>
                <w:szCs w:val="21"/>
              </w:rPr>
            </w:pPr>
          </w:p>
        </w:tc>
        <w:tc>
          <w:tcPr>
            <w:tcW w:w="632"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6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取消药品加成医疗服务价格补偿项目</w:t>
            </w:r>
          </w:p>
        </w:tc>
      </w:tr>
      <w:tr>
        <w:tblPrEx>
          <w:tblLayout w:type="fixed"/>
          <w:tblCellMar>
            <w:top w:w="0" w:type="dxa"/>
            <w:left w:w="108" w:type="dxa"/>
            <w:bottom w:w="0" w:type="dxa"/>
            <w:right w:w="108" w:type="dxa"/>
          </w:tblCellMar>
        </w:tblPrEx>
        <w:trPr>
          <w:trHeight w:val="439" w:hRule="atLeast"/>
        </w:trPr>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6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2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6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25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2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0.43 </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0.43 </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0.43 </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0.43 </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21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按照“建机制、控费用、调结构、强监管”的原则，通过落实政府办医责任、调整医疗服务价格、改革收付费方式以及加强医院成本管理等综合措施和联动政策，破除取消“以药补医”机制，确保不增加患者医药费用负担，确保医院正常的就医秩序，确保取消“以药补医”后医院工作的顺利开展。</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顺利完成2021年相关工作。</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取消药品加成减少的收入，区财政承担90%，2020年药品收入预计为10.0万元。</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确保按照药品零差价销售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约需经费0.43万元</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0.43万元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经济效益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减轻患者医药费用负担。</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减轻患者医药费用负担。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提高医院社会效益，确保医院的公益性，使老百姓享受药品零差价的福利。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提高医院社会效益，确保医院的公益性，使老百姓享受药品零差价的福利。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指标1：药品实行零差率销售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744"/>
        <w:gridCol w:w="745"/>
        <w:gridCol w:w="2156"/>
        <w:gridCol w:w="1821"/>
        <w:gridCol w:w="1821"/>
        <w:gridCol w:w="786"/>
        <w:gridCol w:w="561"/>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44"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745" w:type="dxa"/>
            <w:tcBorders>
              <w:top w:val="nil"/>
              <w:left w:val="nil"/>
              <w:bottom w:val="nil"/>
              <w:right w:val="nil"/>
            </w:tcBorders>
            <w:shd w:val="clear" w:color="auto" w:fill="auto"/>
            <w:vAlign w:val="center"/>
          </w:tcPr>
          <w:p>
            <w:pPr>
              <w:rPr>
                <w:rFonts w:ascii="宋体" w:hAnsi="宋体" w:cs="宋体"/>
                <w:color w:val="000000"/>
                <w:szCs w:val="21"/>
              </w:rPr>
            </w:pPr>
          </w:p>
        </w:tc>
        <w:tc>
          <w:tcPr>
            <w:tcW w:w="2156" w:type="dxa"/>
            <w:tcBorders>
              <w:top w:val="nil"/>
              <w:left w:val="nil"/>
              <w:bottom w:val="nil"/>
              <w:right w:val="nil"/>
            </w:tcBorders>
            <w:shd w:val="clear" w:color="auto" w:fill="auto"/>
            <w:vAlign w:val="center"/>
          </w:tcPr>
          <w:p>
            <w:pPr>
              <w:rPr>
                <w:rFonts w:ascii="宋体" w:hAnsi="宋体" w:cs="宋体"/>
                <w:color w:val="000000"/>
                <w:szCs w:val="21"/>
              </w:rPr>
            </w:pPr>
          </w:p>
        </w:tc>
        <w:tc>
          <w:tcPr>
            <w:tcW w:w="1821" w:type="dxa"/>
            <w:tcBorders>
              <w:top w:val="nil"/>
              <w:left w:val="nil"/>
              <w:bottom w:val="nil"/>
              <w:right w:val="nil"/>
            </w:tcBorders>
            <w:shd w:val="clear" w:color="auto" w:fill="auto"/>
            <w:vAlign w:val="center"/>
          </w:tcPr>
          <w:p>
            <w:pPr>
              <w:rPr>
                <w:rFonts w:ascii="宋体" w:hAnsi="宋体" w:cs="宋体"/>
                <w:color w:val="000000"/>
                <w:szCs w:val="21"/>
              </w:rPr>
            </w:pPr>
          </w:p>
        </w:tc>
        <w:tc>
          <w:tcPr>
            <w:tcW w:w="1821" w:type="dxa"/>
            <w:tcBorders>
              <w:top w:val="nil"/>
              <w:left w:val="nil"/>
              <w:bottom w:val="nil"/>
              <w:right w:val="nil"/>
            </w:tcBorders>
            <w:shd w:val="clear" w:color="auto" w:fill="auto"/>
            <w:vAlign w:val="center"/>
          </w:tcPr>
          <w:p>
            <w:pPr>
              <w:rPr>
                <w:rFonts w:ascii="宋体" w:hAnsi="宋体" w:cs="宋体"/>
                <w:color w:val="000000"/>
                <w:szCs w:val="21"/>
              </w:rPr>
            </w:pPr>
          </w:p>
        </w:tc>
        <w:tc>
          <w:tcPr>
            <w:tcW w:w="786" w:type="dxa"/>
            <w:tcBorders>
              <w:top w:val="nil"/>
              <w:left w:val="nil"/>
              <w:bottom w:val="nil"/>
              <w:right w:val="nil"/>
            </w:tcBorders>
            <w:shd w:val="clear" w:color="auto" w:fill="auto"/>
            <w:vAlign w:val="center"/>
          </w:tcPr>
          <w:p>
            <w:pPr>
              <w:rPr>
                <w:rFonts w:ascii="宋体" w:hAnsi="宋体" w:cs="宋体"/>
                <w:color w:val="000000"/>
                <w:szCs w:val="21"/>
              </w:rPr>
            </w:pPr>
          </w:p>
        </w:tc>
        <w:tc>
          <w:tcPr>
            <w:tcW w:w="561"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7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母婴安全保障经费</w:t>
            </w:r>
          </w:p>
        </w:tc>
      </w:tr>
      <w:tr>
        <w:tblPrEx>
          <w:tblLayout w:type="fixed"/>
          <w:tblCellMar>
            <w:top w:w="0" w:type="dxa"/>
            <w:left w:w="108" w:type="dxa"/>
            <w:bottom w:w="0" w:type="dxa"/>
            <w:right w:w="108" w:type="dxa"/>
          </w:tblCellMar>
        </w:tblPrEx>
        <w:trPr>
          <w:trHeight w:val="439" w:hRule="atLeast"/>
        </w:trPr>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7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7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19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1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0.47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0.47 </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0.47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0.47 </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1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3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 xml:space="preserve">    通过对0-6岁儿童健康管理项目的培训及督导，进一步提高儿童系统管理率，促使基层医疗服务机构及时发现高危儿、体弱儿，通过逐级转诊、动态管理、有效干预，切实降低婴儿及5岁以下儿童死亡率，保障儿童健康。对孕产妇健康管理服务项目的培训、督导，切实提高基层医疗卫生服务机构孕产期保健服务能力，进一步提高孕产妇健康管理率，降低孕产妇、围产儿死亡率，保障母婴安全。</w:t>
            </w:r>
          </w:p>
        </w:tc>
        <w:tc>
          <w:tcPr>
            <w:tcW w:w="4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全区孕产妇死亡率为0，婴儿死亡率为2.06‰，5岁以下儿童死亡率为2.06‰，住院分娩率为100%，孕产妇系统管理率为97.11%，辖区医疗机构出生缺陷发生率为万分之82.64</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15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指标1：指标1：每季度到辖区医疗卫生服务机构进行督导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对辖区</w:t>
            </w:r>
            <w:r>
              <w:rPr>
                <w:rStyle w:val="34"/>
                <w:sz w:val="21"/>
                <w:szCs w:val="21"/>
                <w:lang w:bidi="ar"/>
              </w:rPr>
              <w:t>2</w:t>
            </w:r>
            <w:r>
              <w:rPr>
                <w:rFonts w:hint="eastAsia" w:ascii="宋体" w:hAnsi="宋体" w:cs="宋体"/>
                <w:color w:val="000000"/>
                <w:kern w:val="0"/>
                <w:szCs w:val="21"/>
                <w:lang w:bidi="ar"/>
              </w:rPr>
              <w:t>家市级医院、</w:t>
            </w:r>
            <w:r>
              <w:rPr>
                <w:rStyle w:val="34"/>
                <w:sz w:val="21"/>
                <w:szCs w:val="21"/>
                <w:lang w:bidi="ar"/>
              </w:rPr>
              <w:t>15</w:t>
            </w:r>
            <w:r>
              <w:rPr>
                <w:rFonts w:hint="eastAsia" w:ascii="宋体" w:hAnsi="宋体" w:cs="宋体"/>
                <w:color w:val="000000"/>
                <w:kern w:val="0"/>
                <w:szCs w:val="21"/>
                <w:lang w:bidi="ar"/>
              </w:rPr>
              <w:t>家基层医疗服务机构开展督导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7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对全区负责儿童保健的人员开展业务培训，约</w:t>
            </w:r>
            <w:r>
              <w:rPr>
                <w:rStyle w:val="34"/>
                <w:sz w:val="21"/>
                <w:szCs w:val="21"/>
                <w:lang w:bidi="ar"/>
              </w:rPr>
              <w:t>20</w:t>
            </w:r>
            <w:r>
              <w:rPr>
                <w:rFonts w:hint="eastAsia" w:ascii="宋体" w:hAnsi="宋体" w:cs="宋体"/>
                <w:color w:val="000000"/>
                <w:kern w:val="0"/>
                <w:szCs w:val="21"/>
                <w:lang w:bidi="ar"/>
              </w:rPr>
              <w:t>人对全区负责孕产妇保健的人员开展业务培训，约</w:t>
            </w:r>
            <w:r>
              <w:rPr>
                <w:rStyle w:val="34"/>
                <w:sz w:val="21"/>
                <w:szCs w:val="21"/>
                <w:lang w:bidi="ar"/>
              </w:rPr>
              <w:t>20</w:t>
            </w:r>
            <w:r>
              <w:rPr>
                <w:rFonts w:hint="eastAsia" w:ascii="宋体" w:hAnsi="宋体" w:cs="宋体"/>
                <w:color w:val="000000"/>
                <w:kern w:val="0"/>
                <w:szCs w:val="21"/>
                <w:lang w:bidi="ar"/>
              </w:rPr>
              <w:t>人</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办公耗材、网络、电话费及水电费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12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指标1：指标1：每季度到辖区医疗卫生服务机构进行督导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及时掌握各基层医疗卫生机构工作开展情况</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传达上级的在儿童保健及孕产妇保健的新要求、新概念，同时针对督导和数据分析中发现的问题，开展业务培训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保障必要的办公所需</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指标1：指标1：每季度到辖区医疗卫生服务机构进行督导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0.2</w:t>
            </w:r>
            <w:r>
              <w:rPr>
                <w:rFonts w:hint="eastAsia" w:ascii="宋体" w:hAnsi="宋体" w:cs="宋体"/>
                <w:color w:val="000000"/>
                <w:kern w:val="0"/>
                <w:szCs w:val="21"/>
                <w:lang w:bidi="ar"/>
              </w:rPr>
              <w:t>万元</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0.2</w:t>
            </w:r>
            <w:r>
              <w:rPr>
                <w:rFonts w:hint="eastAsia" w:ascii="宋体" w:hAnsi="宋体" w:cs="宋体"/>
                <w:color w:val="000000"/>
                <w:kern w:val="0"/>
                <w:szCs w:val="21"/>
                <w:lang w:bidi="ar"/>
              </w:rPr>
              <w:t>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0.14</w:t>
            </w:r>
            <w:r>
              <w:rPr>
                <w:rFonts w:hint="eastAsia" w:ascii="宋体" w:hAnsi="宋体" w:cs="宋体"/>
                <w:color w:val="000000"/>
                <w:kern w:val="0"/>
                <w:szCs w:val="21"/>
                <w:lang w:bidi="ar"/>
              </w:rPr>
              <w:t>万元</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0.14</w:t>
            </w:r>
            <w:r>
              <w:rPr>
                <w:rFonts w:hint="eastAsia" w:ascii="宋体" w:hAnsi="宋体" w:cs="宋体"/>
                <w:color w:val="000000"/>
                <w:kern w:val="0"/>
                <w:szCs w:val="21"/>
                <w:lang w:bidi="ar"/>
              </w:rPr>
              <w:t>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指标3：办公耗材、网络、电话费及水电费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0.13</w:t>
            </w:r>
            <w:r>
              <w:rPr>
                <w:rFonts w:hint="eastAsia" w:ascii="宋体" w:hAnsi="宋体" w:cs="宋体"/>
                <w:color w:val="000000"/>
                <w:kern w:val="0"/>
                <w:szCs w:val="21"/>
                <w:lang w:bidi="ar"/>
              </w:rPr>
              <w:t>万元</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rStyle w:val="34"/>
                <w:sz w:val="21"/>
                <w:szCs w:val="21"/>
                <w:lang w:bidi="ar"/>
              </w:rPr>
              <w:t>0.13</w:t>
            </w:r>
            <w:r>
              <w:rPr>
                <w:rFonts w:hint="eastAsia" w:ascii="宋体" w:hAnsi="宋体" w:cs="宋体"/>
                <w:color w:val="000000"/>
                <w:kern w:val="0"/>
                <w:szCs w:val="21"/>
                <w:lang w:bidi="ar"/>
              </w:rPr>
              <w:t>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77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项目效益</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经济效益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通过培训，提升基层医疗机构服务能力，为</w:t>
            </w:r>
            <w:r>
              <w:rPr>
                <w:rStyle w:val="34"/>
                <w:sz w:val="21"/>
                <w:szCs w:val="21"/>
                <w:lang w:bidi="ar"/>
              </w:rPr>
              <w:t>0-6</w:t>
            </w:r>
            <w:r>
              <w:rPr>
                <w:rFonts w:hint="eastAsia" w:ascii="宋体" w:hAnsi="宋体" w:cs="宋体"/>
                <w:color w:val="000000"/>
                <w:kern w:val="0"/>
                <w:szCs w:val="21"/>
                <w:lang w:bidi="ar"/>
              </w:rPr>
              <w:t>岁儿童及孕产妇开展保健，发现问题时能够及时给予建议，及早干预。</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通过培训，提升基层医疗机构服务能力，为</w:t>
            </w:r>
            <w:r>
              <w:rPr>
                <w:rStyle w:val="34"/>
                <w:sz w:val="21"/>
                <w:szCs w:val="21"/>
                <w:lang w:bidi="ar"/>
              </w:rPr>
              <w:t>0-6</w:t>
            </w:r>
            <w:r>
              <w:rPr>
                <w:rFonts w:hint="eastAsia" w:ascii="宋体" w:hAnsi="宋体" w:cs="宋体"/>
                <w:color w:val="000000"/>
                <w:kern w:val="0"/>
                <w:szCs w:val="21"/>
                <w:lang w:bidi="ar"/>
              </w:rPr>
              <w:t>岁儿童及孕产妇开展保健，发现问题时能够及时给予建议，及早干预。</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指标1：每季度到辖区医疗卫生服务机构进行督导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提高儿童健康管理率，达到系统管理率</w:t>
            </w:r>
            <w:r>
              <w:rPr>
                <w:rStyle w:val="34"/>
                <w:sz w:val="21"/>
                <w:szCs w:val="21"/>
                <w:lang w:bidi="ar"/>
              </w:rPr>
              <w:t>96%</w:t>
            </w:r>
            <w:r>
              <w:rPr>
                <w:rFonts w:hint="eastAsia" w:ascii="宋体" w:hAnsi="宋体" w:cs="宋体"/>
                <w:color w:val="000000"/>
                <w:kern w:val="0"/>
                <w:szCs w:val="21"/>
                <w:lang w:bidi="ar"/>
              </w:rPr>
              <w:t>，降低婴儿及</w:t>
            </w:r>
            <w:r>
              <w:rPr>
                <w:rStyle w:val="34"/>
                <w:sz w:val="21"/>
                <w:szCs w:val="21"/>
                <w:lang w:bidi="ar"/>
              </w:rPr>
              <w:t>5</w:t>
            </w:r>
            <w:r>
              <w:rPr>
                <w:rFonts w:hint="eastAsia" w:ascii="宋体" w:hAnsi="宋体" w:cs="宋体"/>
                <w:color w:val="000000"/>
                <w:kern w:val="0"/>
                <w:szCs w:val="21"/>
                <w:lang w:bidi="ar"/>
              </w:rPr>
              <w:t>岁以下儿童死亡率。提高孕产妇健康管理率，实现早孕建卡率达到</w:t>
            </w:r>
            <w:r>
              <w:rPr>
                <w:rStyle w:val="34"/>
                <w:sz w:val="21"/>
                <w:szCs w:val="21"/>
                <w:lang w:bidi="ar"/>
              </w:rPr>
              <w:t>80%</w:t>
            </w:r>
            <w:r>
              <w:rPr>
                <w:rFonts w:hint="eastAsia" w:ascii="宋体" w:hAnsi="宋体" w:cs="宋体"/>
                <w:color w:val="000000"/>
                <w:kern w:val="0"/>
                <w:szCs w:val="21"/>
                <w:lang w:bidi="ar"/>
              </w:rPr>
              <w:t>，进一步降低孕产妇死亡率。</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提高儿童健康管理率，达到系统管理率</w:t>
            </w:r>
            <w:r>
              <w:rPr>
                <w:rStyle w:val="34"/>
                <w:sz w:val="21"/>
                <w:szCs w:val="21"/>
                <w:lang w:bidi="ar"/>
              </w:rPr>
              <w:t>96%</w:t>
            </w:r>
            <w:r>
              <w:rPr>
                <w:rFonts w:hint="eastAsia" w:ascii="宋体" w:hAnsi="宋体" w:cs="宋体"/>
                <w:color w:val="000000"/>
                <w:kern w:val="0"/>
                <w:szCs w:val="21"/>
                <w:lang w:bidi="ar"/>
              </w:rPr>
              <w:t>，降低婴儿及</w:t>
            </w:r>
            <w:r>
              <w:rPr>
                <w:rStyle w:val="34"/>
                <w:sz w:val="21"/>
                <w:szCs w:val="21"/>
                <w:lang w:bidi="ar"/>
              </w:rPr>
              <w:t>5</w:t>
            </w:r>
            <w:r>
              <w:rPr>
                <w:rFonts w:hint="eastAsia" w:ascii="宋体" w:hAnsi="宋体" w:cs="宋体"/>
                <w:color w:val="000000"/>
                <w:kern w:val="0"/>
                <w:szCs w:val="21"/>
                <w:lang w:bidi="ar"/>
              </w:rPr>
              <w:t>岁以下儿童死亡率。提高孕产妇健康管理率，实现早孕建卡率达到</w:t>
            </w:r>
            <w:r>
              <w:rPr>
                <w:rStyle w:val="34"/>
                <w:sz w:val="21"/>
                <w:szCs w:val="21"/>
                <w:lang w:bidi="ar"/>
              </w:rPr>
              <w:t>80%</w:t>
            </w:r>
            <w:r>
              <w:rPr>
                <w:rFonts w:hint="eastAsia" w:ascii="宋体" w:hAnsi="宋体" w:cs="宋体"/>
                <w:color w:val="000000"/>
                <w:kern w:val="0"/>
                <w:szCs w:val="21"/>
                <w:lang w:bidi="ar"/>
              </w:rPr>
              <w:t>，进一步降低孕产妇死亡率。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24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指标2：开展业务培训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使基层人员规范开展</w:t>
            </w:r>
            <w:r>
              <w:rPr>
                <w:rStyle w:val="34"/>
                <w:sz w:val="21"/>
                <w:szCs w:val="21"/>
                <w:lang w:bidi="ar"/>
              </w:rPr>
              <w:t>0-6</w:t>
            </w:r>
            <w:r>
              <w:rPr>
                <w:rFonts w:hint="eastAsia" w:ascii="宋体" w:hAnsi="宋体" w:cs="宋体"/>
                <w:color w:val="000000"/>
                <w:kern w:val="0"/>
                <w:szCs w:val="21"/>
                <w:lang w:bidi="ar"/>
              </w:rPr>
              <w:t>岁儿童健康管理，提供更优质的服务。使基层人员规范开展孕产妇健康管理，提供更优质的服务。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使基层人员规范开展</w:t>
            </w:r>
            <w:r>
              <w:rPr>
                <w:rStyle w:val="34"/>
                <w:sz w:val="21"/>
                <w:szCs w:val="21"/>
                <w:lang w:bidi="ar"/>
              </w:rPr>
              <w:t>0-6</w:t>
            </w:r>
            <w:r>
              <w:rPr>
                <w:rFonts w:hint="eastAsia" w:ascii="宋体" w:hAnsi="宋体" w:cs="宋体"/>
                <w:color w:val="000000"/>
                <w:kern w:val="0"/>
                <w:szCs w:val="21"/>
                <w:lang w:bidi="ar"/>
              </w:rPr>
              <w:t>岁儿童健康管理，提供更优质的服务。使基层人员规范开展孕产妇健康管理，提供更优质的服务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指标1：每季度到辖区医疗卫生服务机构进行督导</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3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指标2：开展业务培训</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99%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r>
        <w:br w:type="page"/>
      </w:r>
    </w:p>
    <w:tbl>
      <w:tblPr>
        <w:tblStyle w:val="15"/>
        <w:tblW w:w="9060" w:type="dxa"/>
        <w:tblInd w:w="0" w:type="dxa"/>
        <w:tblLayout w:type="fixed"/>
        <w:tblCellMar>
          <w:top w:w="0" w:type="dxa"/>
          <w:left w:w="108" w:type="dxa"/>
          <w:bottom w:w="0" w:type="dxa"/>
          <w:right w:w="108" w:type="dxa"/>
        </w:tblCellMar>
      </w:tblPr>
      <w:tblGrid>
        <w:gridCol w:w="426"/>
        <w:gridCol w:w="882"/>
        <w:gridCol w:w="883"/>
        <w:gridCol w:w="2860"/>
        <w:gridCol w:w="1085"/>
        <w:gridCol w:w="860"/>
        <w:gridCol w:w="965"/>
        <w:gridCol w:w="1099"/>
      </w:tblGrid>
      <w:tr>
        <w:tblPrEx>
          <w:tblLayout w:type="fixed"/>
          <w:tblCellMar>
            <w:top w:w="0" w:type="dxa"/>
            <w:left w:w="108" w:type="dxa"/>
            <w:bottom w:w="0" w:type="dxa"/>
            <w:right w:w="108" w:type="dxa"/>
          </w:tblCellMar>
        </w:tblPrEx>
        <w:trPr>
          <w:trHeight w:val="300" w:hRule="atLeast"/>
        </w:trPr>
        <w:tc>
          <w:tcPr>
            <w:tcW w:w="9060" w:type="dxa"/>
            <w:gridSpan w:val="8"/>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附件2</w:t>
            </w:r>
          </w:p>
        </w:tc>
      </w:tr>
      <w:tr>
        <w:tblPrEx>
          <w:tblLayout w:type="fixed"/>
          <w:tblCellMar>
            <w:top w:w="0" w:type="dxa"/>
            <w:left w:w="108" w:type="dxa"/>
            <w:bottom w:w="0" w:type="dxa"/>
            <w:right w:w="108" w:type="dxa"/>
          </w:tblCellMar>
        </w:tblPrEx>
        <w:trPr>
          <w:trHeight w:val="67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项目（政策）资金绩效自评表</w:t>
            </w:r>
          </w:p>
        </w:tc>
      </w:tr>
      <w:tr>
        <w:tblPrEx>
          <w:tblLayout w:type="fixed"/>
          <w:tblCellMar>
            <w:top w:w="0" w:type="dxa"/>
            <w:left w:w="108" w:type="dxa"/>
            <w:bottom w:w="0" w:type="dxa"/>
            <w:right w:w="108" w:type="dxa"/>
          </w:tblCellMar>
        </w:tblPrEx>
        <w:trPr>
          <w:trHeight w:val="285" w:hRule="atLeast"/>
        </w:trPr>
        <w:tc>
          <w:tcPr>
            <w:tcW w:w="906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color w:val="000000"/>
                <w:kern w:val="0"/>
                <w:szCs w:val="21"/>
                <w:lang w:bidi="ar"/>
              </w:rPr>
              <w:t>2021</w:t>
            </w:r>
            <w:r>
              <w:rPr>
                <w:rFonts w:hint="eastAsia" w:ascii="宋体" w:hAnsi="宋体" w:cs="宋体"/>
                <w:color w:val="000000"/>
                <w:kern w:val="0"/>
                <w:szCs w:val="21"/>
                <w:lang w:bidi="ar"/>
              </w:rPr>
              <w:t>年度）</w:t>
            </w:r>
          </w:p>
        </w:tc>
      </w:tr>
      <w:tr>
        <w:tblPrEx>
          <w:tblLayout w:type="fixed"/>
          <w:tblCellMar>
            <w:top w:w="0" w:type="dxa"/>
            <w:left w:w="108" w:type="dxa"/>
            <w:bottom w:w="0" w:type="dxa"/>
            <w:right w:w="108" w:type="dxa"/>
          </w:tblCellMar>
        </w:tblPrEx>
        <w:trPr>
          <w:trHeight w:val="435" w:hRule="atLeast"/>
        </w:trPr>
        <w:tc>
          <w:tcPr>
            <w:tcW w:w="426"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882" w:type="dxa"/>
            <w:tcBorders>
              <w:top w:val="nil"/>
              <w:left w:val="nil"/>
              <w:bottom w:val="single" w:color="000000" w:sz="4" w:space="0"/>
              <w:right w:val="nil"/>
            </w:tcBorders>
            <w:shd w:val="clear" w:color="auto" w:fill="auto"/>
            <w:vAlign w:val="center"/>
          </w:tcPr>
          <w:p>
            <w:pPr>
              <w:rPr>
                <w:rFonts w:ascii="宋体" w:hAnsi="宋体" w:cs="宋体"/>
                <w:color w:val="000000"/>
                <w:szCs w:val="21"/>
              </w:rPr>
            </w:pPr>
          </w:p>
        </w:tc>
        <w:tc>
          <w:tcPr>
            <w:tcW w:w="883" w:type="dxa"/>
            <w:tcBorders>
              <w:top w:val="nil"/>
              <w:left w:val="nil"/>
              <w:bottom w:val="nil"/>
              <w:right w:val="nil"/>
            </w:tcBorders>
            <w:shd w:val="clear" w:color="auto" w:fill="auto"/>
            <w:vAlign w:val="center"/>
          </w:tcPr>
          <w:p>
            <w:pPr>
              <w:rPr>
                <w:rFonts w:ascii="宋体" w:hAnsi="宋体" w:cs="宋体"/>
                <w:color w:val="000000"/>
                <w:szCs w:val="21"/>
              </w:rPr>
            </w:pPr>
          </w:p>
        </w:tc>
        <w:tc>
          <w:tcPr>
            <w:tcW w:w="2860" w:type="dxa"/>
            <w:tcBorders>
              <w:top w:val="nil"/>
              <w:left w:val="nil"/>
              <w:bottom w:val="nil"/>
              <w:right w:val="nil"/>
            </w:tcBorders>
            <w:shd w:val="clear" w:color="auto" w:fill="auto"/>
            <w:vAlign w:val="center"/>
          </w:tcPr>
          <w:p>
            <w:pPr>
              <w:rPr>
                <w:rFonts w:ascii="宋体" w:hAnsi="宋体" w:cs="宋体"/>
                <w:color w:val="000000"/>
                <w:szCs w:val="21"/>
              </w:rPr>
            </w:pPr>
          </w:p>
        </w:tc>
        <w:tc>
          <w:tcPr>
            <w:tcW w:w="1085" w:type="dxa"/>
            <w:tcBorders>
              <w:top w:val="nil"/>
              <w:left w:val="nil"/>
              <w:bottom w:val="nil"/>
              <w:right w:val="nil"/>
            </w:tcBorders>
            <w:shd w:val="clear" w:color="auto" w:fill="auto"/>
            <w:vAlign w:val="center"/>
          </w:tcPr>
          <w:p>
            <w:pPr>
              <w:rPr>
                <w:rFonts w:ascii="宋体" w:hAnsi="宋体" w:cs="宋体"/>
                <w:color w:val="000000"/>
                <w:szCs w:val="21"/>
              </w:rPr>
            </w:pPr>
          </w:p>
        </w:tc>
        <w:tc>
          <w:tcPr>
            <w:tcW w:w="860" w:type="dxa"/>
            <w:tcBorders>
              <w:top w:val="nil"/>
              <w:left w:val="nil"/>
              <w:bottom w:val="nil"/>
              <w:right w:val="nil"/>
            </w:tcBorders>
            <w:shd w:val="clear" w:color="auto" w:fill="auto"/>
            <w:vAlign w:val="center"/>
          </w:tcPr>
          <w:p>
            <w:pPr>
              <w:rPr>
                <w:rFonts w:ascii="宋体" w:hAnsi="宋体" w:cs="宋体"/>
                <w:color w:val="000000"/>
                <w:szCs w:val="21"/>
              </w:rPr>
            </w:pPr>
          </w:p>
        </w:tc>
        <w:tc>
          <w:tcPr>
            <w:tcW w:w="965" w:type="dxa"/>
            <w:tcBorders>
              <w:top w:val="nil"/>
              <w:left w:val="nil"/>
              <w:bottom w:val="nil"/>
              <w:right w:val="nil"/>
            </w:tcBorders>
            <w:shd w:val="clear" w:color="auto" w:fill="auto"/>
            <w:vAlign w:val="center"/>
          </w:tcPr>
          <w:p>
            <w:pPr>
              <w:rPr>
                <w:rFonts w:ascii="宋体" w:hAnsi="宋体" w:cs="宋体"/>
                <w:color w:val="000000"/>
                <w:szCs w:val="21"/>
              </w:rPr>
            </w:pPr>
          </w:p>
        </w:tc>
        <w:tc>
          <w:tcPr>
            <w:tcW w:w="1099" w:type="dxa"/>
            <w:tcBorders>
              <w:top w:val="nil"/>
              <w:left w:val="nil"/>
              <w:bottom w:val="nil"/>
              <w:right w:val="nil"/>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439" w:hRule="atLeast"/>
        </w:trPr>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专项（项目）名称</w:t>
            </w:r>
          </w:p>
        </w:tc>
        <w:tc>
          <w:tcPr>
            <w:tcW w:w="6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财政返还医疗收入</w:t>
            </w:r>
          </w:p>
        </w:tc>
      </w:tr>
      <w:tr>
        <w:tblPrEx>
          <w:tblLayout w:type="fixed"/>
          <w:tblCellMar>
            <w:top w:w="0" w:type="dxa"/>
            <w:left w:w="108" w:type="dxa"/>
            <w:bottom w:w="0" w:type="dxa"/>
            <w:right w:w="108" w:type="dxa"/>
          </w:tblCellMar>
        </w:tblPrEx>
        <w:trPr>
          <w:trHeight w:val="439" w:hRule="atLeast"/>
        </w:trPr>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项目主管单位</w:t>
            </w:r>
          </w:p>
        </w:tc>
        <w:tc>
          <w:tcPr>
            <w:tcW w:w="6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攀枝花市西区卫生健康局</w:t>
            </w:r>
          </w:p>
        </w:tc>
      </w:tr>
      <w:tr>
        <w:tblPrEx>
          <w:tblLayout w:type="fixed"/>
          <w:tblCellMar>
            <w:top w:w="0" w:type="dxa"/>
            <w:left w:w="108" w:type="dxa"/>
            <w:bottom w:w="0" w:type="dxa"/>
            <w:right w:w="108" w:type="dxa"/>
          </w:tblCellMar>
        </w:tblPrEx>
        <w:trPr>
          <w:trHeight w:val="439" w:hRule="atLeast"/>
        </w:trPr>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项目实施单位</w:t>
            </w:r>
          </w:p>
        </w:tc>
        <w:tc>
          <w:tcPr>
            <w:tcW w:w="6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攀枝花市西区妇幼保健服务中心</w:t>
            </w:r>
          </w:p>
        </w:tc>
      </w:tr>
      <w:tr>
        <w:tblPrEx>
          <w:tblLayout w:type="fixed"/>
          <w:tblCellMar>
            <w:top w:w="0" w:type="dxa"/>
            <w:left w:w="108" w:type="dxa"/>
            <w:bottom w:w="0" w:type="dxa"/>
            <w:right w:w="108" w:type="dxa"/>
          </w:tblCellMar>
        </w:tblPrEx>
        <w:trPr>
          <w:trHeight w:val="439" w:hRule="atLeast"/>
        </w:trPr>
        <w:tc>
          <w:tcPr>
            <w:tcW w:w="21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项目资金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（万元）</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全年预算数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执行率（%）</w:t>
            </w:r>
          </w:p>
        </w:tc>
      </w:tr>
      <w:tr>
        <w:tblPrEx>
          <w:tblLayout w:type="fixed"/>
          <w:tblCellMar>
            <w:top w:w="0" w:type="dxa"/>
            <w:left w:w="108" w:type="dxa"/>
            <w:bottom w:w="0" w:type="dxa"/>
            <w:right w:w="108" w:type="dxa"/>
          </w:tblCellMar>
        </w:tblPrEx>
        <w:trPr>
          <w:trHeight w:val="439" w:hRule="atLeast"/>
        </w:trPr>
        <w:tc>
          <w:tcPr>
            <w:tcW w:w="2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年度资金总额：</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9.13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9.13 </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其中：上级财政资金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本级财政资金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9.13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9.13 </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2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其他资金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 </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3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年度设定目标</w:t>
            </w:r>
          </w:p>
        </w:tc>
        <w:tc>
          <w:tcPr>
            <w:tcW w:w="4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实际完成情况</w:t>
            </w:r>
          </w:p>
        </w:tc>
      </w:tr>
      <w:tr>
        <w:tblPrEx>
          <w:tblLayout w:type="fixed"/>
          <w:tblCellMar>
            <w:top w:w="0" w:type="dxa"/>
            <w:left w:w="108" w:type="dxa"/>
            <w:bottom w:w="0" w:type="dxa"/>
            <w:right w:w="108" w:type="dxa"/>
          </w:tblCellMar>
        </w:tblPrEx>
        <w:trPr>
          <w:trHeight w:val="8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一是提升妇儿保健康服务水平。二是大力实施出生缺陷综合防治工程。三是规范实施妇幼重大公共卫生项目。</w:t>
            </w:r>
          </w:p>
        </w:tc>
        <w:tc>
          <w:tcPr>
            <w:tcW w:w="4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顺利完成2021年项目相关工作。</w:t>
            </w:r>
          </w:p>
        </w:tc>
      </w:tr>
      <w:tr>
        <w:tblPrEx>
          <w:tblLayout w:type="fixed"/>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二级指标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三级指标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年度指标值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实际完成数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完成率（%）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未完成原因和改进措施</w:t>
            </w: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项目完成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指标1：确保区妇幼保健服务中心各项工作顺利进行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各项工作顺利进行</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指标1：确保区妇幼保健服务中心各项工作顺利进行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各项工作顺利进行</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指标1：年度工作完成时间</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2021年12月底前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6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指标1：全年预计9.13万元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约9.13万元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9.13万元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指标1：确保区妇幼保健服务中心各项工作顺利进行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各项工作顺利进行</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已完成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trHeight w:val="9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 指标1：服务群众满意度</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bookmarkEnd w:id="47"/>
    </w:tbl>
    <w:p>
      <w:pPr>
        <w:jc w:val="center"/>
        <w:rPr>
          <w:rFonts w:ascii="黑体" w:hAnsi="黑体" w:eastAsia="黑体"/>
          <w:bCs/>
          <w:sz w:val="44"/>
          <w:szCs w:val="44"/>
        </w:rPr>
      </w:pPr>
      <w:bookmarkStart w:id="49" w:name="_Toc15396619"/>
      <w:r>
        <w:rPr>
          <w:rFonts w:hint="eastAsia" w:ascii="黑体" w:hAnsi="黑体" w:eastAsia="黑体"/>
          <w:sz w:val="44"/>
          <w:szCs w:val="44"/>
        </w:rPr>
        <w:t>第</w:t>
      </w:r>
      <w:r>
        <w:rPr>
          <w:rFonts w:hint="eastAsia" w:ascii="黑体" w:hAnsi="黑体" w:eastAsia="黑体"/>
          <w:bCs/>
          <w:sz w:val="44"/>
          <w:szCs w:val="44"/>
        </w:rPr>
        <w:t>五部分 附表</w:t>
      </w:r>
    </w:p>
    <w:p>
      <w:pPr>
        <w:rPr>
          <w:rFonts w:ascii="黑体" w:hAnsi="黑体" w:eastAsia="黑体"/>
          <w:sz w:val="44"/>
          <w:szCs w:val="44"/>
        </w:rPr>
      </w:pPr>
    </w:p>
    <w:p>
      <w:pPr>
        <w:rPr>
          <w:rFonts w:hint="eastAsia" w:ascii="仿宋_GB2312" w:hAnsi="黑体" w:eastAsia="仿宋_GB2312"/>
          <w:b/>
          <w:bCs/>
          <w:sz w:val="32"/>
          <w:szCs w:val="32"/>
        </w:rPr>
      </w:pPr>
      <w:r>
        <w:rPr>
          <w:rFonts w:hint="eastAsia" w:ascii="仿宋_GB2312" w:hAnsi="黑体" w:eastAsia="仿宋_GB2312"/>
          <w:bCs/>
          <w:sz w:val="32"/>
          <w:szCs w:val="32"/>
        </w:rPr>
        <w:t>一、收</w:t>
      </w:r>
      <w:r>
        <w:rPr>
          <w:rFonts w:hint="eastAsia" w:ascii="仿宋_GB2312" w:hAnsi="黑体" w:eastAsia="仿宋_GB2312"/>
          <w:sz w:val="32"/>
          <w:szCs w:val="32"/>
        </w:rPr>
        <w:t>入支出决算总表</w:t>
      </w:r>
    </w:p>
    <w:p>
      <w:pPr>
        <w:rPr>
          <w:rFonts w:hint="eastAsia" w:ascii="仿宋_GB2312" w:hAnsi="黑体" w:eastAsia="仿宋_GB2312"/>
          <w:b/>
          <w:bCs/>
          <w:sz w:val="32"/>
          <w:szCs w:val="32"/>
        </w:rPr>
      </w:pPr>
      <w:bookmarkStart w:id="50" w:name="_Toc15396620"/>
      <w:r>
        <w:rPr>
          <w:rFonts w:hint="eastAsia" w:ascii="仿宋_GB2312" w:hAnsi="黑体" w:eastAsia="仿宋_GB2312"/>
          <w:bCs/>
          <w:sz w:val="32"/>
          <w:szCs w:val="32"/>
        </w:rPr>
        <w:t>二、收</w:t>
      </w:r>
      <w:r>
        <w:rPr>
          <w:rFonts w:hint="eastAsia" w:ascii="仿宋_GB2312" w:hAnsi="黑体" w:eastAsia="仿宋_GB2312"/>
          <w:sz w:val="32"/>
          <w:szCs w:val="32"/>
        </w:rPr>
        <w:t>入决算表</w:t>
      </w:r>
      <w:bookmarkEnd w:id="50"/>
    </w:p>
    <w:p>
      <w:pPr>
        <w:rPr>
          <w:rFonts w:hint="eastAsia" w:ascii="仿宋_GB2312" w:hAnsi="黑体" w:eastAsia="仿宋_GB2312"/>
          <w:b/>
          <w:bCs/>
          <w:sz w:val="32"/>
          <w:szCs w:val="32"/>
        </w:rPr>
      </w:pPr>
      <w:bookmarkStart w:id="51" w:name="_Toc15396621"/>
      <w:r>
        <w:rPr>
          <w:rFonts w:hint="eastAsia" w:ascii="仿宋_GB2312" w:hAnsi="黑体" w:eastAsia="仿宋_GB2312"/>
          <w:sz w:val="32"/>
          <w:szCs w:val="32"/>
        </w:rPr>
        <w:t>三、</w:t>
      </w:r>
      <w:r>
        <w:rPr>
          <w:rFonts w:hint="eastAsia" w:ascii="仿宋_GB2312" w:hAnsi="黑体" w:eastAsia="仿宋_GB2312"/>
          <w:bCs/>
          <w:sz w:val="32"/>
          <w:szCs w:val="32"/>
        </w:rPr>
        <w:t>支</w:t>
      </w:r>
      <w:r>
        <w:rPr>
          <w:rFonts w:hint="eastAsia" w:ascii="仿宋_GB2312" w:hAnsi="黑体" w:eastAsia="仿宋_GB2312"/>
          <w:sz w:val="32"/>
          <w:szCs w:val="32"/>
        </w:rPr>
        <w:t>出决算表</w:t>
      </w:r>
      <w:bookmarkEnd w:id="51"/>
    </w:p>
    <w:p>
      <w:pPr>
        <w:rPr>
          <w:rFonts w:hint="eastAsia" w:ascii="仿宋_GB2312" w:hAnsi="黑体" w:eastAsia="仿宋_GB2312"/>
          <w:bCs/>
          <w:sz w:val="32"/>
          <w:szCs w:val="32"/>
        </w:rPr>
      </w:pPr>
      <w:bookmarkStart w:id="52" w:name="_Toc15396622"/>
      <w:r>
        <w:rPr>
          <w:rFonts w:hint="eastAsia" w:ascii="仿宋_GB2312" w:hAnsi="黑体" w:eastAsia="仿宋_GB2312"/>
          <w:sz w:val="32"/>
          <w:szCs w:val="32"/>
        </w:rPr>
        <w:t>四、</w:t>
      </w:r>
      <w:r>
        <w:rPr>
          <w:rFonts w:hint="eastAsia" w:ascii="仿宋_GB2312" w:hAnsi="黑体" w:eastAsia="仿宋_GB2312"/>
          <w:bCs/>
          <w:sz w:val="32"/>
          <w:szCs w:val="32"/>
        </w:rPr>
        <w:t>财</w:t>
      </w:r>
      <w:r>
        <w:rPr>
          <w:rFonts w:hint="eastAsia" w:ascii="仿宋_GB2312" w:hAnsi="黑体" w:eastAsia="仿宋_GB2312"/>
          <w:sz w:val="32"/>
          <w:szCs w:val="32"/>
        </w:rPr>
        <w:t>政拨款收入支出决算总表</w:t>
      </w:r>
      <w:bookmarkEnd w:id="52"/>
    </w:p>
    <w:p>
      <w:pPr>
        <w:rPr>
          <w:rFonts w:hint="eastAsia" w:ascii="仿宋_GB2312" w:hAnsi="黑体" w:eastAsia="仿宋_GB2312"/>
          <w:sz w:val="32"/>
          <w:szCs w:val="32"/>
        </w:rPr>
      </w:pPr>
      <w:bookmarkStart w:id="53" w:name="_Toc15396623"/>
      <w:r>
        <w:rPr>
          <w:rFonts w:hint="eastAsia" w:ascii="仿宋_GB2312" w:hAnsi="黑体" w:eastAsia="仿宋_GB2312"/>
          <w:sz w:val="32"/>
          <w:szCs w:val="32"/>
        </w:rPr>
        <w:t>五、</w:t>
      </w:r>
      <w:r>
        <w:rPr>
          <w:rFonts w:hint="eastAsia" w:ascii="仿宋_GB2312" w:hAnsi="黑体" w:eastAsia="仿宋_GB2312"/>
          <w:bCs/>
          <w:sz w:val="32"/>
          <w:szCs w:val="32"/>
        </w:rPr>
        <w:t>财</w:t>
      </w:r>
      <w:r>
        <w:rPr>
          <w:rFonts w:hint="eastAsia" w:ascii="仿宋_GB2312" w:hAnsi="黑体" w:eastAsia="仿宋_GB2312"/>
          <w:sz w:val="32"/>
          <w:szCs w:val="32"/>
        </w:rPr>
        <w:t>政拨款支出决算明细表</w:t>
      </w:r>
      <w:bookmarkEnd w:id="53"/>
      <w:bookmarkStart w:id="54" w:name="_Toc15396624"/>
    </w:p>
    <w:p>
      <w:pPr>
        <w:rPr>
          <w:rFonts w:hint="eastAsia" w:ascii="仿宋_GB2312" w:hAnsi="黑体" w:eastAsia="仿宋_GB2312"/>
          <w:b/>
          <w:bCs/>
          <w:sz w:val="32"/>
          <w:szCs w:val="32"/>
        </w:rPr>
      </w:pPr>
      <w:r>
        <w:rPr>
          <w:rFonts w:hint="eastAsia" w:ascii="仿宋_GB2312" w:hAnsi="黑体" w:eastAsia="仿宋_GB2312"/>
          <w:sz w:val="32"/>
          <w:szCs w:val="32"/>
        </w:rPr>
        <w:t>六、</w:t>
      </w:r>
      <w:r>
        <w:rPr>
          <w:rFonts w:hint="eastAsia" w:ascii="仿宋_GB2312" w:hAnsi="黑体" w:eastAsia="仿宋_GB2312"/>
          <w:bCs/>
          <w:sz w:val="32"/>
          <w:szCs w:val="32"/>
        </w:rPr>
        <w:t>一</w:t>
      </w:r>
      <w:r>
        <w:rPr>
          <w:rFonts w:hint="eastAsia" w:ascii="仿宋_GB2312" w:hAnsi="黑体" w:eastAsia="仿宋_GB2312"/>
          <w:sz w:val="32"/>
          <w:szCs w:val="32"/>
        </w:rPr>
        <w:t>般公共预算财政拨款支出决算表</w:t>
      </w:r>
      <w:bookmarkEnd w:id="54"/>
    </w:p>
    <w:p>
      <w:pPr>
        <w:rPr>
          <w:rFonts w:hint="eastAsia" w:ascii="仿宋_GB2312" w:hAnsi="黑体" w:eastAsia="仿宋_GB2312"/>
          <w:b/>
          <w:bCs/>
          <w:sz w:val="32"/>
          <w:szCs w:val="32"/>
        </w:rPr>
      </w:pPr>
      <w:bookmarkStart w:id="55" w:name="_Toc15396625"/>
      <w:r>
        <w:rPr>
          <w:rFonts w:hint="eastAsia" w:ascii="仿宋_GB2312" w:hAnsi="黑体" w:eastAsia="仿宋_GB2312"/>
          <w:sz w:val="32"/>
          <w:szCs w:val="32"/>
        </w:rPr>
        <w:t>七、</w:t>
      </w:r>
      <w:r>
        <w:rPr>
          <w:rFonts w:hint="eastAsia" w:ascii="仿宋_GB2312" w:hAnsi="黑体" w:eastAsia="仿宋_GB2312"/>
          <w:bCs/>
          <w:sz w:val="32"/>
          <w:szCs w:val="32"/>
        </w:rPr>
        <w:t>一</w:t>
      </w:r>
      <w:r>
        <w:rPr>
          <w:rFonts w:hint="eastAsia" w:ascii="仿宋_GB2312" w:hAnsi="黑体" w:eastAsia="仿宋_GB2312"/>
          <w:sz w:val="32"/>
          <w:szCs w:val="32"/>
        </w:rPr>
        <w:t>般公共预算财政拨款支出决算明细表</w:t>
      </w:r>
      <w:bookmarkEnd w:id="55"/>
    </w:p>
    <w:p>
      <w:pPr>
        <w:rPr>
          <w:rFonts w:hint="eastAsia" w:ascii="仿宋_GB2312" w:hAnsi="黑体" w:eastAsia="仿宋_GB2312"/>
          <w:b/>
          <w:bCs/>
          <w:sz w:val="32"/>
          <w:szCs w:val="32"/>
        </w:rPr>
      </w:pPr>
      <w:bookmarkStart w:id="56" w:name="_Toc15396626"/>
      <w:r>
        <w:rPr>
          <w:rFonts w:hint="eastAsia" w:ascii="仿宋_GB2312" w:hAnsi="黑体" w:eastAsia="仿宋_GB2312"/>
          <w:sz w:val="32"/>
          <w:szCs w:val="32"/>
        </w:rPr>
        <w:t>八、</w:t>
      </w:r>
      <w:r>
        <w:rPr>
          <w:rFonts w:hint="eastAsia" w:ascii="仿宋_GB2312" w:hAnsi="黑体" w:eastAsia="仿宋_GB2312"/>
          <w:bCs/>
          <w:sz w:val="32"/>
          <w:szCs w:val="32"/>
        </w:rPr>
        <w:t>一</w:t>
      </w:r>
      <w:r>
        <w:rPr>
          <w:rFonts w:hint="eastAsia" w:ascii="仿宋_GB2312" w:hAnsi="黑体" w:eastAsia="仿宋_GB2312"/>
          <w:sz w:val="32"/>
          <w:szCs w:val="32"/>
        </w:rPr>
        <w:t>般公共预算财政拨款基本支出决算表</w:t>
      </w:r>
      <w:bookmarkEnd w:id="56"/>
    </w:p>
    <w:p>
      <w:pPr>
        <w:rPr>
          <w:rFonts w:hint="eastAsia" w:ascii="仿宋_GB2312" w:hAnsi="黑体" w:eastAsia="仿宋_GB2312"/>
          <w:b/>
          <w:bCs/>
          <w:sz w:val="32"/>
          <w:szCs w:val="32"/>
        </w:rPr>
      </w:pPr>
      <w:bookmarkStart w:id="57" w:name="_Toc15396627"/>
      <w:r>
        <w:rPr>
          <w:rFonts w:hint="eastAsia" w:ascii="仿宋_GB2312" w:hAnsi="黑体" w:eastAsia="仿宋_GB2312"/>
          <w:sz w:val="32"/>
          <w:szCs w:val="32"/>
        </w:rPr>
        <w:t>九、</w:t>
      </w:r>
      <w:r>
        <w:rPr>
          <w:rFonts w:hint="eastAsia" w:ascii="仿宋_GB2312" w:hAnsi="黑体" w:eastAsia="仿宋_GB2312"/>
          <w:bCs/>
          <w:sz w:val="32"/>
          <w:szCs w:val="32"/>
        </w:rPr>
        <w:t>一</w:t>
      </w:r>
      <w:r>
        <w:rPr>
          <w:rFonts w:hint="eastAsia" w:ascii="仿宋_GB2312" w:hAnsi="黑体" w:eastAsia="仿宋_GB2312"/>
          <w:sz w:val="32"/>
          <w:szCs w:val="32"/>
        </w:rPr>
        <w:t>般公共预算财政拨款项目支出决算表</w:t>
      </w:r>
      <w:bookmarkEnd w:id="57"/>
    </w:p>
    <w:p>
      <w:pPr>
        <w:rPr>
          <w:rFonts w:hint="eastAsia" w:ascii="仿宋_GB2312" w:hAnsi="黑体" w:eastAsia="仿宋_GB2312"/>
          <w:b/>
          <w:bCs/>
          <w:sz w:val="32"/>
          <w:szCs w:val="32"/>
        </w:rPr>
      </w:pPr>
      <w:bookmarkStart w:id="58" w:name="_Toc15396628"/>
      <w:r>
        <w:rPr>
          <w:rFonts w:hint="eastAsia" w:ascii="仿宋_GB2312" w:hAnsi="黑体" w:eastAsia="仿宋_GB2312"/>
          <w:sz w:val="32"/>
          <w:szCs w:val="32"/>
        </w:rPr>
        <w:t>十、</w:t>
      </w:r>
      <w:r>
        <w:rPr>
          <w:rFonts w:hint="eastAsia" w:ascii="仿宋_GB2312" w:hAnsi="黑体" w:eastAsia="仿宋_GB2312"/>
          <w:bCs/>
          <w:sz w:val="32"/>
          <w:szCs w:val="32"/>
        </w:rPr>
        <w:t>一</w:t>
      </w:r>
      <w:r>
        <w:rPr>
          <w:rFonts w:hint="eastAsia" w:ascii="仿宋_GB2312" w:hAnsi="黑体" w:eastAsia="仿宋_GB2312"/>
          <w:sz w:val="32"/>
          <w:szCs w:val="32"/>
        </w:rPr>
        <w:t>般公共预算财政拨款“三公”经费支出决算表</w:t>
      </w:r>
      <w:bookmarkEnd w:id="58"/>
    </w:p>
    <w:p>
      <w:pPr>
        <w:rPr>
          <w:rFonts w:hint="eastAsia" w:ascii="仿宋_GB2312" w:hAnsi="黑体" w:eastAsia="仿宋_GB2312"/>
          <w:b/>
          <w:bCs/>
          <w:sz w:val="32"/>
          <w:szCs w:val="32"/>
        </w:rPr>
      </w:pPr>
      <w:bookmarkStart w:id="59" w:name="_Toc15396629"/>
      <w:r>
        <w:rPr>
          <w:rFonts w:hint="eastAsia" w:ascii="仿宋_GB2312" w:hAnsi="黑体" w:eastAsia="仿宋_GB2312"/>
          <w:sz w:val="32"/>
          <w:szCs w:val="32"/>
        </w:rPr>
        <w:t>十一、</w:t>
      </w:r>
      <w:r>
        <w:rPr>
          <w:rFonts w:hint="eastAsia" w:ascii="仿宋_GB2312" w:hAnsi="黑体" w:eastAsia="仿宋_GB2312"/>
          <w:bCs/>
          <w:sz w:val="32"/>
          <w:szCs w:val="32"/>
        </w:rPr>
        <w:t>政</w:t>
      </w:r>
      <w:r>
        <w:rPr>
          <w:rFonts w:hint="eastAsia" w:ascii="仿宋_GB2312" w:hAnsi="黑体" w:eastAsia="仿宋_GB2312"/>
          <w:sz w:val="32"/>
          <w:szCs w:val="32"/>
        </w:rPr>
        <w:t>府性基金预算财政拨款收入支出决算表</w:t>
      </w:r>
      <w:bookmarkEnd w:id="59"/>
    </w:p>
    <w:p>
      <w:pPr>
        <w:rPr>
          <w:rFonts w:hint="eastAsia" w:ascii="仿宋_GB2312" w:hAnsi="黑体" w:eastAsia="仿宋_GB2312"/>
          <w:b/>
          <w:bCs/>
          <w:sz w:val="32"/>
          <w:szCs w:val="32"/>
        </w:rPr>
      </w:pPr>
      <w:bookmarkStart w:id="60" w:name="_Toc15396630"/>
      <w:r>
        <w:rPr>
          <w:rFonts w:hint="eastAsia" w:ascii="仿宋_GB2312" w:hAnsi="黑体" w:eastAsia="仿宋_GB2312"/>
          <w:sz w:val="32"/>
          <w:szCs w:val="32"/>
        </w:rPr>
        <w:t>十二、</w:t>
      </w:r>
      <w:r>
        <w:rPr>
          <w:rFonts w:hint="eastAsia" w:ascii="仿宋_GB2312" w:hAnsi="黑体" w:eastAsia="仿宋_GB2312"/>
          <w:bCs/>
          <w:sz w:val="32"/>
          <w:szCs w:val="32"/>
        </w:rPr>
        <w:t>政</w:t>
      </w:r>
      <w:r>
        <w:rPr>
          <w:rFonts w:hint="eastAsia" w:ascii="仿宋_GB2312" w:hAnsi="黑体" w:eastAsia="仿宋_GB2312"/>
          <w:sz w:val="32"/>
          <w:szCs w:val="32"/>
        </w:rPr>
        <w:t>府性基金预算财政拨款“三公”经费支出决算表</w:t>
      </w:r>
      <w:bookmarkEnd w:id="60"/>
    </w:p>
    <w:p>
      <w:pPr>
        <w:rPr>
          <w:rFonts w:hint="eastAsia" w:ascii="仿宋_GB2312" w:hAnsi="黑体" w:eastAsia="仿宋_GB2312"/>
          <w:sz w:val="32"/>
          <w:szCs w:val="32"/>
        </w:rPr>
      </w:pPr>
      <w:bookmarkStart w:id="61" w:name="_Toc15396631"/>
      <w:r>
        <w:rPr>
          <w:rFonts w:hint="eastAsia" w:ascii="仿宋_GB2312" w:hAnsi="黑体" w:eastAsia="仿宋_GB2312"/>
          <w:sz w:val="32"/>
          <w:szCs w:val="32"/>
        </w:rPr>
        <w:t>十三、</w:t>
      </w:r>
      <w:r>
        <w:rPr>
          <w:rFonts w:hint="eastAsia" w:ascii="仿宋_GB2312" w:hAnsi="黑体" w:eastAsia="仿宋_GB2312"/>
          <w:bCs/>
          <w:sz w:val="32"/>
          <w:szCs w:val="32"/>
        </w:rPr>
        <w:t>国</w:t>
      </w:r>
      <w:r>
        <w:rPr>
          <w:rFonts w:hint="eastAsia" w:ascii="仿宋_GB2312" w:hAnsi="黑体" w:eastAsia="仿宋_GB2312"/>
          <w:sz w:val="32"/>
          <w:szCs w:val="32"/>
        </w:rPr>
        <w:t>有资本经营预算财政拨款收入支出决算表</w:t>
      </w:r>
      <w:bookmarkEnd w:id="61"/>
    </w:p>
    <w:p>
      <w:pPr>
        <w:rPr>
          <w:rFonts w:hint="eastAsia" w:ascii="仿宋_GB2312" w:hAnsi="黑体" w:eastAsia="仿宋_GB2312"/>
          <w:sz w:val="32"/>
          <w:szCs w:val="32"/>
        </w:rPr>
      </w:pPr>
      <w:r>
        <w:rPr>
          <w:rFonts w:hint="eastAsia" w:ascii="仿宋_GB2312" w:hAnsi="黑体" w:eastAsia="仿宋_GB2312"/>
          <w:sz w:val="32"/>
          <w:szCs w:val="32"/>
        </w:rPr>
        <w:t>十四、国有资本经营预算财政拨款支出决算表</w:t>
      </w:r>
    </w:p>
    <w:p>
      <w:pPr>
        <w:rPr>
          <w:rFonts w:ascii="黑体" w:hAnsi="黑体" w:eastAsia="黑体"/>
          <w:sz w:val="44"/>
          <w:szCs w:val="44"/>
        </w:rPr>
      </w:pPr>
    </w:p>
    <w:bookmarkEnd w:id="49"/>
    <w:sectPr>
      <w:headerReference r:id="rId3" w:type="default"/>
      <w:footerReference r:id="rId4" w:type="default"/>
      <w:pgSz w:w="11906" w:h="16838"/>
      <w:pgMar w:top="2098" w:right="1474" w:bottom="1984"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sz w:val="28"/>
        <w:szCs w:val="28"/>
      </w:rPr>
    </w:sdtEndPr>
    <w:sdtContent>
      <w:p>
        <w:pPr>
          <w:pStyle w:val="8"/>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29</w:t>
        </w:r>
        <w:r>
          <w:rPr>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0F465AA"/>
    <w:multiLevelType w:val="singleLevel"/>
    <w:tmpl w:val="70F465AA"/>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TNmMzJiYmExYTYyYzJkOTVhMGQwZjQ0OGFmZmQifQ=="/>
  </w:docVars>
  <w:rsids>
    <w:rsidRoot w:val="00F1361C"/>
    <w:rsid w:val="00007F46"/>
    <w:rsid w:val="000222C6"/>
    <w:rsid w:val="0002549F"/>
    <w:rsid w:val="000468DB"/>
    <w:rsid w:val="0006487A"/>
    <w:rsid w:val="00065F8F"/>
    <w:rsid w:val="00070A43"/>
    <w:rsid w:val="000768F2"/>
    <w:rsid w:val="0009184B"/>
    <w:rsid w:val="00094236"/>
    <w:rsid w:val="0009593C"/>
    <w:rsid w:val="00097322"/>
    <w:rsid w:val="000A07B0"/>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44CA"/>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758C"/>
    <w:rsid w:val="002D6D05"/>
    <w:rsid w:val="002E5F87"/>
    <w:rsid w:val="002F1818"/>
    <w:rsid w:val="002F567B"/>
    <w:rsid w:val="003216A9"/>
    <w:rsid w:val="00335A74"/>
    <w:rsid w:val="0036561B"/>
    <w:rsid w:val="0037013F"/>
    <w:rsid w:val="00380C92"/>
    <w:rsid w:val="003A484F"/>
    <w:rsid w:val="003A4883"/>
    <w:rsid w:val="003B0BE0"/>
    <w:rsid w:val="003B0C1B"/>
    <w:rsid w:val="003B2F94"/>
    <w:rsid w:val="003B688C"/>
    <w:rsid w:val="003C0291"/>
    <w:rsid w:val="003C39AE"/>
    <w:rsid w:val="003C7B60"/>
    <w:rsid w:val="003D0C0F"/>
    <w:rsid w:val="003D1FB2"/>
    <w:rsid w:val="003D66DA"/>
    <w:rsid w:val="003E1310"/>
    <w:rsid w:val="003E6F55"/>
    <w:rsid w:val="00406254"/>
    <w:rsid w:val="004223DE"/>
    <w:rsid w:val="00430D2E"/>
    <w:rsid w:val="00434489"/>
    <w:rsid w:val="00437085"/>
    <w:rsid w:val="00437A0D"/>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5D04"/>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1577"/>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15EA7"/>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39E2"/>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47E4"/>
    <w:rsid w:val="00F754A1"/>
    <w:rsid w:val="00F81FD9"/>
    <w:rsid w:val="00F841AA"/>
    <w:rsid w:val="00F84A94"/>
    <w:rsid w:val="00F87E96"/>
    <w:rsid w:val="00FA23E8"/>
    <w:rsid w:val="00FD3CC1"/>
    <w:rsid w:val="00FF1E02"/>
    <w:rsid w:val="00FF30B4"/>
    <w:rsid w:val="053F7D47"/>
    <w:rsid w:val="0665615E"/>
    <w:rsid w:val="066E0107"/>
    <w:rsid w:val="07996F6E"/>
    <w:rsid w:val="0A2032A3"/>
    <w:rsid w:val="0C71368C"/>
    <w:rsid w:val="0DD13B3D"/>
    <w:rsid w:val="0F287895"/>
    <w:rsid w:val="0F4E49FD"/>
    <w:rsid w:val="101860EC"/>
    <w:rsid w:val="10C055FF"/>
    <w:rsid w:val="118107EC"/>
    <w:rsid w:val="13D50BC4"/>
    <w:rsid w:val="16BB723D"/>
    <w:rsid w:val="1AF93BBC"/>
    <w:rsid w:val="1BE8440E"/>
    <w:rsid w:val="1D155CEE"/>
    <w:rsid w:val="1DF21562"/>
    <w:rsid w:val="1F903B2D"/>
    <w:rsid w:val="1FA13BD2"/>
    <w:rsid w:val="212A4544"/>
    <w:rsid w:val="223F6BC9"/>
    <w:rsid w:val="22C410CE"/>
    <w:rsid w:val="237A0569"/>
    <w:rsid w:val="23860B96"/>
    <w:rsid w:val="240371BF"/>
    <w:rsid w:val="263E10AA"/>
    <w:rsid w:val="29FD04D3"/>
    <w:rsid w:val="2A7D3ECB"/>
    <w:rsid w:val="2BC10487"/>
    <w:rsid w:val="2C490142"/>
    <w:rsid w:val="2C8A61B5"/>
    <w:rsid w:val="2DF04CA2"/>
    <w:rsid w:val="2DF04E50"/>
    <w:rsid w:val="304271ED"/>
    <w:rsid w:val="308F755C"/>
    <w:rsid w:val="30FE7386"/>
    <w:rsid w:val="319F7F4E"/>
    <w:rsid w:val="33AB5754"/>
    <w:rsid w:val="3571496D"/>
    <w:rsid w:val="36AA5135"/>
    <w:rsid w:val="373E16B6"/>
    <w:rsid w:val="37E16F03"/>
    <w:rsid w:val="3848364C"/>
    <w:rsid w:val="3B4D0116"/>
    <w:rsid w:val="3D98207C"/>
    <w:rsid w:val="3E0477A4"/>
    <w:rsid w:val="402E6259"/>
    <w:rsid w:val="40ED4EE0"/>
    <w:rsid w:val="41EB4D3C"/>
    <w:rsid w:val="41EF3A26"/>
    <w:rsid w:val="42E85C0B"/>
    <w:rsid w:val="43BB7974"/>
    <w:rsid w:val="44E268DA"/>
    <w:rsid w:val="48F471E2"/>
    <w:rsid w:val="4A627F82"/>
    <w:rsid w:val="4AB97E92"/>
    <w:rsid w:val="4B4F25DA"/>
    <w:rsid w:val="4BE068DB"/>
    <w:rsid w:val="4D577224"/>
    <w:rsid w:val="4E481282"/>
    <w:rsid w:val="4E6A7F5E"/>
    <w:rsid w:val="4EA978FB"/>
    <w:rsid w:val="4EAB630A"/>
    <w:rsid w:val="4ECE2238"/>
    <w:rsid w:val="4EFF5CF0"/>
    <w:rsid w:val="4F2E3E18"/>
    <w:rsid w:val="50184EB5"/>
    <w:rsid w:val="5220486E"/>
    <w:rsid w:val="539230A2"/>
    <w:rsid w:val="556F3E27"/>
    <w:rsid w:val="55A71006"/>
    <w:rsid w:val="565B6B10"/>
    <w:rsid w:val="56EB6571"/>
    <w:rsid w:val="58A53B5B"/>
    <w:rsid w:val="5AB11014"/>
    <w:rsid w:val="5AF92295"/>
    <w:rsid w:val="5CD71FC4"/>
    <w:rsid w:val="5E493F01"/>
    <w:rsid w:val="5E946FF4"/>
    <w:rsid w:val="5EC9087D"/>
    <w:rsid w:val="60AC202D"/>
    <w:rsid w:val="62733D6D"/>
    <w:rsid w:val="65220207"/>
    <w:rsid w:val="65DC5F3B"/>
    <w:rsid w:val="66976D92"/>
    <w:rsid w:val="672F2624"/>
    <w:rsid w:val="67C75636"/>
    <w:rsid w:val="68B674E9"/>
    <w:rsid w:val="698235C5"/>
    <w:rsid w:val="699801A9"/>
    <w:rsid w:val="6C4A05C8"/>
    <w:rsid w:val="6E7E3605"/>
    <w:rsid w:val="6FC1034A"/>
    <w:rsid w:val="6FF5CC65"/>
    <w:rsid w:val="71374435"/>
    <w:rsid w:val="715C0E4B"/>
    <w:rsid w:val="72734D90"/>
    <w:rsid w:val="734471CD"/>
    <w:rsid w:val="73AD73D5"/>
    <w:rsid w:val="73B6EB34"/>
    <w:rsid w:val="79EE5BA4"/>
    <w:rsid w:val="7A894339"/>
    <w:rsid w:val="7B5D1DB2"/>
    <w:rsid w:val="7EC17893"/>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2"/>
    <w:link w:val="3"/>
    <w:qFormat/>
    <w:uiPriority w:val="9"/>
    <w:rPr>
      <w:rFonts w:ascii="Times New Roman" w:hAnsi="Times New Roman"/>
      <w:b/>
      <w:bCs/>
      <w:kern w:val="44"/>
      <w:sz w:val="44"/>
      <w:szCs w:val="44"/>
    </w:rPr>
  </w:style>
  <w:style w:type="character" w:customStyle="1" w:styleId="25">
    <w:name w:val="标题 2 Char"/>
    <w:basedOn w:val="12"/>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Char1"/>
    <w:basedOn w:val="12"/>
    <w:link w:val="4"/>
    <w:qFormat/>
    <w:locked/>
    <w:uiPriority w:val="9"/>
    <w:rPr>
      <w:rFonts w:ascii="Cambria" w:hAnsi="Cambria"/>
      <w:b/>
      <w:bCs/>
      <w:sz w:val="32"/>
      <w:szCs w:val="32"/>
    </w:rPr>
  </w:style>
  <w:style w:type="character" w:customStyle="1" w:styleId="31">
    <w:name w:val="font21"/>
    <w:basedOn w:val="12"/>
    <w:qFormat/>
    <w:uiPriority w:val="0"/>
    <w:rPr>
      <w:rFonts w:hint="eastAsia" w:ascii="宋体" w:hAnsi="宋体" w:eastAsia="宋体" w:cs="宋体"/>
      <w:color w:val="000000"/>
      <w:sz w:val="24"/>
      <w:szCs w:val="24"/>
      <w:u w:val="none"/>
    </w:rPr>
  </w:style>
  <w:style w:type="character" w:customStyle="1" w:styleId="32">
    <w:name w:val="font41"/>
    <w:basedOn w:val="12"/>
    <w:qFormat/>
    <w:uiPriority w:val="0"/>
    <w:rPr>
      <w:rFonts w:hint="default" w:ascii="Times New Roman" w:hAnsi="Times New Roman" w:cs="Times New Roman"/>
      <w:color w:val="000000"/>
      <w:sz w:val="24"/>
      <w:szCs w:val="24"/>
      <w:u w:val="none"/>
    </w:rPr>
  </w:style>
  <w:style w:type="character" w:customStyle="1" w:styleId="33">
    <w:name w:val="font31"/>
    <w:basedOn w:val="12"/>
    <w:qFormat/>
    <w:uiPriority w:val="0"/>
    <w:rPr>
      <w:rFonts w:hint="default" w:ascii="Arial" w:hAnsi="Arial" w:cs="Arial"/>
      <w:color w:val="000000"/>
      <w:sz w:val="24"/>
      <w:szCs w:val="24"/>
      <w:u w:val="none"/>
    </w:rPr>
  </w:style>
  <w:style w:type="character" w:customStyle="1" w:styleId="34">
    <w:name w:val="font5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210731156679275"/>
          <c:y val="0.250977190257783"/>
          <c:w val="0.6738"/>
          <c:h val="0.651175451620886"/>
        </c:manualLayout>
      </c:layout>
      <c:barChart>
        <c:barDir val="col"/>
        <c:grouping val="clustered"/>
        <c:varyColors val="0"/>
        <c:ser>
          <c:idx val="0"/>
          <c:order val="0"/>
          <c:tx>
            <c:strRef>
              <c:f>Sheet1!$B$1</c:f>
              <c:strCache>
                <c:ptCount val="1"/>
                <c:pt idx="0">
                  <c:v>2020年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00696794744176787"/>
                  <c:y val="-0.528375733855186"/>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Sheet1!$B$2</c:f>
              <c:numCache>
                <c:formatCode>General</c:formatCode>
                <c:ptCount val="1"/>
                <c:pt idx="0">
                  <c:v>240.32</c:v>
                </c:pt>
              </c:numCache>
            </c:numRef>
          </c:val>
        </c:ser>
        <c:ser>
          <c:idx val="1"/>
          <c:order val="1"/>
          <c:tx>
            <c:strRef>
              <c:f>Sheet1!$C$1</c:f>
              <c:strCache>
                <c:ptCount val="1"/>
                <c:pt idx="0">
                  <c:v>2021年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val>
            <c:numRef>
              <c:f>Sheet1!$C$2</c:f>
              <c:numCache>
                <c:formatCode>General</c:formatCode>
                <c:ptCount val="1"/>
                <c:pt idx="0">
                  <c:v>226.21</c:v>
                </c:pt>
              </c:numCache>
            </c:numRef>
          </c:val>
        </c:ser>
        <c:dLbls>
          <c:showLegendKey val="0"/>
          <c:showVal val="1"/>
          <c:showCatName val="0"/>
          <c:showSerName val="0"/>
          <c:showPercent val="0"/>
          <c:showBubbleSize val="0"/>
        </c:dLbls>
        <c:gapWidth val="100"/>
        <c:overlap val="-24"/>
        <c:axId val="597019072"/>
        <c:axId val="597016352"/>
      </c:barChart>
      <c:catAx>
        <c:axId val="597019072"/>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97016352"/>
        <c:crosses val="autoZero"/>
        <c:auto val="1"/>
        <c:lblAlgn val="ctr"/>
        <c:lblOffset val="100"/>
        <c:noMultiLvlLbl val="0"/>
      </c:catAx>
      <c:valAx>
        <c:axId val="5970163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97019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dLbl>
              <c:idx val="0"/>
              <c:layout>
                <c:manualLayout>
                  <c:x val="0.308975037760136"/>
                  <c:y val="-0.079389765794989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21212203466847"/>
                  <c:y val="-0.09736389562549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370526031447587"/>
                  <c:y val="-0.02836195486209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其他收入</c:v>
                </c:pt>
                <c:pt idx="2">
                  <c:v>年初结转和结余</c:v>
                </c:pt>
              </c:strCache>
            </c:strRef>
          </c:cat>
          <c:val>
            <c:numRef>
              <c:f>Sheet1!$B$2:$B$4</c:f>
              <c:numCache>
                <c:formatCode>0.00%</c:formatCode>
                <c:ptCount val="3"/>
                <c:pt idx="0">
                  <c:v>0.9642</c:v>
                </c:pt>
                <c:pt idx="1">
                  <c:v>0.0003</c:v>
                </c:pt>
                <c:pt idx="2">
                  <c:v>0.0356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plotArea>
      <c:layout>
        <c:manualLayout>
          <c:layoutTarget val="inner"/>
          <c:xMode val="edge"/>
          <c:yMode val="edge"/>
          <c:x val="0.0790494826952478"/>
          <c:y val="0.184068733039216"/>
          <c:w val="0.830091459487312"/>
          <c:h val="0.668273444347064"/>
        </c:manualLayout>
      </c:layout>
      <c:pieChart>
        <c:varyColors val="1"/>
        <c:ser>
          <c:idx val="0"/>
          <c:order val="0"/>
          <c:tx>
            <c:strRef>
              <c:f>Sheet1!$B$1</c:f>
              <c:strCache>
                <c:ptCount val="1"/>
                <c:pt idx="0">
                  <c:v>系列 1</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0.768781444529718</c:v>
                </c:pt>
                <c:pt idx="1">
                  <c:v>0.231218555470282</c:v>
                </c:pt>
              </c:numCache>
            </c:numRef>
          </c:val>
        </c:ser>
        <c:ser>
          <c:idx val="1"/>
          <c:order val="1"/>
          <c:tx>
            <c:strRef>
              <c:f>Sheet1!#REF!</c:f>
              <c:strCache>
                <c:ptCount val="1"/>
                <c:pt idx="0">
                  <c:v/>
                </c:pt>
              </c:strCache>
            </c:strRef>
          </c:tx>
          <c:explosion val="0"/>
          <c:dPt>
            <c:idx val="0"/>
            <c:bubble3D val="0"/>
            <c:spPr>
              <a:solidFill>
                <a:schemeClr val="accent1"/>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explosion val="0"/>
          <c:dPt>
            <c:idx val="0"/>
            <c:bubble3D val="0"/>
            <c:spPr>
              <a:solidFill>
                <a:schemeClr val="accent1"/>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98852929527452"/>
          <c:y val="0.188801250388051"/>
          <c:w val="0.6738"/>
          <c:h val="0.651175451620886"/>
        </c:manualLayout>
      </c:layout>
      <c:barChart>
        <c:barDir val="col"/>
        <c:grouping val="clustered"/>
        <c:varyColors val="0"/>
        <c:ser>
          <c:idx val="0"/>
          <c:order val="0"/>
          <c:tx>
            <c:strRef>
              <c:f>Sheet1!$B$1</c:f>
              <c:strCache>
                <c:ptCount val="1"/>
                <c:pt idx="0">
                  <c:v>2020年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00468530376386069"/>
                  <c:y val="-0.604775719705423"/>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Sheet1!$B$2</c:f>
              <c:numCache>
                <c:formatCode>General</c:formatCode>
                <c:ptCount val="1"/>
                <c:pt idx="0">
                  <c:v>240.23</c:v>
                </c:pt>
              </c:numCache>
            </c:numRef>
          </c:val>
        </c:ser>
        <c:ser>
          <c:idx val="1"/>
          <c:order val="1"/>
          <c:tx>
            <c:strRef>
              <c:f>Sheet1!$C$1</c:f>
              <c:strCache>
                <c:ptCount val="1"/>
                <c:pt idx="0">
                  <c:v>2021年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val>
            <c:numRef>
              <c:f>Sheet1!$C$2</c:f>
              <c:numCache>
                <c:formatCode>General</c:formatCode>
                <c:ptCount val="1"/>
                <c:pt idx="0">
                  <c:v>234.47</c:v>
                </c:pt>
              </c:numCache>
            </c:numRef>
          </c:val>
        </c:ser>
        <c:dLbls>
          <c:showLegendKey val="0"/>
          <c:showVal val="1"/>
          <c:showCatName val="0"/>
          <c:showSerName val="0"/>
          <c:showPercent val="0"/>
          <c:showBubbleSize val="0"/>
        </c:dLbls>
        <c:gapWidth val="100"/>
        <c:overlap val="-24"/>
        <c:axId val="597004384"/>
        <c:axId val="597016896"/>
      </c:barChart>
      <c:catAx>
        <c:axId val="597004384"/>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97016896"/>
        <c:crosses val="autoZero"/>
        <c:auto val="1"/>
        <c:lblAlgn val="ctr"/>
        <c:lblOffset val="100"/>
        <c:noMultiLvlLbl val="0"/>
      </c:catAx>
      <c:valAx>
        <c:axId val="5970168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597004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一般公共预算财政拨款支出决断变动情况</c:v>
                </c:pt>
              </c:strCache>
            </c:strRef>
          </c:cat>
          <c:val>
            <c:numRef>
              <c:f>Sheet1!$B$2</c:f>
              <c:numCache>
                <c:formatCode>General</c:formatCode>
                <c:ptCount val="1"/>
                <c:pt idx="0">
                  <c:v>219.43</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一般公共预算财政拨款支出决断变动情况</c:v>
                </c:pt>
              </c:strCache>
            </c:strRef>
          </c:cat>
          <c:val>
            <c:numRef>
              <c:f>Sheet1!$C$2</c:f>
              <c:numCache>
                <c:formatCode>General</c:formatCode>
                <c:ptCount val="1"/>
                <c:pt idx="0">
                  <c:v>233.48</c:v>
                </c:pt>
              </c:numCache>
            </c:numRef>
          </c:val>
        </c:ser>
        <c:dLbls>
          <c:showLegendKey val="0"/>
          <c:showVal val="0"/>
          <c:showCatName val="0"/>
          <c:showSerName val="0"/>
          <c:showPercent val="0"/>
          <c:showBubbleSize val="0"/>
        </c:dLbls>
        <c:gapWidth val="219"/>
        <c:overlap val="-27"/>
        <c:axId val="730404848"/>
        <c:axId val="730380368"/>
      </c:barChart>
      <c:catAx>
        <c:axId val="73040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380368"/>
        <c:crosses val="autoZero"/>
        <c:auto val="1"/>
        <c:lblAlgn val="ctr"/>
        <c:lblOffset val="100"/>
        <c:noMultiLvlLbl val="0"/>
      </c:catAx>
      <c:valAx>
        <c:axId val="73038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404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一般公共预算财政拨款支出决算结构</a:t>
            </a:r>
            <a:endParaRPr lang="zh-CN" altLang="en-US"/>
          </a:p>
        </c:rich>
      </c:tx>
      <c:layout/>
      <c:overlay val="0"/>
      <c:spPr>
        <a:noFill/>
        <a:ln>
          <a:noFill/>
        </a:ln>
        <a:effectLst/>
      </c:spPr>
    </c:title>
    <c:autoTitleDeleted val="0"/>
    <c:plotArea>
      <c:layout>
        <c:manualLayout>
          <c:layoutTarget val="inner"/>
          <c:xMode val="edge"/>
          <c:yMode val="edge"/>
          <c:x val="0.0783587101206578"/>
          <c:y val="0.174261275069976"/>
          <c:w val="0.830091459487312"/>
          <c:h val="0.668273444347064"/>
        </c:manualLayout>
      </c:layout>
      <c:pieChart>
        <c:varyColors val="1"/>
        <c:ser>
          <c:idx val="0"/>
          <c:order val="0"/>
          <c:tx>
            <c:strRef>
              <c:f>Sheet1!$B$1</c:f>
              <c:strCache>
                <c:ptCount val="1"/>
                <c:pt idx="0">
                  <c:v>系列 1</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dLbl>
              <c:idx val="0"/>
              <c:layout>
                <c:manualLayout>
                  <c:x val="0.0886666666666667"/>
                  <c:y val="0.001059546514091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62093068135216"/>
                  <c:y val="-0.0755032651184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r>
                      <a:rPr lang="en-US" altLang="zh-CN"/>
                      <a:t>87.03%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7333333333333"/>
                  <c:y val="0.02754820936639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社会保障和就业（类）</c:v>
                </c:pt>
                <c:pt idx="1">
                  <c:v>卫生健康</c:v>
                </c:pt>
                <c:pt idx="2">
                  <c:v>住房保障</c:v>
                </c:pt>
              </c:strCache>
            </c:strRef>
          </c:cat>
          <c:val>
            <c:numRef>
              <c:f>Sheet1!$B$2:$B$4</c:f>
              <c:numCache>
                <c:formatCode>0.00%</c:formatCode>
                <c:ptCount val="3"/>
                <c:pt idx="0">
                  <c:v>0.0613328764776426</c:v>
                </c:pt>
                <c:pt idx="1">
                  <c:v>0.870609902347096</c:v>
                </c:pt>
                <c:pt idx="2">
                  <c:v>0.0683570327222889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sz="1600">
                <a:latin typeface="宋体" panose="02010600030101010101" charset="-122"/>
                <a:ea typeface="宋体" panose="02010600030101010101" charset="-122"/>
                <a:cs typeface="宋体" panose="02010600030101010101" charset="-122"/>
              </a:rPr>
              <a:t>“三公”经费财政拨款支出结构</a:t>
            </a:r>
            <a:endParaRPr lang="zh-CN" altLang="en-US" sz="1600">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10253767873245"/>
          <c:y val="0.17638036809816"/>
          <c:w val="0.830091459487312"/>
          <c:h val="0.668273444347064"/>
        </c:manualLayout>
      </c:layout>
      <c:pieChart>
        <c:varyColors val="1"/>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Sheet1!$B$2</c:f>
              <c:numCache>
                <c:formatCode>0%</c:formatCode>
                <c:ptCount val="1"/>
                <c:pt idx="0">
                  <c:v>1</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Pt>
            <c:idx val="2"/>
            <c:bubble3D val="0"/>
            <c:spPr>
              <a:solidFill>
                <a:srgbClr val="B7B69A"/>
              </a:solidFill>
              <a:ln w="22225">
                <a:solidFill>
                  <a:schemeClr val="bg1">
                    <a:lumMod val="95000"/>
                  </a:schemeClr>
                </a:solidFill>
              </a:ln>
              <a:effectLst/>
              <a:scene3d>
                <a:camera prst="orthographicFront"/>
                <a:lightRig rig="threePt" dir="t"/>
              </a:scene3d>
              <a:sp3d contourW="22225">
                <a:contourClr>
                  <a:schemeClr val="lt1"/>
                </a:contourClr>
              </a:sp3d>
            </c:spPr>
          </c:dPt>
          <c:dPt>
            <c:idx val="3"/>
            <c:bubble3D val="0"/>
            <c:spPr>
              <a:solidFill>
                <a:srgbClr val="FCE1B6"/>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Pt>
            <c:idx val="2"/>
            <c:bubble3D val="0"/>
            <c:spPr>
              <a:solidFill>
                <a:srgbClr val="B7B69A"/>
              </a:solidFill>
              <a:ln w="22225">
                <a:solidFill>
                  <a:schemeClr val="bg1">
                    <a:lumMod val="95000"/>
                  </a:schemeClr>
                </a:solidFill>
              </a:ln>
              <a:effectLst/>
              <a:scene3d>
                <a:camera prst="orthographicFront"/>
                <a:lightRig rig="threePt" dir="t"/>
              </a:scene3d>
              <a:sp3d contourW="22225">
                <a:contourClr>
                  <a:schemeClr val="lt1"/>
                </a:contourClr>
              </a:sp3d>
            </c:spPr>
          </c:dPt>
          <c:dPt>
            <c:idx val="3"/>
            <c:bubble3D val="0"/>
            <c:spPr>
              <a:solidFill>
                <a:srgbClr val="FCE1B6"/>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Sheet1!$D$2:$D$5</c:f>
              <c:numCache>
                <c:formatCode>General</c:formatCode>
                <c:ptCount val="4"/>
                <c:pt idx="0">
                  <c:v>2</c:v>
                </c:pt>
                <c:pt idx="1">
                  <c:v>2</c:v>
                </c:pt>
                <c:pt idx="2">
                  <c:v>3</c:v>
                </c:pt>
                <c:pt idx="3">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blipFill>
      <a:blip xmlns:r="http://schemas.openxmlformats.org/officeDocument/2006/relationships" r:embed="rId3"/>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2948</Words>
  <Characters>16804</Characters>
  <Lines>140</Lines>
  <Paragraphs>39</Paragraphs>
  <TotalTime>87</TotalTime>
  <ScaleCrop>false</ScaleCrop>
  <LinksUpToDate>false</LinksUpToDate>
  <CharactersWithSpaces>19713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杨馨</cp:lastModifiedBy>
  <cp:lastPrinted>2023-10-10T09:03:00Z</cp:lastPrinted>
  <dcterms:modified xsi:type="dcterms:W3CDTF">2023-10-11T07:05:43Z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6EDFA683C6CA44FEAB581CB61D4B8F3C_13</vt:lpwstr>
  </property>
</Properties>
</file>