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both"/>
        <w:outlineLvl w:val="0"/>
        <w:rPr>
          <w:rFonts w:hint="eastAsia" w:ascii="方正小标宋简体" w:hAnsi="宋体" w:eastAsia="方正小标宋简体"/>
          <w:color w:val="000000"/>
          <w:sz w:val="72"/>
          <w:szCs w:val="72"/>
        </w:rPr>
      </w:pPr>
      <w:bookmarkStart w:id="1" w:name="_Toc15378442"/>
      <w:bookmarkStart w:id="2" w:name="_Toc15396476"/>
      <w:bookmarkStart w:id="3" w:name="_Toc15306268"/>
      <w:bookmarkStart w:id="4" w:name="_Toc15377426"/>
      <w:bookmarkStart w:id="5" w:name="_Toc15396598"/>
      <w:bookmarkStart w:id="6" w:name="_Toc15377194"/>
    </w:p>
    <w:p>
      <w:pPr>
        <w:adjustRightInd w:val="0"/>
        <w:snapToGrid w:val="0"/>
        <w:spacing w:line="360" w:lineRule="auto"/>
        <w:jc w:val="center"/>
        <w:outlineLvl w:val="0"/>
        <w:rPr>
          <w:rFonts w:hint="eastAsia" w:ascii="方正小标宋简体" w:hAnsi="宋体" w:eastAsia="方正小标宋简体"/>
          <w:color w:val="000000"/>
          <w:spacing w:val="0"/>
          <w:sz w:val="52"/>
          <w:szCs w:val="52"/>
        </w:rPr>
      </w:pPr>
      <w:r>
        <w:rPr>
          <w:rFonts w:hint="eastAsia" w:ascii="方正小标宋简体" w:hAnsi="宋体" w:eastAsia="方正小标宋简体"/>
          <w:color w:val="000000"/>
          <w:spacing w:val="0"/>
          <w:sz w:val="52"/>
          <w:szCs w:val="52"/>
        </w:rPr>
        <w:t>攀枝花市西区土地储备中心</w:t>
      </w:r>
      <w:bookmarkStart w:id="7" w:name="_Toc15378441"/>
      <w:bookmarkStart w:id="8" w:name="_Toc15377425"/>
      <w:bookmarkStart w:id="9" w:name="_Toc15377193"/>
      <w:bookmarkStart w:id="10" w:name="_Toc15396475"/>
      <w:bookmarkStart w:id="11" w:name="_Toc15396597"/>
    </w:p>
    <w:p>
      <w:pPr>
        <w:adjustRightInd w:val="0"/>
        <w:snapToGrid w:val="0"/>
        <w:spacing w:line="360" w:lineRule="auto"/>
        <w:jc w:val="center"/>
        <w:outlineLvl w:val="0"/>
        <w:rPr>
          <w:rFonts w:ascii="方正小标宋简体" w:hAnsi="宋体" w:eastAsia="方正小标宋简体"/>
          <w:color w:val="000000"/>
          <w:sz w:val="72"/>
          <w:szCs w:val="72"/>
        </w:rPr>
      </w:pPr>
      <w:r>
        <w:rPr>
          <w:rFonts w:hint="default" w:ascii="Times New Roman" w:hAnsi="Times New Roman" w:eastAsia="黑体" w:cs="Times New Roman"/>
          <w:color w:val="000000"/>
          <w:spacing w:val="0"/>
          <w:sz w:val="52"/>
          <w:szCs w:val="52"/>
        </w:rPr>
        <w:t>2021</w:t>
      </w:r>
      <w:r>
        <w:rPr>
          <w:rFonts w:hint="eastAsia" w:ascii="方正小标宋简体" w:hAnsi="宋体" w:eastAsia="方正小标宋简体"/>
          <w:color w:val="000000"/>
          <w:spacing w:val="0"/>
          <w:sz w:val="52"/>
          <w:szCs w:val="52"/>
        </w:rPr>
        <w:t>年度</w:t>
      </w:r>
      <w:bookmarkEnd w:id="7"/>
      <w:bookmarkEnd w:id="8"/>
      <w:bookmarkEnd w:id="9"/>
      <w:bookmarkEnd w:id="10"/>
      <w:bookmarkEnd w:id="11"/>
      <w:r>
        <w:rPr>
          <w:rFonts w:hint="eastAsia" w:ascii="方正小标宋简体" w:hAnsi="宋体" w:eastAsia="方正小标宋简体"/>
          <w:color w:val="000000"/>
          <w:spacing w:val="0"/>
          <w:sz w:val="52"/>
          <w:szCs w:val="52"/>
        </w:rPr>
        <w:t>决算</w:t>
      </w:r>
      <w:bookmarkEnd w:id="1"/>
      <w:bookmarkEnd w:id="2"/>
      <w:bookmarkEnd w:id="3"/>
      <w:bookmarkEnd w:id="4"/>
      <w:bookmarkEnd w:id="5"/>
      <w:bookmarkEnd w:id="6"/>
    </w:p>
    <w:p>
      <w:pPr>
        <w:widowControl/>
        <w:jc w:val="center"/>
        <w:rPr>
          <w:rFonts w:ascii="黑体" w:hAnsi="黑体" w:eastAsia="黑体"/>
          <w:color w:val="000000"/>
          <w:sz w:val="48"/>
          <w:szCs w:val="48"/>
        </w:rPr>
      </w:pPr>
      <w:r>
        <w:rPr>
          <w:rFonts w:hint="default" w:ascii="Times New Roman" w:hAnsi="Times New Roman" w:eastAsia="方正小标宋简体" w:cs="Times New Roman"/>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rPr>
          <w:rFonts w:hint="default" w:ascii="Times New Roman" w:hAnsi="Times New Roman" w:cs="Times New Roman"/>
        </w:rPr>
      </w:pPr>
      <w:bookmarkStart w:id="12" w:name="_Toc15396599"/>
      <w:bookmarkStart w:id="13" w:name="_Toc15377196"/>
      <w:r>
        <w:rPr>
          <w:rFonts w:hint="default" w:ascii="Times New Roman" w:hAnsi="Times New Roman" w:cs="Times New Roman"/>
        </w:rPr>
        <w:t>公开时间：2022年10</w:t>
      </w:r>
      <w:r>
        <w:rPr>
          <w:rFonts w:hint="default" w:ascii="Times New Roman" w:hAnsi="Times New Roman" w:cs="Times New Roman"/>
          <w:highlight w:val="none"/>
        </w:rPr>
        <w:t>月9日</w:t>
      </w:r>
    </w:p>
    <w:p/>
    <w:p>
      <w:pPr>
        <w:pStyle w:val="10"/>
        <w:rPr>
          <w:rFonts w:ascii="仿宋_GB2312" w:eastAsia="仿宋_GB2312"/>
        </w:rPr>
      </w:pPr>
      <w:r>
        <w:rPr>
          <w:rFonts w:hint="eastAsia" w:ascii="仿宋_GB2312" w:eastAsia="仿宋_GB2312"/>
        </w:rPr>
        <w:t>第一部分部门概况</w:t>
      </w:r>
      <w:r>
        <w:rPr>
          <w:rFonts w:hint="eastAsia" w:ascii="仿宋_GB2312" w:eastAsia="仿宋_GB2312"/>
        </w:rPr>
        <w:tab/>
      </w:r>
      <w:r>
        <w:rPr>
          <w:rFonts w:hint="eastAsia" w:ascii="仿宋_GB2312" w:eastAsia="仿宋_GB2312"/>
        </w:rPr>
        <w:t>4</w:t>
      </w:r>
    </w:p>
    <w:p>
      <w:pPr>
        <w:pStyle w:val="11"/>
        <w:rPr>
          <w:rFonts w:ascii="仿宋_GB2312" w:eastAsia="仿宋_GB2312"/>
          <w:sz w:val="28"/>
          <w:szCs w:val="28"/>
        </w:rPr>
      </w:pPr>
      <w:r>
        <w:rPr>
          <w:rFonts w:hint="eastAsia" w:ascii="仿宋_GB2312" w:eastAsia="仿宋_GB2312"/>
          <w:sz w:val="28"/>
          <w:szCs w:val="28"/>
        </w:rPr>
        <w:t>一、基本职能及主要工作</w:t>
      </w:r>
      <w:r>
        <w:rPr>
          <w:rFonts w:hint="eastAsia" w:ascii="仿宋_GB2312" w:eastAsia="仿宋_GB2312"/>
          <w:sz w:val="28"/>
          <w:szCs w:val="28"/>
        </w:rPr>
        <w:tab/>
      </w:r>
      <w:r>
        <w:rPr>
          <w:rFonts w:hint="eastAsia" w:ascii="仿宋_GB2312" w:eastAsia="仿宋_GB2312"/>
          <w:sz w:val="28"/>
          <w:szCs w:val="28"/>
        </w:rPr>
        <w:t>4</w:t>
      </w:r>
    </w:p>
    <w:p>
      <w:pPr>
        <w:pStyle w:val="11"/>
        <w:rPr>
          <w:rFonts w:ascii="仿宋_GB2312" w:eastAsia="仿宋_GB2312"/>
          <w:sz w:val="28"/>
          <w:szCs w:val="28"/>
        </w:rPr>
      </w:pPr>
      <w:r>
        <w:rPr>
          <w:rFonts w:hint="eastAsia" w:ascii="仿宋_GB2312" w:eastAsia="仿宋_GB2312"/>
          <w:sz w:val="28"/>
          <w:szCs w:val="28"/>
        </w:rPr>
        <w:t>二、机构设置</w:t>
      </w:r>
      <w:r>
        <w:rPr>
          <w:rFonts w:hint="eastAsia" w:ascii="仿宋_GB2312" w:eastAsia="仿宋_GB2312"/>
          <w:sz w:val="28"/>
          <w:szCs w:val="28"/>
        </w:rPr>
        <w:tab/>
      </w:r>
      <w:r>
        <w:rPr>
          <w:rFonts w:hint="eastAsia" w:ascii="仿宋_GB2312" w:eastAsia="仿宋_GB2312"/>
          <w:sz w:val="28"/>
          <w:szCs w:val="28"/>
        </w:rPr>
        <w:t>5</w:t>
      </w:r>
    </w:p>
    <w:p>
      <w:pPr>
        <w:pStyle w:val="10"/>
        <w:rPr>
          <w:rFonts w:ascii="仿宋_GB2312" w:eastAsia="仿宋_GB2312"/>
        </w:rPr>
      </w:pPr>
      <w:r>
        <w:rPr>
          <w:rFonts w:hint="eastAsia" w:ascii="仿宋_GB2312" w:eastAsia="仿宋_GB2312"/>
        </w:rPr>
        <w:t>第二部分</w:t>
      </w:r>
      <w:r>
        <w:rPr>
          <w:rFonts w:hint="default" w:ascii="Times New Roman" w:hAnsi="Times New Roman" w:eastAsia="仿宋_GB2312" w:cs="Times New Roman"/>
        </w:rPr>
        <w:t xml:space="preserve"> 202</w:t>
      </w:r>
      <w:r>
        <w:rPr>
          <w:rFonts w:hint="default" w:ascii="Times New Roman" w:hAnsi="Times New Roman" w:eastAsia="仿宋_GB2312" w:cs="Times New Roman"/>
          <w:lang w:val="en-US" w:eastAsia="zh-CN"/>
        </w:rPr>
        <w:t>1</w:t>
      </w:r>
      <w:r>
        <w:rPr>
          <w:rFonts w:hint="eastAsia" w:ascii="仿宋_GB2312" w:eastAsia="仿宋_GB2312"/>
        </w:rPr>
        <w:t>年度部门决算情况说明</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_Toc15396602 \h </w:instrText>
      </w:r>
      <w:r>
        <w:rPr>
          <w:rFonts w:hint="eastAsia" w:ascii="仿宋_GB2312" w:eastAsia="仿宋_GB2312"/>
        </w:rPr>
        <w:fldChar w:fldCharType="separate"/>
      </w:r>
      <w:r>
        <w:rPr>
          <w:rFonts w:hint="eastAsia" w:ascii="仿宋_GB2312" w:eastAsia="仿宋_GB2312"/>
        </w:rPr>
        <w:t>6</w:t>
      </w:r>
      <w:r>
        <w:rPr>
          <w:rFonts w:hint="eastAsia" w:ascii="仿宋_GB2312" w:eastAsia="仿宋_GB2312"/>
        </w:rPr>
        <w:fldChar w:fldCharType="end"/>
      </w:r>
    </w:p>
    <w:p>
      <w:pPr>
        <w:pStyle w:val="11"/>
        <w:rPr>
          <w:rFonts w:ascii="仿宋_GB2312" w:eastAsia="仿宋_GB2312"/>
          <w:sz w:val="28"/>
          <w:szCs w:val="28"/>
        </w:rPr>
      </w:pPr>
      <w:r>
        <w:rPr>
          <w:rFonts w:hint="eastAsia" w:ascii="仿宋_GB2312" w:eastAsia="仿宋_GB2312"/>
          <w:bCs/>
          <w:sz w:val="28"/>
          <w:szCs w:val="28"/>
        </w:rPr>
        <w:t>一、</w:t>
      </w:r>
      <w:r>
        <w:rPr>
          <w:rFonts w:hint="eastAsia" w:ascii="仿宋_GB2312" w:eastAsia="仿宋_GB2312"/>
          <w:sz w:val="28"/>
          <w:szCs w:val="28"/>
        </w:rPr>
        <w:t>收</w:t>
      </w:r>
      <w:r>
        <w:rPr>
          <w:rFonts w:hint="eastAsia" w:ascii="仿宋_GB2312" w:eastAsia="仿宋_GB2312"/>
          <w:bCs/>
          <w:sz w:val="28"/>
          <w:szCs w:val="28"/>
        </w:rPr>
        <w:t>入支出决算总体情况说明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_Toc15396603 \h </w:instrText>
      </w:r>
      <w:r>
        <w:rPr>
          <w:rFonts w:hint="eastAsia" w:ascii="仿宋_GB2312" w:eastAsia="仿宋_GB2312"/>
          <w:sz w:val="28"/>
          <w:szCs w:val="28"/>
        </w:rPr>
        <w:fldChar w:fldCharType="separate"/>
      </w:r>
      <w:r>
        <w:rPr>
          <w:rFonts w:hint="eastAsia" w:ascii="仿宋_GB2312" w:eastAsia="仿宋_GB2312"/>
          <w:sz w:val="28"/>
          <w:szCs w:val="28"/>
        </w:rPr>
        <w:t>6</w:t>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bCs/>
          <w:sz w:val="28"/>
          <w:szCs w:val="28"/>
        </w:rPr>
        <w:t>二、</w:t>
      </w:r>
      <w:r>
        <w:rPr>
          <w:rFonts w:hint="eastAsia" w:ascii="仿宋_GB2312" w:eastAsia="仿宋_GB2312"/>
          <w:sz w:val="28"/>
          <w:szCs w:val="28"/>
        </w:rPr>
        <w:t>收</w:t>
      </w:r>
      <w:r>
        <w:rPr>
          <w:rFonts w:hint="eastAsia" w:ascii="仿宋_GB2312" w:eastAsia="仿宋_GB2312"/>
          <w:bCs/>
          <w:sz w:val="28"/>
          <w:szCs w:val="28"/>
        </w:rPr>
        <w:t>入决算情况说明</w:t>
      </w:r>
      <w:r>
        <w:rPr>
          <w:rFonts w:hint="eastAsia" w:ascii="仿宋_GB2312" w:eastAsia="仿宋_GB2312"/>
          <w:sz w:val="28"/>
          <w:szCs w:val="28"/>
        </w:rPr>
        <w:tab/>
      </w:r>
      <w:r>
        <w:rPr>
          <w:rFonts w:hint="eastAsia" w:ascii="仿宋_GB2312" w:eastAsia="仿宋_GB2312"/>
          <w:sz w:val="28"/>
          <w:szCs w:val="28"/>
        </w:rPr>
        <w:t>6</w:t>
      </w:r>
    </w:p>
    <w:p>
      <w:pPr>
        <w:pStyle w:val="11"/>
        <w:rPr>
          <w:rFonts w:hint="eastAsia" w:ascii="仿宋_GB2312" w:eastAsia="仿宋_GB2312"/>
          <w:sz w:val="28"/>
          <w:szCs w:val="28"/>
          <w:lang w:eastAsia="zh-CN"/>
        </w:rPr>
      </w:pPr>
      <w:r>
        <w:rPr>
          <w:rFonts w:hint="eastAsia" w:ascii="仿宋_GB2312" w:eastAsia="仿宋_GB2312"/>
          <w:bCs/>
          <w:sz w:val="28"/>
          <w:szCs w:val="28"/>
        </w:rPr>
        <w:t>三、</w:t>
      </w:r>
      <w:r>
        <w:rPr>
          <w:rFonts w:hint="eastAsia" w:ascii="仿宋_GB2312" w:eastAsia="仿宋_GB2312"/>
          <w:sz w:val="28"/>
          <w:szCs w:val="28"/>
        </w:rPr>
        <w:t>支</w:t>
      </w:r>
      <w:r>
        <w:rPr>
          <w:rFonts w:hint="eastAsia" w:ascii="仿宋_GB2312" w:eastAsia="仿宋_GB2312"/>
          <w:bCs/>
          <w:sz w:val="28"/>
          <w:szCs w:val="28"/>
        </w:rPr>
        <w:t>出决算情况说明</w:t>
      </w:r>
      <w:r>
        <w:rPr>
          <w:rFonts w:hint="eastAsia" w:ascii="仿宋_GB2312" w:eastAsia="仿宋_GB2312"/>
          <w:sz w:val="28"/>
          <w:szCs w:val="28"/>
        </w:rPr>
        <w:tab/>
      </w:r>
      <w:r>
        <w:rPr>
          <w:rFonts w:hint="eastAsia" w:ascii="仿宋_GB2312" w:eastAsia="仿宋_GB2312"/>
          <w:sz w:val="28"/>
          <w:szCs w:val="28"/>
          <w:lang w:val="en-US" w:eastAsia="zh-CN"/>
        </w:rPr>
        <w:t>7</w:t>
      </w:r>
    </w:p>
    <w:p>
      <w:pPr>
        <w:pStyle w:val="11"/>
        <w:rPr>
          <w:rFonts w:ascii="仿宋_GB2312" w:eastAsia="仿宋_GB2312"/>
          <w:sz w:val="28"/>
          <w:szCs w:val="28"/>
        </w:rPr>
      </w:pPr>
      <w:r>
        <w:rPr>
          <w:rFonts w:hint="eastAsia" w:ascii="仿宋_GB2312" w:eastAsia="仿宋_GB2312"/>
          <w:sz w:val="28"/>
          <w:szCs w:val="28"/>
        </w:rPr>
        <w:t>四、财</w:t>
      </w:r>
      <w:r>
        <w:rPr>
          <w:rFonts w:hint="eastAsia" w:ascii="仿宋_GB2312" w:eastAsia="仿宋_GB2312"/>
          <w:bCs/>
          <w:sz w:val="28"/>
          <w:szCs w:val="28"/>
        </w:rPr>
        <w:t>政拨款收入支出决算总体情况说明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_Toc15396606 \h </w:instrText>
      </w:r>
      <w:r>
        <w:rPr>
          <w:rFonts w:hint="eastAsia" w:ascii="仿宋_GB2312" w:eastAsia="仿宋_GB2312"/>
          <w:sz w:val="28"/>
          <w:szCs w:val="28"/>
        </w:rPr>
        <w:fldChar w:fldCharType="separate"/>
      </w:r>
      <w:r>
        <w:rPr>
          <w:rFonts w:hint="eastAsia" w:ascii="仿宋_GB2312" w:eastAsia="仿宋_GB2312"/>
          <w:sz w:val="28"/>
          <w:szCs w:val="28"/>
        </w:rPr>
        <w:t>7</w:t>
      </w:r>
      <w:r>
        <w:rPr>
          <w:rFonts w:hint="eastAsia" w:ascii="仿宋_GB2312" w:eastAsia="仿宋_GB2312"/>
          <w:sz w:val="28"/>
          <w:szCs w:val="28"/>
        </w:rPr>
        <w:fldChar w:fldCharType="end"/>
      </w:r>
    </w:p>
    <w:p>
      <w:pPr>
        <w:pStyle w:val="11"/>
        <w:rPr>
          <w:rFonts w:hint="eastAsia" w:ascii="仿宋_GB2312" w:eastAsia="仿宋_GB2312"/>
          <w:sz w:val="28"/>
          <w:szCs w:val="28"/>
          <w:lang w:eastAsia="zh-CN"/>
        </w:rPr>
      </w:pPr>
      <w:r>
        <w:rPr>
          <w:rFonts w:hint="eastAsia" w:ascii="仿宋_GB2312" w:eastAsia="仿宋_GB2312"/>
          <w:sz w:val="28"/>
          <w:szCs w:val="28"/>
        </w:rPr>
        <w:t>五、一</w:t>
      </w:r>
      <w:r>
        <w:rPr>
          <w:rFonts w:hint="eastAsia" w:ascii="仿宋_GB2312" w:eastAsia="仿宋_GB2312"/>
          <w:bCs/>
          <w:sz w:val="28"/>
          <w:szCs w:val="28"/>
        </w:rPr>
        <w:t>般公共预算财政拨款支出决算情况说明</w:t>
      </w:r>
      <w:r>
        <w:rPr>
          <w:rFonts w:hint="eastAsia" w:ascii="仿宋_GB2312" w:eastAsia="仿宋_GB2312"/>
          <w:sz w:val="28"/>
          <w:szCs w:val="28"/>
        </w:rPr>
        <w:tab/>
      </w:r>
      <w:r>
        <w:rPr>
          <w:rFonts w:hint="eastAsia" w:ascii="仿宋_GB2312" w:eastAsia="仿宋_GB2312"/>
          <w:sz w:val="28"/>
          <w:szCs w:val="28"/>
          <w:lang w:val="en-US" w:eastAsia="zh-CN"/>
        </w:rPr>
        <w:t>7</w:t>
      </w:r>
    </w:p>
    <w:p>
      <w:pPr>
        <w:pStyle w:val="11"/>
        <w:rPr>
          <w:rFonts w:hint="eastAsia" w:ascii="仿宋_GB2312" w:eastAsia="仿宋_GB2312"/>
          <w:sz w:val="28"/>
          <w:szCs w:val="28"/>
          <w:lang w:eastAsia="zh-CN"/>
        </w:rPr>
      </w:pPr>
      <w:r>
        <w:rPr>
          <w:rFonts w:hint="eastAsia" w:ascii="仿宋_GB2312" w:eastAsia="仿宋_GB2312"/>
          <w:sz w:val="28"/>
          <w:szCs w:val="28"/>
        </w:rPr>
        <w:t>六、一</w:t>
      </w:r>
      <w:r>
        <w:rPr>
          <w:rFonts w:hint="eastAsia" w:ascii="仿宋_GB2312" w:eastAsia="仿宋_GB2312"/>
          <w:bCs/>
          <w:sz w:val="28"/>
          <w:szCs w:val="28"/>
        </w:rPr>
        <w:t>般公共预算财政拨款基本支出决算情况说明</w:t>
      </w:r>
      <w:r>
        <w:rPr>
          <w:rFonts w:hint="eastAsia" w:ascii="仿宋_GB2312" w:eastAsia="仿宋_GB2312"/>
          <w:sz w:val="28"/>
          <w:szCs w:val="28"/>
        </w:rPr>
        <w:tab/>
      </w:r>
      <w:r>
        <w:rPr>
          <w:rFonts w:hint="eastAsia" w:ascii="仿宋_GB2312" w:eastAsia="仿宋_GB2312"/>
          <w:sz w:val="28"/>
          <w:szCs w:val="28"/>
          <w:lang w:val="en-US" w:eastAsia="zh-CN"/>
        </w:rPr>
        <w:t>9</w:t>
      </w:r>
    </w:p>
    <w:p>
      <w:pPr>
        <w:pStyle w:val="11"/>
        <w:rPr>
          <w:rFonts w:hint="default" w:ascii="仿宋_GB2312" w:eastAsia="仿宋_GB2312"/>
          <w:sz w:val="28"/>
          <w:szCs w:val="28"/>
          <w:lang w:val="en-US" w:eastAsia="zh-CN"/>
        </w:rPr>
      </w:pPr>
      <w:r>
        <w:rPr>
          <w:rFonts w:hint="eastAsia" w:ascii="仿宋_GB2312" w:eastAsia="仿宋_GB2312"/>
          <w:sz w:val="28"/>
          <w:szCs w:val="28"/>
        </w:rPr>
        <w:t>七、</w:t>
      </w:r>
      <w:r>
        <w:rPr>
          <w:rFonts w:ascii="仿宋_GB2312" w:eastAsia="仿宋_GB2312"/>
          <w:sz w:val="28"/>
          <w:szCs w:val="28"/>
        </w:rPr>
        <w:t>“</w:t>
      </w:r>
      <w:r>
        <w:rPr>
          <w:rFonts w:hint="eastAsia" w:ascii="仿宋_GB2312" w:eastAsia="仿宋_GB2312"/>
          <w:bCs/>
          <w:sz w:val="28"/>
          <w:szCs w:val="28"/>
        </w:rPr>
        <w:t>三公”经费财政拨款支出决算情况说明</w:t>
      </w:r>
      <w:r>
        <w:rPr>
          <w:rFonts w:hint="eastAsia" w:ascii="仿宋_GB2312" w:eastAsia="仿宋_GB2312"/>
          <w:sz w:val="28"/>
          <w:szCs w:val="28"/>
        </w:rPr>
        <w:tab/>
      </w:r>
      <w:r>
        <w:rPr>
          <w:rFonts w:hint="eastAsia" w:ascii="仿宋_GB2312" w:eastAsia="仿宋_GB2312"/>
          <w:sz w:val="28"/>
          <w:szCs w:val="28"/>
          <w:lang w:val="en-US" w:eastAsia="zh-CN"/>
        </w:rPr>
        <w:t>10</w:t>
      </w:r>
    </w:p>
    <w:p>
      <w:pPr>
        <w:pStyle w:val="11"/>
        <w:rPr>
          <w:rFonts w:hint="default" w:ascii="仿宋_GB2312" w:eastAsia="仿宋_GB2312"/>
          <w:sz w:val="28"/>
          <w:szCs w:val="28"/>
          <w:lang w:val="en-US" w:eastAsia="zh-CN"/>
        </w:rPr>
      </w:pPr>
      <w:r>
        <w:rPr>
          <w:rFonts w:hint="eastAsia" w:ascii="仿宋_GB2312" w:eastAsia="仿宋_GB2312"/>
          <w:sz w:val="28"/>
          <w:szCs w:val="28"/>
        </w:rPr>
        <w:t>八、</w:t>
      </w:r>
      <w:r>
        <w:rPr>
          <w:rFonts w:hint="eastAsia" w:ascii="仿宋_GB2312" w:eastAsia="仿宋_GB2312"/>
          <w:bCs/>
          <w:sz w:val="28"/>
          <w:szCs w:val="28"/>
        </w:rPr>
        <w:t>政府性基金预算支出决算情况说明</w:t>
      </w:r>
      <w:r>
        <w:rPr>
          <w:rFonts w:hint="eastAsia" w:ascii="仿宋_GB2312" w:eastAsia="仿宋_GB2312"/>
          <w:sz w:val="28"/>
          <w:szCs w:val="28"/>
        </w:rPr>
        <w:tab/>
      </w:r>
      <w:r>
        <w:rPr>
          <w:rFonts w:hint="eastAsia" w:ascii="仿宋_GB2312" w:eastAsia="仿宋_GB2312"/>
          <w:sz w:val="28"/>
          <w:szCs w:val="28"/>
          <w:lang w:val="en-US" w:eastAsia="zh-CN"/>
        </w:rPr>
        <w:t>11</w:t>
      </w:r>
    </w:p>
    <w:p>
      <w:pPr>
        <w:pStyle w:val="11"/>
        <w:rPr>
          <w:rFonts w:hint="default" w:ascii="仿宋_GB2312" w:eastAsia="仿宋_GB2312"/>
          <w:sz w:val="28"/>
          <w:szCs w:val="28"/>
          <w:lang w:val="en-US" w:eastAsia="zh-CN"/>
        </w:rPr>
      </w:pPr>
      <w:r>
        <w:rPr>
          <w:rFonts w:hint="eastAsia" w:ascii="仿宋_GB2312" w:eastAsia="仿宋_GB2312"/>
          <w:bCs/>
          <w:sz w:val="28"/>
          <w:szCs w:val="28"/>
        </w:rPr>
        <w:t>九、</w:t>
      </w:r>
      <w:r>
        <w:rPr>
          <w:rFonts w:hint="eastAsia" w:ascii="仿宋_GB2312" w:eastAsia="仿宋_GB2312"/>
          <w:sz w:val="28"/>
          <w:szCs w:val="28"/>
        </w:rPr>
        <w:t xml:space="preserve"> 国</w:t>
      </w:r>
      <w:r>
        <w:rPr>
          <w:rFonts w:hint="eastAsia" w:ascii="仿宋_GB2312" w:eastAsia="仿宋_GB2312"/>
          <w:bCs/>
          <w:sz w:val="28"/>
          <w:szCs w:val="28"/>
        </w:rPr>
        <w:t>有资本经营预算支出决算情况说明</w:t>
      </w:r>
      <w:r>
        <w:rPr>
          <w:rFonts w:hint="eastAsia" w:ascii="仿宋_GB2312" w:eastAsia="仿宋_GB2312"/>
          <w:sz w:val="28"/>
          <w:szCs w:val="28"/>
        </w:rPr>
        <w:tab/>
      </w:r>
      <w:r>
        <w:rPr>
          <w:rFonts w:hint="eastAsia" w:ascii="仿宋_GB2312" w:eastAsia="仿宋_GB2312"/>
          <w:sz w:val="28"/>
          <w:szCs w:val="28"/>
          <w:lang w:val="en-US" w:eastAsia="zh-CN"/>
        </w:rPr>
        <w:t>11</w:t>
      </w:r>
    </w:p>
    <w:p>
      <w:pPr>
        <w:pStyle w:val="11"/>
        <w:rPr>
          <w:rFonts w:hint="eastAsia" w:ascii="仿宋_GB2312" w:eastAsia="仿宋_GB2312"/>
          <w:sz w:val="28"/>
          <w:szCs w:val="28"/>
          <w:lang w:eastAsia="zh-CN"/>
        </w:rPr>
      </w:pPr>
      <w:r>
        <w:rPr>
          <w:rStyle w:val="16"/>
          <w:rFonts w:hint="eastAsia" w:ascii="仿宋_GB2312" w:eastAsia="仿宋_GB2312"/>
          <w:bCs/>
          <w:color w:val="auto"/>
          <w:sz w:val="28"/>
          <w:szCs w:val="28"/>
          <w:u w:val="none"/>
        </w:rPr>
        <w:t>十、</w:t>
      </w:r>
      <w:r>
        <w:rPr>
          <w:rFonts w:hint="eastAsia" w:ascii="仿宋_GB2312" w:eastAsia="仿宋_GB2312"/>
          <w:bCs/>
          <w:sz w:val="28"/>
          <w:szCs w:val="28"/>
        </w:rPr>
        <w:t>其他重要事项的情况说明</w:t>
      </w:r>
      <w:r>
        <w:rPr>
          <w:rFonts w:hint="eastAsia" w:ascii="仿宋_GB2312" w:eastAsia="仿宋_GB2312"/>
          <w:sz w:val="28"/>
          <w:szCs w:val="28"/>
        </w:rPr>
        <w:tab/>
      </w:r>
      <w:r>
        <w:rPr>
          <w:rFonts w:hint="eastAsia" w:ascii="仿宋_GB2312" w:eastAsia="仿宋_GB2312"/>
          <w:sz w:val="28"/>
          <w:szCs w:val="28"/>
        </w:rPr>
        <w:t>1</w:t>
      </w:r>
      <w:r>
        <w:rPr>
          <w:rFonts w:hint="eastAsia" w:ascii="仿宋_GB2312" w:eastAsia="仿宋_GB2312"/>
          <w:sz w:val="28"/>
          <w:szCs w:val="28"/>
          <w:lang w:val="en-US" w:eastAsia="zh-CN"/>
        </w:rPr>
        <w:t>1</w:t>
      </w:r>
    </w:p>
    <w:p>
      <w:pPr>
        <w:pStyle w:val="10"/>
        <w:rPr>
          <w:rFonts w:hint="eastAsia" w:ascii="仿宋_GB2312" w:eastAsia="仿宋_GB2312"/>
          <w:lang w:eastAsia="zh-CN"/>
        </w:rPr>
      </w:pPr>
      <w:r>
        <w:rPr>
          <w:rFonts w:hint="eastAsia" w:ascii="仿宋_GB2312" w:eastAsia="仿宋_GB2312"/>
          <w:bCs/>
          <w:kern w:val="44"/>
        </w:rPr>
        <w:t>第三部分</w:t>
      </w:r>
      <w:r>
        <w:rPr>
          <w:rFonts w:hint="eastAsia" w:ascii="仿宋_GB2312" w:eastAsia="仿宋_GB2312"/>
        </w:rPr>
        <w:t xml:space="preserve"> 名</w:t>
      </w:r>
      <w:r>
        <w:rPr>
          <w:rFonts w:hint="eastAsia" w:ascii="仿宋_GB2312" w:eastAsia="仿宋_GB2312"/>
          <w:bCs/>
          <w:kern w:val="44"/>
        </w:rPr>
        <w:t>词解释</w:t>
      </w:r>
      <w:r>
        <w:rPr>
          <w:rFonts w:hint="eastAsia" w:ascii="仿宋_GB2312" w:eastAsia="仿宋_GB2312"/>
        </w:rPr>
        <w:tab/>
      </w:r>
      <w:r>
        <w:rPr>
          <w:rFonts w:hint="eastAsia" w:ascii="仿宋_GB2312" w:eastAsia="仿宋_GB2312"/>
        </w:rPr>
        <w:t>1</w:t>
      </w:r>
      <w:r>
        <w:rPr>
          <w:rFonts w:hint="eastAsia" w:ascii="仿宋_GB2312" w:eastAsia="仿宋_GB2312"/>
          <w:lang w:val="en-US" w:eastAsia="zh-CN"/>
        </w:rPr>
        <w:t>5</w:t>
      </w:r>
    </w:p>
    <w:p>
      <w:pPr>
        <w:pStyle w:val="10"/>
        <w:rPr>
          <w:rFonts w:hint="eastAsia" w:ascii="仿宋_GB2312" w:eastAsia="仿宋_GB2312"/>
          <w:lang w:eastAsia="zh-CN"/>
        </w:rPr>
      </w:pPr>
      <w:r>
        <w:rPr>
          <w:rFonts w:hint="eastAsia" w:ascii="仿宋_GB2312" w:eastAsia="仿宋_GB2312"/>
        </w:rPr>
        <w:t>第</w:t>
      </w:r>
      <w:r>
        <w:rPr>
          <w:rFonts w:hint="eastAsia" w:ascii="仿宋_GB2312" w:eastAsia="仿宋_GB2312"/>
          <w:bCs/>
          <w:kern w:val="44"/>
        </w:rPr>
        <w:t>四部分附件</w:t>
      </w:r>
      <w:r>
        <w:rPr>
          <w:rFonts w:hint="eastAsia" w:ascii="仿宋_GB2312" w:eastAsia="仿宋_GB2312"/>
        </w:rPr>
        <w:tab/>
      </w:r>
      <w:r>
        <w:rPr>
          <w:rFonts w:hint="eastAsia" w:ascii="仿宋_GB2312" w:eastAsia="仿宋_GB2312"/>
        </w:rPr>
        <w:t>1</w:t>
      </w:r>
      <w:r>
        <w:rPr>
          <w:rFonts w:hint="eastAsia" w:ascii="仿宋_GB2312" w:eastAsia="仿宋_GB2312"/>
          <w:lang w:val="en-US" w:eastAsia="zh-CN"/>
        </w:rPr>
        <w:t>7</w:t>
      </w:r>
    </w:p>
    <w:p>
      <w:pPr>
        <w:pStyle w:val="11"/>
        <w:rPr>
          <w:rFonts w:hint="eastAsia" w:ascii="仿宋_GB2312" w:eastAsia="仿宋_GB2312"/>
          <w:sz w:val="28"/>
          <w:szCs w:val="28"/>
          <w:lang w:eastAsia="zh-CN"/>
        </w:rPr>
      </w:pPr>
      <w:r>
        <w:rPr>
          <w:rFonts w:hint="eastAsia" w:ascii="仿宋_GB2312" w:eastAsia="仿宋_GB2312"/>
          <w:kern w:val="44"/>
          <w:sz w:val="28"/>
          <w:szCs w:val="28"/>
        </w:rPr>
        <w:t>附件</w:t>
      </w:r>
      <w:r>
        <w:rPr>
          <w:rFonts w:ascii="仿宋_GB2312" w:eastAsia="仿宋_GB2312"/>
          <w:kern w:val="44"/>
          <w:sz w:val="28"/>
          <w:szCs w:val="28"/>
        </w:rPr>
        <w:t>1</w:t>
      </w:r>
      <w:r>
        <w:rPr>
          <w:rFonts w:hint="eastAsia" w:ascii="仿宋_GB2312" w:eastAsia="仿宋_GB2312"/>
          <w:sz w:val="28"/>
          <w:szCs w:val="28"/>
        </w:rPr>
        <w:tab/>
      </w:r>
      <w:r>
        <w:rPr>
          <w:rFonts w:hint="eastAsia" w:ascii="仿宋_GB2312" w:eastAsia="仿宋_GB2312"/>
          <w:sz w:val="28"/>
          <w:szCs w:val="28"/>
        </w:rPr>
        <w:t>1</w:t>
      </w:r>
      <w:r>
        <w:rPr>
          <w:rFonts w:hint="eastAsia" w:ascii="仿宋_GB2312" w:eastAsia="仿宋_GB2312"/>
          <w:sz w:val="28"/>
          <w:szCs w:val="28"/>
          <w:lang w:val="en-US" w:eastAsia="zh-CN"/>
        </w:rPr>
        <w:t>8</w:t>
      </w:r>
    </w:p>
    <w:p>
      <w:pPr>
        <w:pStyle w:val="11"/>
        <w:rPr>
          <w:rFonts w:hint="default" w:ascii="仿宋_GB2312" w:eastAsia="仿宋_GB2312"/>
          <w:sz w:val="28"/>
          <w:szCs w:val="28"/>
          <w:lang w:val="en-US" w:eastAsia="zh-CN"/>
        </w:rPr>
      </w:pPr>
      <w:r>
        <w:rPr>
          <w:rFonts w:hint="eastAsia" w:ascii="仿宋_GB2312" w:eastAsia="仿宋_GB2312"/>
          <w:kern w:val="44"/>
          <w:sz w:val="28"/>
          <w:szCs w:val="28"/>
        </w:rPr>
        <w:t>附件</w:t>
      </w:r>
      <w:r>
        <w:rPr>
          <w:rFonts w:ascii="仿宋_GB2312" w:eastAsia="仿宋_GB2312"/>
          <w:kern w:val="44"/>
          <w:sz w:val="28"/>
          <w:szCs w:val="28"/>
        </w:rPr>
        <w:t>2</w:t>
      </w:r>
      <w:r>
        <w:rPr>
          <w:rFonts w:hint="eastAsia" w:ascii="仿宋_GB2312" w:eastAsia="仿宋_GB2312"/>
          <w:sz w:val="28"/>
          <w:szCs w:val="28"/>
        </w:rPr>
        <w:tab/>
      </w:r>
      <w:r>
        <w:rPr>
          <w:rFonts w:hint="eastAsia" w:ascii="仿宋_GB2312" w:eastAsia="仿宋_GB2312"/>
          <w:sz w:val="28"/>
          <w:szCs w:val="28"/>
          <w:lang w:val="en-US" w:eastAsia="zh-CN"/>
        </w:rPr>
        <w:t>21</w:t>
      </w:r>
    </w:p>
    <w:p>
      <w:pPr>
        <w:pStyle w:val="10"/>
        <w:rPr>
          <w:rFonts w:ascii="仿宋_GB2312" w:eastAsia="仿宋_GB2312"/>
        </w:rPr>
      </w:pPr>
      <w:r>
        <w:fldChar w:fldCharType="begin"/>
      </w:r>
      <w:r>
        <w:instrText xml:space="preserve"> HYPERLINK \l "_Toc15396618" </w:instrText>
      </w:r>
      <w:r>
        <w:fldChar w:fldCharType="separate"/>
      </w:r>
      <w:r>
        <w:rPr>
          <w:rStyle w:val="16"/>
          <w:rFonts w:hint="eastAsia" w:ascii="仿宋_GB2312" w:eastAsia="仿宋_GB2312"/>
          <w:color w:val="auto"/>
          <w:u w:val="none"/>
        </w:rPr>
        <w:t>第</w:t>
      </w:r>
      <w:r>
        <w:rPr>
          <w:rStyle w:val="16"/>
          <w:rFonts w:hint="eastAsia" w:ascii="仿宋_GB2312" w:eastAsia="仿宋_GB2312"/>
          <w:bCs/>
          <w:color w:val="auto"/>
          <w:kern w:val="44"/>
          <w:u w:val="none"/>
        </w:rPr>
        <w:t>五部分附表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_Toc15396618 \h </w:instrText>
      </w:r>
      <w:r>
        <w:rPr>
          <w:rFonts w:hint="eastAsia" w:ascii="仿宋_GB2312" w:eastAsia="仿宋_GB2312"/>
        </w:rPr>
        <w:fldChar w:fldCharType="separate"/>
      </w:r>
      <w:r>
        <w:rPr>
          <w:rFonts w:hint="eastAsia" w:ascii="仿宋_GB2312" w:eastAsia="仿宋_GB2312"/>
        </w:rPr>
        <w:t>27</w:t>
      </w:r>
      <w:r>
        <w:rPr>
          <w:rFonts w:hint="eastAsia" w:ascii="仿宋_GB2312" w:eastAsia="仿宋_GB2312"/>
        </w:rPr>
        <w:fldChar w:fldCharType="end"/>
      </w:r>
      <w:r>
        <w:rPr>
          <w:rFonts w:hint="eastAsia" w:ascii="仿宋_GB2312" w:eastAsia="仿宋_GB2312"/>
        </w:rPr>
        <w:fldChar w:fldCharType="end"/>
      </w:r>
    </w:p>
    <w:p>
      <w:pPr>
        <w:pStyle w:val="11"/>
        <w:rPr>
          <w:rFonts w:ascii="仿宋_GB2312" w:eastAsia="仿宋_GB2312"/>
          <w:sz w:val="28"/>
          <w:szCs w:val="28"/>
        </w:rPr>
      </w:pPr>
      <w:r>
        <w:rPr>
          <w:rFonts w:hint="eastAsia" w:ascii="仿宋_GB2312" w:eastAsia="仿宋_GB2312"/>
          <w:sz w:val="28"/>
          <w:szCs w:val="28"/>
        </w:rPr>
        <w:t>一、</w:t>
      </w:r>
      <w:r>
        <w:fldChar w:fldCharType="begin"/>
      </w:r>
      <w:r>
        <w:instrText xml:space="preserve"> HYPERLINK \l "_Toc15396619" </w:instrText>
      </w:r>
      <w:r>
        <w:fldChar w:fldCharType="separate"/>
      </w:r>
      <w:r>
        <w:rPr>
          <w:rStyle w:val="16"/>
          <w:rFonts w:hint="eastAsia" w:ascii="仿宋_GB2312" w:eastAsia="仿宋_GB2312"/>
          <w:color w:val="auto"/>
          <w:sz w:val="28"/>
          <w:szCs w:val="28"/>
          <w:u w:val="none"/>
        </w:rPr>
        <w:t>收入支出决算总表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_Toc15396619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二、</w:t>
      </w:r>
      <w:r>
        <w:fldChar w:fldCharType="begin"/>
      </w:r>
      <w:r>
        <w:instrText xml:space="preserve"> HYPERLINK \l "_Toc15396620" </w:instrText>
      </w:r>
      <w:r>
        <w:fldChar w:fldCharType="separate"/>
      </w:r>
      <w:r>
        <w:rPr>
          <w:rStyle w:val="16"/>
          <w:rFonts w:hint="eastAsia" w:ascii="仿宋_GB2312" w:eastAsia="仿宋_GB2312"/>
          <w:color w:val="auto"/>
          <w:sz w:val="28"/>
          <w:szCs w:val="28"/>
          <w:u w:val="none"/>
        </w:rPr>
        <w:t>收入总表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_Toc15396620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三、</w:t>
      </w:r>
      <w:r>
        <w:fldChar w:fldCharType="begin"/>
      </w:r>
      <w:r>
        <w:instrText xml:space="preserve"> HYPERLINK \l "_Toc15396621" </w:instrText>
      </w:r>
      <w:r>
        <w:fldChar w:fldCharType="separate"/>
      </w:r>
      <w:r>
        <w:rPr>
          <w:rStyle w:val="16"/>
          <w:rFonts w:hint="eastAsia" w:ascii="仿宋_GB2312" w:eastAsia="仿宋_GB2312"/>
          <w:color w:val="auto"/>
          <w:sz w:val="28"/>
          <w:szCs w:val="28"/>
          <w:u w:val="none"/>
        </w:rPr>
        <w:t>支出总表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_Toc15396621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四、</w:t>
      </w:r>
      <w:r>
        <w:fldChar w:fldCharType="begin"/>
      </w:r>
      <w:r>
        <w:instrText xml:space="preserve"> HYPERLINK \l "_Toc15396622" </w:instrText>
      </w:r>
      <w:r>
        <w:fldChar w:fldCharType="separate"/>
      </w:r>
      <w:r>
        <w:rPr>
          <w:rStyle w:val="16"/>
          <w:rFonts w:hint="eastAsia" w:ascii="仿宋_GB2312" w:eastAsia="仿宋_GB2312"/>
          <w:color w:val="auto"/>
          <w:sz w:val="28"/>
          <w:szCs w:val="28"/>
          <w:u w:val="none"/>
        </w:rPr>
        <w:t>财政拨款收入支出决算总表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_Toc15396622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五、</w:t>
      </w:r>
      <w:r>
        <w:fldChar w:fldCharType="begin"/>
      </w:r>
      <w:r>
        <w:instrText xml:space="preserve"> HYPERLINK \l "_Toc15396623" </w:instrText>
      </w:r>
      <w:r>
        <w:fldChar w:fldCharType="separate"/>
      </w:r>
      <w:r>
        <w:rPr>
          <w:rFonts w:hint="eastAsia" w:ascii="仿宋_GB2312" w:eastAsia="仿宋_GB2312"/>
          <w:sz w:val="28"/>
          <w:szCs w:val="28"/>
        </w:rPr>
        <w:t>财政拨款支出决算明细表（政府经济分类科目）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_Toc15396623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六、</w:t>
      </w:r>
      <w:r>
        <w:fldChar w:fldCharType="begin"/>
      </w:r>
      <w:r>
        <w:instrText xml:space="preserve"> HYPERLINK \l "_Toc15396624" </w:instrText>
      </w:r>
      <w:r>
        <w:fldChar w:fldCharType="separate"/>
      </w:r>
      <w:r>
        <w:rPr>
          <w:rStyle w:val="16"/>
          <w:rFonts w:hint="eastAsia" w:ascii="仿宋_GB2312" w:eastAsia="仿宋_GB2312"/>
          <w:color w:val="auto"/>
          <w:sz w:val="28"/>
          <w:szCs w:val="28"/>
          <w:u w:val="none"/>
        </w:rPr>
        <w:t>一般公共预算财政拨款支出决算表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_Toc15396624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七、</w:t>
      </w:r>
      <w:r>
        <w:fldChar w:fldCharType="begin"/>
      </w:r>
      <w:r>
        <w:instrText xml:space="preserve"> HYPERLINK \l "_Toc15396625" </w:instrText>
      </w:r>
      <w:r>
        <w:fldChar w:fldCharType="separate"/>
      </w:r>
      <w:r>
        <w:rPr>
          <w:rStyle w:val="16"/>
          <w:rFonts w:hint="eastAsia" w:ascii="仿宋_GB2312" w:eastAsia="仿宋_GB2312"/>
          <w:color w:val="auto"/>
          <w:sz w:val="28"/>
          <w:szCs w:val="28"/>
          <w:u w:val="none"/>
        </w:rPr>
        <w:t>一般公共预算财政拨款支出决算明细表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_Toc15396625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八、</w:t>
      </w:r>
      <w:r>
        <w:fldChar w:fldCharType="begin"/>
      </w:r>
      <w:r>
        <w:instrText xml:space="preserve"> HYPERLINK \l "_Toc15396626" </w:instrText>
      </w:r>
      <w:r>
        <w:fldChar w:fldCharType="separate"/>
      </w:r>
      <w:r>
        <w:rPr>
          <w:rStyle w:val="16"/>
          <w:rFonts w:hint="eastAsia" w:ascii="仿宋_GB2312" w:eastAsia="仿宋_GB2312"/>
          <w:color w:val="auto"/>
          <w:sz w:val="28"/>
          <w:szCs w:val="28"/>
          <w:u w:val="none"/>
        </w:rPr>
        <w:t>一般公共预算财政拨款基本支出决算表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_Toc15396626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九、</w:t>
      </w:r>
      <w:r>
        <w:fldChar w:fldCharType="begin"/>
      </w:r>
      <w:r>
        <w:instrText xml:space="preserve"> HYPERLINK \l "_Toc15396627" </w:instrText>
      </w:r>
      <w:r>
        <w:fldChar w:fldCharType="separate"/>
      </w:r>
      <w:r>
        <w:rPr>
          <w:rStyle w:val="16"/>
          <w:rFonts w:hint="eastAsia" w:ascii="仿宋_GB2312" w:eastAsia="仿宋_GB2312"/>
          <w:color w:val="auto"/>
          <w:sz w:val="28"/>
          <w:szCs w:val="28"/>
          <w:u w:val="none"/>
        </w:rPr>
        <w:t>一般公共预算财政拨款项目支出决算表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_Toc15396627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十、</w:t>
      </w:r>
      <w:r>
        <w:fldChar w:fldCharType="begin"/>
      </w:r>
      <w:r>
        <w:instrText xml:space="preserve"> HYPERLINK \l "_Toc15396628" </w:instrText>
      </w:r>
      <w:r>
        <w:fldChar w:fldCharType="separate"/>
      </w:r>
      <w:r>
        <w:rPr>
          <w:rStyle w:val="16"/>
          <w:rFonts w:hint="eastAsia" w:ascii="仿宋_GB2312" w:eastAsia="仿宋_GB2312"/>
          <w:color w:val="auto"/>
          <w:sz w:val="28"/>
          <w:szCs w:val="28"/>
          <w:u w:val="none"/>
        </w:rPr>
        <w:t>一般公共预算财政拨款“三公”经费支出决算表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_Toc15396628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十一、</w:t>
      </w:r>
      <w:r>
        <w:fldChar w:fldCharType="begin"/>
      </w:r>
      <w:r>
        <w:instrText xml:space="preserve"> HYPERLINK \l "_Toc15396629" </w:instrText>
      </w:r>
      <w:r>
        <w:fldChar w:fldCharType="separate"/>
      </w:r>
      <w:r>
        <w:rPr>
          <w:rStyle w:val="16"/>
          <w:rFonts w:hint="eastAsia" w:ascii="仿宋_GB2312" w:eastAsia="仿宋_GB2312"/>
          <w:color w:val="auto"/>
          <w:sz w:val="28"/>
          <w:szCs w:val="28"/>
          <w:u w:val="none"/>
        </w:rPr>
        <w:t>政府性基金预算财政拨款收入支出决算表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_Toc15396629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Fonts w:hint="eastAsia" w:ascii="仿宋_GB2312" w:eastAsia="仿宋_GB2312"/>
          <w:sz w:val="28"/>
          <w:szCs w:val="28"/>
        </w:rPr>
        <w:t>十二、</w:t>
      </w:r>
      <w:r>
        <w:fldChar w:fldCharType="begin"/>
      </w:r>
      <w:r>
        <w:instrText xml:space="preserve"> HYPERLINK \l "_Toc15396630" </w:instrText>
      </w:r>
      <w:r>
        <w:fldChar w:fldCharType="separate"/>
      </w:r>
      <w:r>
        <w:rPr>
          <w:rStyle w:val="16"/>
          <w:rFonts w:hint="eastAsia" w:ascii="仿宋_GB2312" w:eastAsia="仿宋_GB2312"/>
          <w:color w:val="auto"/>
          <w:sz w:val="28"/>
          <w:szCs w:val="28"/>
          <w:u w:val="none"/>
        </w:rPr>
        <w:t>政府性基金预算财政拨款“三公”经费支出决算表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_Toc15396630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440" w:lineRule="exact"/>
        <w:jc w:val="left"/>
        <w:rPr>
          <w:rFonts w:ascii="仿宋" w:hAnsi="仿宋" w:eastAsia="仿宋"/>
          <w:sz w:val="28"/>
          <w:szCs w:val="28"/>
        </w:rPr>
      </w:pPr>
      <w:r>
        <w:rPr>
          <w:rStyle w:val="16"/>
          <w:rFonts w:hint="eastAsia" w:ascii="仿宋" w:hAnsi="仿宋" w:eastAsia="仿宋"/>
          <w:color w:val="auto"/>
          <w:sz w:val="28"/>
          <w:szCs w:val="28"/>
          <w:u w:val="none"/>
        </w:rPr>
        <w:t>十三</w:t>
      </w:r>
      <w:r>
        <w:rPr>
          <w:rFonts w:hint="eastAsia" w:ascii="仿宋_GB2312" w:eastAsia="仿宋_GB2312"/>
          <w:sz w:val="28"/>
          <w:szCs w:val="28"/>
        </w:rPr>
        <w:t>、</w:t>
      </w:r>
      <w:r>
        <w:fldChar w:fldCharType="begin"/>
      </w:r>
      <w:r>
        <w:instrText xml:space="preserve"> HYPERLINK \l "_Toc15396630" </w:instrText>
      </w:r>
      <w:r>
        <w:fldChar w:fldCharType="separate"/>
      </w:r>
      <w:r>
        <w:rPr>
          <w:rFonts w:hint="eastAsia" w:ascii="仿宋" w:hAnsi="仿宋" w:eastAsia="仿宋"/>
          <w:sz w:val="28"/>
          <w:szCs w:val="28"/>
        </w:rPr>
        <w:t>国有资本经营预算财政拨款收入支出决算表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_Toc15396630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rPr>
          <w:rFonts w:ascii="仿宋_GB2312" w:eastAsia="仿宋_GB2312"/>
          <w:sz w:val="28"/>
          <w:szCs w:val="28"/>
        </w:rPr>
      </w:pPr>
      <w:r>
        <w:rPr>
          <w:rStyle w:val="16"/>
          <w:rFonts w:hint="eastAsia" w:ascii="仿宋" w:hAnsi="仿宋" w:eastAsia="仿宋"/>
          <w:color w:val="auto"/>
          <w:sz w:val="28"/>
          <w:szCs w:val="28"/>
          <w:u w:val="none"/>
        </w:rPr>
        <w:t>十四</w:t>
      </w:r>
      <w:r>
        <w:rPr>
          <w:rFonts w:hint="eastAsia" w:ascii="仿宋_GB2312" w:eastAsia="仿宋_GB2312"/>
          <w:sz w:val="28"/>
          <w:szCs w:val="28"/>
        </w:rPr>
        <w:t>、</w:t>
      </w:r>
      <w:r>
        <w:fldChar w:fldCharType="begin"/>
      </w:r>
      <w:r>
        <w:instrText xml:space="preserve"> HYPERLINK \l "_Toc15396630" </w:instrText>
      </w:r>
      <w:r>
        <w:fldChar w:fldCharType="separate"/>
      </w:r>
      <w:r>
        <w:rPr>
          <w:rStyle w:val="16"/>
          <w:rFonts w:hint="eastAsia" w:ascii="仿宋_GB2312" w:eastAsia="仿宋_GB2312"/>
          <w:color w:val="auto"/>
          <w:sz w:val="28"/>
          <w:szCs w:val="28"/>
          <w:u w:val="none"/>
        </w:rPr>
        <w:t>国有资本经营预算财政拨款支出决算表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_Toc15396630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2"/>
        <w:jc w:val="center"/>
        <w:rPr>
          <w:rFonts w:ascii="黑体" w:hAnsi="黑体" w:eastAsia="黑体"/>
          <w:b w:val="0"/>
        </w:rPr>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ind w:firstLine="640" w:firstLineChars="200"/>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楷体_GB2312" w:hAnsi="楷体_GB2312" w:eastAsia="楷体_GB2312" w:cs="楷体_GB2312"/>
          <w:bCs/>
          <w:color w:val="000000"/>
          <w:sz w:val="32"/>
          <w:szCs w:val="32"/>
        </w:rPr>
      </w:pPr>
      <w:bookmarkStart w:id="16" w:name="_Toc15378445"/>
      <w:bookmarkStart w:id="17" w:name="_Toc15377198"/>
      <w:r>
        <w:rPr>
          <w:rFonts w:hint="eastAsia" w:ascii="楷体_GB2312" w:hAnsi="楷体_GB2312" w:eastAsia="楷体_GB2312" w:cs="楷体_GB2312"/>
          <w:bCs/>
          <w:color w:val="000000"/>
          <w:sz w:val="32"/>
          <w:szCs w:val="32"/>
        </w:rPr>
        <w:t>（一）主要职能。</w:t>
      </w:r>
    </w:p>
    <w:bookmarkEnd w:id="16"/>
    <w:bookmarkEnd w:id="17"/>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bookmarkStart w:id="18" w:name="_Toc15378446"/>
      <w:bookmarkStart w:id="19" w:name="_Toc15377199"/>
      <w:r>
        <w:rPr>
          <w:rStyle w:val="31"/>
          <w:rFonts w:hint="default" w:ascii="Times New Roman" w:hAnsi="Times New Roman" w:eastAsia="仿宋" w:cs="Times New Roman"/>
          <w:sz w:val="32"/>
          <w:szCs w:val="32"/>
        </w:rPr>
        <w:t>1.根据城市规划和土地利用总体规划，结合全区土地市场需求情况，草拟土地储备年度计划。</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2.开展全区土地开发整理资源调查，对拟收购土地进行市场调查分析，草拟土地开发计划、收购和储备方案。</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3.负责全区农村集体土地的征收拆迁补偿安置、收购及储备等事务性工作。</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4.对按规定管理依法收回的违法用地、闲置荒芜土地、无主土地和置换土地等纳入储备土地范围，并对储备土地按规定进行管理。</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5.根据规划部门的土地规划方案，拟订储备土地开发整理方案，负责组织实施全区储备土地的一级开发整理、工程招投标和工程进度及质量监督。</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6.协助规划部门做好储备土地规划方案的优化，拟制储备土地出让计划。</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7.严格执行土地收购储备资金管理规定，资金纳入区政府预决算。</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8.做好储备土地招商引资和投入市场的前期准备工作。</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9.承办区委、区政府交办的其他工作。</w:t>
      </w:r>
    </w:p>
    <w:p>
      <w:pPr>
        <w:pStyle w:val="5"/>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楷体_GB2312" w:cs="Times New Roman"/>
          <w:bCs/>
          <w:color w:val="000000"/>
          <w:sz w:val="32"/>
          <w:szCs w:val="32"/>
        </w:rPr>
        <w:t>（二）2021年重点工作完成情况。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w:t>
      </w:r>
      <w:r>
        <w:rPr>
          <w:rFonts w:hint="default" w:ascii="Times New Roman" w:hAnsi="Times New Roman" w:eastAsia="仿宋_GB2312" w:cs="Times New Roman"/>
          <w:sz w:val="32"/>
          <w:szCs w:val="32"/>
          <w:highlight w:val="none"/>
        </w:rPr>
        <w:t>攀枝花市西区土地储备中心主要开展土地</w:t>
      </w:r>
      <w:r>
        <w:rPr>
          <w:rFonts w:hint="default" w:ascii="Times New Roman" w:hAnsi="Times New Roman" w:eastAsia="仿宋_GB2312" w:cs="Times New Roman"/>
          <w:sz w:val="32"/>
          <w:szCs w:val="32"/>
          <w:highlight w:val="none"/>
          <w:lang w:val="en-US" w:eastAsia="zh-CN"/>
        </w:rPr>
        <w:t>前期涉及土地地价评估及勘测定界、</w:t>
      </w:r>
      <w:r>
        <w:rPr>
          <w:rFonts w:hint="default" w:ascii="Times New Roman" w:hAnsi="Times New Roman" w:eastAsia="仿宋_GB2312" w:cs="Times New Roman"/>
          <w:sz w:val="32"/>
          <w:szCs w:val="32"/>
          <w:highlight w:val="none"/>
        </w:rPr>
        <w:t>农村土地征收</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土地推荐。土地</w:t>
      </w:r>
      <w:r>
        <w:rPr>
          <w:rFonts w:hint="default" w:ascii="Times New Roman" w:hAnsi="Times New Roman" w:eastAsia="仿宋_GB2312" w:cs="Times New Roman"/>
          <w:sz w:val="32"/>
          <w:szCs w:val="32"/>
          <w:highlight w:val="none"/>
          <w:lang w:val="en-US" w:eastAsia="zh-CN"/>
        </w:rPr>
        <w:t>前期涉及土地地价评估及勘测定界</w:t>
      </w:r>
      <w:r>
        <w:rPr>
          <w:rFonts w:hint="default" w:ascii="Times New Roman" w:hAnsi="Times New Roman" w:eastAsia="仿宋_GB2312" w:cs="Times New Roman"/>
          <w:sz w:val="32"/>
          <w:szCs w:val="32"/>
          <w:highlight w:val="none"/>
        </w:rPr>
        <w:t>是将储备土地</w:t>
      </w:r>
      <w:r>
        <w:rPr>
          <w:rFonts w:hint="default" w:ascii="Times New Roman" w:hAnsi="Times New Roman" w:eastAsia="仿宋_GB2312" w:cs="Times New Roman"/>
          <w:sz w:val="32"/>
          <w:szCs w:val="32"/>
          <w:highlight w:val="none"/>
          <w:lang w:eastAsia="zh-CN"/>
        </w:rPr>
        <w:t>前期涉及</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eastAsia="zh-CN"/>
        </w:rPr>
        <w:t>土地地价评估及勘测定界</w:t>
      </w:r>
      <w:r>
        <w:rPr>
          <w:rFonts w:hint="default" w:ascii="Times New Roman" w:hAnsi="Times New Roman" w:eastAsia="仿宋_GB2312" w:cs="Times New Roman"/>
          <w:sz w:val="32"/>
          <w:szCs w:val="32"/>
          <w:highlight w:val="none"/>
        </w:rPr>
        <w:t>。农村土地征收</w:t>
      </w:r>
      <w:r>
        <w:rPr>
          <w:rFonts w:hint="default" w:ascii="Times New Roman" w:hAnsi="Times New Roman"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lang w:val="en-US" w:eastAsia="zh-CN"/>
        </w:rPr>
        <w:t>对</w:t>
      </w:r>
      <w:r>
        <w:rPr>
          <w:rFonts w:hint="default" w:ascii="Times New Roman" w:hAnsi="Times New Roman" w:eastAsia="仿宋_GB2312" w:cs="Times New Roman"/>
          <w:sz w:val="32"/>
          <w:szCs w:val="32"/>
          <w:highlight w:val="none"/>
        </w:rPr>
        <w:t>农村集体土地的征收拆迁补偿安置、收购及储备等事务性工作。主要内容包括对征收的农村集体土地进行测量测绘，</w:t>
      </w:r>
      <w:r>
        <w:rPr>
          <w:rFonts w:hint="default" w:ascii="Times New Roman" w:hAnsi="Times New Roman" w:eastAsia="仿宋_GB2312" w:cs="Times New Roman"/>
          <w:bCs/>
          <w:spacing w:val="-4"/>
          <w:sz w:val="32"/>
          <w:szCs w:val="32"/>
          <w:highlight w:val="none"/>
        </w:rPr>
        <w:t>确定征收土地红线范围，对被</w:t>
      </w:r>
      <w:r>
        <w:rPr>
          <w:rFonts w:hint="default" w:ascii="Times New Roman" w:hAnsi="Times New Roman" w:eastAsia="仿宋_GB2312" w:cs="Times New Roman"/>
          <w:sz w:val="32"/>
          <w:szCs w:val="32"/>
          <w:highlight w:val="none"/>
        </w:rPr>
        <w:t>征收的农村集体土地上附着物、建构筑物等开展调查、补偿、拆迁工作，</w:t>
      </w:r>
      <w:r>
        <w:rPr>
          <w:rFonts w:hint="default" w:ascii="Times New Roman" w:hAnsi="Times New Roman" w:eastAsia="仿宋_GB2312" w:cs="Times New Roman"/>
          <w:bCs/>
          <w:spacing w:val="-4"/>
          <w:sz w:val="32"/>
          <w:szCs w:val="32"/>
          <w:highlight w:val="none"/>
        </w:rPr>
        <w:t>以及对拆迁范围人口开展安置工作</w:t>
      </w:r>
      <w:r>
        <w:rPr>
          <w:rFonts w:hint="default" w:ascii="Times New Roman" w:hAnsi="Times New Roman" w:eastAsia="仿宋_GB2312" w:cs="Times New Roman"/>
          <w:sz w:val="32"/>
          <w:szCs w:val="32"/>
          <w:highlight w:val="none"/>
        </w:rPr>
        <w:t>。土地推荐</w:t>
      </w:r>
      <w:r>
        <w:rPr>
          <w:rFonts w:hint="default" w:ascii="Times New Roman" w:hAnsi="Times New Roman"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rPr>
        <w:t>储备土地</w:t>
      </w:r>
      <w:r>
        <w:rPr>
          <w:rFonts w:hint="default" w:ascii="Times New Roman" w:hAnsi="Times New Roman" w:eastAsia="仿宋_GB2312" w:cs="Times New Roman"/>
          <w:sz w:val="32"/>
          <w:szCs w:val="32"/>
          <w:highlight w:val="none"/>
          <w:lang w:eastAsia="zh-CN"/>
        </w:rPr>
        <w:t>推介出让</w:t>
      </w:r>
      <w:r>
        <w:rPr>
          <w:rFonts w:hint="default" w:ascii="Times New Roman" w:hAnsi="Times New Roman" w:eastAsia="仿宋_GB2312" w:cs="Times New Roman"/>
          <w:sz w:val="32"/>
          <w:szCs w:val="32"/>
          <w:highlight w:val="none"/>
        </w:rPr>
        <w:t>的优化事务性工作。主要内容包括</w:t>
      </w:r>
      <w:r>
        <w:rPr>
          <w:rFonts w:hint="default" w:ascii="Times New Roman" w:hAnsi="Times New Roman" w:eastAsia="仿宋_GB2312" w:cs="Times New Roman"/>
          <w:sz w:val="32"/>
          <w:szCs w:val="32"/>
          <w:highlight w:val="none"/>
          <w:lang w:val="en-US" w:eastAsia="zh-CN"/>
        </w:rPr>
        <w:t>对储备土地的宣传推介资料制作、土地推介场地租赁等工作，有利于</w:t>
      </w:r>
      <w:r>
        <w:rPr>
          <w:rFonts w:hint="default" w:ascii="Times New Roman" w:hAnsi="Times New Roman" w:eastAsia="仿宋_GB2312" w:cs="Times New Roman"/>
          <w:sz w:val="32"/>
          <w:szCs w:val="32"/>
          <w:highlight w:val="none"/>
        </w:rPr>
        <w:t>促进西区存量国有建设用地出让，增加西区财政收入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推进西区建设，促进西区高质量发展，在节约集约用地的同时，为经济发展提供用地</w:t>
      </w:r>
      <w:r>
        <w:rPr>
          <w:rFonts w:hint="default" w:ascii="Times New Roman" w:hAnsi="Times New Roman" w:eastAsia="仿宋_GB2312" w:cs="Times New Roman"/>
          <w:sz w:val="32"/>
          <w:szCs w:val="32"/>
          <w:highlight w:val="none"/>
          <w:lang w:val="en-US" w:eastAsia="zh-CN"/>
        </w:rPr>
        <w:t>规划</w:t>
      </w:r>
      <w:r>
        <w:rPr>
          <w:rFonts w:hint="default" w:ascii="Times New Roman" w:hAnsi="Times New Roman" w:eastAsia="仿宋_GB2312" w:cs="Times New Roman"/>
          <w:sz w:val="32"/>
          <w:szCs w:val="32"/>
          <w:highlight w:val="none"/>
        </w:rPr>
        <w:t>保障，促进经济社会可持续发展。</w:t>
      </w:r>
    </w:p>
    <w:p>
      <w:pPr>
        <w:pStyle w:val="3"/>
        <w:ind w:firstLine="640" w:firstLineChars="200"/>
        <w:rPr>
          <w:rStyle w:val="26"/>
          <w:rFonts w:hint="default" w:ascii="Times New Roman" w:hAnsi="Times New Roman" w:cs="Times New Roman"/>
          <w:b w:val="0"/>
          <w:bCs w:val="0"/>
        </w:rPr>
      </w:pPr>
      <w:bookmarkStart w:id="20" w:name="_Toc15396601"/>
      <w:bookmarkStart w:id="21" w:name="_Toc15377200"/>
      <w:r>
        <w:rPr>
          <w:rFonts w:hint="default" w:ascii="Times New Roman" w:hAnsi="Times New Roman" w:eastAsia="黑体" w:cs="Times New Roman"/>
          <w:b w:val="0"/>
          <w:color w:val="000000"/>
        </w:rPr>
        <w:t>二、机</w:t>
      </w:r>
      <w:r>
        <w:rPr>
          <w:rStyle w:val="26"/>
          <w:rFonts w:hint="default" w:ascii="Times New Roman" w:hAnsi="Times New Roman" w:eastAsia="黑体" w:cs="Times New Roman"/>
          <w:b w:val="0"/>
          <w:bCs w:val="0"/>
        </w:rPr>
        <w:t>构设置</w:t>
      </w:r>
      <w:bookmarkEnd w:id="20"/>
      <w:bookmarkEnd w:id="21"/>
    </w:p>
    <w:p>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我单位是一个独立核算单位，纳入2021年度部门决算汇编的独立核算单位共1个，占单位总数的100%；上年比较无增减。</w:t>
      </w:r>
    </w:p>
    <w:p>
      <w:pPr>
        <w:pStyle w:val="2"/>
        <w:ind w:right="440"/>
        <w:jc w:val="right"/>
        <w:rPr>
          <w:rStyle w:val="25"/>
          <w:rFonts w:hint="default" w:ascii="Times New Roman" w:hAnsi="Times New Roman" w:eastAsia="黑体" w:cs="Times New Roman"/>
          <w:b w:val="0"/>
          <w:bCs w:val="0"/>
        </w:rPr>
      </w:pPr>
      <w:bookmarkStart w:id="22" w:name="_Toc15396602"/>
      <w:bookmarkStart w:id="23" w:name="_Toc15377204"/>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5"/>
          <w:rFonts w:hint="default" w:ascii="Times New Roman" w:hAnsi="Times New Roman" w:eastAsia="黑体" w:cs="Times New Roman"/>
          <w:b w:val="0"/>
          <w:bCs w:val="0"/>
        </w:rPr>
        <w:t>2021年度部门决算情况说明</w:t>
      </w:r>
      <w:bookmarkEnd w:id="22"/>
      <w:bookmarkEnd w:id="23"/>
    </w:p>
    <w:p>
      <w:pPr>
        <w:rPr>
          <w:rFonts w:hint="default" w:ascii="Times New Roman" w:hAnsi="Times New Roman" w:cs="Times New Roman"/>
        </w:rPr>
      </w:pPr>
    </w:p>
    <w:p>
      <w:pPr>
        <w:pStyle w:val="24"/>
        <w:spacing w:line="600" w:lineRule="exact"/>
        <w:ind w:firstLine="640"/>
        <w:outlineLvl w:val="1"/>
        <w:rPr>
          <w:rStyle w:val="26"/>
          <w:rFonts w:hint="default" w:ascii="Times New Roman" w:hAnsi="Times New Roman" w:eastAsia="黑体" w:cs="Times New Roman"/>
          <w:b w:val="0"/>
        </w:rPr>
      </w:pPr>
      <w:bookmarkStart w:id="24" w:name="_Toc15396603"/>
      <w:bookmarkStart w:id="25" w:name="_Toc15377205"/>
      <w:r>
        <w:rPr>
          <w:rFonts w:hint="default" w:ascii="Times New Roman" w:hAnsi="Times New Roman" w:eastAsia="黑体" w:cs="Times New Roman"/>
          <w:color w:val="000000"/>
          <w:sz w:val="32"/>
          <w:szCs w:val="32"/>
        </w:rPr>
        <w:t>一、收</w:t>
      </w:r>
      <w:r>
        <w:rPr>
          <w:rStyle w:val="26"/>
          <w:rFonts w:hint="default" w:ascii="Times New Roman" w:hAnsi="Times New Roman" w:eastAsia="黑体" w:cs="Times New Roman"/>
          <w:b w:val="0"/>
        </w:rPr>
        <w:t>入支出决算总体情况说明</w:t>
      </w:r>
      <w:bookmarkEnd w:id="24"/>
      <w:bookmarkEnd w:id="25"/>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2021年度收入643.62万元、支出643.62万元。与2020年相比，收、支总计各增加29.1万元，上升4.74%。主要变动原因是项目工程增加。</w:t>
      </w:r>
    </w:p>
    <w:p>
      <w:pPr>
        <w:spacing w:line="60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（图1：收、支决算总计变动情况图）（柱状图）</w:t>
      </w:r>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drawing>
          <wp:anchor distT="0" distB="0" distL="114300" distR="114300" simplePos="0" relativeHeight="251659264" behindDoc="0" locked="0" layoutInCell="1" allowOverlap="1">
            <wp:simplePos x="0" y="0"/>
            <wp:positionH relativeFrom="column">
              <wp:posOffset>483235</wp:posOffset>
            </wp:positionH>
            <wp:positionV relativeFrom="paragraph">
              <wp:posOffset>38735</wp:posOffset>
            </wp:positionV>
            <wp:extent cx="3976370" cy="1371600"/>
            <wp:effectExtent l="0" t="0" r="0" b="0"/>
            <wp:wrapNone/>
            <wp:docPr id="9" name="对象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left"/>
        <w:rPr>
          <w:rFonts w:hint="default" w:ascii="Times New Roman" w:hAnsi="Times New Roman" w:eastAsia="仿宋_GB2312" w:cs="Times New Roman"/>
          <w:color w:val="000000"/>
          <w:sz w:val="32"/>
          <w:szCs w:val="32"/>
        </w:rPr>
      </w:pPr>
    </w:p>
    <w:p>
      <w:pPr>
        <w:spacing w:line="600" w:lineRule="exact"/>
        <w:ind w:firstLine="640" w:firstLineChars="200"/>
        <w:jc w:val="left"/>
        <w:rPr>
          <w:rFonts w:hint="default" w:ascii="Times New Roman" w:hAnsi="Times New Roman" w:eastAsia="仿宋_GB2312" w:cs="Times New Roman"/>
          <w:color w:val="000000"/>
          <w:sz w:val="32"/>
          <w:szCs w:val="32"/>
        </w:rPr>
      </w:pPr>
    </w:p>
    <w:p>
      <w:pPr>
        <w:pStyle w:val="24"/>
        <w:spacing w:line="600" w:lineRule="exact"/>
        <w:ind w:left="640" w:firstLine="0" w:firstLineChars="0"/>
        <w:outlineLvl w:val="1"/>
        <w:rPr>
          <w:rFonts w:hint="default" w:ascii="Times New Roman" w:hAnsi="Times New Roman" w:eastAsia="黑体" w:cs="Times New Roman"/>
          <w:color w:val="000000"/>
          <w:sz w:val="32"/>
          <w:szCs w:val="32"/>
        </w:rPr>
      </w:pPr>
      <w:bookmarkStart w:id="26" w:name="_Toc15377206"/>
      <w:bookmarkStart w:id="27" w:name="_Toc15396604"/>
    </w:p>
    <w:p>
      <w:pPr>
        <w:pStyle w:val="24"/>
        <w:spacing w:line="600" w:lineRule="exact"/>
        <w:ind w:left="640" w:firstLine="0" w:firstLineChars="0"/>
        <w:outlineLvl w:val="1"/>
        <w:rPr>
          <w:rStyle w:val="26"/>
          <w:rFonts w:hint="default" w:ascii="Times New Roman" w:hAnsi="Times New Roman" w:eastAsia="黑体" w:cs="Times New Roman"/>
          <w:b w:val="0"/>
        </w:rPr>
      </w:pPr>
      <w:r>
        <w:rPr>
          <w:rFonts w:hint="default" w:ascii="Times New Roman" w:hAnsi="Times New Roman" w:eastAsia="黑体" w:cs="Times New Roman"/>
          <w:color w:val="000000"/>
          <w:sz w:val="32"/>
          <w:szCs w:val="32"/>
        </w:rPr>
        <w:t>二、收</w:t>
      </w:r>
      <w:r>
        <w:rPr>
          <w:rStyle w:val="26"/>
          <w:rFonts w:hint="default" w:ascii="Times New Roman" w:hAnsi="Times New Roman" w:eastAsia="黑体" w:cs="Times New Roman"/>
          <w:b w:val="0"/>
        </w:rPr>
        <w:t>入决算情况说明</w:t>
      </w:r>
      <w:bookmarkEnd w:id="26"/>
      <w:bookmarkEnd w:id="27"/>
    </w:p>
    <w:p>
      <w:pPr>
        <w:spacing w:line="60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2021年本年收入合计643.62万元，其中：一般公共预算财政拨款收入84.82万元，占13.18%；政府性基金预算财政拨款收入558.8万元，占86.82%；</w:t>
      </w:r>
      <w:r>
        <w:rPr>
          <w:rFonts w:hint="default" w:ascii="Times New Roman" w:hAnsi="Times New Roman" w:eastAsia="仿宋" w:cs="Times New Roman"/>
          <w:color w:val="000000" w:themeColor="text1"/>
          <w:sz w:val="32"/>
          <w:szCs w:val="32"/>
        </w:rPr>
        <w:t>上级补助收入0</w:t>
      </w:r>
      <w:r>
        <w:rPr>
          <w:rFonts w:hint="default" w:ascii="Times New Roman" w:hAnsi="Times New Roman" w:eastAsia="仿宋" w:cs="Times New Roman"/>
          <w:color w:val="000000"/>
          <w:sz w:val="32"/>
          <w:szCs w:val="32"/>
        </w:rPr>
        <w:t>万元，占0%；事业收入0万元，占0%；经营收入0万元，占0%；附属单位上缴收入0万元，占0%；其他收入0万元，占0%。</w:t>
      </w:r>
    </w:p>
    <w:p>
      <w:pPr>
        <w:spacing w:line="600" w:lineRule="exact"/>
        <w:ind w:firstLine="1280" w:firstLineChars="4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（图2：收入决算结构图）（饼状图）</w:t>
      </w:r>
    </w:p>
    <w:p>
      <w:pPr>
        <w:spacing w:line="60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76200</wp:posOffset>
            </wp:positionV>
            <wp:extent cx="5305425" cy="1209675"/>
            <wp:effectExtent l="0" t="0" r="0" b="0"/>
            <wp:wrapNone/>
            <wp:docPr id="10" name="对象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hint="default" w:ascii="Times New Roman" w:hAnsi="Times New Roman" w:eastAsia="仿宋" w:cs="Times New Roman"/>
          <w:color w:val="000000"/>
          <w:sz w:val="32"/>
          <w:szCs w:val="32"/>
        </w:rPr>
      </w:pPr>
    </w:p>
    <w:p>
      <w:pPr>
        <w:spacing w:line="600" w:lineRule="exact"/>
        <w:ind w:firstLine="640" w:firstLineChars="200"/>
        <w:outlineLvl w:val="1"/>
        <w:rPr>
          <w:rFonts w:hint="default" w:ascii="Times New Roman" w:hAnsi="Times New Roman" w:eastAsia="仿宋" w:cs="Times New Roman"/>
          <w:color w:val="000000"/>
          <w:sz w:val="32"/>
          <w:szCs w:val="32"/>
        </w:rPr>
      </w:pPr>
    </w:p>
    <w:p>
      <w:pPr>
        <w:spacing w:line="600" w:lineRule="exact"/>
        <w:ind w:firstLine="640" w:firstLineChars="200"/>
        <w:outlineLvl w:val="1"/>
        <w:rPr>
          <w:rFonts w:hint="default" w:ascii="Times New Roman" w:hAnsi="Times New Roman" w:eastAsia="仿宋" w:cs="Times New Roman"/>
          <w:color w:val="000000"/>
          <w:sz w:val="32"/>
          <w:szCs w:val="32"/>
        </w:rPr>
      </w:pPr>
    </w:p>
    <w:p>
      <w:pPr>
        <w:pStyle w:val="24"/>
        <w:spacing w:line="600" w:lineRule="exact"/>
        <w:ind w:left="640" w:firstLine="0" w:firstLineChars="0"/>
        <w:outlineLvl w:val="1"/>
        <w:rPr>
          <w:rStyle w:val="26"/>
          <w:rFonts w:hint="default" w:ascii="Times New Roman" w:hAnsi="Times New Roman" w:eastAsia="黑体" w:cs="Times New Roman"/>
          <w:b w:val="0"/>
        </w:rPr>
      </w:pPr>
      <w:bookmarkStart w:id="28" w:name="_Toc15396605"/>
      <w:bookmarkStart w:id="29" w:name="_Toc15377207"/>
      <w:r>
        <w:rPr>
          <w:rFonts w:hint="default" w:ascii="Times New Roman" w:hAnsi="Times New Roman" w:eastAsia="黑体" w:cs="Times New Roman"/>
          <w:color w:val="000000"/>
          <w:sz w:val="32"/>
          <w:szCs w:val="32"/>
        </w:rPr>
        <w:t>三、支</w:t>
      </w:r>
      <w:r>
        <w:rPr>
          <w:rStyle w:val="26"/>
          <w:rFonts w:hint="default" w:ascii="Times New Roman" w:hAnsi="Times New Roman" w:eastAsia="黑体" w:cs="Times New Roman"/>
          <w:b w:val="0"/>
        </w:rPr>
        <w:t>出决算情况说明</w:t>
      </w:r>
      <w:bookmarkEnd w:id="28"/>
      <w:bookmarkEnd w:id="29"/>
    </w:p>
    <w:p>
      <w:pPr>
        <w:spacing w:line="600" w:lineRule="exact"/>
        <w:ind w:firstLine="640"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2021年本年支出合计643.62万元，其中：基本支出84.82万元，占13.18%；项目支出558.8万元，占86.82%；上缴上级支出0万元，占0%；经营支出0万元，占0%；对附属单位补助支出0万元，占0%。</w:t>
      </w:r>
    </w:p>
    <w:p>
      <w:pPr>
        <w:spacing w:line="600" w:lineRule="exact"/>
        <w:jc w:val="center"/>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（图3：支出决算结构图）（饼状图）</w:t>
      </w:r>
    </w:p>
    <w:p>
      <w:pPr>
        <w:spacing w:line="60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drawing>
          <wp:anchor distT="0" distB="0" distL="114300" distR="114300" simplePos="0" relativeHeight="251661312" behindDoc="0" locked="0" layoutInCell="1" allowOverlap="1">
            <wp:simplePos x="0" y="0"/>
            <wp:positionH relativeFrom="column">
              <wp:posOffset>323850</wp:posOffset>
            </wp:positionH>
            <wp:positionV relativeFrom="paragraph">
              <wp:posOffset>219075</wp:posOffset>
            </wp:positionV>
            <wp:extent cx="4724400" cy="1238250"/>
            <wp:effectExtent l="0" t="0" r="0" b="0"/>
            <wp:wrapNone/>
            <wp:docPr id="12" name="对象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default" w:ascii="Times New Roman" w:hAnsi="Times New Roman" w:eastAsia="仿宋" w:cs="Times New Roman"/>
          <w:color w:val="000000" w:themeColor="text1"/>
          <w:sz w:val="32"/>
          <w:szCs w:val="32"/>
          <w:highlight w:val="yellow"/>
        </w:rPr>
      </w:pPr>
    </w:p>
    <w:p>
      <w:pPr>
        <w:spacing w:line="600" w:lineRule="exact"/>
        <w:ind w:firstLine="640" w:firstLineChars="200"/>
        <w:rPr>
          <w:rFonts w:hint="default" w:ascii="Times New Roman" w:hAnsi="Times New Roman" w:eastAsia="仿宋" w:cs="Times New Roman"/>
          <w:color w:val="000000" w:themeColor="text1"/>
          <w:sz w:val="32"/>
          <w:szCs w:val="32"/>
          <w:highlight w:val="yellow"/>
        </w:rPr>
      </w:pPr>
    </w:p>
    <w:p>
      <w:pPr>
        <w:spacing w:line="600" w:lineRule="exact"/>
        <w:ind w:firstLine="640" w:firstLineChars="200"/>
        <w:rPr>
          <w:rFonts w:hint="default" w:ascii="Times New Roman" w:hAnsi="Times New Roman" w:eastAsia="仿宋" w:cs="Times New Roman"/>
          <w:color w:val="000000" w:themeColor="text1"/>
          <w:sz w:val="32"/>
          <w:szCs w:val="32"/>
          <w:highlight w:val="yellow"/>
        </w:rPr>
      </w:pPr>
    </w:p>
    <w:p>
      <w:pPr>
        <w:spacing w:line="600" w:lineRule="exact"/>
        <w:ind w:firstLine="640" w:firstLineChars="200"/>
        <w:outlineLvl w:val="1"/>
        <w:rPr>
          <w:rStyle w:val="26"/>
          <w:rFonts w:hint="default" w:ascii="Times New Roman" w:hAnsi="Times New Roman" w:eastAsia="黑体" w:cs="Times New Roman"/>
          <w:b w:val="0"/>
        </w:rPr>
      </w:pPr>
      <w:bookmarkStart w:id="30" w:name="_Toc15396606"/>
      <w:bookmarkStart w:id="31" w:name="_Toc15377208"/>
      <w:r>
        <w:rPr>
          <w:rFonts w:hint="default" w:ascii="Times New Roman" w:hAnsi="Times New Roman" w:eastAsia="黑体" w:cs="Times New Roman"/>
          <w:color w:val="000000"/>
          <w:sz w:val="32"/>
          <w:szCs w:val="32"/>
        </w:rPr>
        <w:t>四、财</w:t>
      </w:r>
      <w:r>
        <w:rPr>
          <w:rStyle w:val="26"/>
          <w:rFonts w:hint="default" w:ascii="Times New Roman" w:hAnsi="Times New Roman" w:eastAsia="黑体" w:cs="Times New Roman"/>
          <w:b w:val="0"/>
        </w:rPr>
        <w:t>政拨款收入支出决算总体情况说明</w:t>
      </w:r>
      <w:bookmarkEnd w:id="30"/>
      <w:bookmarkEnd w:id="31"/>
    </w:p>
    <w:p>
      <w:pPr>
        <w:spacing w:line="600" w:lineRule="exact"/>
        <w:ind w:firstLine="640"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2021年财政拨款收、支总计643.62万元。与2020年相比，财政拨款收、支总计各增加29.1万元，上升4.74%。主要变动原因是项目工程增加。</w:t>
      </w:r>
    </w:p>
    <w:p>
      <w:pPr>
        <w:spacing w:line="600" w:lineRule="exact"/>
        <w:jc w:val="center"/>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161925</wp:posOffset>
            </wp:positionV>
            <wp:extent cx="5600700" cy="1914525"/>
            <wp:effectExtent l="0" t="0" r="0" b="0"/>
            <wp:wrapNone/>
            <wp:docPr id="14" name="对象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 w:cs="Times New Roman"/>
          <w:color w:val="000000" w:themeColor="text1"/>
          <w:sz w:val="32"/>
          <w:szCs w:val="32"/>
        </w:rPr>
        <w:t>（图4：财政拨款收、支决算总计变动情况）（柱状图）</w:t>
      </w:r>
    </w:p>
    <w:p>
      <w:pPr>
        <w:spacing w:line="600" w:lineRule="exact"/>
        <w:ind w:firstLine="640"/>
        <w:rPr>
          <w:rFonts w:hint="default" w:ascii="Times New Roman" w:hAnsi="Times New Roman" w:eastAsia="仿宋" w:cs="Times New Roman"/>
          <w:color w:val="000000"/>
          <w:sz w:val="32"/>
          <w:szCs w:val="32"/>
        </w:rPr>
      </w:pPr>
    </w:p>
    <w:p>
      <w:pPr>
        <w:spacing w:line="600" w:lineRule="exact"/>
        <w:rPr>
          <w:rFonts w:hint="default" w:ascii="Times New Roman" w:hAnsi="Times New Roman" w:eastAsia="仿宋" w:cs="Times New Roman"/>
          <w:color w:val="000000"/>
          <w:sz w:val="32"/>
          <w:szCs w:val="32"/>
        </w:rPr>
      </w:pPr>
    </w:p>
    <w:p>
      <w:pPr>
        <w:spacing w:line="600" w:lineRule="exact"/>
        <w:rPr>
          <w:rFonts w:hint="default" w:ascii="Times New Roman" w:hAnsi="Times New Roman" w:eastAsia="仿宋" w:cs="Times New Roman"/>
          <w:color w:val="000000"/>
          <w:sz w:val="32"/>
          <w:szCs w:val="32"/>
        </w:rPr>
      </w:pPr>
    </w:p>
    <w:p>
      <w:pPr>
        <w:spacing w:line="600" w:lineRule="exact"/>
        <w:rPr>
          <w:rFonts w:hint="default" w:ascii="Times New Roman" w:hAnsi="Times New Roman" w:eastAsia="仿宋" w:cs="Times New Roman"/>
          <w:b/>
          <w:color w:val="00B050"/>
          <w:sz w:val="32"/>
          <w:szCs w:val="32"/>
        </w:rPr>
      </w:pPr>
    </w:p>
    <w:p>
      <w:pPr>
        <w:spacing w:line="600" w:lineRule="exact"/>
        <w:ind w:firstLine="640" w:firstLineChars="200"/>
        <w:outlineLvl w:val="1"/>
        <w:rPr>
          <w:rStyle w:val="26"/>
          <w:rFonts w:hint="default" w:ascii="Times New Roman" w:hAnsi="Times New Roman" w:eastAsia="黑体" w:cs="Times New Roman"/>
          <w:b w:val="0"/>
        </w:rPr>
      </w:pPr>
      <w:bookmarkStart w:id="32" w:name="_Toc15377209"/>
      <w:bookmarkStart w:id="33" w:name="_Toc15396607"/>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6"/>
          <w:rFonts w:hint="default" w:ascii="Times New Roman" w:hAnsi="Times New Roman" w:eastAsia="黑体" w:cs="Times New Roman"/>
          <w:b w:val="0"/>
        </w:rPr>
        <w:t>般公共预算财政拨款支出决算情况说明</w:t>
      </w:r>
      <w:bookmarkEnd w:id="32"/>
      <w:bookmarkEnd w:id="33"/>
    </w:p>
    <w:p>
      <w:pPr>
        <w:spacing w:line="600" w:lineRule="exact"/>
        <w:ind w:firstLine="643" w:firstLineChars="200"/>
        <w:outlineLvl w:val="2"/>
        <w:rPr>
          <w:rFonts w:hint="default" w:ascii="Times New Roman" w:hAnsi="Times New Roman" w:eastAsia="仿宋" w:cs="Times New Roman"/>
          <w:b/>
          <w:color w:val="000000"/>
          <w:sz w:val="32"/>
          <w:szCs w:val="32"/>
        </w:rPr>
      </w:pPr>
      <w:bookmarkStart w:id="34" w:name="_Toc15377210"/>
      <w:r>
        <w:rPr>
          <w:rFonts w:hint="default" w:ascii="Times New Roman" w:hAnsi="Times New Roman" w:eastAsia="仿宋" w:cs="Times New Roman"/>
          <w:b/>
          <w:color w:val="000000"/>
          <w:sz w:val="32"/>
          <w:szCs w:val="32"/>
        </w:rPr>
        <w:t>（一）一般公共预算财政拨款支出决算总体情况</w:t>
      </w:r>
      <w:bookmarkEnd w:id="34"/>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2021年一般公共预算财政拨款支出84.82万元，占本年支出合计的13.18%。与2020年相比，一般公共预算财政拨款增加25.2万元，上升42.27%。主要变动原因是工作人员增加。</w:t>
      </w:r>
    </w:p>
    <w:p>
      <w:pPr>
        <w:spacing w:line="600" w:lineRule="exact"/>
        <w:jc w:val="center"/>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drawing>
          <wp:anchor distT="0" distB="0" distL="114300" distR="114300" simplePos="0" relativeHeight="251663360" behindDoc="0" locked="0" layoutInCell="1" allowOverlap="1">
            <wp:simplePos x="0" y="0"/>
            <wp:positionH relativeFrom="column">
              <wp:posOffset>182245</wp:posOffset>
            </wp:positionH>
            <wp:positionV relativeFrom="paragraph">
              <wp:posOffset>351790</wp:posOffset>
            </wp:positionV>
            <wp:extent cx="5103495" cy="1499235"/>
            <wp:effectExtent l="0" t="0" r="0" b="0"/>
            <wp:wrapNone/>
            <wp:docPr id="43" name="对象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 w:cs="Times New Roman"/>
          <w:color w:val="000000" w:themeColor="text1"/>
          <w:sz w:val="32"/>
          <w:szCs w:val="32"/>
        </w:rPr>
        <w:t>（图5：一般公共预算财政拨款支出决算变动情况）（柱状图）</w:t>
      </w:r>
    </w:p>
    <w:p>
      <w:pPr>
        <w:pStyle w:val="5"/>
        <w:rPr>
          <w:rFonts w:hint="default" w:ascii="Times New Roman" w:hAnsi="Times New Roman" w:eastAsia="仿宋" w:cs="Times New Roman"/>
          <w:color w:val="000000" w:themeColor="text1"/>
          <w:sz w:val="32"/>
          <w:szCs w:val="32"/>
        </w:rPr>
      </w:pPr>
    </w:p>
    <w:p>
      <w:pPr>
        <w:pStyle w:val="5"/>
        <w:rPr>
          <w:rFonts w:hint="default" w:ascii="Times New Roman" w:hAnsi="Times New Roman" w:eastAsia="仿宋" w:cs="Times New Roman"/>
          <w:color w:val="000000" w:themeColor="text1"/>
          <w:sz w:val="32"/>
          <w:szCs w:val="32"/>
        </w:rPr>
      </w:pP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35" w:name="_Toc15377211"/>
    </w:p>
    <w:p>
      <w:pPr>
        <w:spacing w:line="600" w:lineRule="exact"/>
        <w:ind w:firstLine="643" w:firstLineChars="200"/>
        <w:outlineLvl w:val="2"/>
        <w:rPr>
          <w:rFonts w:hint="default" w:ascii="Times New Roman" w:hAnsi="Times New Roman" w:eastAsia="仿宋" w:cs="Times New Roman"/>
          <w:b/>
          <w:color w:val="000000"/>
          <w:sz w:val="32"/>
          <w:szCs w:val="32"/>
        </w:rPr>
      </w:pPr>
    </w:p>
    <w:p>
      <w:pPr>
        <w:spacing w:line="600" w:lineRule="exact"/>
        <w:ind w:firstLine="643" w:firstLineChars="200"/>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（二）一般公共预算财政拨款支出决算结构情况</w:t>
      </w:r>
      <w:bookmarkEnd w:id="35"/>
    </w:p>
    <w:p>
      <w:pPr>
        <w:spacing w:line="600" w:lineRule="exact"/>
        <w:ind w:firstLine="64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sz w:val="32"/>
          <w:szCs w:val="32"/>
        </w:rPr>
        <w:t>2021年一般公共预算财</w:t>
      </w:r>
      <w:r>
        <w:rPr>
          <w:rFonts w:hint="default" w:ascii="Times New Roman" w:hAnsi="Times New Roman" w:eastAsia="仿宋" w:cs="Times New Roman"/>
          <w:color w:val="000000" w:themeColor="text1"/>
          <w:sz w:val="32"/>
          <w:szCs w:val="32"/>
        </w:rPr>
        <w:t>政拨款支出84.82万元，主要用于以下方面:</w:t>
      </w:r>
      <w:r>
        <w:rPr>
          <w:rFonts w:hint="default" w:ascii="Times New Roman" w:hAnsi="Times New Roman" w:eastAsia="仿宋" w:cs="Times New Roman"/>
          <w:sz w:val="32"/>
          <w:szCs w:val="32"/>
        </w:rPr>
        <w:t xml:space="preserve"> 社会保障和就业（类）行政事业单位离退休（款）机关事业单位基本养老保险缴费支出（项）,</w:t>
      </w:r>
      <w:r>
        <w:rPr>
          <w:rFonts w:hint="default" w:ascii="Times New Roman" w:hAnsi="Times New Roman" w:eastAsia="仿宋" w:cs="Times New Roman"/>
          <w:color w:val="000000" w:themeColor="text1"/>
          <w:sz w:val="32"/>
          <w:szCs w:val="32"/>
        </w:rPr>
        <w:t>支出4.93万元，占5.81%；</w:t>
      </w:r>
      <w:r>
        <w:rPr>
          <w:rFonts w:hint="default" w:ascii="Times New Roman" w:hAnsi="Times New Roman" w:eastAsia="仿宋" w:cs="Times New Roman"/>
          <w:bCs/>
          <w:color w:val="000000" w:themeColor="text1"/>
          <w:sz w:val="32"/>
          <w:szCs w:val="32"/>
        </w:rPr>
        <w:t>卫生健康支出</w:t>
      </w:r>
      <w:r>
        <w:rPr>
          <w:rFonts w:hint="default" w:ascii="Times New Roman" w:hAnsi="Times New Roman" w:eastAsia="仿宋" w:cs="Times New Roman"/>
          <w:sz w:val="32"/>
          <w:szCs w:val="32"/>
        </w:rPr>
        <w:t>（类）</w:t>
      </w:r>
      <w:r>
        <w:rPr>
          <w:rStyle w:val="14"/>
          <w:rFonts w:hint="default" w:ascii="Times New Roman" w:hAnsi="Times New Roman" w:eastAsia="仿宋" w:cs="Times New Roman"/>
          <w:b w:val="0"/>
          <w:color w:val="000000"/>
          <w:sz w:val="32"/>
          <w:szCs w:val="32"/>
        </w:rPr>
        <w:t>行政事业单位医疗（款）事业单位医疗（项）：支出决算为3.63万元，</w:t>
      </w:r>
      <w:r>
        <w:rPr>
          <w:rFonts w:hint="default" w:ascii="Times New Roman" w:hAnsi="Times New Roman" w:eastAsia="仿宋" w:cs="Times New Roman"/>
          <w:color w:val="000000"/>
          <w:sz w:val="32"/>
          <w:szCs w:val="32"/>
        </w:rPr>
        <w:t>占4.28%；</w:t>
      </w:r>
      <w:r>
        <w:rPr>
          <w:rStyle w:val="14"/>
          <w:rFonts w:hint="default" w:ascii="Times New Roman" w:hAnsi="Times New Roman" w:eastAsia="仿宋" w:cs="Times New Roman"/>
          <w:b w:val="0"/>
          <w:color w:val="000000"/>
          <w:sz w:val="32"/>
          <w:szCs w:val="32"/>
        </w:rPr>
        <w:t>住房保障支出（类）住房改革支出（款） 住房公积金（项）,</w:t>
      </w:r>
      <w:r>
        <w:rPr>
          <w:rFonts w:hint="default" w:ascii="Times New Roman" w:hAnsi="Times New Roman" w:eastAsia="仿宋" w:cs="Times New Roman"/>
          <w:color w:val="000000" w:themeColor="text1"/>
          <w:sz w:val="32"/>
          <w:szCs w:val="32"/>
        </w:rPr>
        <w:t>支出6.54万元，占7.71%；自然资源海洋气象</w:t>
      </w:r>
      <w:r>
        <w:rPr>
          <w:rFonts w:hint="default" w:ascii="Times New Roman" w:hAnsi="Times New Roman" w:eastAsia="仿宋" w:cs="Times New Roman"/>
          <w:sz w:val="32"/>
          <w:szCs w:val="32"/>
        </w:rPr>
        <w:t>（类）</w:t>
      </w:r>
      <w:r>
        <w:rPr>
          <w:rFonts w:hint="default" w:ascii="Times New Roman" w:hAnsi="Times New Roman" w:eastAsia="仿宋" w:cs="Times New Roman"/>
          <w:color w:val="000000" w:themeColor="text1"/>
          <w:sz w:val="32"/>
          <w:szCs w:val="32"/>
        </w:rPr>
        <w:t>自然</w:t>
      </w:r>
      <w:r>
        <w:rPr>
          <w:rFonts w:hint="default" w:ascii="Times New Roman" w:hAnsi="Times New Roman" w:eastAsia="仿宋" w:cs="Times New Roman"/>
          <w:sz w:val="32"/>
          <w:szCs w:val="32"/>
        </w:rPr>
        <w:t>资源事务（款）事业运行（项）</w:t>
      </w:r>
      <w:r>
        <w:rPr>
          <w:rFonts w:hint="default" w:ascii="Times New Roman" w:hAnsi="Times New Roman" w:eastAsia="仿宋" w:cs="Times New Roman"/>
          <w:color w:val="000000" w:themeColor="text1"/>
          <w:sz w:val="32"/>
          <w:szCs w:val="32"/>
        </w:rPr>
        <w:t>支出69.72万元，占82.20%。</w:t>
      </w:r>
    </w:p>
    <w:p>
      <w:pPr>
        <w:spacing w:line="6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（图6：一般公共预算财政拨款支出决算结构）（饼状图）</w:t>
      </w:r>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drawing>
          <wp:anchor distT="0" distB="0" distL="114300" distR="114300" simplePos="0" relativeHeight="251664384" behindDoc="0" locked="0" layoutInCell="1" allowOverlap="1">
            <wp:simplePos x="0" y="0"/>
            <wp:positionH relativeFrom="column">
              <wp:posOffset>-125095</wp:posOffset>
            </wp:positionH>
            <wp:positionV relativeFrom="paragraph">
              <wp:posOffset>257175</wp:posOffset>
            </wp:positionV>
            <wp:extent cx="5276850" cy="1885950"/>
            <wp:effectExtent l="0" t="0" r="0" b="0"/>
            <wp:wrapNone/>
            <wp:docPr id="46" name="对象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36" w:name="_Toc15377212"/>
      <w:r>
        <w:rPr>
          <w:rFonts w:hint="default" w:ascii="Times New Roman" w:hAnsi="Times New Roman" w:eastAsia="仿宋" w:cs="Times New Roman"/>
          <w:b/>
          <w:color w:val="000000"/>
          <w:sz w:val="32"/>
          <w:szCs w:val="32"/>
        </w:rPr>
        <w:t>（三）一般公共预算财政拨款支出决算具体情况</w:t>
      </w:r>
      <w:bookmarkEnd w:id="36"/>
    </w:p>
    <w:p>
      <w:pPr>
        <w:spacing w:line="600" w:lineRule="exact"/>
        <w:ind w:firstLine="643" w:firstLineChars="200"/>
        <w:outlineLvl w:val="2"/>
        <w:rPr>
          <w:rFonts w:hint="default" w:ascii="Times New Roman" w:hAnsi="Times New Roman" w:eastAsia="仿宋" w:cs="Times New Roman"/>
          <w:color w:val="FF0000"/>
          <w:sz w:val="32"/>
          <w:szCs w:val="32"/>
        </w:rPr>
      </w:pPr>
      <w:bookmarkStart w:id="37" w:name="_Toc15378460"/>
      <w:bookmarkStart w:id="38" w:name="_Toc15377213"/>
      <w:bookmarkStart w:id="39" w:name="_Toc15377444"/>
      <w:r>
        <w:rPr>
          <w:rFonts w:hint="default" w:ascii="Times New Roman" w:hAnsi="Times New Roman" w:eastAsia="仿宋" w:cs="Times New Roman"/>
          <w:b/>
          <w:color w:val="000000" w:themeColor="text1"/>
          <w:sz w:val="32"/>
          <w:szCs w:val="32"/>
        </w:rPr>
        <w:t>2021年般公共预算支出决算数为84.82万元</w:t>
      </w:r>
      <w:r>
        <w:rPr>
          <w:rFonts w:hint="default" w:ascii="Times New Roman" w:hAnsi="Times New Roman" w:eastAsia="仿宋" w:cs="Times New Roman"/>
          <w:color w:val="000000" w:themeColor="text1"/>
          <w:sz w:val="32"/>
          <w:szCs w:val="32"/>
        </w:rPr>
        <w:t>，</w:t>
      </w:r>
      <w:r>
        <w:rPr>
          <w:rStyle w:val="14"/>
          <w:rFonts w:hint="default" w:ascii="Times New Roman" w:hAnsi="Times New Roman" w:eastAsia="仿宋" w:cs="Times New Roman"/>
          <w:bCs/>
          <w:color w:val="000000" w:themeColor="text1"/>
          <w:sz w:val="32"/>
          <w:szCs w:val="32"/>
        </w:rPr>
        <w:t>完成</w:t>
      </w:r>
      <w:r>
        <w:rPr>
          <w:rStyle w:val="14"/>
          <w:rFonts w:hint="default" w:ascii="Times New Roman" w:hAnsi="Times New Roman" w:eastAsia="仿宋" w:cs="Times New Roman"/>
          <w:bCs/>
          <w:color w:val="000000"/>
          <w:sz w:val="32"/>
          <w:szCs w:val="32"/>
        </w:rPr>
        <w:t>预算100%。其中：</w:t>
      </w:r>
      <w:bookmarkEnd w:id="37"/>
      <w:bookmarkEnd w:id="38"/>
      <w:bookmarkEnd w:id="39"/>
    </w:p>
    <w:p>
      <w:pPr>
        <w:spacing w:line="600" w:lineRule="exact"/>
        <w:ind w:firstLine="640" w:firstLineChars="200"/>
        <w:rPr>
          <w:rFonts w:hint="default" w:ascii="Times New Roman" w:hAnsi="Times New Roman" w:eastAsia="仿宋" w:cs="Times New Roman"/>
          <w:b/>
          <w:sz w:val="32"/>
          <w:szCs w:val="32"/>
        </w:rPr>
      </w:pPr>
      <w:r>
        <w:rPr>
          <w:rStyle w:val="14"/>
          <w:rFonts w:hint="default" w:ascii="Times New Roman" w:hAnsi="Times New Roman" w:eastAsia="仿宋" w:cs="Times New Roman"/>
          <w:b w:val="0"/>
          <w:bCs/>
          <w:sz w:val="32"/>
          <w:szCs w:val="32"/>
        </w:rPr>
        <w:t>1.</w:t>
      </w:r>
      <w:r>
        <w:rPr>
          <w:rFonts w:hint="default" w:ascii="Times New Roman" w:hAnsi="Times New Roman" w:eastAsia="仿宋" w:cs="Times New Roman"/>
          <w:sz w:val="32"/>
          <w:szCs w:val="32"/>
        </w:rPr>
        <w:t>社会保障和就业（类）行政事业单位离退休（款）机关事业单位基本养老保险缴费支出（项）,支出</w:t>
      </w:r>
      <w:r>
        <w:rPr>
          <w:rFonts w:hint="default" w:ascii="Times New Roman" w:hAnsi="Times New Roman" w:eastAsia="仿宋" w:cs="Times New Roman"/>
          <w:color w:val="000000" w:themeColor="text1"/>
          <w:sz w:val="32"/>
          <w:szCs w:val="32"/>
        </w:rPr>
        <w:t>4.93</w:t>
      </w:r>
      <w:r>
        <w:rPr>
          <w:rFonts w:hint="default" w:ascii="Times New Roman" w:hAnsi="Times New Roman" w:eastAsia="仿宋" w:cs="Times New Roman"/>
          <w:sz w:val="32"/>
          <w:szCs w:val="32"/>
        </w:rPr>
        <w:t>万元</w:t>
      </w:r>
      <w:r>
        <w:rPr>
          <w:rStyle w:val="14"/>
          <w:rFonts w:hint="default" w:ascii="Times New Roman" w:hAnsi="Times New Roman" w:eastAsia="仿宋" w:cs="Times New Roman"/>
          <w:bCs/>
          <w:sz w:val="32"/>
          <w:szCs w:val="32"/>
        </w:rPr>
        <w:t>，</w:t>
      </w:r>
      <w:r>
        <w:rPr>
          <w:rStyle w:val="14"/>
          <w:rFonts w:hint="default" w:ascii="Times New Roman" w:hAnsi="Times New Roman" w:eastAsia="仿宋" w:cs="Times New Roman"/>
          <w:b w:val="0"/>
          <w:bCs/>
          <w:sz w:val="32"/>
          <w:szCs w:val="32"/>
        </w:rPr>
        <w:t>完成预算100%，决算数持平预算数。</w:t>
      </w:r>
    </w:p>
    <w:p>
      <w:pPr>
        <w:spacing w:line="600" w:lineRule="exact"/>
        <w:ind w:firstLine="640" w:firstLineChars="200"/>
        <w:rPr>
          <w:rStyle w:val="14"/>
          <w:rFonts w:hint="default" w:ascii="Times New Roman" w:hAnsi="Times New Roman" w:eastAsia="仿宋" w:cs="Times New Roman"/>
          <w:b w:val="0"/>
          <w:bCs/>
          <w:color w:val="000000"/>
          <w:sz w:val="32"/>
          <w:szCs w:val="32"/>
        </w:rPr>
      </w:pPr>
      <w:r>
        <w:rPr>
          <w:rStyle w:val="14"/>
          <w:rFonts w:hint="default" w:ascii="Times New Roman" w:hAnsi="Times New Roman" w:eastAsia="仿宋" w:cs="Times New Roman"/>
          <w:b w:val="0"/>
          <w:bCs/>
          <w:sz w:val="32"/>
          <w:szCs w:val="32"/>
        </w:rPr>
        <w:t>2.</w:t>
      </w:r>
      <w:r>
        <w:rPr>
          <w:rStyle w:val="14"/>
          <w:rFonts w:hint="default" w:ascii="Times New Roman" w:hAnsi="Times New Roman" w:eastAsia="仿宋" w:cs="Times New Roman"/>
          <w:b w:val="0"/>
          <w:color w:val="000000"/>
          <w:sz w:val="32"/>
          <w:szCs w:val="32"/>
        </w:rPr>
        <w:t>卫生健康支出（类）行政事业单位医疗（款）事业单位医疗（项）：支出决算为3.63元</w:t>
      </w:r>
      <w:r>
        <w:rPr>
          <w:rStyle w:val="14"/>
          <w:rFonts w:hint="default" w:ascii="Times New Roman" w:hAnsi="Times New Roman" w:cs="Times New Roman"/>
        </w:rPr>
        <w:t>，</w:t>
      </w:r>
      <w:r>
        <w:rPr>
          <w:rStyle w:val="14"/>
          <w:rFonts w:hint="default" w:ascii="Times New Roman" w:hAnsi="Times New Roman" w:eastAsia="仿宋" w:cs="Times New Roman"/>
          <w:b w:val="0"/>
          <w:color w:val="000000"/>
          <w:sz w:val="32"/>
          <w:szCs w:val="32"/>
        </w:rPr>
        <w:t>完成预算100%，决算数持平预算数。</w:t>
      </w:r>
    </w:p>
    <w:p>
      <w:pPr>
        <w:spacing w:line="600" w:lineRule="exact"/>
        <w:ind w:firstLine="640" w:firstLineChars="200"/>
        <w:rPr>
          <w:rFonts w:hint="default" w:ascii="Times New Roman" w:hAnsi="Times New Roman" w:eastAsia="仿宋" w:cs="Times New Roman"/>
          <w:b/>
          <w:color w:val="000000"/>
          <w:sz w:val="32"/>
          <w:szCs w:val="32"/>
        </w:rPr>
      </w:pPr>
      <w:r>
        <w:rPr>
          <w:rStyle w:val="14"/>
          <w:rFonts w:hint="default" w:ascii="Times New Roman" w:hAnsi="Times New Roman" w:eastAsia="仿宋" w:cs="Times New Roman"/>
          <w:b w:val="0"/>
          <w:bCs/>
          <w:color w:val="000000"/>
          <w:sz w:val="32"/>
          <w:szCs w:val="32"/>
        </w:rPr>
        <w:t>3.</w:t>
      </w:r>
      <w:r>
        <w:rPr>
          <w:rStyle w:val="14"/>
          <w:rFonts w:hint="default" w:ascii="Times New Roman" w:hAnsi="Times New Roman" w:eastAsia="仿宋" w:cs="Times New Roman"/>
          <w:b w:val="0"/>
          <w:color w:val="000000"/>
          <w:sz w:val="32"/>
          <w:szCs w:val="32"/>
        </w:rPr>
        <w:t>住房保障支出（类）住房改革支出（款） 住房公积金（项）,支出</w:t>
      </w:r>
      <w:r>
        <w:rPr>
          <w:rFonts w:hint="default" w:ascii="Times New Roman" w:hAnsi="Times New Roman" w:eastAsia="仿宋" w:cs="Times New Roman"/>
          <w:color w:val="000000" w:themeColor="text1"/>
          <w:sz w:val="32"/>
          <w:szCs w:val="32"/>
        </w:rPr>
        <w:t>6.54</w:t>
      </w:r>
      <w:r>
        <w:rPr>
          <w:rStyle w:val="14"/>
          <w:rFonts w:hint="default" w:ascii="Times New Roman" w:hAnsi="Times New Roman" w:eastAsia="仿宋" w:cs="Times New Roman"/>
          <w:b w:val="0"/>
          <w:color w:val="000000"/>
          <w:sz w:val="32"/>
          <w:szCs w:val="32"/>
        </w:rPr>
        <w:t>万元，完成预算100%，决算数持平预算数。</w:t>
      </w:r>
    </w:p>
    <w:p>
      <w:pPr>
        <w:spacing w:line="600" w:lineRule="exact"/>
        <w:ind w:firstLine="640" w:firstLineChars="200"/>
        <w:rPr>
          <w:rFonts w:hint="default" w:ascii="Times New Roman" w:hAnsi="Times New Roman" w:eastAsia="仿宋" w:cs="Times New Roman"/>
          <w:b/>
          <w:color w:val="000000"/>
          <w:sz w:val="32"/>
          <w:szCs w:val="32"/>
        </w:rPr>
      </w:pPr>
      <w:r>
        <w:rPr>
          <w:rStyle w:val="14"/>
          <w:rFonts w:hint="default" w:ascii="Times New Roman" w:hAnsi="Times New Roman" w:eastAsia="仿宋" w:cs="Times New Roman"/>
          <w:b w:val="0"/>
          <w:bCs/>
          <w:color w:val="000000"/>
          <w:sz w:val="32"/>
          <w:szCs w:val="32"/>
        </w:rPr>
        <w:t>4.</w:t>
      </w:r>
      <w:r>
        <w:rPr>
          <w:rFonts w:hint="default" w:ascii="Times New Roman" w:hAnsi="Times New Roman" w:eastAsia="仿宋" w:cs="Times New Roman"/>
          <w:color w:val="000000" w:themeColor="text1"/>
          <w:sz w:val="32"/>
          <w:szCs w:val="32"/>
        </w:rPr>
        <w:t>自然资源海洋气象</w:t>
      </w:r>
      <w:r>
        <w:rPr>
          <w:rFonts w:hint="default" w:ascii="Times New Roman" w:hAnsi="Times New Roman" w:eastAsia="仿宋" w:cs="Times New Roman"/>
          <w:sz w:val="32"/>
          <w:szCs w:val="32"/>
        </w:rPr>
        <w:t>（类）</w:t>
      </w:r>
      <w:r>
        <w:rPr>
          <w:rFonts w:hint="default" w:ascii="Times New Roman" w:hAnsi="Times New Roman" w:eastAsia="仿宋" w:cs="Times New Roman"/>
          <w:color w:val="000000" w:themeColor="text1"/>
          <w:sz w:val="32"/>
          <w:szCs w:val="32"/>
        </w:rPr>
        <w:t>自然</w:t>
      </w:r>
      <w:r>
        <w:rPr>
          <w:rFonts w:hint="default" w:ascii="Times New Roman" w:hAnsi="Times New Roman" w:eastAsia="仿宋" w:cs="Times New Roman"/>
          <w:sz w:val="32"/>
          <w:szCs w:val="32"/>
        </w:rPr>
        <w:t>资源事务（款）事业运行（项）</w:t>
      </w:r>
      <w:r>
        <w:rPr>
          <w:rFonts w:hint="default" w:ascii="Times New Roman" w:hAnsi="Times New Roman" w:eastAsia="仿宋" w:cs="Times New Roman"/>
          <w:color w:val="000000" w:themeColor="text1"/>
          <w:sz w:val="32"/>
          <w:szCs w:val="32"/>
        </w:rPr>
        <w:t>支出69.72万元</w:t>
      </w:r>
      <w:r>
        <w:rPr>
          <w:rStyle w:val="14"/>
          <w:rFonts w:hint="default" w:ascii="Times New Roman" w:hAnsi="Times New Roman" w:eastAsia="仿宋" w:cs="Times New Roman"/>
          <w:b w:val="0"/>
          <w:bCs/>
          <w:color w:val="000000"/>
          <w:sz w:val="32"/>
          <w:szCs w:val="32"/>
        </w:rPr>
        <w:t>，完成预算100%，决算数持平预算数。</w:t>
      </w:r>
    </w:p>
    <w:p>
      <w:pPr>
        <w:tabs>
          <w:tab w:val="right" w:pos="8306"/>
        </w:tabs>
        <w:spacing w:line="600" w:lineRule="exact"/>
        <w:ind w:firstLine="640"/>
        <w:outlineLvl w:val="1"/>
        <w:rPr>
          <w:rStyle w:val="26"/>
          <w:rFonts w:hint="default" w:ascii="Times New Roman" w:hAnsi="Times New Roman" w:cs="Times New Roman"/>
        </w:rPr>
      </w:pPr>
      <w:bookmarkStart w:id="40" w:name="_Toc15396608"/>
      <w:bookmarkStart w:id="41" w:name="_Toc15377214"/>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6"/>
          <w:rFonts w:hint="default" w:ascii="Times New Roman" w:hAnsi="Times New Roman" w:eastAsia="黑体" w:cs="Times New Roman"/>
          <w:b w:val="0"/>
        </w:rPr>
        <w:t>般公共预算财政拨款基本支出决算情况说明</w:t>
      </w:r>
      <w:bookmarkEnd w:id="40"/>
      <w:bookmarkEnd w:id="41"/>
      <w:r>
        <w:rPr>
          <w:rStyle w:val="26"/>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2021年一般公共预算财政拨款基本支出84.82万元，其中：</w:t>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人员经费81.74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color w:val="000000"/>
          <w:sz w:val="32"/>
          <w:szCs w:val="32"/>
        </w:rPr>
        <w:br w:type="textWrapping"/>
      </w:r>
      <w:r>
        <w:rPr>
          <w:rFonts w:hint="default" w:ascii="Times New Roman" w:hAnsi="Times New Roman" w:eastAsia="仿宋" w:cs="Times New Roman"/>
          <w:color w:val="000000"/>
          <w:sz w:val="32"/>
          <w:szCs w:val="32"/>
        </w:rPr>
        <w:t>　　日常公用经费3.08万元，主要包括：办公费、印刷费、咨询费、手续费、水费、电费、邮电费、取暖费、物业管理费、差旅费、维修（护）费、租赁费、会议费、培训费、劳务费、委托业务费、工会经费、福利费、其他交通费、税金及附加费用、其他商品和服务支出、办公设备购置、专用设备购置、信息网络及软件购置更新、其他资本性支出等。</w:t>
      </w:r>
    </w:p>
    <w:p>
      <w:pPr>
        <w:spacing w:line="600" w:lineRule="exact"/>
        <w:ind w:firstLine="640"/>
        <w:outlineLvl w:val="1"/>
        <w:rPr>
          <w:rStyle w:val="26"/>
          <w:rFonts w:hint="default" w:ascii="Times New Roman" w:hAnsi="Times New Roman" w:eastAsia="黑体" w:cs="Times New Roman"/>
          <w:b w:val="0"/>
        </w:rPr>
      </w:pPr>
      <w:bookmarkStart w:id="42" w:name="_Toc15396609"/>
      <w:bookmarkStart w:id="43" w:name="_Toc15377215"/>
      <w:r>
        <w:rPr>
          <w:rFonts w:hint="default" w:ascii="Times New Roman" w:hAnsi="Times New Roman" w:eastAsia="黑体" w:cs="Times New Roman"/>
          <w:color w:val="000000"/>
          <w:sz w:val="32"/>
          <w:szCs w:val="32"/>
        </w:rPr>
        <w:t>七、</w:t>
      </w:r>
      <w:r>
        <w:rPr>
          <w:rStyle w:val="26"/>
          <w:rFonts w:hint="default" w:ascii="Times New Roman" w:hAnsi="Times New Roman" w:eastAsia="黑体" w:cs="Times New Roman"/>
        </w:rPr>
        <w:t>“</w:t>
      </w:r>
      <w:r>
        <w:rPr>
          <w:rStyle w:val="26"/>
          <w:rFonts w:hint="default" w:ascii="Times New Roman" w:hAnsi="Times New Roman" w:eastAsia="黑体" w:cs="Times New Roman"/>
          <w:b w:val="0"/>
        </w:rPr>
        <w:t>三公”经费财政拨款支出决算情况说明</w:t>
      </w:r>
      <w:bookmarkEnd w:id="42"/>
      <w:bookmarkEnd w:id="43"/>
    </w:p>
    <w:p>
      <w:pPr>
        <w:spacing w:line="600" w:lineRule="exact"/>
        <w:ind w:firstLine="640"/>
        <w:outlineLvl w:val="2"/>
        <w:rPr>
          <w:rFonts w:hint="default" w:ascii="Times New Roman" w:hAnsi="Times New Roman" w:eastAsia="仿宋" w:cs="Times New Roman"/>
          <w:b/>
          <w:color w:val="000000"/>
          <w:sz w:val="32"/>
          <w:szCs w:val="32"/>
        </w:rPr>
      </w:pPr>
      <w:bookmarkStart w:id="44" w:name="_Toc15377216"/>
      <w:r>
        <w:rPr>
          <w:rFonts w:hint="default" w:ascii="Times New Roman" w:hAnsi="Times New Roman" w:eastAsia="仿宋" w:cs="Times New Roman"/>
          <w:b/>
          <w:color w:val="000000"/>
          <w:sz w:val="32"/>
          <w:szCs w:val="32"/>
        </w:rPr>
        <w:t>（一）“三公”经费财政拨款支出决算总体情况说明</w:t>
      </w:r>
      <w:bookmarkEnd w:id="44"/>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2021年“三公”经费财政拨款支出决算为0万元</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sz w:val="32"/>
          <w:szCs w:val="32"/>
        </w:rPr>
        <w:t>完成预算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r>
        <w:rPr>
          <w:rFonts w:hint="default" w:ascii="Times New Roman" w:hAnsi="Times New Roman" w:eastAsia="仿宋" w:cs="Times New Roman"/>
          <w:color w:val="000000"/>
          <w:sz w:val="32"/>
          <w:szCs w:val="32"/>
        </w:rPr>
        <w:t>。</w:t>
      </w:r>
    </w:p>
    <w:p>
      <w:pPr>
        <w:spacing w:line="600" w:lineRule="exact"/>
        <w:ind w:firstLine="640"/>
        <w:outlineLvl w:val="2"/>
        <w:rPr>
          <w:rFonts w:hint="default" w:ascii="Times New Roman" w:hAnsi="Times New Roman" w:eastAsia="仿宋" w:cs="Times New Roman"/>
          <w:b/>
          <w:color w:val="000000"/>
          <w:sz w:val="32"/>
          <w:szCs w:val="32"/>
        </w:rPr>
      </w:pPr>
      <w:bookmarkStart w:id="45" w:name="_Toc15377217"/>
      <w:r>
        <w:rPr>
          <w:rFonts w:hint="default" w:ascii="Times New Roman" w:hAnsi="Times New Roman" w:eastAsia="仿宋" w:cs="Times New Roman"/>
          <w:b/>
          <w:color w:val="000000"/>
          <w:sz w:val="32"/>
          <w:szCs w:val="32"/>
        </w:rPr>
        <w:t>（二）“三公”经费财政拨款支出决算具体情况说明</w:t>
      </w:r>
      <w:bookmarkEnd w:id="45"/>
    </w:p>
    <w:p>
      <w:pPr>
        <w:spacing w:line="60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2021年无“三公”经费支出。</w:t>
      </w:r>
    </w:p>
    <w:p>
      <w:pPr>
        <w:spacing w:line="600" w:lineRule="exact"/>
        <w:ind w:firstLine="640"/>
        <w:rPr>
          <w:rFonts w:hint="default" w:ascii="Times New Roman" w:hAnsi="Times New Roman" w:cs="Times New Roman"/>
        </w:rPr>
      </w:pPr>
      <w:r>
        <w:rPr>
          <w:rFonts w:hint="default" w:ascii="Times New Roman" w:hAnsi="Times New Roman" w:eastAsia="仿宋" w:cs="Times New Roman"/>
          <w:sz w:val="32"/>
          <w:szCs w:val="32"/>
          <w:highlight w:val="none"/>
        </w:rPr>
        <w:t>2021年“三公”经费财政拨款支出决算中，因公出国（境）费支出决算</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万元，占</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%；公务用车购置及运行维护费支出决算</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万元，占</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%；公务接待费支出决算</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万元，占</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%。具体情况如下：</w:t>
      </w:r>
    </w:p>
    <w:p>
      <w:pPr>
        <w:spacing w:line="600" w:lineRule="exact"/>
        <w:ind w:firstLine="64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1.因公出国（境）经费支出</w:t>
      </w:r>
      <w:r>
        <w:rPr>
          <w:rFonts w:hint="default" w:ascii="Times New Roman" w:hAnsi="Times New Roman" w:eastAsia="仿宋_GB2312" w:cs="Times New Roman"/>
          <w:color w:val="000000"/>
          <w:sz w:val="32"/>
          <w:szCs w:val="32"/>
        </w:rPr>
        <w:t>0万元，</w:t>
      </w:r>
      <w:r>
        <w:rPr>
          <w:rStyle w:val="14"/>
          <w:rFonts w:hint="default" w:ascii="Times New Roman" w:hAnsi="Times New Roman" w:eastAsia="仿宋" w:cs="Times New Roman"/>
          <w:b w:val="0"/>
          <w:bCs/>
          <w:color w:val="000000"/>
          <w:sz w:val="32"/>
          <w:szCs w:val="32"/>
        </w:rPr>
        <w:t>完成预算0%。</w:t>
      </w:r>
      <w:r>
        <w:rPr>
          <w:rFonts w:hint="default" w:ascii="Times New Roman" w:hAnsi="Times New Roman" w:eastAsia="仿宋_GB2312" w:cs="Times New Roman"/>
          <w:color w:val="000000"/>
          <w:sz w:val="32"/>
          <w:szCs w:val="32"/>
        </w:rPr>
        <w:t>全年安排因公出国（境）团组0次，出国（境）0人。因公出国（境）支出决算比2020年无增减。</w:t>
      </w:r>
    </w:p>
    <w:p>
      <w:pPr>
        <w:spacing w:line="600" w:lineRule="exact"/>
        <w:ind w:firstLine="64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2.公务用车购置及运行维护费支出</w:t>
      </w:r>
      <w:r>
        <w:rPr>
          <w:rFonts w:hint="default" w:ascii="Times New Roman" w:hAnsi="Times New Roman" w:eastAsia="仿宋_GB2312" w:cs="Times New Roman"/>
          <w:color w:val="000000"/>
          <w:sz w:val="32"/>
          <w:szCs w:val="32"/>
        </w:rPr>
        <w:t>0万元,</w:t>
      </w:r>
      <w:r>
        <w:rPr>
          <w:rStyle w:val="14"/>
          <w:rFonts w:hint="default" w:ascii="Times New Roman" w:hAnsi="Times New Roman" w:eastAsia="仿宋" w:cs="Times New Roman"/>
          <w:b w:val="0"/>
          <w:bCs/>
          <w:color w:val="000000"/>
          <w:sz w:val="32"/>
          <w:szCs w:val="32"/>
        </w:rPr>
        <w:t>完成预算0%。</w:t>
      </w:r>
      <w:r>
        <w:rPr>
          <w:rFonts w:hint="default" w:ascii="Times New Roman" w:hAnsi="Times New Roman" w:eastAsia="仿宋_GB2312" w:cs="Times New Roman"/>
          <w:color w:val="000000"/>
          <w:sz w:val="32"/>
          <w:szCs w:val="32"/>
        </w:rPr>
        <w:t>公务用车购置及运行维护费支出决算比2020年无增减。</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公务用车运行维护费支出</w:t>
      </w:r>
      <w:r>
        <w:rPr>
          <w:rFonts w:hint="default" w:ascii="Times New Roman" w:hAnsi="Times New Roman" w:eastAsia="仿宋_GB2312" w:cs="Times New Roman"/>
          <w:color w:val="000000"/>
          <w:sz w:val="32"/>
          <w:szCs w:val="32"/>
        </w:rPr>
        <w:t>0万元。</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3.公务接待费支出</w:t>
      </w:r>
      <w:r>
        <w:rPr>
          <w:rFonts w:hint="default" w:ascii="Times New Roman" w:hAnsi="Times New Roman" w:eastAsia="仿宋_GB2312" w:cs="Times New Roman"/>
          <w:color w:val="000000"/>
          <w:sz w:val="32"/>
          <w:szCs w:val="32"/>
        </w:rPr>
        <w:t>0万元，</w:t>
      </w:r>
      <w:r>
        <w:rPr>
          <w:rStyle w:val="14"/>
          <w:rFonts w:hint="default" w:ascii="Times New Roman" w:hAnsi="Times New Roman" w:eastAsia="仿宋" w:cs="Times New Roman"/>
          <w:b w:val="0"/>
          <w:bCs/>
          <w:color w:val="000000"/>
          <w:sz w:val="32"/>
          <w:szCs w:val="32"/>
        </w:rPr>
        <w:t>完成预算0%。</w:t>
      </w:r>
      <w:r>
        <w:rPr>
          <w:rFonts w:hint="default" w:ascii="Times New Roman" w:hAnsi="Times New Roman" w:eastAsia="仿宋_GB2312" w:cs="Times New Roman"/>
          <w:color w:val="000000"/>
          <w:sz w:val="32"/>
          <w:szCs w:val="32"/>
        </w:rPr>
        <w:t>公务接待费支出决算比2020年无增减。</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 w:cs="Times New Roman"/>
          <w:b/>
          <w:color w:val="000000"/>
          <w:sz w:val="32"/>
          <w:szCs w:val="32"/>
        </w:rPr>
        <w:t>国内公务接待支出</w:t>
      </w:r>
      <w:r>
        <w:rPr>
          <w:rFonts w:hint="default" w:ascii="Times New Roman" w:hAnsi="Times New Roman" w:eastAsia="仿宋" w:cs="Times New Roman"/>
          <w:color w:val="000000"/>
          <w:sz w:val="32"/>
          <w:szCs w:val="32"/>
        </w:rPr>
        <w:t>0</w:t>
      </w:r>
      <w:r>
        <w:rPr>
          <w:rFonts w:hint="default" w:ascii="Times New Roman" w:hAnsi="Times New Roman" w:eastAsia="仿宋_GB2312" w:cs="Times New Roman"/>
          <w:color w:val="000000"/>
          <w:sz w:val="32"/>
          <w:szCs w:val="32"/>
        </w:rPr>
        <w:t>万元。</w:t>
      </w:r>
    </w:p>
    <w:p>
      <w:pPr>
        <w:spacing w:line="600" w:lineRule="exact"/>
        <w:ind w:firstLine="643"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外事接待支出</w:t>
      </w:r>
      <w:r>
        <w:rPr>
          <w:rFonts w:hint="default" w:ascii="Times New Roman" w:hAnsi="Times New Roman" w:eastAsia="仿宋" w:cs="Times New Roman"/>
          <w:color w:val="000000"/>
          <w:sz w:val="32"/>
          <w:szCs w:val="32"/>
        </w:rPr>
        <w:t>0</w:t>
      </w:r>
      <w:r>
        <w:rPr>
          <w:rFonts w:hint="default" w:ascii="Times New Roman" w:hAnsi="Times New Roman" w:eastAsia="仿宋_GB2312" w:cs="Times New Roman"/>
          <w:color w:val="000000"/>
          <w:sz w:val="32"/>
          <w:szCs w:val="32"/>
        </w:rPr>
        <w:t>万元，外事接待0批次，0人，共计支出0万元。</w:t>
      </w:r>
    </w:p>
    <w:p>
      <w:pPr>
        <w:spacing w:line="600" w:lineRule="exact"/>
        <w:ind w:firstLine="640"/>
        <w:outlineLvl w:val="1"/>
        <w:rPr>
          <w:rStyle w:val="26"/>
          <w:rFonts w:hint="default" w:ascii="Times New Roman" w:hAnsi="Times New Roman" w:eastAsia="黑体" w:cs="Times New Roman"/>
        </w:rPr>
      </w:pPr>
      <w:bookmarkStart w:id="46" w:name="_Toc15377218"/>
      <w:bookmarkStart w:id="47" w:name="_Toc15396610"/>
      <w:r>
        <w:rPr>
          <w:rFonts w:hint="default" w:ascii="Times New Roman" w:hAnsi="Times New Roman" w:eastAsia="黑体" w:cs="Times New Roman"/>
          <w:color w:val="000000"/>
          <w:sz w:val="32"/>
          <w:szCs w:val="32"/>
        </w:rPr>
        <w:t>八、</w:t>
      </w:r>
      <w:r>
        <w:rPr>
          <w:rStyle w:val="26"/>
          <w:rFonts w:hint="default" w:ascii="Times New Roman" w:hAnsi="Times New Roman" w:eastAsia="黑体" w:cs="Times New Roman"/>
          <w:b w:val="0"/>
        </w:rPr>
        <w:t>政府性基金预算支出决算情况说明</w:t>
      </w:r>
      <w:bookmarkEnd w:id="46"/>
      <w:bookmarkEnd w:id="47"/>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2021年政府性基金预算拨款支出558.8万元。</w:t>
      </w:r>
    </w:p>
    <w:p>
      <w:pPr>
        <w:spacing w:line="600" w:lineRule="exact"/>
        <w:ind w:firstLine="640" w:firstLineChars="200"/>
        <w:outlineLvl w:val="1"/>
        <w:rPr>
          <w:rStyle w:val="26"/>
          <w:rFonts w:hint="default" w:ascii="Times New Roman" w:hAnsi="Times New Roman" w:eastAsia="黑体" w:cs="Times New Roman"/>
          <w:b w:val="0"/>
        </w:rPr>
      </w:pPr>
      <w:bookmarkStart w:id="48" w:name="_Toc15377219"/>
      <w:bookmarkStart w:id="49" w:name="_Toc15396611"/>
      <w:r>
        <w:rPr>
          <w:rStyle w:val="26"/>
          <w:rFonts w:hint="default" w:ascii="Times New Roman" w:hAnsi="Times New Roman" w:eastAsia="黑体" w:cs="Times New Roman"/>
          <w:b w:val="0"/>
        </w:rPr>
        <w:t>九、国有资本经营预算支出决算情况说明</w:t>
      </w:r>
      <w:bookmarkEnd w:id="48"/>
      <w:bookmarkEnd w:id="49"/>
    </w:p>
    <w:p>
      <w:pPr>
        <w:spacing w:line="600" w:lineRule="exact"/>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00000"/>
          <w:sz w:val="32"/>
          <w:szCs w:val="32"/>
        </w:rPr>
        <w:t>2021年国有资本经营预算拨款支出0万元。</w:t>
      </w:r>
    </w:p>
    <w:p>
      <w:pPr>
        <w:spacing w:line="600" w:lineRule="exact"/>
        <w:ind w:firstLine="640" w:firstLineChars="200"/>
        <w:outlineLvl w:val="1"/>
        <w:rPr>
          <w:rStyle w:val="26"/>
          <w:rFonts w:hint="default" w:ascii="Times New Roman" w:hAnsi="Times New Roman" w:eastAsia="黑体" w:cs="Times New Roman"/>
        </w:rPr>
      </w:pPr>
      <w:bookmarkStart w:id="50" w:name="_Toc15377221"/>
      <w:bookmarkStart w:id="51" w:name="_Toc15396612"/>
      <w:r>
        <w:rPr>
          <w:rFonts w:hint="default" w:ascii="Times New Roman" w:hAnsi="Times New Roman" w:eastAsia="黑体" w:cs="Times New Roman"/>
          <w:color w:val="000000"/>
          <w:sz w:val="32"/>
          <w:szCs w:val="32"/>
        </w:rPr>
        <w:t>十</w:t>
      </w:r>
      <w:r>
        <w:rPr>
          <w:rStyle w:val="26"/>
          <w:rFonts w:hint="default" w:ascii="Times New Roman" w:hAnsi="Times New Roman" w:eastAsia="黑体" w:cs="Times New Roman"/>
        </w:rPr>
        <w:t>、</w:t>
      </w:r>
      <w:r>
        <w:rPr>
          <w:rStyle w:val="26"/>
          <w:rFonts w:hint="default" w:ascii="Times New Roman" w:hAnsi="Times New Roman" w:eastAsia="黑体" w:cs="Times New Roman"/>
          <w:b w:val="0"/>
        </w:rPr>
        <w:t>其他重要事项的情况说明</w:t>
      </w:r>
      <w:bookmarkEnd w:id="50"/>
      <w:bookmarkEnd w:id="51"/>
    </w:p>
    <w:p>
      <w:pPr>
        <w:spacing w:line="600" w:lineRule="exact"/>
        <w:ind w:firstLine="643" w:firstLineChars="200"/>
        <w:outlineLvl w:val="2"/>
        <w:rPr>
          <w:rFonts w:hint="default" w:ascii="Times New Roman" w:hAnsi="Times New Roman" w:eastAsia="仿宋" w:cs="Times New Roman"/>
          <w:color w:val="000000"/>
          <w:sz w:val="32"/>
          <w:szCs w:val="32"/>
        </w:rPr>
      </w:pPr>
      <w:bookmarkStart w:id="52" w:name="_Toc15377222"/>
      <w:r>
        <w:rPr>
          <w:rFonts w:hint="default" w:ascii="Times New Roman" w:hAnsi="Times New Roman" w:eastAsia="仿宋" w:cs="Times New Roman"/>
          <w:b/>
          <w:color w:val="000000"/>
          <w:sz w:val="32"/>
          <w:szCs w:val="32"/>
        </w:rPr>
        <w:t>（一）机关运行经费支出情况</w:t>
      </w:r>
      <w:bookmarkEnd w:id="52"/>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sz w:val="32"/>
          <w:szCs w:val="32"/>
        </w:rPr>
        <w:t>2021年，</w:t>
      </w:r>
      <w:r>
        <w:rPr>
          <w:rFonts w:hint="default" w:ascii="Times New Roman" w:hAnsi="Times New Roman" w:eastAsia="仿宋_GB2312" w:cs="Times New Roman"/>
          <w:color w:val="000000"/>
          <w:sz w:val="32"/>
          <w:szCs w:val="32"/>
          <w:lang w:val="en-US" w:eastAsia="zh-CN"/>
        </w:rPr>
        <w:t>本</w:t>
      </w:r>
      <w:r>
        <w:rPr>
          <w:rFonts w:hint="default" w:ascii="Times New Roman" w:hAnsi="Times New Roman" w:eastAsia="仿宋_GB2312" w:cs="Times New Roman"/>
          <w:color w:val="000000"/>
          <w:sz w:val="32"/>
          <w:szCs w:val="32"/>
        </w:rPr>
        <w:t>单位</w:t>
      </w:r>
      <w:r>
        <w:rPr>
          <w:rFonts w:hint="default" w:ascii="Times New Roman" w:hAnsi="Times New Roman" w:eastAsia="仿宋_GB2312" w:cs="Times New Roman"/>
          <w:color w:val="000000"/>
          <w:sz w:val="32"/>
          <w:szCs w:val="32"/>
          <w:lang w:val="en-US" w:eastAsia="zh-CN"/>
        </w:rPr>
        <w:t>为事业单位，</w:t>
      </w:r>
      <w:r>
        <w:rPr>
          <w:rFonts w:hint="default" w:ascii="Times New Roman" w:hAnsi="Times New Roman" w:eastAsia="仿宋_GB2312" w:cs="Times New Roman"/>
          <w:color w:val="000000"/>
          <w:sz w:val="32"/>
          <w:szCs w:val="32"/>
        </w:rPr>
        <w:t>机关运行经费支出</w:t>
      </w:r>
      <w:r>
        <w:rPr>
          <w:rFonts w:hint="default" w:ascii="Times New Roman" w:hAnsi="Times New Roman" w:eastAsia="仿宋_GB2312" w:cs="Times New Roman"/>
          <w:color w:val="000000"/>
          <w:sz w:val="32"/>
          <w:szCs w:val="32"/>
          <w:lang w:val="en-US" w:eastAsia="zh-CN"/>
        </w:rPr>
        <w:t>为</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bookmarkStart w:id="53" w:name="_Toc15377223"/>
      <w:r>
        <w:rPr>
          <w:rFonts w:hint="default" w:ascii="Times New Roman" w:hAnsi="Times New Roman" w:eastAsia="仿宋" w:cs="Times New Roman"/>
          <w:b/>
          <w:color w:val="000000"/>
          <w:sz w:val="32"/>
          <w:szCs w:val="32"/>
        </w:rPr>
        <w:t>（二）政府采购支出情况</w:t>
      </w:r>
      <w:bookmarkEnd w:id="53"/>
    </w:p>
    <w:p>
      <w:pPr>
        <w:spacing w:line="600" w:lineRule="exact"/>
        <w:ind w:firstLine="640" w:firstLineChars="200"/>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我单位</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（三）国有资产占有使用情况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截至2021年12月31日，</w:t>
      </w:r>
      <w:r>
        <w:rPr>
          <w:rFonts w:hint="default" w:ascii="Times New Roman" w:hAnsi="Times New Roman" w:eastAsia="仿宋_GB2312" w:cs="Times New Roman"/>
          <w:sz w:val="32"/>
          <w:szCs w:val="32"/>
          <w:lang w:val="en-US" w:eastAsia="zh-CN"/>
        </w:rPr>
        <w:t>我单位</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单价50万元以上通用设备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台（套），单价100万元以上专用设备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根据预算绩效管理要求，我中心在2021年度预算编制阶段，组织对</w:t>
      </w:r>
      <w:r>
        <w:rPr>
          <w:rFonts w:hint="default" w:ascii="Times New Roman" w:hAnsi="Times New Roman" w:eastAsia="仿宋_GB2312" w:cs="Times New Roman"/>
          <w:sz w:val="32"/>
          <w:szCs w:val="32"/>
          <w:highlight w:val="none"/>
        </w:rPr>
        <w:t>“储备土地管理专项经费”、“</w:t>
      </w:r>
      <w:r>
        <w:rPr>
          <w:rFonts w:hint="default" w:ascii="Times New Roman" w:hAnsi="Times New Roman" w:cs="Times New Roman"/>
          <w:highlight w:val="none"/>
        </w:rPr>
        <w:t xml:space="preserve"> </w:t>
      </w:r>
      <w:r>
        <w:rPr>
          <w:rFonts w:hint="default" w:ascii="Times New Roman" w:hAnsi="Times New Roman" w:eastAsia="仿宋_GB2312" w:cs="Times New Roman"/>
          <w:sz w:val="32"/>
          <w:szCs w:val="32"/>
          <w:highlight w:val="none"/>
        </w:rPr>
        <w:t>规划编制及土地推荐经费”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“土地收储经费”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“攀枝花市2020年第10批城市建设用地林地使用手续办理费用”</w:t>
      </w:r>
      <w:r>
        <w:rPr>
          <w:rFonts w:hint="default" w:ascii="Times New Roman" w:hAnsi="Times New Roman" w:eastAsia="仿宋_GB2312" w:cs="Times New Roman"/>
          <w:sz w:val="32"/>
          <w:szCs w:val="32"/>
          <w:highlight w:val="none"/>
          <w:lang w:eastAsia="zh-CN"/>
        </w:rPr>
        <w:t>、“2021年第2批城市建设用地林地使用手续办理费用”、“大水井新区开发项目内部道路建设设计集体土地和房屋征收相关费”、“格里坪工业园区LNG清洁能源示范项目征地工作经费”、“庄上·梅子箐彝家水寨新村乡村旅游示范点遗留村民征地搬迁经费”、“西区宝鼎金沙小区配套道路工程农村集体土地征收补偿款”、“清香坪片区2019-X7#、格里坪片区2019-X8#电力线路及设施迁改还建相关费用”、“西区宝鼎金沙小区配套道路工程农村集体土地征收补偿”、“解决办公室装修及采购费用”、“格里坪村四社2户房屋补偿款及拆除费用”、“达海物流园项目土地收储及地面附着物拆除经费”</w:t>
      </w:r>
      <w:r>
        <w:rPr>
          <w:rFonts w:hint="default" w:ascii="Times New Roman" w:hAnsi="Times New Roman" w:eastAsia="仿宋_GB2312" w:cs="Times New Roman"/>
          <w:sz w:val="32"/>
          <w:szCs w:val="32"/>
          <w:highlight w:val="none"/>
          <w:lang w:val="en-US" w:eastAsia="zh-CN"/>
        </w:rPr>
        <w:t>和“工作经费”</w:t>
      </w:r>
      <w:r>
        <w:rPr>
          <w:rFonts w:hint="default" w:ascii="Times New Roman" w:hAnsi="Times New Roman" w:eastAsia="仿宋_GB2312" w:cs="Times New Roman"/>
          <w:sz w:val="32"/>
          <w:szCs w:val="32"/>
          <w:highlight w:val="none"/>
        </w:rPr>
        <w:t>开展了预算事前绩效评估，对</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个项目编制了绩效目标，预算执行过程中，选取</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个项目开展绩效监控，年终执行完毕后，对</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个项目开展了绩效目标完成情况自评。同时，本部门对2021年部门整体开展绩效自评，《2021年</w:t>
      </w:r>
      <w:r>
        <w:rPr>
          <w:rFonts w:hint="default" w:ascii="Times New Roman" w:hAnsi="Times New Roman" w:eastAsia="仿宋_GB2312" w:cs="Times New Roman"/>
          <w:sz w:val="32"/>
          <w:szCs w:val="32"/>
          <w:highlight w:val="none"/>
          <w:lang w:val="en-US" w:eastAsia="zh-CN"/>
        </w:rPr>
        <w:t>攀枝花市西区土地储备中心</w:t>
      </w:r>
      <w:r>
        <w:rPr>
          <w:rFonts w:hint="default" w:ascii="Times New Roman" w:hAnsi="Times New Roman" w:eastAsia="仿宋_GB2312" w:cs="Times New Roman"/>
          <w:sz w:val="32"/>
          <w:szCs w:val="32"/>
          <w:highlight w:val="none"/>
        </w:rPr>
        <w:t>部门整体绩效评价报告》见附件（第四部分）。</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本部门按要求对202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年部门整体支出开展绩效自评，按照要求完成了区储备土地管理工作、规划编制及土地推荐工作、攀枝花市2020年第10批城市建设用地林地使用手续办理</w:t>
      </w:r>
      <w:r>
        <w:rPr>
          <w:rFonts w:hint="default" w:ascii="Times New Roman" w:hAnsi="Times New Roman" w:eastAsia="仿宋_GB2312" w:cs="Times New Roman"/>
          <w:sz w:val="32"/>
          <w:szCs w:val="32"/>
          <w:highlight w:val="none"/>
          <w:lang w:eastAsia="zh-CN"/>
        </w:rPr>
        <w:t>、2021年第2批城市建设用地林地使用手续办理费用、大水井新区开发项目内部道路建设设计集体土地和房屋征收相关费</w:t>
      </w:r>
      <w:r>
        <w:rPr>
          <w:rFonts w:hint="default" w:ascii="Times New Roman" w:hAnsi="Times New Roman" w:eastAsia="仿宋_GB2312" w:cs="Times New Roman"/>
          <w:sz w:val="32"/>
          <w:szCs w:val="32"/>
          <w:highlight w:val="none"/>
          <w:lang w:val="en-US" w:eastAsia="zh-CN"/>
        </w:rPr>
        <w:t>用、</w:t>
      </w:r>
      <w:r>
        <w:rPr>
          <w:rFonts w:hint="default" w:ascii="Times New Roman" w:hAnsi="Times New Roman" w:eastAsia="仿宋_GB2312" w:cs="Times New Roman"/>
          <w:sz w:val="32"/>
          <w:szCs w:val="32"/>
          <w:highlight w:val="none"/>
          <w:lang w:eastAsia="zh-CN"/>
        </w:rPr>
        <w:t>格里坪工业园区LNG清洁能源示范项目征地工作经费、庄上·梅子箐彝家水寨新村乡村旅游示范点遗留村民征地搬迁经费、西区宝鼎金沙小区配套道路工程农村集体土地征收补偿款</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等项目的实施</w:t>
      </w:r>
      <w:r>
        <w:rPr>
          <w:rFonts w:hint="default" w:ascii="Times New Roman" w:hAnsi="Times New Roman" w:eastAsia="仿宋_GB2312" w:cs="Times New Roman"/>
          <w:sz w:val="32"/>
          <w:szCs w:val="32"/>
          <w:highlight w:val="none"/>
        </w:rPr>
        <w:t>提高了储备土地管理成效，保障了城市建设用地报件工作顺利开展</w:t>
      </w:r>
      <w:r>
        <w:rPr>
          <w:rFonts w:hint="default" w:ascii="Times New Roman" w:hAnsi="Times New Roman" w:eastAsia="仿宋_GB2312" w:cs="Times New Roman"/>
          <w:sz w:val="32"/>
          <w:szCs w:val="32"/>
          <w:highlight w:val="none"/>
          <w:lang w:val="en-US" w:eastAsia="zh-CN"/>
        </w:rPr>
        <w:t>、保障了项目建设促进西区发展及被拆迁村民的利益</w:t>
      </w:r>
      <w:r>
        <w:rPr>
          <w:rFonts w:hint="default" w:ascii="Times New Roman" w:hAnsi="Times New Roman" w:eastAsia="仿宋_GB2312" w:cs="Times New Roman"/>
          <w:sz w:val="32"/>
          <w:szCs w:val="32"/>
          <w:highlight w:val="none"/>
        </w:rPr>
        <w:t>。</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1.项目绩效目标完成情况。</w:t>
      </w:r>
      <w:r>
        <w:rPr>
          <w:rFonts w:hint="default" w:ascii="Times New Roman" w:hAnsi="Times New Roman" w:eastAsia="楷体_GB2312" w:cs="Times New Roman"/>
          <w:sz w:val="32"/>
          <w:szCs w:val="32"/>
        </w:rPr>
        <w:br w:type="textWrapping"/>
      </w:r>
      <w:r>
        <w:rPr>
          <w:rFonts w:hint="default" w:ascii="Times New Roman" w:hAnsi="Times New Roman" w:eastAsia="仿宋_GB2312" w:cs="Times New Roman"/>
          <w:sz w:val="32"/>
          <w:szCs w:val="32"/>
        </w:rPr>
        <w:t xml:space="preserve">    本部门在“土地收储经费”、“</w:t>
      </w:r>
      <w:r>
        <w:rPr>
          <w:rFonts w:hint="default" w:ascii="Times New Roman" w:hAnsi="Times New Roman" w:cs="Times New Roman"/>
        </w:rPr>
        <w:t xml:space="preserve"> </w:t>
      </w:r>
      <w:r>
        <w:rPr>
          <w:rFonts w:hint="default" w:ascii="Times New Roman" w:hAnsi="Times New Roman" w:eastAsia="仿宋_GB2312" w:cs="Times New Roman"/>
          <w:sz w:val="32"/>
          <w:szCs w:val="32"/>
        </w:rPr>
        <w:t>规划编制及土地推荐经费”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“攀枝花市2020年第10批城市建设用地林地使用手续办理费用”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“2021年第2批城市建设用地林地使用手续办理费用”</w:t>
      </w:r>
      <w:r>
        <w:rPr>
          <w:rFonts w:hint="default" w:ascii="Times New Roman" w:hAnsi="Times New Roman" w:eastAsia="仿宋_GB2312" w:cs="Times New Roman"/>
          <w:sz w:val="32"/>
          <w:szCs w:val="32"/>
          <w:lang w:eastAsia="zh-CN"/>
        </w:rPr>
        <w:t>、“大水井新区开发项目内部道路建设设计集体土地和房屋征收相关费”、“格里坪工业园区LNG清洁能源示范项目征地工作经费”、“庄上·梅子箐彝家水寨新村乡村旅游示范点遗留村民征地搬迁经费”</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西区宝鼎金沙小区配套道路工程农村集体土地征收补偿款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个项目绩效目标实际完成情况。</w:t>
      </w:r>
    </w:p>
    <w:p>
      <w:pPr>
        <w:spacing w:line="580" w:lineRule="exact"/>
        <w:ind w:firstLine="640" w:firstLineChars="200"/>
        <w:rPr>
          <w:rFonts w:hint="default" w:ascii="Times New Roman" w:hAnsi="Times New Roman" w:eastAsia="仿宋_GB2312" w:cs="Times New Roman"/>
          <w:sz w:val="32"/>
          <w:szCs w:val="32"/>
        </w:rPr>
      </w:pPr>
      <w:bookmarkStart w:id="54" w:name="_Toc15396614"/>
      <w:bookmarkStart w:id="55" w:name="_Toc15377226"/>
      <w:r>
        <w:rPr>
          <w:rFonts w:hint="default" w:ascii="Times New Roman" w:hAnsi="Times New Roman" w:eastAsia="仿宋_GB2312" w:cs="Times New Roman"/>
          <w:sz w:val="32"/>
          <w:szCs w:val="32"/>
        </w:rPr>
        <w:t>（1）土地收储经费项目绩效目标完成情况综述。项目全年预算数1万元，执行数为0.6万元，完成预算的60%。通过项目实施，对拟收储土地定界测绘，为收储工作做好前期准备。</w:t>
      </w:r>
    </w:p>
    <w:p>
      <w:pPr>
        <w:tabs>
          <w:tab w:val="left" w:pos="312"/>
        </w:tabs>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规划编制及土地推荐经费项目绩效目标完成情况综述。项目全年预算数3万元，执行数为3万元，完成预算的100%。通过项目实施，完成了土地规划编制及推荐图册的制作，促进西区存量国有建设用地出让，增加西区财政收入，对外宣传西区城市品牌，提升了西区的知名度。</w:t>
      </w:r>
    </w:p>
    <w:p>
      <w:pPr>
        <w:tabs>
          <w:tab w:val="left" w:pos="312"/>
        </w:tabs>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攀枝花市2020年第10批城市建设用地林地使用手续办理费用项目绩效目标完成情况综述。项目全年预算数13.28万元，执行数为13.28万元，完成预算的100%。通过项目实施，林地报件手续完成，保障了下一步工作顺利开展。</w:t>
      </w:r>
    </w:p>
    <w:p>
      <w:pPr>
        <w:tabs>
          <w:tab w:val="left" w:pos="312"/>
        </w:tabs>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攀枝花市2021年第2批城市建设用地林地使用手续办理费用项目绩效目标完成情况综述。项目全年预算数17.57万元，执行数为13.57万元，完成预算的77%。通过项目实施，林地报件手续完成，保障了下一步工作顺利开展。</w:t>
      </w:r>
    </w:p>
    <w:p>
      <w:pPr>
        <w:tabs>
          <w:tab w:val="left" w:pos="312"/>
        </w:tabs>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大水井新区开发项目内部道路建设设计集体土地和房屋征收相关费项目绩效目标完成情况综述。项目全年预算数300万元，执行数为300万元，完成预算的100%。通过项目实施，完成土地征收，保障大水井新区开发项目内部道路建设，进一步完善西区公共基础设施，缓解周边交通压力。</w:t>
      </w:r>
    </w:p>
    <w:p>
      <w:pPr>
        <w:tabs>
          <w:tab w:val="left" w:pos="312"/>
        </w:tabs>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格里坪工业园区LNG清洁能源示范项目征地工作经费项目绩效目标完成情况综述。项目全年预算数8万元，执行数为8万元，完成预算的100%。通过项目实施，确保项目用地尽早腾空交付，满足项目建设需要，完成净地出让，增加财政收入。</w:t>
      </w:r>
    </w:p>
    <w:p>
      <w:pPr>
        <w:tabs>
          <w:tab w:val="left" w:pos="312"/>
        </w:tabs>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庄上·梅子箐彝家水寨新村乡村旅游示范点遗留村民征地搬迁经费项目绩效目标完成情况综述。项目全年预算数152万元，执行数为131.1万元，完成预算的86%。通过项目实施，做好庄上梅子箐彝家水寨新村乡村旅游示范点遗留村民征地搬迁工作，保障净地出让，增加财政收入的同时保障村民补及时搬迁安置，维护村民合法权益。</w:t>
      </w:r>
    </w:p>
    <w:p>
      <w:pPr>
        <w:tabs>
          <w:tab w:val="left" w:pos="312"/>
        </w:tabs>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西区宝鼎金沙小区配套道路工程农村集体土地征收补偿款项目绩效目标完成情况综述。项目全年预算数67万元，执行数为57万元，完成预算的85%。通过项目实施，保障宝鼎金沙小区配套道路建设，缓解清香坪宝鼎金沙小区周边交通压力，方便片区内居民和三十六中小家长及学生出行。</w:t>
      </w:r>
    </w:p>
    <w:p>
      <w:pPr>
        <w:tabs>
          <w:tab w:val="left" w:pos="312"/>
        </w:tabs>
        <w:spacing w:line="580" w:lineRule="exact"/>
        <w:ind w:firstLine="640" w:firstLineChars="200"/>
        <w:rPr>
          <w:rFonts w:hint="default" w:ascii="Times New Roman" w:hAnsi="Times New Roman" w:eastAsia="仿宋_GB2312" w:cs="Times New Roman"/>
          <w:sz w:val="32"/>
          <w:szCs w:val="32"/>
        </w:rPr>
      </w:pPr>
    </w:p>
    <w:p>
      <w:pPr>
        <w:widowControl/>
        <w:jc w:val="center"/>
        <w:rPr>
          <w:rStyle w:val="25"/>
          <w:rFonts w:ascii="黑体" w:hAnsi="黑体" w:eastAsia="黑体"/>
        </w:rPr>
      </w:pPr>
      <w:bookmarkStart w:id="56" w:name="_Toc15377225"/>
      <w:bookmarkStart w:id="57" w:name="_Toc15396613"/>
    </w:p>
    <w:p>
      <w:pPr>
        <w:widowControl/>
        <w:jc w:val="center"/>
        <w:rPr>
          <w:rStyle w:val="25"/>
          <w:rFonts w:ascii="黑体" w:hAnsi="黑体" w:eastAsia="黑体"/>
          <w:b w:val="0"/>
        </w:rPr>
      </w:pPr>
      <w:r>
        <w:rPr>
          <w:rStyle w:val="25"/>
          <w:rFonts w:hint="eastAsia" w:ascii="黑体" w:hAnsi="黑体" w:eastAsia="黑体"/>
        </w:rPr>
        <w:t xml:space="preserve">第三部分 </w:t>
      </w:r>
      <w:r>
        <w:rPr>
          <w:rStyle w:val="25"/>
          <w:rFonts w:hint="eastAsia" w:ascii="黑体" w:hAnsi="黑体"/>
        </w:rPr>
        <w:t>名</w:t>
      </w:r>
      <w:r>
        <w:rPr>
          <w:rStyle w:val="25"/>
          <w:rFonts w:hint="eastAsia" w:ascii="黑体" w:hAnsi="黑体" w:eastAsia="黑体"/>
          <w:b w:val="0"/>
        </w:rPr>
        <w:t>词解释</w:t>
      </w:r>
      <w:bookmarkEnd w:id="56"/>
      <w:bookmarkEnd w:id="57"/>
    </w:p>
    <w:p>
      <w:pPr>
        <w:spacing w:line="600" w:lineRule="exact"/>
        <w:jc w:val="left"/>
        <w:rPr>
          <w:rFonts w:ascii="宋体"/>
          <w:b/>
          <w:color w:val="000000"/>
          <w:sz w:val="44"/>
          <w:szCs w:val="44"/>
        </w:rPr>
      </w:pPr>
    </w:p>
    <w:p>
      <w:pPr>
        <w:pStyle w:val="23"/>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3"/>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pPr>
        <w:pStyle w:val="23"/>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23"/>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.一般公共服务（类）</w:t>
      </w:r>
      <w:r>
        <w:rPr>
          <w:rFonts w:hint="default" w:ascii="Times New Roman" w:hAnsi="Times New Roman" w:eastAsia="仿宋_GB2312" w:cs="Times New Roman"/>
          <w:sz w:val="32"/>
          <w:szCs w:val="32"/>
          <w:lang w:val="en-US" w:eastAsia="zh-CN"/>
        </w:rPr>
        <w:t>事业运行：</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val="en-US" w:eastAsia="zh-CN"/>
        </w:rPr>
        <w:t>事业单位的基本支出，含人员工资、办公经费等</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.社会保障和就业行政事业单位离退休（款）机关事业单位基本养老保险缴费支出（项）：指机关事业单位实施养老保险制度由单位缴纳的基本养老保险支出。</w:t>
      </w:r>
    </w:p>
    <w:p>
      <w:pPr>
        <w:ind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.医疗卫生与计划生育（类）行政事业单位医疗（款）行政单位医疗（项）：指单位为职工缴纳的基本医疗保险。</w:t>
      </w:r>
      <w:r>
        <w:rPr>
          <w:rFonts w:hint="default" w:ascii="Times New Roman" w:hAnsi="Times New Roman" w:eastAsia="仿宋_GB2312" w:cs="Times New Roman"/>
          <w:sz w:val="32"/>
          <w:szCs w:val="32"/>
          <w:lang w:val="en-US" w:eastAsia="zh-CN"/>
        </w:rPr>
        <w:t xml:space="preserve"> </w:t>
      </w:r>
    </w:p>
    <w:p>
      <w:pPr>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城乡社区（类）</w:t>
      </w:r>
      <w:r>
        <w:rPr>
          <w:rFonts w:hint="eastAsia" w:ascii="仿宋_GB2312" w:eastAsia="仿宋_GB2312"/>
          <w:color w:val="auto"/>
          <w:sz w:val="32"/>
          <w:szCs w:val="32"/>
          <w:lang w:val="en-US" w:eastAsia="zh-CN"/>
        </w:rPr>
        <w:t>征地和拆迁补偿支出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征地和拆迁补偿支出</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新疆生产建设兵团和地方政府在征地和收购土地过程中支付的土地补偿费、安置补助费、地上附着和青苗补偿费、拆迁补偿费支出</w:t>
      </w:r>
      <w:r>
        <w:rPr>
          <w:rFonts w:hint="eastAsia" w:ascii="仿宋_GB2312" w:eastAsia="仿宋_GB2312"/>
          <w:color w:val="auto"/>
          <w:sz w:val="32"/>
          <w:szCs w:val="32"/>
        </w:rPr>
        <w:t>。</w:t>
      </w:r>
    </w:p>
    <w:p>
      <w:pPr>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国土海洋气象等（类）</w:t>
      </w:r>
      <w:r>
        <w:rPr>
          <w:rFonts w:hint="default" w:ascii="Times New Roman" w:hAnsi="Times New Roman" w:eastAsia="仿宋_GB2312" w:cs="Times New Roman"/>
          <w:sz w:val="32"/>
          <w:szCs w:val="32"/>
          <w:lang w:val="en-US" w:eastAsia="zh-CN"/>
        </w:rPr>
        <w:t>土地储备支出</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val="en-US" w:eastAsia="zh-CN"/>
        </w:rPr>
        <w:t>土地储备支出</w:t>
      </w:r>
      <w:r>
        <w:rPr>
          <w:rFonts w:hint="default" w:ascii="Times New Roman" w:hAnsi="Times New Roman" w:eastAsia="仿宋_GB2312" w:cs="Times New Roman"/>
          <w:sz w:val="32"/>
          <w:szCs w:val="32"/>
        </w:rPr>
        <w:t>（项）：指</w:t>
      </w:r>
      <w:r>
        <w:rPr>
          <w:rFonts w:hint="default" w:ascii="Times New Roman" w:hAnsi="Times New Roman" w:eastAsia="仿宋_GB2312" w:cs="Times New Roman"/>
          <w:sz w:val="32"/>
          <w:szCs w:val="32"/>
          <w:lang w:val="en-US" w:eastAsia="zh-CN"/>
        </w:rPr>
        <w:t>用于土地资源储备方面的支出</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.住房保障（类）住房改革支出（款）住房公积金（项）：指行政事业单位按人力资源和社会保障部、财政部规定的基本工资和津贴补贴以及规定比例为职工缴纳的住房公积金。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spacing w:line="353"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.“三公”经费：</w:t>
      </w:r>
      <w:r>
        <w:rPr>
          <w:rFonts w:ascii="Times New Roman" w:hAnsi="Times New Roman" w:eastAsia="仿宋_GB2312" w:cs="Times New Roman"/>
          <w:sz w:val="32"/>
          <w:szCs w:val="32"/>
        </w:rPr>
        <w:t>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pPr>
        <w:pStyle w:val="23"/>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bookmarkStart w:id="73" w:name="_GoBack"/>
      <w:bookmarkEnd w:id="73"/>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4"/>
    </w:p>
    <w:p>
      <w:pPr>
        <w:spacing w:line="600" w:lineRule="exact"/>
        <w:jc w:val="left"/>
        <w:outlineLvl w:val="0"/>
        <w:rPr>
          <w:rFonts w:hint="eastAsia" w:ascii="黑体" w:hAnsi="黑体" w:eastAsia="黑体" w:cs="方正小标宋简体"/>
          <w:sz w:val="32"/>
          <w:szCs w:val="32"/>
          <w:lang w:val="en-US" w:eastAsia="zh-CN"/>
        </w:rPr>
      </w:pPr>
      <w:bookmarkStart w:id="58" w:name="_Toc15396616"/>
    </w:p>
    <w:p>
      <w:pPr>
        <w:spacing w:line="600" w:lineRule="exact"/>
        <w:jc w:val="left"/>
        <w:outlineLvl w:val="0"/>
        <w:rPr>
          <w:rFonts w:hint="eastAsia" w:ascii="黑体" w:hAnsi="黑体" w:eastAsia="黑体" w:cs="方正小标宋简体"/>
          <w:sz w:val="32"/>
          <w:szCs w:val="32"/>
          <w:lang w:val="en-US" w:eastAsia="zh-CN"/>
        </w:rPr>
      </w:pPr>
    </w:p>
    <w:p>
      <w:pPr>
        <w:spacing w:line="600" w:lineRule="exact"/>
        <w:jc w:val="left"/>
        <w:outlineLvl w:val="0"/>
        <w:rPr>
          <w:rFonts w:hint="eastAsia" w:ascii="黑体" w:hAnsi="黑体" w:eastAsia="黑体" w:cs="方正小标宋简体"/>
          <w:sz w:val="32"/>
          <w:szCs w:val="32"/>
          <w:lang w:val="en-US" w:eastAsia="zh-CN"/>
        </w:rPr>
      </w:pPr>
    </w:p>
    <w:p>
      <w:pPr>
        <w:spacing w:line="600" w:lineRule="exact"/>
        <w:jc w:val="left"/>
        <w:outlineLvl w:val="0"/>
        <w:rPr>
          <w:rFonts w:hint="eastAsia" w:ascii="黑体" w:hAnsi="黑体" w:eastAsia="黑体" w:cs="方正小标宋简体"/>
          <w:sz w:val="32"/>
          <w:szCs w:val="32"/>
          <w:lang w:val="en-US" w:eastAsia="zh-CN"/>
        </w:rPr>
      </w:pPr>
    </w:p>
    <w:p>
      <w:pPr>
        <w:spacing w:line="600" w:lineRule="exact"/>
        <w:jc w:val="left"/>
        <w:outlineLvl w:val="0"/>
        <w:rPr>
          <w:rFonts w:hint="eastAsia" w:ascii="黑体" w:hAnsi="黑体" w:eastAsia="黑体" w:cs="方正小标宋简体"/>
          <w:sz w:val="32"/>
          <w:szCs w:val="32"/>
          <w:lang w:val="en-US" w:eastAsia="zh-CN"/>
        </w:rPr>
      </w:pPr>
    </w:p>
    <w:p>
      <w:pPr>
        <w:spacing w:line="600" w:lineRule="exact"/>
        <w:jc w:val="left"/>
        <w:outlineLvl w:val="0"/>
        <w:rPr>
          <w:rFonts w:hint="eastAsia" w:ascii="黑体" w:hAnsi="黑体" w:eastAsia="黑体" w:cs="方正小标宋简体"/>
          <w:sz w:val="32"/>
          <w:szCs w:val="32"/>
          <w:lang w:val="en-US" w:eastAsia="zh-CN"/>
        </w:rPr>
      </w:pPr>
    </w:p>
    <w:p>
      <w:pPr>
        <w:spacing w:line="600" w:lineRule="exact"/>
        <w:jc w:val="left"/>
        <w:outlineLvl w:val="0"/>
        <w:rPr>
          <w:rFonts w:hint="eastAsia" w:ascii="黑体" w:hAnsi="黑体" w:eastAsia="黑体" w:cs="方正小标宋简体"/>
          <w:sz w:val="32"/>
          <w:szCs w:val="32"/>
          <w:lang w:val="en-US" w:eastAsia="zh-CN"/>
        </w:rPr>
      </w:pPr>
    </w:p>
    <w:p>
      <w:pPr>
        <w:spacing w:line="600" w:lineRule="exact"/>
        <w:jc w:val="left"/>
        <w:outlineLvl w:val="0"/>
        <w:rPr>
          <w:rFonts w:hint="eastAsia" w:ascii="黑体" w:hAnsi="黑体" w:eastAsia="黑体" w:cs="方正小标宋简体"/>
          <w:sz w:val="32"/>
          <w:szCs w:val="32"/>
          <w:lang w:val="en-US" w:eastAsia="zh-CN"/>
        </w:rPr>
      </w:pPr>
    </w:p>
    <w:p>
      <w:pPr>
        <w:spacing w:line="600" w:lineRule="exact"/>
        <w:jc w:val="left"/>
        <w:outlineLvl w:val="0"/>
        <w:rPr>
          <w:rFonts w:hint="default" w:ascii="黑体" w:hAnsi="黑体" w:eastAsia="黑体" w:cs="方正小标宋简体"/>
          <w:sz w:val="32"/>
          <w:szCs w:val="32"/>
          <w:lang w:val="en-US" w:eastAsia="zh-CN"/>
        </w:rPr>
      </w:pPr>
      <w:r>
        <w:rPr>
          <w:rFonts w:hint="eastAsia" w:ascii="黑体" w:hAnsi="黑体" w:eastAsia="黑体" w:cs="方正小标宋简体"/>
          <w:sz w:val="32"/>
          <w:szCs w:val="32"/>
          <w:lang w:val="en-US" w:eastAsia="zh-CN"/>
        </w:rPr>
        <w:t>附件1</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攀枝花市西区土地储备中心</w:t>
      </w:r>
    </w:p>
    <w:p>
      <w:pPr>
        <w:spacing w:line="600" w:lineRule="exact"/>
        <w:jc w:val="center"/>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2021年部门整体支出绩效评价报告</w:t>
      </w:r>
      <w:bookmarkEnd w:id="58"/>
    </w:p>
    <w:p>
      <w:pPr>
        <w:widowControl/>
        <w:adjustRightInd w:val="0"/>
        <w:snapToGrid w:val="0"/>
        <w:spacing w:line="580" w:lineRule="exact"/>
        <w:ind w:firstLine="480" w:firstLineChars="200"/>
        <w:contextualSpacing/>
        <w:jc w:val="left"/>
        <w:rPr>
          <w:rFonts w:hint="default" w:ascii="Times New Roman" w:hAnsi="Times New Roman" w:eastAsia="黑体" w:cs="Times New Roman"/>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（一）机构组成。</w:t>
      </w:r>
    </w:p>
    <w:p>
      <w:pPr>
        <w:spacing w:line="58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我单位是一个独立核算单位，纳入2021年度部门决算汇编的独立核算单位共1个，占单位总数的100%。</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（二）机构职能。</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1.根据城市规划和土地利用总体规划，结合全区土地市场需求情况，草拟土地储备年度计划。</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2.开展全区土地开发整理资源调查，对拟收购土地进行市场调查分析，草拟土地开发计划、收购和储备方案。</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3.负责全区农村集体土地的征收拆迁补偿安置、收购及储备等事务性工作。</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4.对按规定管理依法收回的违法用地、闲置荒芜土地、无主土地和置换土地等纳入储备土地范围，并对储备土地按规定进行管理。</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5.根据规划部门的土地规划方案，拟订储备土地开发整理方案，负责组织实施全区储备土地的一级开发整理、工程招投标和工程进度及质量监督。</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6.协助规划部门做好储备土地规划方案的优化，拟制储备土地出让计划。</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7.严格执行土地收购储备资金管理规定，资金纳入区政府预决算。</w:t>
      </w:r>
    </w:p>
    <w:p>
      <w:pPr>
        <w:pStyle w:val="5"/>
        <w:adjustRightInd w:val="0"/>
        <w:snapToGrid w:val="0"/>
        <w:spacing w:before="93" w:line="600" w:lineRule="exact"/>
        <w:ind w:firstLine="672" w:firstLineChars="210"/>
        <w:outlineLvl w:val="2"/>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8.做好储备土地招商引资和投入市场的前期准备工作。</w:t>
      </w:r>
    </w:p>
    <w:p>
      <w:pPr>
        <w:widowControl/>
        <w:adjustRightInd w:val="0"/>
        <w:snapToGrid w:val="0"/>
        <w:spacing w:line="580" w:lineRule="exact"/>
        <w:ind w:firstLine="640" w:firstLineChars="200"/>
        <w:contextualSpacing/>
        <w:jc w:val="left"/>
        <w:rPr>
          <w:rStyle w:val="31"/>
          <w:rFonts w:hint="default" w:ascii="Times New Roman" w:hAnsi="Times New Roman" w:eastAsia="仿宋" w:cs="Times New Roman"/>
          <w:sz w:val="32"/>
          <w:szCs w:val="32"/>
        </w:rPr>
      </w:pPr>
      <w:r>
        <w:rPr>
          <w:rStyle w:val="31"/>
          <w:rFonts w:hint="default" w:ascii="Times New Roman" w:hAnsi="Times New Roman" w:eastAsia="仿宋" w:cs="Times New Roman"/>
          <w:sz w:val="32"/>
          <w:szCs w:val="32"/>
        </w:rPr>
        <w:t>9.承办区委、区政府交办的其他工作。</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sz w:val="32"/>
          <w:szCs w:val="32"/>
        </w:rPr>
        <w:t>我单位设主任1名，</w:t>
      </w:r>
      <w:r>
        <w:rPr>
          <w:rFonts w:hint="default" w:ascii="Times New Roman" w:hAnsi="Times New Roman" w:eastAsia="仿宋_GB2312" w:cs="Times New Roman"/>
          <w:sz w:val="32"/>
          <w:szCs w:val="32"/>
          <w:highlight w:val="none"/>
        </w:rPr>
        <w:t>核定事业人员编制9名，实际在岗4名。核定临聘编制人员</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名，实际在岗3名。</w:t>
      </w: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（一）部门财政资金收入情况。</w:t>
      </w:r>
    </w:p>
    <w:p>
      <w:pPr>
        <w:spacing w:line="600" w:lineRule="atLeast"/>
        <w:ind w:firstLine="640" w:firstLineChars="200"/>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sz w:val="32"/>
          <w:szCs w:val="32"/>
        </w:rPr>
        <w:t>按照预算绩效管理要求，本部门对2021年开展了绩效目标管理，共编制绩效目标15个，涉及财政资金558.8万元，覆盖率达到100%。</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（二）部门财政资金支出情况。</w:t>
      </w:r>
    </w:p>
    <w:p>
      <w:pPr>
        <w:spacing w:line="600" w:lineRule="atLeast"/>
        <w:ind w:firstLine="640" w:firstLineChars="200"/>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sz w:val="32"/>
          <w:szCs w:val="32"/>
        </w:rPr>
        <w:t>本部门对2021年开展了绩效目标管理，共编制绩效目标15个，支出财政资金558.8万元，覆盖率达到100%。</w:t>
      </w: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（一）部门预算管理。</w:t>
      </w:r>
    </w:p>
    <w:p>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收入年初预算为91.15万元，决算为643.62万元。增加的主要原因是调整人员经费，项目增加。</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支出执行情况：本年预算支出91.15，决算支出643.62万元，增加的主要原因是调整人员经费，项目增加。</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（二）结果应用情况。</w:t>
      </w:r>
    </w:p>
    <w:p>
      <w:pPr>
        <w:spacing w:line="58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有效</w:t>
      </w:r>
      <w:r>
        <w:rPr>
          <w:rFonts w:hint="default" w:ascii="Times New Roman" w:hAnsi="Times New Roman" w:eastAsia="仿宋_GB2312" w:cs="Times New Roman"/>
          <w:sz w:val="32"/>
          <w:szCs w:val="32"/>
        </w:rPr>
        <w:t>完成了区储备土地管理工作和城市建设用地林地报件手续，提高了储备土地管理成效，保障了城市建设用地报件工作顺利开展，储备土地的管理对储备土地实施有效管理，防止已征土地被复耕复种、违法侵占，避免造成土地二次补偿的经济损失，能有效防止复耕复种引发的社会矛盾纠纷。</w:t>
      </w: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年攀枝花市西区土地储备中心主要开展</w:t>
      </w:r>
      <w:r>
        <w:rPr>
          <w:rFonts w:hint="default" w:ascii="Times New Roman" w:hAnsi="Times New Roman" w:eastAsia="仿宋_GB2312" w:cs="Times New Roman"/>
          <w:sz w:val="32"/>
          <w:szCs w:val="32"/>
          <w:lang w:val="en-US" w:eastAsia="zh-CN"/>
        </w:rPr>
        <w:t>土地收储；储备土地管理；规划编制及土地推荐</w:t>
      </w:r>
      <w:r>
        <w:rPr>
          <w:rFonts w:hint="default" w:ascii="Times New Roman" w:hAnsi="Times New Roman" w:eastAsia="仿宋_GB2312" w:cs="Times New Roman"/>
          <w:sz w:val="32"/>
          <w:szCs w:val="32"/>
        </w:rPr>
        <w:t>等事务性工作。主要内容包括对依法收回的违法用地、闲置荒芜土地、无主土地和置换土地以及区政府已征收土地等纳入土地储备范围，并对储备土地按规定进行管理</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lang w:eastAsia="zh-CN"/>
        </w:rPr>
        <w:t>做好土地资源推介，高效促进西区存量国有建设用地出让</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事务性工作。</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促进西区高质量发展，在节约集约用地的同时，为经济发展提供用地</w:t>
      </w:r>
      <w:r>
        <w:rPr>
          <w:rFonts w:hint="default" w:ascii="Times New Roman" w:hAnsi="Times New Roman" w:eastAsia="仿宋_GB2312" w:cs="Times New Roman"/>
          <w:sz w:val="32"/>
          <w:szCs w:val="32"/>
          <w:lang w:val="en-US" w:eastAsia="zh-CN"/>
        </w:rPr>
        <w:t>规划</w:t>
      </w:r>
      <w:r>
        <w:rPr>
          <w:rFonts w:hint="default" w:ascii="Times New Roman" w:hAnsi="Times New Roman" w:eastAsia="仿宋_GB2312" w:cs="Times New Roman"/>
          <w:sz w:val="32"/>
          <w:szCs w:val="32"/>
        </w:rPr>
        <w:t>保障，促进经济社会可持续发展。</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（二）存在问题。</w:t>
      </w:r>
    </w:p>
    <w:p>
      <w:pPr>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（1）各类办公成本逐年上涨，预算的公用费用逐年下降，办公经费缺口越来越大，运转都困难。</w:t>
      </w:r>
    </w:p>
    <w:p>
      <w:pPr>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（2）我单位工作任繁重，正式职工少。</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（三）改进建议。</w:t>
      </w:r>
    </w:p>
    <w:p>
      <w:pPr>
        <w:ind w:firstLine="645"/>
        <w:rPr>
          <w:rFonts w:hint="default" w:ascii="Times New Roman" w:hAnsi="Times New Roman" w:eastAsia="仿宋_GB2312" w:cs="Times New Roman"/>
          <w:sz w:val="32"/>
          <w:szCs w:val="32"/>
        </w:rPr>
        <w:sectPr>
          <w:pgSz w:w="11906" w:h="16838"/>
          <w:pgMar w:top="1440" w:right="1800" w:bottom="1440" w:left="1800" w:header="851" w:footer="992" w:gutter="0"/>
          <w:cols w:space="425" w:num="1"/>
          <w:titlePg/>
          <w:docGrid w:type="lines" w:linePitch="312" w:charSpace="0"/>
        </w:sectPr>
      </w:pPr>
      <w:r>
        <w:rPr>
          <w:rFonts w:hint="default" w:ascii="Times New Roman" w:hAnsi="Times New Roman" w:eastAsia="仿宋_GB2312" w:cs="Times New Roman"/>
          <w:sz w:val="32"/>
          <w:szCs w:val="32"/>
        </w:rPr>
        <w:t>根据我单位的工作实际增加财政预算资金。</w:t>
      </w:r>
    </w:p>
    <w:p>
      <w:pPr>
        <w:spacing w:line="58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2</w:t>
      </w:r>
    </w:p>
    <w:p>
      <w:pPr>
        <w:spacing w:line="580" w:lineRule="exact"/>
        <w:ind w:firstLine="640" w:firstLineChars="200"/>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方正小标宋简体" w:cs="Times New Roman"/>
          <w:sz w:val="40"/>
          <w:szCs w:val="40"/>
          <w:lang w:val="zh-CN"/>
        </w:rPr>
      </w:pPr>
      <w:r>
        <w:rPr>
          <w:rFonts w:hint="default" w:ascii="Times New Roman" w:hAnsi="Times New Roman" w:eastAsia="方正小标宋简体" w:cs="Times New Roman"/>
          <w:sz w:val="40"/>
          <w:szCs w:val="40"/>
          <w:lang w:val="zh-CN"/>
        </w:rPr>
        <w:t>攀枝花市西区土地储备中心</w:t>
      </w:r>
    </w:p>
    <w:p>
      <w:pPr>
        <w:spacing w:line="600" w:lineRule="exact"/>
        <w:jc w:val="center"/>
        <w:rPr>
          <w:rFonts w:hint="default" w:ascii="Times New Roman" w:hAnsi="Times New Roman" w:cs="Times New Roman"/>
          <w:sz w:val="32"/>
          <w:szCs w:val="32"/>
          <w:lang w:val="zh-CN"/>
        </w:rPr>
      </w:pPr>
      <w:r>
        <w:rPr>
          <w:rFonts w:hint="default" w:ascii="Times New Roman" w:hAnsi="Times New Roman" w:eastAsia="方正小标宋简体" w:cs="Times New Roman"/>
          <w:sz w:val="40"/>
          <w:szCs w:val="40"/>
        </w:rPr>
        <w:t>2021年</w:t>
      </w:r>
      <w:r>
        <w:rPr>
          <w:rFonts w:hint="default" w:ascii="Times New Roman" w:hAnsi="Times New Roman" w:eastAsia="方正小标宋简体" w:cs="Times New Roman"/>
          <w:sz w:val="40"/>
          <w:szCs w:val="40"/>
          <w:lang w:val="zh-CN"/>
        </w:rPr>
        <w:t>专项预算项目支出绩效自评报告</w:t>
      </w:r>
    </w:p>
    <w:p>
      <w:pPr>
        <w:spacing w:line="600" w:lineRule="exact"/>
        <w:rPr>
          <w:rFonts w:hint="default" w:ascii="Times New Roman" w:hAnsi="Times New Roman" w:cs="Times New Roman"/>
          <w:sz w:val="32"/>
          <w:szCs w:val="32"/>
          <w:lang w:val="zh-CN"/>
        </w:rPr>
      </w:pPr>
    </w:p>
    <w:p>
      <w:pPr>
        <w:adjustRightInd w:val="0"/>
        <w:snapToGrid w:val="0"/>
        <w:spacing w:line="600"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1．说明项目主管部门（单位）在该项目管理中的职能。</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2．项目立项、资金申报的依据。</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3．资金管理办法制定情况，资金支持具体项目的条件、范围与支持方式概况。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4．资金分配的原则及考虑因素。</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1．项目主要内容。</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2．项目应实现的具体绩效目标，包括目标的量化、细化情况以及项目实施进度计划等。</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3．分析评价申报内容是否与实际相符，申报目标是否合理可行。</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说明项目绩效自评采用的组织实施步骤及方法。</w:t>
      </w:r>
    </w:p>
    <w:p>
      <w:pPr>
        <w:adjustRightInd w:val="0"/>
        <w:snapToGrid w:val="0"/>
        <w:spacing w:line="600"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说明项目资金申报、批复及预算调整等程序的相关情况。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1．资金计划。</w:t>
      </w:r>
      <w:r>
        <w:rPr>
          <w:rFonts w:hint="default" w:ascii="Times New Roman" w:hAnsi="Times New Roman" w:eastAsia="仿宋_GB2312" w:cs="Times New Roman"/>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2．资金到位。</w:t>
      </w:r>
      <w:r>
        <w:rPr>
          <w:rFonts w:hint="default" w:ascii="Times New Roman" w:hAnsi="Times New Roman" w:eastAsia="仿宋_GB2312" w:cs="Times New Roman"/>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3．资金使用。</w:t>
      </w:r>
      <w:r>
        <w:rPr>
          <w:rFonts w:hint="default" w:ascii="Times New Roman" w:hAnsi="Times New Roman" w:eastAsia="仿宋_GB2312" w:cs="Times New Roman"/>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（一）项目组织架构及实施流程。</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（二）项目管理情况。</w:t>
      </w:r>
      <w:r>
        <w:rPr>
          <w:rFonts w:hint="default" w:ascii="Times New Roman" w:hAnsi="Times New Roman" w:eastAsia="仿宋_GB2312" w:cs="Times New Roman"/>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（三）项目监管情况。</w:t>
      </w:r>
      <w:r>
        <w:rPr>
          <w:rFonts w:hint="default" w:ascii="Times New Roman" w:hAnsi="Times New Roman" w:eastAsia="仿宋_GB2312" w:cs="Times New Roman"/>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仿宋_GB2312" w:cs="Times New Roman"/>
          <w:sz w:val="32"/>
          <w:szCs w:val="32"/>
          <w:lang w:val="zh-CN"/>
        </w:rPr>
        <w:tab/>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600" w:lineRule="exact"/>
        <w:ind w:firstLine="640" w:firstLineChars="200"/>
        <w:rPr>
          <w:rFonts w:hint="default" w:ascii="Times New Roman" w:hAnsi="Times New Roman" w:eastAsia="仿宋_GB2312" w:cs="Times New Roman"/>
          <w:sz w:val="32"/>
          <w:szCs w:val="32"/>
          <w:bdr w:val="single" w:color="auto" w:sz="4" w:space="0"/>
          <w:lang w:val="zh-CN"/>
        </w:rPr>
      </w:pPr>
      <w:r>
        <w:rPr>
          <w:rFonts w:hint="default" w:ascii="Times New Roman" w:hAnsi="Times New Roman" w:eastAsia="仿宋_GB2312" w:cs="Times New Roman"/>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结合自评情况，分析存在的问题及原因。</w:t>
      </w:r>
      <w:r>
        <w:rPr>
          <w:rFonts w:hint="default" w:ascii="Times New Roman" w:hAnsi="Times New Roman" w:eastAsia="仿宋_GB2312" w:cs="Times New Roman"/>
          <w:sz w:val="32"/>
          <w:szCs w:val="32"/>
          <w:lang w:val="zh-CN"/>
        </w:rPr>
        <w:tab/>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zh-CN"/>
        </w:rPr>
        <w:t>针对项目自评中发现的问题，提出下一步改进完善的意见及有关政策性建议。</w:t>
      </w:r>
    </w:p>
    <w:p>
      <w:pPr>
        <w:spacing w:line="580" w:lineRule="exact"/>
        <w:ind w:firstLine="640"/>
        <w:rPr>
          <w:rFonts w:hint="default" w:ascii="Times New Roman" w:hAnsi="Times New Roman" w:eastAsia="仿宋_GB2312" w:cs="Times New Roman"/>
          <w:sz w:val="32"/>
          <w:szCs w:val="32"/>
        </w:rPr>
      </w:pPr>
    </w:p>
    <w:p>
      <w:pPr>
        <w:spacing w:line="580" w:lineRule="exact"/>
        <w:ind w:firstLine="640"/>
        <w:rPr>
          <w:rFonts w:hint="default" w:ascii="Times New Roman" w:hAnsi="Times New Roman" w:eastAsia="仿宋_GB2312" w:cs="Times New Roman"/>
          <w:sz w:val="32"/>
          <w:szCs w:val="32"/>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widowControl/>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2021年100万元以上（含）特定目标类部门预算项目绩效目标自评</w:t>
            </w:r>
          </w:p>
        </w:tc>
      </w:tr>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151001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攀枝花市西区土地储备中心</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300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Times New Roman" w:hAnsi="Times New Roman" w:cs="Times New Roman"/>
                <w:sz w:val="24"/>
              </w:rPr>
            </w:pPr>
            <w:r>
              <w:rPr>
                <w:rFonts w:hint="default" w:ascii="Times New Roman" w:hAnsi="Times New Roman" w:cs="Times New Roman"/>
                <w:sz w:val="24"/>
              </w:rPr>
              <w:t>300</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300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300</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trHeight w:val="79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根据中心职能职责，负责负责大水井新区开发项目内部道路建设涉及的农村集体土地征收工作，根据征收协议对被征地村民青苗、土地、房屋及地面附着物进行补偿。</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根据中心职能职责，负责负责大水井新区开发项目内部道路建设涉及的农村集体土地征收工作，根据征收协议对被征地村民青苗、土地、房屋及地面附着物进行补偿。</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征地补偿费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300万</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eastAsia="仿宋_GB2312" w:cs="Times New Roman"/>
                <w:sz w:val="18"/>
                <w:szCs w:val="18"/>
              </w:rPr>
              <w:t>300万</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项目验收合格率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eastAsia="仿宋_GB2312" w:cs="Times New Roman"/>
                <w:sz w:val="18"/>
                <w:szCs w:val="18"/>
              </w:rPr>
              <w:t>≥95%</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2021年全年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2021年全年</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征地补偿费</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300万</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eastAsia="仿宋_GB2312" w:cs="Times New Roman"/>
                <w:sz w:val="18"/>
                <w:szCs w:val="18"/>
              </w:rPr>
              <w:t>300万</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对经济的促进作用</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完成土地征收，保障大水井新区开发项目内部道路建设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完成土地征收，保障大水井新区开发项目内部道路建设</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对工作的促进作用</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进一步完善西区公共基础设施，缓解周边交通压力</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进一步完善西区公共基础设施，缓解周边交通压力</w:t>
            </w: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土地储备满意度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cs="Times New Roman"/>
                <w:sz w:val="18"/>
                <w:szCs w:val="18"/>
              </w:rPr>
              <w:t>100%</w:t>
            </w:r>
          </w:p>
        </w:tc>
      </w:tr>
    </w:tbl>
    <w:p>
      <w:pPr>
        <w:widowControl/>
        <w:jc w:val="left"/>
        <w:rPr>
          <w:rStyle w:val="25"/>
          <w:rFonts w:hint="default" w:ascii="Times New Roman" w:hAnsi="Times New Roman" w:eastAsia="黑体" w:cs="Times New Roman"/>
          <w:b w:val="0"/>
        </w:rPr>
      </w:pPr>
    </w:p>
    <w:p>
      <w:pPr>
        <w:spacing w:line="600" w:lineRule="exact"/>
        <w:outlineLvl w:val="0"/>
        <w:rPr>
          <w:rStyle w:val="25"/>
          <w:rFonts w:hint="default" w:ascii="Times New Roman" w:hAnsi="Times New Roman" w:eastAsia="黑体" w:cs="Times New Roman"/>
          <w:b w:val="0"/>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496"/>
        <w:gridCol w:w="1200"/>
        <w:gridCol w:w="1635"/>
        <w:gridCol w:w="2285"/>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widowControl/>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2021年100万元以上（含）特定目标类部门预算项目绩效目标自评</w:t>
            </w:r>
          </w:p>
        </w:tc>
      </w:tr>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151001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攀枝花市西区土地储备中心</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152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Times New Roman" w:hAnsi="Times New Roman" w:cs="Times New Roman"/>
                <w:sz w:val="24"/>
              </w:rPr>
            </w:pPr>
            <w:r>
              <w:rPr>
                <w:rFonts w:hint="default" w:ascii="Times New Roman" w:hAnsi="Times New Roman" w:cs="Times New Roman"/>
                <w:sz w:val="24"/>
              </w:rPr>
              <w:t>131.1</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131.1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131.1</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trHeight w:val="79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eastAsia="仿宋_GB2312" w:cs="Times New Roman"/>
                <w:sz w:val="18"/>
                <w:szCs w:val="18"/>
              </w:rPr>
              <w:t>对农村集体土地的征收拆迁补偿安置。主要内容包括对征收的农村集体土地进行测量测绘，确定征收土地红线范围，对被征收的农村集体土地上附着物、建构筑物等开展调查、补偿、拆迁工作，以及对拆迁范围人口开展安置工作。</w:t>
            </w:r>
          </w:p>
        </w:tc>
        <w:tc>
          <w:tcPr>
            <w:tcW w:w="39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eastAsia="仿宋_GB2312" w:cs="Times New Roman"/>
                <w:sz w:val="18"/>
                <w:szCs w:val="18"/>
              </w:rPr>
              <w:t>对农村集体土地的征收拆迁补偿安置。主要内容包括对征收的农村集体土地进行测量测绘，确定征收土地红线范围，对被征收的农村集体土地上附着物、建构筑物等开展调查、补偿、拆迁工作，以及对拆迁范围人口开展安置工作。</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人员安置费用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152万</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eastAsia="仿宋_GB2312" w:cs="Times New Roman"/>
                <w:sz w:val="18"/>
                <w:szCs w:val="18"/>
              </w:rPr>
              <w:t>131.1万</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项目验收合格率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≥95%</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eastAsia="仿宋_GB2312" w:cs="Times New Roman"/>
                <w:sz w:val="18"/>
                <w:szCs w:val="18"/>
              </w:rPr>
              <w:t>≥95%</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2021年全年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2021年全年</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征地补偿费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152万</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sz w:val="18"/>
                <w:szCs w:val="18"/>
              </w:rPr>
            </w:pPr>
            <w:r>
              <w:rPr>
                <w:rFonts w:hint="default" w:ascii="Times New Roman" w:hAnsi="Times New Roman" w:eastAsia="仿宋_GB2312" w:cs="Times New Roman"/>
                <w:sz w:val="18"/>
                <w:szCs w:val="18"/>
              </w:rPr>
              <w:t>131.1万</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对经济的促进作用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做好庄上梅子箐彝家水寨新村乡村旅游示范点遗留村民征地搬迁工作，保障净地出让，增加财政收入</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做好庄上梅子箐彝家水寨新村乡村旅游示范点遗留村民征地搬迁工作，保障净地出让，增加财政收入</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对工作的促进作用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保障村民补及时搬迁安置，维护村民合法权益</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保障村民补及时搬迁安置，维护村民合法权益</w:t>
            </w: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2" w:leftChars="0" w:hanging="462" w:hangingChars="165"/>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土地储备满意度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≥95%</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18"/>
                <w:szCs w:val="18"/>
              </w:rPr>
            </w:pPr>
            <w:r>
              <w:rPr>
                <w:rFonts w:hint="default" w:ascii="Times New Roman" w:hAnsi="Times New Roman" w:cs="Times New Roman"/>
                <w:sz w:val="18"/>
                <w:szCs w:val="18"/>
              </w:rPr>
              <w:t>100%</w:t>
            </w:r>
          </w:p>
        </w:tc>
      </w:tr>
    </w:tbl>
    <w:p>
      <w:pPr>
        <w:spacing w:line="600" w:lineRule="exact"/>
        <w:outlineLvl w:val="0"/>
        <w:rPr>
          <w:rStyle w:val="25"/>
          <w:rFonts w:hint="default" w:ascii="Times New Roman" w:hAnsi="Times New Roman" w:eastAsia="黑体" w:cs="Times New Roman"/>
          <w:b w:val="0"/>
        </w:rPr>
      </w:pPr>
    </w:p>
    <w:p>
      <w:pPr>
        <w:spacing w:line="600" w:lineRule="exact"/>
        <w:jc w:val="center"/>
        <w:outlineLvl w:val="0"/>
        <w:rPr>
          <w:rFonts w:hint="default" w:ascii="Times New Roman" w:hAnsi="Times New Roman" w:eastAsia="黑体" w:cs="Times New Roman"/>
          <w:color w:val="000000"/>
          <w:sz w:val="44"/>
          <w:szCs w:val="44"/>
        </w:rPr>
      </w:pPr>
      <w:bookmarkStart w:id="59" w:name="_Toc15396618"/>
    </w:p>
    <w:p>
      <w:pPr>
        <w:spacing w:line="600" w:lineRule="exact"/>
        <w:jc w:val="center"/>
        <w:outlineLvl w:val="0"/>
        <w:rPr>
          <w:rStyle w:val="25"/>
          <w:rFonts w:hint="default" w:ascii="Times New Roman" w:hAnsi="Times New Roman" w:eastAsia="黑体" w:cs="Times New Roman"/>
          <w:b w:val="0"/>
          <w:highlight w:val="none"/>
        </w:rPr>
      </w:pPr>
      <w:r>
        <w:rPr>
          <w:rFonts w:hint="default" w:ascii="Times New Roman" w:hAnsi="Times New Roman" w:eastAsia="黑体" w:cs="Times New Roman"/>
          <w:color w:val="000000"/>
          <w:sz w:val="44"/>
          <w:szCs w:val="44"/>
          <w:highlight w:val="none"/>
        </w:rPr>
        <w:t>第</w:t>
      </w:r>
      <w:r>
        <w:rPr>
          <w:rStyle w:val="25"/>
          <w:rFonts w:hint="default" w:ascii="Times New Roman" w:hAnsi="Times New Roman" w:eastAsia="黑体" w:cs="Times New Roman"/>
          <w:b w:val="0"/>
          <w:highlight w:val="none"/>
        </w:rPr>
        <w:t>五部分 附表</w:t>
      </w:r>
      <w:bookmarkEnd w:id="55"/>
      <w:bookmarkEnd w:id="59"/>
    </w:p>
    <w:p>
      <w:pPr>
        <w:spacing w:line="600" w:lineRule="exact"/>
        <w:jc w:val="center"/>
        <w:outlineLvl w:val="0"/>
        <w:rPr>
          <w:rFonts w:hint="default" w:ascii="Times New Roman" w:hAnsi="Times New Roman" w:eastAsia="仿宋" w:cs="Times New Roman"/>
          <w:b/>
          <w:color w:val="000000"/>
          <w:sz w:val="44"/>
          <w:szCs w:val="44"/>
          <w:highlight w:val="yellow"/>
        </w:rPr>
      </w:pPr>
    </w:p>
    <w:p>
      <w:pPr>
        <w:pStyle w:val="3"/>
        <w:rPr>
          <w:rFonts w:hint="default" w:ascii="Times New Roman" w:hAnsi="Times New Roman" w:eastAsia="仿宋" w:cs="Times New Roman"/>
          <w:color w:val="auto"/>
          <w:highlight w:val="none"/>
        </w:rPr>
      </w:pPr>
      <w:bookmarkStart w:id="60" w:name="_Toc15396619"/>
      <w:r>
        <w:rPr>
          <w:rFonts w:hint="default" w:ascii="Times New Roman" w:hAnsi="Times New Roman" w:eastAsia="仿宋" w:cs="Times New Roman"/>
          <w:b w:val="0"/>
          <w:color w:val="auto"/>
          <w:highlight w:val="none"/>
        </w:rPr>
        <w:t>一、收</w:t>
      </w:r>
      <w:r>
        <w:rPr>
          <w:rStyle w:val="26"/>
          <w:rFonts w:hint="default" w:ascii="Times New Roman" w:hAnsi="Times New Roman" w:eastAsia="仿宋" w:cs="Times New Roman"/>
          <w:b w:val="0"/>
          <w:bCs w:val="0"/>
          <w:color w:val="auto"/>
          <w:highlight w:val="none"/>
        </w:rPr>
        <w:t>入支出决算总表</w:t>
      </w:r>
      <w:bookmarkEnd w:id="60"/>
    </w:p>
    <w:p>
      <w:pPr>
        <w:pStyle w:val="3"/>
        <w:rPr>
          <w:rFonts w:hint="default" w:ascii="Times New Roman" w:hAnsi="Times New Roman" w:eastAsia="仿宋" w:cs="Times New Roman"/>
          <w:color w:val="auto"/>
          <w:highlight w:val="none"/>
        </w:rPr>
      </w:pPr>
      <w:bookmarkStart w:id="61" w:name="_Toc15396620"/>
      <w:r>
        <w:rPr>
          <w:rFonts w:hint="default" w:ascii="Times New Roman" w:hAnsi="Times New Roman" w:eastAsia="仿宋" w:cs="Times New Roman"/>
          <w:b w:val="0"/>
          <w:color w:val="auto"/>
          <w:highlight w:val="none"/>
        </w:rPr>
        <w:t>二、收</w:t>
      </w:r>
      <w:r>
        <w:rPr>
          <w:rStyle w:val="26"/>
          <w:rFonts w:hint="default" w:ascii="Times New Roman" w:hAnsi="Times New Roman" w:eastAsia="仿宋" w:cs="Times New Roman"/>
          <w:b w:val="0"/>
          <w:bCs w:val="0"/>
          <w:color w:val="auto"/>
          <w:highlight w:val="none"/>
        </w:rPr>
        <w:t>入决算表</w:t>
      </w:r>
      <w:bookmarkEnd w:id="61"/>
    </w:p>
    <w:p>
      <w:pPr>
        <w:pStyle w:val="3"/>
        <w:rPr>
          <w:rFonts w:hint="default" w:ascii="Times New Roman" w:hAnsi="Times New Roman" w:eastAsia="仿宋" w:cs="Times New Roman"/>
          <w:color w:val="auto"/>
          <w:highlight w:val="none"/>
        </w:rPr>
      </w:pPr>
      <w:bookmarkStart w:id="62" w:name="_Toc15396621"/>
      <w:r>
        <w:rPr>
          <w:rStyle w:val="26"/>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26"/>
          <w:rFonts w:hint="default" w:ascii="Times New Roman" w:hAnsi="Times New Roman" w:eastAsia="仿宋" w:cs="Times New Roman"/>
          <w:b w:val="0"/>
          <w:bCs w:val="0"/>
          <w:color w:val="auto"/>
          <w:highlight w:val="none"/>
        </w:rPr>
        <w:t>出决算表</w:t>
      </w:r>
      <w:bookmarkEnd w:id="62"/>
    </w:p>
    <w:p>
      <w:pPr>
        <w:pStyle w:val="3"/>
        <w:rPr>
          <w:rFonts w:hint="default" w:ascii="Times New Roman" w:hAnsi="Times New Roman" w:eastAsia="仿宋" w:cs="Times New Roman"/>
          <w:b w:val="0"/>
          <w:color w:val="000000"/>
          <w:highlight w:val="none"/>
        </w:rPr>
      </w:pPr>
      <w:bookmarkStart w:id="63" w:name="_Toc15396622"/>
      <w:r>
        <w:rPr>
          <w:rStyle w:val="26"/>
          <w:rFonts w:hint="default" w:ascii="Times New Roman" w:hAnsi="Times New Roman" w:eastAsia="仿宋" w:cs="Times New Roman"/>
          <w:b w:val="0"/>
          <w:bCs w:val="0"/>
          <w:highlight w:val="none"/>
        </w:rPr>
        <w:t>四、</w:t>
      </w:r>
      <w:r>
        <w:rPr>
          <w:rFonts w:hint="default" w:ascii="Times New Roman" w:hAnsi="Times New Roman" w:eastAsia="仿宋" w:cs="Times New Roman"/>
          <w:b w:val="0"/>
          <w:color w:val="000000"/>
          <w:highlight w:val="none"/>
        </w:rPr>
        <w:t>财</w:t>
      </w:r>
      <w:r>
        <w:rPr>
          <w:rStyle w:val="26"/>
          <w:rFonts w:hint="default" w:ascii="Times New Roman" w:hAnsi="Times New Roman" w:eastAsia="仿宋" w:cs="Times New Roman"/>
          <w:b w:val="0"/>
          <w:bCs w:val="0"/>
          <w:highlight w:val="none"/>
        </w:rPr>
        <w:t>政拨款收入支出决算总表</w:t>
      </w:r>
      <w:bookmarkEnd w:id="63"/>
    </w:p>
    <w:p>
      <w:pPr>
        <w:pStyle w:val="3"/>
        <w:rPr>
          <w:rStyle w:val="26"/>
          <w:rFonts w:hint="default" w:ascii="Times New Roman" w:hAnsi="Times New Roman" w:eastAsia="仿宋" w:cs="Times New Roman"/>
          <w:b w:val="0"/>
          <w:bCs w:val="0"/>
          <w:color w:val="auto"/>
          <w:highlight w:val="none"/>
        </w:rPr>
      </w:pPr>
      <w:bookmarkStart w:id="64" w:name="_Toc15396623"/>
      <w:r>
        <w:rPr>
          <w:rStyle w:val="26"/>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26"/>
          <w:rFonts w:hint="default" w:ascii="Times New Roman" w:hAnsi="Times New Roman" w:eastAsia="仿宋" w:cs="Times New Roman"/>
          <w:b w:val="0"/>
          <w:bCs w:val="0"/>
          <w:color w:val="auto"/>
          <w:highlight w:val="none"/>
        </w:rPr>
        <w:t>政拨款支出决算明细表</w:t>
      </w:r>
      <w:bookmarkEnd w:id="64"/>
      <w:bookmarkStart w:id="65" w:name="_Toc15396624"/>
    </w:p>
    <w:p>
      <w:pPr>
        <w:pStyle w:val="3"/>
        <w:rPr>
          <w:rFonts w:hint="default" w:ascii="Times New Roman" w:hAnsi="Times New Roman" w:eastAsia="仿宋" w:cs="Times New Roman"/>
          <w:color w:val="000000"/>
          <w:highlight w:val="none"/>
        </w:rPr>
      </w:pPr>
      <w:r>
        <w:rPr>
          <w:rStyle w:val="26"/>
          <w:rFonts w:hint="default" w:ascii="Times New Roman" w:hAnsi="Times New Roman" w:eastAsia="仿宋" w:cs="Times New Roman"/>
          <w:b w:val="0"/>
          <w:bCs w:val="0"/>
          <w:highlight w:val="none"/>
        </w:rPr>
        <w:t>六、</w:t>
      </w:r>
      <w:r>
        <w:rPr>
          <w:rFonts w:hint="default" w:ascii="Times New Roman" w:hAnsi="Times New Roman" w:eastAsia="仿宋" w:cs="Times New Roman"/>
          <w:b w:val="0"/>
          <w:color w:val="000000"/>
          <w:highlight w:val="none"/>
        </w:rPr>
        <w:t>一</w:t>
      </w:r>
      <w:r>
        <w:rPr>
          <w:rStyle w:val="26"/>
          <w:rFonts w:hint="default" w:ascii="Times New Roman" w:hAnsi="Times New Roman" w:eastAsia="仿宋" w:cs="Times New Roman"/>
          <w:b w:val="0"/>
          <w:bCs w:val="0"/>
          <w:highlight w:val="none"/>
        </w:rPr>
        <w:t>般公共预算财政拨款支出决算表</w:t>
      </w:r>
      <w:bookmarkEnd w:id="65"/>
    </w:p>
    <w:p>
      <w:pPr>
        <w:pStyle w:val="3"/>
        <w:rPr>
          <w:rFonts w:hint="default" w:ascii="Times New Roman" w:hAnsi="Times New Roman" w:eastAsia="仿宋" w:cs="Times New Roman"/>
          <w:color w:val="000000"/>
          <w:highlight w:val="none"/>
        </w:rPr>
      </w:pPr>
      <w:bookmarkStart w:id="66" w:name="_Toc15396625"/>
      <w:r>
        <w:rPr>
          <w:rStyle w:val="26"/>
          <w:rFonts w:hint="default" w:ascii="Times New Roman" w:hAnsi="Times New Roman" w:eastAsia="仿宋" w:cs="Times New Roman"/>
          <w:b w:val="0"/>
          <w:bCs w:val="0"/>
          <w:highlight w:val="none"/>
        </w:rPr>
        <w:t>七、</w:t>
      </w:r>
      <w:r>
        <w:rPr>
          <w:rFonts w:hint="default" w:ascii="Times New Roman" w:hAnsi="Times New Roman" w:eastAsia="仿宋" w:cs="Times New Roman"/>
          <w:b w:val="0"/>
          <w:color w:val="000000"/>
          <w:highlight w:val="none"/>
        </w:rPr>
        <w:t>一</w:t>
      </w:r>
      <w:r>
        <w:rPr>
          <w:rStyle w:val="26"/>
          <w:rFonts w:hint="default" w:ascii="Times New Roman" w:hAnsi="Times New Roman" w:eastAsia="仿宋" w:cs="Times New Roman"/>
          <w:b w:val="0"/>
          <w:bCs w:val="0"/>
          <w:highlight w:val="none"/>
        </w:rPr>
        <w:t>般公共预算财政拨款支出决算明细表</w:t>
      </w:r>
      <w:bookmarkEnd w:id="66"/>
    </w:p>
    <w:p>
      <w:pPr>
        <w:pStyle w:val="3"/>
        <w:rPr>
          <w:rFonts w:hint="default" w:ascii="Times New Roman" w:hAnsi="Times New Roman" w:eastAsia="仿宋" w:cs="Times New Roman"/>
          <w:color w:val="000000"/>
          <w:highlight w:val="none"/>
        </w:rPr>
      </w:pPr>
      <w:bookmarkStart w:id="67" w:name="_Toc15396626"/>
      <w:r>
        <w:rPr>
          <w:rStyle w:val="26"/>
          <w:rFonts w:hint="default" w:ascii="Times New Roman" w:hAnsi="Times New Roman" w:eastAsia="仿宋" w:cs="Times New Roman"/>
          <w:b w:val="0"/>
          <w:bCs w:val="0"/>
          <w:highlight w:val="none"/>
        </w:rPr>
        <w:t>八、</w:t>
      </w:r>
      <w:r>
        <w:rPr>
          <w:rFonts w:hint="default" w:ascii="Times New Roman" w:hAnsi="Times New Roman" w:eastAsia="仿宋" w:cs="Times New Roman"/>
          <w:b w:val="0"/>
          <w:color w:val="000000"/>
          <w:highlight w:val="none"/>
        </w:rPr>
        <w:t>一</w:t>
      </w:r>
      <w:r>
        <w:rPr>
          <w:rStyle w:val="26"/>
          <w:rFonts w:hint="default" w:ascii="Times New Roman" w:hAnsi="Times New Roman" w:eastAsia="仿宋" w:cs="Times New Roman"/>
          <w:b w:val="0"/>
          <w:bCs w:val="0"/>
          <w:highlight w:val="none"/>
        </w:rPr>
        <w:t>般公共预算财政拨款基本支出决算表</w:t>
      </w:r>
      <w:bookmarkEnd w:id="67"/>
    </w:p>
    <w:p>
      <w:pPr>
        <w:pStyle w:val="3"/>
        <w:rPr>
          <w:rFonts w:hint="default" w:ascii="Times New Roman" w:hAnsi="Times New Roman" w:eastAsia="仿宋" w:cs="Times New Roman"/>
          <w:color w:val="000000"/>
          <w:highlight w:val="none"/>
        </w:rPr>
      </w:pPr>
      <w:bookmarkStart w:id="68" w:name="_Toc15396627"/>
      <w:r>
        <w:rPr>
          <w:rStyle w:val="26"/>
          <w:rFonts w:hint="default" w:ascii="Times New Roman" w:hAnsi="Times New Roman" w:eastAsia="仿宋" w:cs="Times New Roman"/>
          <w:b w:val="0"/>
          <w:bCs w:val="0"/>
          <w:highlight w:val="none"/>
        </w:rPr>
        <w:t>九、</w:t>
      </w:r>
      <w:r>
        <w:rPr>
          <w:rFonts w:hint="default" w:ascii="Times New Roman" w:hAnsi="Times New Roman" w:eastAsia="仿宋" w:cs="Times New Roman"/>
          <w:b w:val="0"/>
          <w:color w:val="000000"/>
          <w:highlight w:val="none"/>
        </w:rPr>
        <w:t>一</w:t>
      </w:r>
      <w:r>
        <w:rPr>
          <w:rStyle w:val="26"/>
          <w:rFonts w:hint="default" w:ascii="Times New Roman" w:hAnsi="Times New Roman" w:eastAsia="仿宋" w:cs="Times New Roman"/>
          <w:b w:val="0"/>
          <w:bCs w:val="0"/>
          <w:highlight w:val="none"/>
        </w:rPr>
        <w:t>般公共预算财政拨款项目支出决算表</w:t>
      </w:r>
      <w:bookmarkEnd w:id="68"/>
    </w:p>
    <w:p>
      <w:pPr>
        <w:pStyle w:val="3"/>
        <w:rPr>
          <w:rFonts w:hint="default" w:ascii="Times New Roman" w:hAnsi="Times New Roman" w:eastAsia="仿宋" w:cs="Times New Roman"/>
          <w:color w:val="000000"/>
          <w:highlight w:val="none"/>
        </w:rPr>
      </w:pPr>
      <w:bookmarkStart w:id="69" w:name="_Toc15396628"/>
      <w:r>
        <w:rPr>
          <w:rStyle w:val="26"/>
          <w:rFonts w:hint="default" w:ascii="Times New Roman" w:hAnsi="Times New Roman" w:eastAsia="仿宋" w:cs="Times New Roman"/>
          <w:b w:val="0"/>
          <w:bCs w:val="0"/>
          <w:highlight w:val="none"/>
        </w:rPr>
        <w:t>十、</w:t>
      </w:r>
      <w:r>
        <w:rPr>
          <w:rFonts w:hint="default" w:ascii="Times New Roman" w:hAnsi="Times New Roman" w:eastAsia="仿宋" w:cs="Times New Roman"/>
          <w:b w:val="0"/>
          <w:color w:val="000000"/>
          <w:highlight w:val="none"/>
        </w:rPr>
        <w:t>一</w:t>
      </w:r>
      <w:r>
        <w:rPr>
          <w:rStyle w:val="26"/>
          <w:rFonts w:hint="default" w:ascii="Times New Roman" w:hAnsi="Times New Roman" w:eastAsia="仿宋" w:cs="Times New Roman"/>
          <w:b w:val="0"/>
          <w:bCs w:val="0"/>
          <w:highlight w:val="none"/>
        </w:rPr>
        <w:t>般公共预算财政拨款“三公”经费支出决算表</w:t>
      </w:r>
      <w:bookmarkEnd w:id="69"/>
    </w:p>
    <w:p>
      <w:pPr>
        <w:pStyle w:val="3"/>
        <w:rPr>
          <w:rFonts w:hint="default" w:ascii="Times New Roman" w:hAnsi="Times New Roman" w:eastAsia="仿宋" w:cs="Times New Roman"/>
          <w:color w:val="000000"/>
          <w:highlight w:val="none"/>
        </w:rPr>
      </w:pPr>
      <w:bookmarkStart w:id="70" w:name="_Toc15396629"/>
      <w:r>
        <w:rPr>
          <w:rStyle w:val="26"/>
          <w:rFonts w:hint="default" w:ascii="Times New Roman" w:hAnsi="Times New Roman" w:eastAsia="仿宋" w:cs="Times New Roman"/>
          <w:b w:val="0"/>
          <w:bCs w:val="0"/>
          <w:highlight w:val="none"/>
        </w:rPr>
        <w:t>十一、</w:t>
      </w:r>
      <w:r>
        <w:rPr>
          <w:rFonts w:hint="default" w:ascii="Times New Roman" w:hAnsi="Times New Roman" w:eastAsia="仿宋" w:cs="Times New Roman"/>
          <w:b w:val="0"/>
          <w:color w:val="000000"/>
          <w:highlight w:val="none"/>
        </w:rPr>
        <w:t>政</w:t>
      </w:r>
      <w:r>
        <w:rPr>
          <w:rStyle w:val="26"/>
          <w:rFonts w:hint="default" w:ascii="Times New Roman" w:hAnsi="Times New Roman" w:eastAsia="仿宋" w:cs="Times New Roman"/>
          <w:b w:val="0"/>
          <w:bCs w:val="0"/>
          <w:highlight w:val="none"/>
        </w:rPr>
        <w:t>府性基金预算财政拨款收入支出决算表</w:t>
      </w:r>
      <w:bookmarkEnd w:id="70"/>
    </w:p>
    <w:p>
      <w:pPr>
        <w:pStyle w:val="3"/>
        <w:rPr>
          <w:rFonts w:hint="default" w:ascii="Times New Roman" w:hAnsi="Times New Roman" w:eastAsia="仿宋" w:cs="Times New Roman"/>
          <w:color w:val="000000"/>
          <w:highlight w:val="none"/>
        </w:rPr>
      </w:pPr>
      <w:bookmarkStart w:id="71" w:name="_Toc15396630"/>
      <w:r>
        <w:rPr>
          <w:rStyle w:val="26"/>
          <w:rFonts w:hint="default" w:ascii="Times New Roman" w:hAnsi="Times New Roman" w:eastAsia="仿宋" w:cs="Times New Roman"/>
          <w:b w:val="0"/>
          <w:bCs w:val="0"/>
          <w:highlight w:val="none"/>
        </w:rPr>
        <w:t>十二、</w:t>
      </w:r>
      <w:r>
        <w:rPr>
          <w:rFonts w:hint="default" w:ascii="Times New Roman" w:hAnsi="Times New Roman" w:eastAsia="仿宋" w:cs="Times New Roman"/>
          <w:b w:val="0"/>
          <w:color w:val="000000"/>
          <w:highlight w:val="none"/>
        </w:rPr>
        <w:t>政</w:t>
      </w:r>
      <w:r>
        <w:rPr>
          <w:rStyle w:val="26"/>
          <w:rFonts w:hint="default" w:ascii="Times New Roman" w:hAnsi="Times New Roman" w:eastAsia="仿宋" w:cs="Times New Roman"/>
          <w:b w:val="0"/>
          <w:bCs w:val="0"/>
          <w:highlight w:val="none"/>
        </w:rPr>
        <w:t>府性基金预算财政拨款“三公”经费支出决算表</w:t>
      </w:r>
      <w:bookmarkEnd w:id="71"/>
    </w:p>
    <w:p>
      <w:pPr>
        <w:pStyle w:val="3"/>
        <w:rPr>
          <w:rStyle w:val="26"/>
          <w:rFonts w:hint="default" w:ascii="Times New Roman" w:hAnsi="Times New Roman" w:eastAsia="仿宋" w:cs="Times New Roman"/>
          <w:b w:val="0"/>
          <w:bCs w:val="0"/>
          <w:highlight w:val="none"/>
        </w:rPr>
      </w:pPr>
      <w:bookmarkStart w:id="72" w:name="_Toc15396631"/>
      <w:r>
        <w:rPr>
          <w:rStyle w:val="26"/>
          <w:rFonts w:hint="default" w:ascii="Times New Roman" w:hAnsi="Times New Roman" w:eastAsia="仿宋" w:cs="Times New Roman"/>
          <w:b w:val="0"/>
          <w:bCs w:val="0"/>
          <w:highlight w:val="none"/>
        </w:rPr>
        <w:t>十三、</w:t>
      </w:r>
      <w:bookmarkEnd w:id="72"/>
      <w:r>
        <w:rPr>
          <w:rFonts w:hint="default" w:ascii="Times New Roman" w:hAnsi="Times New Roman" w:eastAsia="仿宋" w:cs="Times New Roman"/>
          <w:b w:val="0"/>
          <w:color w:val="000000"/>
          <w:highlight w:val="none"/>
        </w:rPr>
        <w:t>国有资本经营预算财政拨款收入支出决算表</w:t>
      </w:r>
    </w:p>
    <w:p>
      <w:pPr>
        <w:rPr>
          <w:rFonts w:hint="eastAsia" w:eastAsia="仿宋"/>
          <w:lang w:eastAsia="zh-CN"/>
        </w:rPr>
      </w:pPr>
      <w:r>
        <w:rPr>
          <w:rStyle w:val="26"/>
          <w:rFonts w:hint="eastAsia" w:eastAsia="仿宋" w:cs="Times New Roman"/>
          <w:b w:val="0"/>
          <w:bCs w:val="0"/>
          <w:highlight w:val="none"/>
          <w:lang w:eastAsia="zh-CN"/>
        </w:rPr>
        <w:t>十四、国有资本经营预算财政拨款支出决算表</w:t>
      </w:r>
    </w:p>
    <w:p>
      <w:pPr>
        <w:rPr>
          <w:rFonts w:hint="eastAsia" w:eastAsia="仿宋"/>
          <w:lang w:eastAsia="zh-CN"/>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1283"/>
    </w:sdtPr>
    <w:sdtContent>
      <w:p>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1ZmU0Y2NlNDM0MGQ4YzQ5YTMzNjQ4M2U5Y2NjZmYifQ=="/>
  </w:docVars>
  <w:rsids>
    <w:rsidRoot w:val="00F1361C"/>
    <w:rsid w:val="000222C6"/>
    <w:rsid w:val="0002549F"/>
    <w:rsid w:val="000306F7"/>
    <w:rsid w:val="000345E1"/>
    <w:rsid w:val="000468DB"/>
    <w:rsid w:val="00054DE4"/>
    <w:rsid w:val="00063593"/>
    <w:rsid w:val="0006487A"/>
    <w:rsid w:val="00065F8F"/>
    <w:rsid w:val="000700B5"/>
    <w:rsid w:val="00070A43"/>
    <w:rsid w:val="000768F2"/>
    <w:rsid w:val="00080114"/>
    <w:rsid w:val="00081A32"/>
    <w:rsid w:val="00084E2E"/>
    <w:rsid w:val="0009184B"/>
    <w:rsid w:val="00094236"/>
    <w:rsid w:val="0009593C"/>
    <w:rsid w:val="00097322"/>
    <w:rsid w:val="000A6A92"/>
    <w:rsid w:val="000B047F"/>
    <w:rsid w:val="000B16B4"/>
    <w:rsid w:val="000B5923"/>
    <w:rsid w:val="000B5A48"/>
    <w:rsid w:val="000B6FF3"/>
    <w:rsid w:val="000C3467"/>
    <w:rsid w:val="000C3C36"/>
    <w:rsid w:val="000C3CA6"/>
    <w:rsid w:val="000C55E0"/>
    <w:rsid w:val="000D1267"/>
    <w:rsid w:val="000D1D50"/>
    <w:rsid w:val="000D5782"/>
    <w:rsid w:val="000E2C6D"/>
    <w:rsid w:val="000E6613"/>
    <w:rsid w:val="000E7119"/>
    <w:rsid w:val="00114E9B"/>
    <w:rsid w:val="00134E13"/>
    <w:rsid w:val="00142216"/>
    <w:rsid w:val="00144D6A"/>
    <w:rsid w:val="0014729F"/>
    <w:rsid w:val="00157BAB"/>
    <w:rsid w:val="00164619"/>
    <w:rsid w:val="001654D1"/>
    <w:rsid w:val="00170A34"/>
    <w:rsid w:val="00174518"/>
    <w:rsid w:val="0018106D"/>
    <w:rsid w:val="00183696"/>
    <w:rsid w:val="001877A7"/>
    <w:rsid w:val="00191536"/>
    <w:rsid w:val="00196687"/>
    <w:rsid w:val="001A6A86"/>
    <w:rsid w:val="001B3F92"/>
    <w:rsid w:val="001C0962"/>
    <w:rsid w:val="001C0E15"/>
    <w:rsid w:val="001D7531"/>
    <w:rsid w:val="001E737D"/>
    <w:rsid w:val="001F0592"/>
    <w:rsid w:val="001F41A7"/>
    <w:rsid w:val="001F7506"/>
    <w:rsid w:val="002006CD"/>
    <w:rsid w:val="00202B36"/>
    <w:rsid w:val="00204B7A"/>
    <w:rsid w:val="00204CDE"/>
    <w:rsid w:val="0021101A"/>
    <w:rsid w:val="00220536"/>
    <w:rsid w:val="002337C6"/>
    <w:rsid w:val="00234CAA"/>
    <w:rsid w:val="00235629"/>
    <w:rsid w:val="00244EBD"/>
    <w:rsid w:val="00252B19"/>
    <w:rsid w:val="0025316D"/>
    <w:rsid w:val="00260C38"/>
    <w:rsid w:val="002616C0"/>
    <w:rsid w:val="00265372"/>
    <w:rsid w:val="002662AA"/>
    <w:rsid w:val="00270E0C"/>
    <w:rsid w:val="00280496"/>
    <w:rsid w:val="00294DC9"/>
    <w:rsid w:val="00295495"/>
    <w:rsid w:val="002A095E"/>
    <w:rsid w:val="002A31DE"/>
    <w:rsid w:val="002B2613"/>
    <w:rsid w:val="002C2CD9"/>
    <w:rsid w:val="002D0C79"/>
    <w:rsid w:val="002D19B0"/>
    <w:rsid w:val="002D6D05"/>
    <w:rsid w:val="002F1818"/>
    <w:rsid w:val="002F567B"/>
    <w:rsid w:val="002F67B3"/>
    <w:rsid w:val="00310E79"/>
    <w:rsid w:val="00313C6F"/>
    <w:rsid w:val="003216A9"/>
    <w:rsid w:val="00330757"/>
    <w:rsid w:val="00335A74"/>
    <w:rsid w:val="00341721"/>
    <w:rsid w:val="0036561B"/>
    <w:rsid w:val="0036630B"/>
    <w:rsid w:val="0037013F"/>
    <w:rsid w:val="00370F3F"/>
    <w:rsid w:val="00371614"/>
    <w:rsid w:val="00380C92"/>
    <w:rsid w:val="003855CF"/>
    <w:rsid w:val="003A02FC"/>
    <w:rsid w:val="003A484F"/>
    <w:rsid w:val="003A4883"/>
    <w:rsid w:val="003A702F"/>
    <w:rsid w:val="003B0BE0"/>
    <w:rsid w:val="003B0C1B"/>
    <w:rsid w:val="003B688C"/>
    <w:rsid w:val="003C0291"/>
    <w:rsid w:val="003C39AE"/>
    <w:rsid w:val="003C7B60"/>
    <w:rsid w:val="003D0C0F"/>
    <w:rsid w:val="003D1FB2"/>
    <w:rsid w:val="003D66DA"/>
    <w:rsid w:val="003E1310"/>
    <w:rsid w:val="003E6F55"/>
    <w:rsid w:val="00406254"/>
    <w:rsid w:val="00412116"/>
    <w:rsid w:val="00416CD4"/>
    <w:rsid w:val="004223DE"/>
    <w:rsid w:val="00434489"/>
    <w:rsid w:val="00437085"/>
    <w:rsid w:val="00443880"/>
    <w:rsid w:val="004464F4"/>
    <w:rsid w:val="00452E4F"/>
    <w:rsid w:val="00471401"/>
    <w:rsid w:val="00473F31"/>
    <w:rsid w:val="0048263A"/>
    <w:rsid w:val="00487E5D"/>
    <w:rsid w:val="00493322"/>
    <w:rsid w:val="004A711F"/>
    <w:rsid w:val="004B0DC7"/>
    <w:rsid w:val="004B199D"/>
    <w:rsid w:val="004B2BFB"/>
    <w:rsid w:val="004B4690"/>
    <w:rsid w:val="004C24CD"/>
    <w:rsid w:val="004C3D4B"/>
    <w:rsid w:val="004D078A"/>
    <w:rsid w:val="004D432E"/>
    <w:rsid w:val="004E0A2D"/>
    <w:rsid w:val="004E1E80"/>
    <w:rsid w:val="004E206B"/>
    <w:rsid w:val="004E6DF7"/>
    <w:rsid w:val="004F0FBD"/>
    <w:rsid w:val="004F403E"/>
    <w:rsid w:val="004F4BA6"/>
    <w:rsid w:val="00501106"/>
    <w:rsid w:val="00505A47"/>
    <w:rsid w:val="00512FDA"/>
    <w:rsid w:val="00520DA0"/>
    <w:rsid w:val="00533B60"/>
    <w:rsid w:val="00536812"/>
    <w:rsid w:val="00536A68"/>
    <w:rsid w:val="005664BB"/>
    <w:rsid w:val="00566FFA"/>
    <w:rsid w:val="0057481D"/>
    <w:rsid w:val="00575F0B"/>
    <w:rsid w:val="0057775A"/>
    <w:rsid w:val="005815A4"/>
    <w:rsid w:val="0058486E"/>
    <w:rsid w:val="00585B33"/>
    <w:rsid w:val="0059014D"/>
    <w:rsid w:val="005B5C64"/>
    <w:rsid w:val="005C6BD0"/>
    <w:rsid w:val="005C6C4C"/>
    <w:rsid w:val="005D1C8B"/>
    <w:rsid w:val="005D468D"/>
    <w:rsid w:val="005D5CED"/>
    <w:rsid w:val="005E66E9"/>
    <w:rsid w:val="005F1A4C"/>
    <w:rsid w:val="005F5267"/>
    <w:rsid w:val="00605688"/>
    <w:rsid w:val="006070AF"/>
    <w:rsid w:val="00607E6C"/>
    <w:rsid w:val="006101B1"/>
    <w:rsid w:val="00614E44"/>
    <w:rsid w:val="0062270A"/>
    <w:rsid w:val="00622830"/>
    <w:rsid w:val="00623DA0"/>
    <w:rsid w:val="00630AEF"/>
    <w:rsid w:val="006325F8"/>
    <w:rsid w:val="00633463"/>
    <w:rsid w:val="00634C9A"/>
    <w:rsid w:val="006440E4"/>
    <w:rsid w:val="00653E1D"/>
    <w:rsid w:val="00662E5D"/>
    <w:rsid w:val="0066343B"/>
    <w:rsid w:val="006640B5"/>
    <w:rsid w:val="00664777"/>
    <w:rsid w:val="006748A4"/>
    <w:rsid w:val="00681A31"/>
    <w:rsid w:val="00683E73"/>
    <w:rsid w:val="006A3141"/>
    <w:rsid w:val="006A5E34"/>
    <w:rsid w:val="006B2422"/>
    <w:rsid w:val="006B2B9A"/>
    <w:rsid w:val="006B54A4"/>
    <w:rsid w:val="006B612A"/>
    <w:rsid w:val="006C1937"/>
    <w:rsid w:val="006E22FF"/>
    <w:rsid w:val="006F020C"/>
    <w:rsid w:val="007127B7"/>
    <w:rsid w:val="00717103"/>
    <w:rsid w:val="0071798E"/>
    <w:rsid w:val="00725F39"/>
    <w:rsid w:val="00727533"/>
    <w:rsid w:val="007416B6"/>
    <w:rsid w:val="00746F48"/>
    <w:rsid w:val="0075404D"/>
    <w:rsid w:val="00754109"/>
    <w:rsid w:val="0076182A"/>
    <w:rsid w:val="00767B7E"/>
    <w:rsid w:val="007718CE"/>
    <w:rsid w:val="007723BD"/>
    <w:rsid w:val="007770C3"/>
    <w:rsid w:val="00782F54"/>
    <w:rsid w:val="00784D24"/>
    <w:rsid w:val="00785FBA"/>
    <w:rsid w:val="00786E4A"/>
    <w:rsid w:val="007875EB"/>
    <w:rsid w:val="0079426B"/>
    <w:rsid w:val="007A1613"/>
    <w:rsid w:val="007A7A25"/>
    <w:rsid w:val="007B722D"/>
    <w:rsid w:val="007D1682"/>
    <w:rsid w:val="007D312A"/>
    <w:rsid w:val="007D3F19"/>
    <w:rsid w:val="007D5A86"/>
    <w:rsid w:val="007E23B0"/>
    <w:rsid w:val="007F1991"/>
    <w:rsid w:val="007F2756"/>
    <w:rsid w:val="007F2C2F"/>
    <w:rsid w:val="007F50BE"/>
    <w:rsid w:val="007F55FC"/>
    <w:rsid w:val="007F5665"/>
    <w:rsid w:val="007F7747"/>
    <w:rsid w:val="00800112"/>
    <w:rsid w:val="0080583C"/>
    <w:rsid w:val="00813348"/>
    <w:rsid w:val="008220EE"/>
    <w:rsid w:val="00822C4F"/>
    <w:rsid w:val="008253BB"/>
    <w:rsid w:val="00833962"/>
    <w:rsid w:val="0083706E"/>
    <w:rsid w:val="008408F6"/>
    <w:rsid w:val="008423A5"/>
    <w:rsid w:val="00842596"/>
    <w:rsid w:val="00850625"/>
    <w:rsid w:val="00853718"/>
    <w:rsid w:val="00854C4D"/>
    <w:rsid w:val="00855152"/>
    <w:rsid w:val="00855221"/>
    <w:rsid w:val="00860645"/>
    <w:rsid w:val="0087170E"/>
    <w:rsid w:val="00871F71"/>
    <w:rsid w:val="00872A8B"/>
    <w:rsid w:val="00872FD8"/>
    <w:rsid w:val="00883A60"/>
    <w:rsid w:val="00885AF4"/>
    <w:rsid w:val="00886D3E"/>
    <w:rsid w:val="008939CD"/>
    <w:rsid w:val="008941F1"/>
    <w:rsid w:val="008B505D"/>
    <w:rsid w:val="008B768C"/>
    <w:rsid w:val="008C4C60"/>
    <w:rsid w:val="008C4DB1"/>
    <w:rsid w:val="008C4EAF"/>
    <w:rsid w:val="008C5176"/>
    <w:rsid w:val="008C7003"/>
    <w:rsid w:val="008C7FD0"/>
    <w:rsid w:val="008D6C33"/>
    <w:rsid w:val="008E1DE7"/>
    <w:rsid w:val="008E3C81"/>
    <w:rsid w:val="008E707C"/>
    <w:rsid w:val="008F6409"/>
    <w:rsid w:val="008F7768"/>
    <w:rsid w:val="00900B08"/>
    <w:rsid w:val="00902155"/>
    <w:rsid w:val="00902FA3"/>
    <w:rsid w:val="00914651"/>
    <w:rsid w:val="00916C11"/>
    <w:rsid w:val="00923564"/>
    <w:rsid w:val="0092392E"/>
    <w:rsid w:val="009315F9"/>
    <w:rsid w:val="00933499"/>
    <w:rsid w:val="00935C98"/>
    <w:rsid w:val="009409B1"/>
    <w:rsid w:val="00946945"/>
    <w:rsid w:val="0094740D"/>
    <w:rsid w:val="009474C2"/>
    <w:rsid w:val="00951248"/>
    <w:rsid w:val="0095152F"/>
    <w:rsid w:val="00954C49"/>
    <w:rsid w:val="00955E37"/>
    <w:rsid w:val="0097099F"/>
    <w:rsid w:val="00971997"/>
    <w:rsid w:val="00971FFC"/>
    <w:rsid w:val="00983ECA"/>
    <w:rsid w:val="0098660A"/>
    <w:rsid w:val="009931C3"/>
    <w:rsid w:val="009A5CC9"/>
    <w:rsid w:val="009A6406"/>
    <w:rsid w:val="009B2C43"/>
    <w:rsid w:val="009B4EAE"/>
    <w:rsid w:val="009B7573"/>
    <w:rsid w:val="009C22F4"/>
    <w:rsid w:val="009C2E98"/>
    <w:rsid w:val="009C37FB"/>
    <w:rsid w:val="009C667E"/>
    <w:rsid w:val="009D3447"/>
    <w:rsid w:val="009D4711"/>
    <w:rsid w:val="009D6B4F"/>
    <w:rsid w:val="009D7674"/>
    <w:rsid w:val="009F1185"/>
    <w:rsid w:val="009F18CD"/>
    <w:rsid w:val="009F2A13"/>
    <w:rsid w:val="009F631B"/>
    <w:rsid w:val="009F7527"/>
    <w:rsid w:val="00A039ED"/>
    <w:rsid w:val="00A04EB0"/>
    <w:rsid w:val="00A13CC1"/>
    <w:rsid w:val="00A16847"/>
    <w:rsid w:val="00A237D8"/>
    <w:rsid w:val="00A23EC3"/>
    <w:rsid w:val="00A268C4"/>
    <w:rsid w:val="00A307CD"/>
    <w:rsid w:val="00A331C8"/>
    <w:rsid w:val="00A34B08"/>
    <w:rsid w:val="00A35117"/>
    <w:rsid w:val="00A40A00"/>
    <w:rsid w:val="00A4142F"/>
    <w:rsid w:val="00A422EB"/>
    <w:rsid w:val="00A45BB7"/>
    <w:rsid w:val="00A56DF2"/>
    <w:rsid w:val="00A56E6E"/>
    <w:rsid w:val="00A67AB5"/>
    <w:rsid w:val="00A733B2"/>
    <w:rsid w:val="00A741C2"/>
    <w:rsid w:val="00A91760"/>
    <w:rsid w:val="00A93B00"/>
    <w:rsid w:val="00A93C21"/>
    <w:rsid w:val="00AA18E8"/>
    <w:rsid w:val="00AA5512"/>
    <w:rsid w:val="00AA5851"/>
    <w:rsid w:val="00AB64C9"/>
    <w:rsid w:val="00AC3C6A"/>
    <w:rsid w:val="00AC77DD"/>
    <w:rsid w:val="00AD0F83"/>
    <w:rsid w:val="00AD1668"/>
    <w:rsid w:val="00AD5620"/>
    <w:rsid w:val="00AD656B"/>
    <w:rsid w:val="00AD7C1B"/>
    <w:rsid w:val="00AE16BA"/>
    <w:rsid w:val="00AE176A"/>
    <w:rsid w:val="00AE1EBE"/>
    <w:rsid w:val="00B03C9D"/>
    <w:rsid w:val="00B060AE"/>
    <w:rsid w:val="00B10517"/>
    <w:rsid w:val="00B129B6"/>
    <w:rsid w:val="00B14E76"/>
    <w:rsid w:val="00B161B8"/>
    <w:rsid w:val="00B2048C"/>
    <w:rsid w:val="00B2153A"/>
    <w:rsid w:val="00B310B9"/>
    <w:rsid w:val="00B352A9"/>
    <w:rsid w:val="00B35F3F"/>
    <w:rsid w:val="00B36CBB"/>
    <w:rsid w:val="00B425E0"/>
    <w:rsid w:val="00B440AA"/>
    <w:rsid w:val="00B44B70"/>
    <w:rsid w:val="00B51096"/>
    <w:rsid w:val="00B53C56"/>
    <w:rsid w:val="00B57DAF"/>
    <w:rsid w:val="00B77EA6"/>
    <w:rsid w:val="00B81598"/>
    <w:rsid w:val="00B841F1"/>
    <w:rsid w:val="00B85E50"/>
    <w:rsid w:val="00B92783"/>
    <w:rsid w:val="00B944D6"/>
    <w:rsid w:val="00BB4DF0"/>
    <w:rsid w:val="00BB62A7"/>
    <w:rsid w:val="00BC1184"/>
    <w:rsid w:val="00BC289F"/>
    <w:rsid w:val="00BC2D50"/>
    <w:rsid w:val="00BC5361"/>
    <w:rsid w:val="00BC5460"/>
    <w:rsid w:val="00BC6122"/>
    <w:rsid w:val="00BC6B50"/>
    <w:rsid w:val="00BD0E25"/>
    <w:rsid w:val="00BE62B3"/>
    <w:rsid w:val="00BF5BD6"/>
    <w:rsid w:val="00C03E31"/>
    <w:rsid w:val="00C05ACB"/>
    <w:rsid w:val="00C30E69"/>
    <w:rsid w:val="00C33E72"/>
    <w:rsid w:val="00C354B2"/>
    <w:rsid w:val="00C35554"/>
    <w:rsid w:val="00C42709"/>
    <w:rsid w:val="00C533CC"/>
    <w:rsid w:val="00C5751C"/>
    <w:rsid w:val="00C61BFC"/>
    <w:rsid w:val="00C62B85"/>
    <w:rsid w:val="00C64CDF"/>
    <w:rsid w:val="00C65438"/>
    <w:rsid w:val="00C91CBB"/>
    <w:rsid w:val="00C965AD"/>
    <w:rsid w:val="00CB4E70"/>
    <w:rsid w:val="00CC09B6"/>
    <w:rsid w:val="00CC2BD5"/>
    <w:rsid w:val="00CC666F"/>
    <w:rsid w:val="00CD1E3F"/>
    <w:rsid w:val="00CE44F6"/>
    <w:rsid w:val="00CE49DA"/>
    <w:rsid w:val="00CE5744"/>
    <w:rsid w:val="00CE7B61"/>
    <w:rsid w:val="00CF1F9A"/>
    <w:rsid w:val="00CF3DA3"/>
    <w:rsid w:val="00CF5658"/>
    <w:rsid w:val="00D00095"/>
    <w:rsid w:val="00D114F0"/>
    <w:rsid w:val="00D15661"/>
    <w:rsid w:val="00D20620"/>
    <w:rsid w:val="00D254F7"/>
    <w:rsid w:val="00D26091"/>
    <w:rsid w:val="00D2685C"/>
    <w:rsid w:val="00D337F6"/>
    <w:rsid w:val="00D34E7C"/>
    <w:rsid w:val="00D35489"/>
    <w:rsid w:val="00D36AFE"/>
    <w:rsid w:val="00D51276"/>
    <w:rsid w:val="00D66B86"/>
    <w:rsid w:val="00D7035F"/>
    <w:rsid w:val="00D92E8F"/>
    <w:rsid w:val="00D94C4F"/>
    <w:rsid w:val="00DA068C"/>
    <w:rsid w:val="00DA634F"/>
    <w:rsid w:val="00DA65AC"/>
    <w:rsid w:val="00DB1913"/>
    <w:rsid w:val="00DC410D"/>
    <w:rsid w:val="00DC5A81"/>
    <w:rsid w:val="00DC67D5"/>
    <w:rsid w:val="00DC68CA"/>
    <w:rsid w:val="00DC7CBA"/>
    <w:rsid w:val="00DD73B7"/>
    <w:rsid w:val="00DF28BC"/>
    <w:rsid w:val="00DF34B9"/>
    <w:rsid w:val="00E01053"/>
    <w:rsid w:val="00E07ACF"/>
    <w:rsid w:val="00E331A1"/>
    <w:rsid w:val="00E33202"/>
    <w:rsid w:val="00E336A9"/>
    <w:rsid w:val="00E472B1"/>
    <w:rsid w:val="00E50624"/>
    <w:rsid w:val="00E5640F"/>
    <w:rsid w:val="00E568DF"/>
    <w:rsid w:val="00E608AD"/>
    <w:rsid w:val="00E64269"/>
    <w:rsid w:val="00E645C8"/>
    <w:rsid w:val="00E66797"/>
    <w:rsid w:val="00E739CF"/>
    <w:rsid w:val="00E82267"/>
    <w:rsid w:val="00E853CE"/>
    <w:rsid w:val="00E867B6"/>
    <w:rsid w:val="00E87F08"/>
    <w:rsid w:val="00E94D54"/>
    <w:rsid w:val="00EA010F"/>
    <w:rsid w:val="00EA7032"/>
    <w:rsid w:val="00EB5F2D"/>
    <w:rsid w:val="00ED1B63"/>
    <w:rsid w:val="00ED1F57"/>
    <w:rsid w:val="00ED33D2"/>
    <w:rsid w:val="00ED3C1F"/>
    <w:rsid w:val="00ED4085"/>
    <w:rsid w:val="00ED420E"/>
    <w:rsid w:val="00ED6FBE"/>
    <w:rsid w:val="00EE2F57"/>
    <w:rsid w:val="00EF4C34"/>
    <w:rsid w:val="00EF77C6"/>
    <w:rsid w:val="00F05438"/>
    <w:rsid w:val="00F1361C"/>
    <w:rsid w:val="00F156F0"/>
    <w:rsid w:val="00F160C7"/>
    <w:rsid w:val="00F16C1F"/>
    <w:rsid w:val="00F2408F"/>
    <w:rsid w:val="00F240E9"/>
    <w:rsid w:val="00F36D8F"/>
    <w:rsid w:val="00F40667"/>
    <w:rsid w:val="00F40EE3"/>
    <w:rsid w:val="00F417B1"/>
    <w:rsid w:val="00F45853"/>
    <w:rsid w:val="00F53CF0"/>
    <w:rsid w:val="00F602DF"/>
    <w:rsid w:val="00F60608"/>
    <w:rsid w:val="00F72436"/>
    <w:rsid w:val="00F73DFB"/>
    <w:rsid w:val="00F754A1"/>
    <w:rsid w:val="00F81FD9"/>
    <w:rsid w:val="00F841AA"/>
    <w:rsid w:val="00F84A94"/>
    <w:rsid w:val="00F87E96"/>
    <w:rsid w:val="00F94F79"/>
    <w:rsid w:val="00FA23E8"/>
    <w:rsid w:val="00FD3CC1"/>
    <w:rsid w:val="00FD585F"/>
    <w:rsid w:val="00FD7AA4"/>
    <w:rsid w:val="00FF1E02"/>
    <w:rsid w:val="00FF30B4"/>
    <w:rsid w:val="05754429"/>
    <w:rsid w:val="090E20D9"/>
    <w:rsid w:val="0CED661F"/>
    <w:rsid w:val="0FAC394A"/>
    <w:rsid w:val="10C055FF"/>
    <w:rsid w:val="117479FE"/>
    <w:rsid w:val="12ED4031"/>
    <w:rsid w:val="16BB723D"/>
    <w:rsid w:val="195D3866"/>
    <w:rsid w:val="1C31721F"/>
    <w:rsid w:val="1CF33F27"/>
    <w:rsid w:val="1D957A67"/>
    <w:rsid w:val="1D9C5AAE"/>
    <w:rsid w:val="1F2D7D27"/>
    <w:rsid w:val="217C2535"/>
    <w:rsid w:val="21FB2E67"/>
    <w:rsid w:val="229E460C"/>
    <w:rsid w:val="22C65246"/>
    <w:rsid w:val="240371BF"/>
    <w:rsid w:val="29FD04D3"/>
    <w:rsid w:val="2A38196D"/>
    <w:rsid w:val="2E0471DD"/>
    <w:rsid w:val="2E10688D"/>
    <w:rsid w:val="306B45A7"/>
    <w:rsid w:val="30E83747"/>
    <w:rsid w:val="319F7F4E"/>
    <w:rsid w:val="31AE536B"/>
    <w:rsid w:val="33571D82"/>
    <w:rsid w:val="33706030"/>
    <w:rsid w:val="34AE7401"/>
    <w:rsid w:val="35C375B2"/>
    <w:rsid w:val="36686142"/>
    <w:rsid w:val="372679C7"/>
    <w:rsid w:val="385B2419"/>
    <w:rsid w:val="38603A2E"/>
    <w:rsid w:val="38A02CF8"/>
    <w:rsid w:val="3E12118B"/>
    <w:rsid w:val="41434CA1"/>
    <w:rsid w:val="476C678C"/>
    <w:rsid w:val="47F42441"/>
    <w:rsid w:val="47FF61D5"/>
    <w:rsid w:val="4AB96933"/>
    <w:rsid w:val="4B723B26"/>
    <w:rsid w:val="4ECE2238"/>
    <w:rsid w:val="51BB0E65"/>
    <w:rsid w:val="53911988"/>
    <w:rsid w:val="55424254"/>
    <w:rsid w:val="580C2763"/>
    <w:rsid w:val="5934364F"/>
    <w:rsid w:val="5A4E4D4E"/>
    <w:rsid w:val="61921A6C"/>
    <w:rsid w:val="65607FD9"/>
    <w:rsid w:val="6CC96C67"/>
    <w:rsid w:val="7142074B"/>
    <w:rsid w:val="72734D90"/>
    <w:rsid w:val="74045906"/>
    <w:rsid w:val="7613307D"/>
    <w:rsid w:val="77692515"/>
    <w:rsid w:val="77997BB5"/>
    <w:rsid w:val="78B95961"/>
    <w:rsid w:val="7AD465AB"/>
    <w:rsid w:val="7C08168C"/>
    <w:rsid w:val="7C2A5E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FollowedHyperlink"/>
    <w:basedOn w:val="13"/>
    <w:semiHidden/>
    <w:unhideWhenUsed/>
    <w:qFormat/>
    <w:uiPriority w:val="99"/>
    <w:rPr>
      <w:color w:val="800080" w:themeColor="followedHyperlink"/>
      <w:u w:val="single"/>
    </w:rPr>
  </w:style>
  <w:style w:type="character" w:styleId="16">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16"/>
    <w:basedOn w:val="13"/>
    <w:qFormat/>
    <w:uiPriority w:val="0"/>
    <w:rPr>
      <w:rFonts w:hint="default" w:ascii="Times New Roman" w:hAnsi="Times New Roman" w:eastAsia="楷体_GB2312" w:cs="楷体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09090909090912"/>
          <c:y val="0.0620689655172415"/>
          <c:w val="0.626535626535628"/>
          <c:h val="0.724137931034484"/>
        </c:manualLayout>
      </c:layout>
      <c:barChart>
        <c:barDir val="col"/>
        <c:grouping val="clustered"/>
        <c:varyColors val="0"/>
        <c:ser>
          <c:idx val="0"/>
          <c:order val="0"/>
          <c:tx>
            <c:strRef>
              <c:f>Sheet1!$A$2</c:f>
              <c:strCache>
                <c:ptCount val="1"/>
                <c:pt idx="0">
                  <c:v>2021年</c:v>
                </c:pt>
              </c:strCache>
            </c:strRef>
          </c:tx>
          <c:spPr>
            <a:solidFill>
              <a:srgbClr val="9999FF"/>
            </a:solidFill>
            <a:ln w="12730">
              <a:solidFill>
                <a:srgbClr val="000000"/>
              </a:solidFill>
              <a:prstDash val="solid"/>
            </a:ln>
          </c:spPr>
          <c:invertIfNegative val="0"/>
          <c:dLbls>
            <c:delete val="1"/>
          </c:dLbls>
          <c:cat>
            <c:strRef>
              <c:f>Sheet1!$B$1:$C$1</c:f>
              <c:strCache>
                <c:ptCount val="2"/>
                <c:pt idx="0">
                  <c:v>收入</c:v>
                </c:pt>
                <c:pt idx="1">
                  <c:v>支出</c:v>
                </c:pt>
              </c:strCache>
            </c:strRef>
          </c:cat>
          <c:val>
            <c:numRef>
              <c:f>Sheet1!$B$2:$C$2</c:f>
              <c:numCache>
                <c:formatCode>General</c:formatCode>
                <c:ptCount val="2"/>
                <c:pt idx="0">
                  <c:v>643.62</c:v>
                </c:pt>
                <c:pt idx="1">
                  <c:v>643.62</c:v>
                </c:pt>
              </c:numCache>
            </c:numRef>
          </c:val>
        </c:ser>
        <c:ser>
          <c:idx val="1"/>
          <c:order val="1"/>
          <c:tx>
            <c:strRef>
              <c:f>Sheet1!$A$3</c:f>
              <c:strCache>
                <c:ptCount val="1"/>
                <c:pt idx="0">
                  <c:v>2020年</c:v>
                </c:pt>
              </c:strCache>
            </c:strRef>
          </c:tx>
          <c:spPr>
            <a:solidFill>
              <a:srgbClr val="993366"/>
            </a:solidFill>
            <a:ln w="12730">
              <a:solidFill>
                <a:srgbClr val="000000"/>
              </a:solidFill>
              <a:prstDash val="solid"/>
            </a:ln>
          </c:spPr>
          <c:invertIfNegative val="0"/>
          <c:dLbls>
            <c:delete val="1"/>
          </c:dLbls>
          <c:cat>
            <c:strRef>
              <c:f>Sheet1!$B$1:$C$1</c:f>
              <c:strCache>
                <c:ptCount val="2"/>
                <c:pt idx="0">
                  <c:v>收入</c:v>
                </c:pt>
                <c:pt idx="1">
                  <c:v>支出</c:v>
                </c:pt>
              </c:strCache>
            </c:strRef>
          </c:cat>
          <c:val>
            <c:numRef>
              <c:f>Sheet1!$B$3:$C$3</c:f>
              <c:numCache>
                <c:formatCode>General</c:formatCode>
                <c:ptCount val="2"/>
                <c:pt idx="0">
                  <c:v>614.52</c:v>
                </c:pt>
                <c:pt idx="1">
                  <c:v>614.52</c:v>
                </c:pt>
              </c:numCache>
            </c:numRef>
          </c:val>
        </c:ser>
        <c:dLbls>
          <c:showLegendKey val="0"/>
          <c:showVal val="0"/>
          <c:showCatName val="0"/>
          <c:showSerName val="0"/>
          <c:showPercent val="0"/>
          <c:showBubbleSize val="0"/>
        </c:dLbls>
        <c:gapWidth val="150"/>
        <c:axId val="111215744"/>
        <c:axId val="111222144"/>
      </c:barChart>
      <c:catAx>
        <c:axId val="111215744"/>
        <c:scaling>
          <c:orientation val="minMax"/>
        </c:scaling>
        <c:delete val="0"/>
        <c:axPos val="b"/>
        <c:numFmt formatCode="General" sourceLinked="1"/>
        <c:majorTickMark val="in"/>
        <c:minorTickMark val="none"/>
        <c:tickLblPos val="low"/>
        <c:spPr>
          <a:ln w="3183"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1222144"/>
        <c:crosses val="autoZero"/>
        <c:auto val="1"/>
        <c:lblAlgn val="ctr"/>
        <c:lblOffset val="100"/>
        <c:tickLblSkip val="1"/>
        <c:noMultiLvlLbl val="0"/>
      </c:catAx>
      <c:valAx>
        <c:axId val="111222144"/>
        <c:scaling>
          <c:orientation val="minMax"/>
        </c:scaling>
        <c:delete val="0"/>
        <c:axPos val="l"/>
        <c:majorGridlines>
          <c:spPr>
            <a:ln w="3183" cap="flat" cmpd="sng" algn="ctr">
              <a:solidFill>
                <a:srgbClr val="000000"/>
              </a:solidFill>
              <a:prstDash val="solid"/>
              <a:round/>
            </a:ln>
          </c:spPr>
        </c:majorGridlines>
        <c:numFmt formatCode="General" sourceLinked="1"/>
        <c:majorTickMark val="in"/>
        <c:minorTickMark val="none"/>
        <c:tickLblPos val="nextTo"/>
        <c:spPr>
          <a:ln w="3183"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1215744"/>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59950859950861"/>
          <c:y val="0.386206896551724"/>
          <c:w val="0.13022113022113"/>
          <c:h val="0.227586206896552"/>
        </c:manualLayout>
      </c:layout>
      <c:overlay val="0"/>
      <c:spPr>
        <a:noFill/>
        <a:ln w="3183">
          <a:solidFill>
            <a:srgbClr val="000000"/>
          </a:solidFill>
          <a:prstDash val="solid"/>
        </a:ln>
      </c:spPr>
      <c:txPr>
        <a:bodyPr rot="0" spcFirstLastPara="0" vertOverflow="ellipsis" vert="horz" wrap="square" anchor="ctr" anchorCtr="1"/>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4976933987381"/>
          <c:y val="0.158088742844153"/>
          <c:w val="0.468003433872644"/>
          <c:h val="0.83189865046397"/>
        </c:manualLayout>
      </c:layout>
      <c:pieChart>
        <c:varyColors val="1"/>
        <c:ser>
          <c:idx val="0"/>
          <c:order val="0"/>
          <c:tx>
            <c:strRef>
              <c:f>Sheet1!$A$2</c:f>
              <c:strCache>
                <c:ptCount val="1"/>
                <c:pt idx="0">
                  <c:v>收入</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一般公共预算财政拨款</c:v>
                </c:pt>
                <c:pt idx="1">
                  <c:v>政府性基金预算财政拨款</c:v>
                </c:pt>
              </c:strCache>
            </c:strRef>
          </c:cat>
          <c:val>
            <c:numRef>
              <c:f>Sheet1!$B$2:$C$2</c:f>
              <c:numCache>
                <c:formatCode>General</c:formatCode>
                <c:ptCount val="2"/>
                <c:pt idx="0">
                  <c:v>84.82</c:v>
                </c:pt>
                <c:pt idx="1">
                  <c:v>558.8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4016454855173"/>
          <c:y val="0.34996672660012"/>
          <c:w val="0.266490181270412"/>
          <c:h val="0.490172980345962"/>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76347879860902"/>
          <c:y val="0"/>
          <c:w val="0.525485931391443"/>
          <c:h val="0.859754492226934"/>
        </c:manualLayout>
      </c:layout>
      <c:pieChart>
        <c:varyColors val="1"/>
        <c:ser>
          <c:idx val="0"/>
          <c:order val="0"/>
          <c:tx>
            <c:strRef>
              <c:f>Sheet1!$A$2</c:f>
              <c:strCache>
                <c:ptCount val="1"/>
                <c:pt idx="0">
                  <c:v>支出</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基本支出</c:v>
                </c:pt>
                <c:pt idx="1">
                  <c:v>项目支出</c:v>
                </c:pt>
              </c:strCache>
            </c:strRef>
          </c:cat>
          <c:val>
            <c:numRef>
              <c:f>Sheet1!$B$2:$C$2</c:f>
              <c:numCache>
                <c:formatCode>General</c:formatCode>
                <c:ptCount val="2"/>
                <c:pt idx="0">
                  <c:v>84.82</c:v>
                </c:pt>
                <c:pt idx="1">
                  <c:v>558.8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5606561820977"/>
          <c:y val="0.225975368463557"/>
          <c:w val="0.304984264675362"/>
          <c:h val="0.435841712093681"/>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4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4402772021918"/>
          <c:y val="0.234942870947102"/>
          <c:w val="0.670133733283341"/>
          <c:h val="0.601265065747379"/>
        </c:manualLayout>
      </c:layout>
      <c:barChart>
        <c:barDir val="col"/>
        <c:grouping val="clustered"/>
        <c:varyColors val="0"/>
        <c:ser>
          <c:idx val="0"/>
          <c:order val="0"/>
          <c:tx>
            <c:strRef>
              <c:f>Sheet1!$A$2</c:f>
              <c:strCache>
                <c:ptCount val="1"/>
                <c:pt idx="0">
                  <c:v>收入</c:v>
                </c:pt>
              </c:strCache>
            </c:strRef>
          </c:tx>
          <c:spPr>
            <a:solidFill>
              <a:srgbClr val="9999FF"/>
            </a:solidFill>
            <a:ln w="12699">
              <a:solidFill>
                <a:srgbClr val="000000"/>
              </a:solidFill>
              <a:prstDash val="solid"/>
            </a:ln>
          </c:spPr>
          <c:invertIfNegative val="0"/>
          <c:dLbls>
            <c:delete val="1"/>
          </c:dLbls>
          <c:cat>
            <c:strRef>
              <c:f>Sheet1!$B$1:$C$1</c:f>
              <c:strCache>
                <c:ptCount val="2"/>
                <c:pt idx="0">
                  <c:v>2020年</c:v>
                </c:pt>
                <c:pt idx="1">
                  <c:v>2021年</c:v>
                </c:pt>
              </c:strCache>
            </c:strRef>
          </c:cat>
          <c:val>
            <c:numRef>
              <c:f>Sheet1!$B$2:$C$2</c:f>
              <c:numCache>
                <c:formatCode>General</c:formatCode>
                <c:ptCount val="2"/>
                <c:pt idx="0">
                  <c:v>614.52</c:v>
                </c:pt>
                <c:pt idx="1">
                  <c:v>643.62</c:v>
                </c:pt>
              </c:numCache>
            </c:numRef>
          </c:val>
        </c:ser>
        <c:ser>
          <c:idx val="1"/>
          <c:order val="1"/>
          <c:tx>
            <c:strRef>
              <c:f>Sheet1!$A$3</c:f>
              <c:strCache>
                <c:ptCount val="1"/>
                <c:pt idx="0">
                  <c:v>支出</c:v>
                </c:pt>
              </c:strCache>
            </c:strRef>
          </c:tx>
          <c:spPr>
            <a:solidFill>
              <a:srgbClr val="993366"/>
            </a:solidFill>
            <a:ln w="12699">
              <a:solidFill>
                <a:srgbClr val="000000"/>
              </a:solidFill>
              <a:prstDash val="solid"/>
            </a:ln>
          </c:spPr>
          <c:invertIfNegative val="0"/>
          <c:dLbls>
            <c:delete val="1"/>
          </c:dLbls>
          <c:cat>
            <c:strRef>
              <c:f>Sheet1!$B$1:$C$1</c:f>
              <c:strCache>
                <c:ptCount val="2"/>
                <c:pt idx="0">
                  <c:v>2020年</c:v>
                </c:pt>
                <c:pt idx="1">
                  <c:v>2021年</c:v>
                </c:pt>
              </c:strCache>
            </c:strRef>
          </c:cat>
          <c:val>
            <c:numRef>
              <c:f>Sheet1!$B$3:$C$3</c:f>
              <c:numCache>
                <c:formatCode>General</c:formatCode>
                <c:ptCount val="2"/>
                <c:pt idx="0">
                  <c:v>614.52</c:v>
                </c:pt>
                <c:pt idx="1">
                  <c:v>643.62</c:v>
                </c:pt>
              </c:numCache>
            </c:numRef>
          </c:val>
        </c:ser>
        <c:dLbls>
          <c:showLegendKey val="0"/>
          <c:showVal val="0"/>
          <c:showCatName val="0"/>
          <c:showSerName val="0"/>
          <c:showPercent val="0"/>
          <c:showBubbleSize val="0"/>
        </c:dLbls>
        <c:gapWidth val="150"/>
        <c:axId val="151276928"/>
        <c:axId val="117036160"/>
      </c:barChart>
      <c:catAx>
        <c:axId val="151276928"/>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7036160"/>
        <c:crosses val="autoZero"/>
        <c:auto val="1"/>
        <c:lblAlgn val="ctr"/>
        <c:lblOffset val="100"/>
        <c:tickLblSkip val="1"/>
        <c:noMultiLvlLbl val="0"/>
      </c:catAx>
      <c:valAx>
        <c:axId val="117036160"/>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51276928"/>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1018265573946"/>
          <c:y val="0.38353690863269"/>
          <c:w val="0.103063009980895"/>
          <c:h val="0.370326321150156"/>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7148596718905"/>
          <c:y val="0.132550759009555"/>
          <c:w val="0.70679241587339"/>
          <c:h val="0.711074823370792"/>
        </c:manualLayout>
      </c:layout>
      <c:barChart>
        <c:barDir val="col"/>
        <c:grouping val="clustered"/>
        <c:varyColors val="0"/>
        <c:ser>
          <c:idx val="0"/>
          <c:order val="0"/>
          <c:tx>
            <c:strRef>
              <c:f>Sheet1!$A$2</c:f>
              <c:strCache>
                <c:ptCount val="1"/>
                <c:pt idx="0">
                  <c:v>支出</c:v>
                </c:pt>
              </c:strCache>
            </c:strRef>
          </c:tx>
          <c:spPr>
            <a:solidFill>
              <a:srgbClr val="9999FF"/>
            </a:solidFill>
            <a:ln w="12700">
              <a:solidFill>
                <a:srgbClr val="000000"/>
              </a:solidFill>
              <a:prstDash val="solid"/>
            </a:ln>
          </c:spPr>
          <c:invertIfNegative val="0"/>
          <c:dLbls>
            <c:delete val="1"/>
          </c:dLbls>
          <c:cat>
            <c:strRef>
              <c:f>Sheet1!$B$1:$C$1</c:f>
              <c:strCache>
                <c:ptCount val="2"/>
                <c:pt idx="0">
                  <c:v>2020年</c:v>
                </c:pt>
                <c:pt idx="1">
                  <c:v>2021年</c:v>
                </c:pt>
              </c:strCache>
            </c:strRef>
          </c:cat>
          <c:val>
            <c:numRef>
              <c:f>Sheet1!$B$2:$C$2</c:f>
              <c:numCache>
                <c:formatCode>General</c:formatCode>
                <c:ptCount val="2"/>
                <c:pt idx="0">
                  <c:v>59.62</c:v>
                </c:pt>
                <c:pt idx="1">
                  <c:v>84.82</c:v>
                </c:pt>
              </c:numCache>
            </c:numRef>
          </c:val>
        </c:ser>
        <c:dLbls>
          <c:showLegendKey val="0"/>
          <c:showVal val="0"/>
          <c:showCatName val="0"/>
          <c:showSerName val="0"/>
          <c:showPercent val="0"/>
          <c:showBubbleSize val="0"/>
        </c:dLbls>
        <c:gapWidth val="150"/>
        <c:axId val="60727680"/>
        <c:axId val="60729216"/>
      </c:barChart>
      <c:catAx>
        <c:axId val="60727680"/>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60729216"/>
        <c:crosses val="autoZero"/>
        <c:auto val="1"/>
        <c:lblAlgn val="ctr"/>
        <c:lblOffset val="100"/>
        <c:tickLblSkip val="1"/>
        <c:noMultiLvlLbl val="0"/>
      </c:catAx>
      <c:valAx>
        <c:axId val="60729216"/>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6072768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44679946723081"/>
          <c:y val="0.266129887610203"/>
          <c:w val="0.100100090100678"/>
          <c:h val="0.328940574735852"/>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216798026662"/>
          <c:y val="0.124087591240876"/>
          <c:w val="0.517957230424454"/>
          <c:h val="0.832632890585647"/>
        </c:manualLayout>
      </c:layout>
      <c:pieChart>
        <c:varyColors val="1"/>
        <c:ser>
          <c:idx val="0"/>
          <c:order val="0"/>
          <c:tx>
            <c:strRef>
              <c:f>Sheet1!$A$2</c:f>
              <c:strCache>
                <c:ptCount val="1"/>
                <c:pt idx="0">
                  <c:v>支出</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elete val="1"/>
          </c:dLbls>
          <c:cat>
            <c:strRef>
              <c:f>Sheet1!$B$1:$E$1</c:f>
              <c:strCache>
                <c:ptCount val="4"/>
                <c:pt idx="0">
                  <c:v>事业运行</c:v>
                </c:pt>
                <c:pt idx="1">
                  <c:v>基本养老保险</c:v>
                </c:pt>
                <c:pt idx="2">
                  <c:v>住房公积金</c:v>
                </c:pt>
                <c:pt idx="3">
                  <c:v>医疗保险</c:v>
                </c:pt>
              </c:strCache>
            </c:strRef>
          </c:cat>
          <c:val>
            <c:numRef>
              <c:f>Sheet1!$B$2:$E$2</c:f>
              <c:numCache>
                <c:formatCode>General</c:formatCode>
                <c:ptCount val="4"/>
                <c:pt idx="0">
                  <c:v>69.72</c:v>
                </c:pt>
                <c:pt idx="1">
                  <c:v>4.93</c:v>
                </c:pt>
                <c:pt idx="2">
                  <c:v>6.54</c:v>
                </c:pt>
                <c:pt idx="3">
                  <c:v>3.63</c:v>
                </c:pt>
              </c:numCache>
            </c:numRef>
          </c:val>
        </c:ser>
        <c:ser>
          <c:idx val="1"/>
          <c:order val="1"/>
          <c:tx>
            <c:strRef>
              <c:f>Sheet1!$A$3</c:f>
              <c:strCache>
                <c:ptCount val="1"/>
                <c:pt idx="0">
                  <c:v/>
                </c:pt>
              </c:strCache>
            </c:strRef>
          </c:tx>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elete val="1"/>
          </c:dLbls>
          <c:cat>
            <c:strRef>
              <c:f>Sheet1!$B$1:$E$1</c:f>
              <c:strCache>
                <c:ptCount val="4"/>
                <c:pt idx="0">
                  <c:v>事业运行</c:v>
                </c:pt>
                <c:pt idx="1">
                  <c:v>基本养老保险</c:v>
                </c:pt>
                <c:pt idx="2">
                  <c:v>住房公积金</c:v>
                </c:pt>
                <c:pt idx="3">
                  <c:v>医疗保险</c:v>
                </c:pt>
              </c:strCache>
            </c:strRef>
          </c:cat>
          <c:val>
            <c:numRef>
              <c:f>Sheet1!$B$3:$E$3</c:f>
              <c:numCache>
                <c:formatCode>General</c:formatCode>
                <c:ptCount val="4"/>
              </c:numCache>
            </c:numRef>
          </c:val>
        </c:ser>
        <c:ser>
          <c:idx val="2"/>
          <c:order val="2"/>
          <c:tx>
            <c:strRef>
              <c:f>Sheet1!$A$4</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elete val="1"/>
          </c:dLbls>
          <c:cat>
            <c:strRef>
              <c:f>Sheet1!$B$1:$E$1</c:f>
              <c:strCache>
                <c:ptCount val="4"/>
                <c:pt idx="0">
                  <c:v>事业运行</c:v>
                </c:pt>
                <c:pt idx="1">
                  <c:v>基本养老保险</c:v>
                </c:pt>
                <c:pt idx="2">
                  <c:v>住房公积金</c:v>
                </c:pt>
                <c:pt idx="3">
                  <c:v>医疗保险</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75566472202051"/>
          <c:y val="0.224581775762878"/>
          <c:w val="0.152173913043478"/>
          <c:h val="0.591240875912409"/>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9D9B-BF92-43DD-8B67-E3BE169829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29</Pages>
  <Words>10358</Words>
  <Characters>11013</Characters>
  <Lines>89</Lines>
  <Paragraphs>25</Paragraphs>
  <TotalTime>0</TotalTime>
  <ScaleCrop>false</ScaleCrop>
  <LinksUpToDate>false</LinksUpToDate>
  <CharactersWithSpaces>11091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2020-11-07T10:44:00Z</dcterms:created>
  <dc:creator>曹颖</dc:creator>
  <cp:lastModifiedBy>TDCB01</cp:lastModifiedBy>
  <cp:lastPrinted>2023-10-09T00:38:00Z</cp:lastPrinted>
  <dcterms:modified xsi:type="dcterms:W3CDTF">2023-10-11T02:16:02Z</dcterms:modified>
  <dc:title>四川省***</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8EBC30C02C344D799D23C6B2E4CCD348</vt:lpwstr>
  </property>
</Properties>
</file>