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hint="eastAsia" w:ascii="方正小标宋_GBK" w:hAnsi="方正小标宋_GBK" w:eastAsia="方正小标宋_GBK" w:cs="方正小标宋_GBK"/>
          <w:sz w:val="52"/>
          <w:szCs w:val="52"/>
        </w:rPr>
      </w:pPr>
      <w:bookmarkStart w:id="0" w:name="_Toc15306267"/>
    </w:p>
    <w:p>
      <w:pPr>
        <w:spacing w:line="600" w:lineRule="exact"/>
        <w:jc w:val="center"/>
        <w:outlineLvl w:val="0"/>
        <w:rPr>
          <w:rFonts w:hint="eastAsia" w:ascii="方正小标宋_GBK" w:hAnsi="方正小标宋_GBK" w:eastAsia="方正小标宋_GBK" w:cs="方正小标宋_GBK"/>
          <w:sz w:val="52"/>
          <w:szCs w:val="52"/>
        </w:rPr>
      </w:pPr>
    </w:p>
    <w:p>
      <w:pPr>
        <w:spacing w:line="600" w:lineRule="exact"/>
        <w:jc w:val="center"/>
        <w:outlineLvl w:val="0"/>
        <w:rPr>
          <w:rFonts w:hint="eastAsia" w:ascii="方正小标宋_GBK" w:hAnsi="方正小标宋_GBK" w:eastAsia="方正小标宋_GBK" w:cs="方正小标宋_GBK"/>
          <w:sz w:val="52"/>
          <w:szCs w:val="52"/>
        </w:rPr>
      </w:pPr>
    </w:p>
    <w:p>
      <w:pPr>
        <w:spacing w:line="600" w:lineRule="exact"/>
        <w:jc w:val="center"/>
        <w:outlineLvl w:val="0"/>
        <w:rPr>
          <w:rFonts w:hint="eastAsia" w:ascii="方正小标宋_GBK" w:hAnsi="方正小标宋_GBK" w:eastAsia="方正小标宋_GBK" w:cs="方正小标宋_GBK"/>
          <w:sz w:val="52"/>
          <w:szCs w:val="52"/>
        </w:rPr>
      </w:pPr>
    </w:p>
    <w:p>
      <w:pPr>
        <w:adjustRightInd w:val="0"/>
        <w:snapToGrid w:val="0"/>
        <w:spacing w:line="360" w:lineRule="auto"/>
        <w:jc w:val="center"/>
        <w:outlineLvl w:val="0"/>
        <w:rPr>
          <w:rFonts w:hint="eastAsia" w:ascii="方正小标宋_GBK" w:hAnsi="方正小标宋_GBK" w:eastAsia="方正小标宋_GBK" w:cs="方正小标宋_GBK"/>
          <w:sz w:val="52"/>
          <w:szCs w:val="52"/>
        </w:rPr>
      </w:pPr>
      <w:bookmarkStart w:id="1" w:name="_Toc15396475"/>
      <w:bookmarkStart w:id="2" w:name="_Toc15396597"/>
      <w:bookmarkStart w:id="3" w:name="_Toc15378441"/>
      <w:bookmarkStart w:id="4" w:name="_Toc15377425"/>
      <w:bookmarkStart w:id="5" w:name="_Toc15377193"/>
      <w:r>
        <w:rPr>
          <w:rFonts w:hint="eastAsia" w:ascii="方正小标宋_GBK" w:hAnsi="方正小标宋_GBK" w:eastAsia="方正小标宋_GBK" w:cs="方正小标宋_GBK"/>
          <w:sz w:val="52"/>
          <w:szCs w:val="52"/>
        </w:rPr>
        <w:t>202</w:t>
      </w:r>
      <w:r>
        <w:rPr>
          <w:rFonts w:hint="eastAsia" w:ascii="方正小标宋_GBK" w:hAnsi="方正小标宋_GBK" w:eastAsia="方正小标宋_GBK" w:cs="方正小标宋_GBK"/>
          <w:sz w:val="52"/>
          <w:szCs w:val="52"/>
          <w:lang w:val="en-US" w:eastAsia="zh-CN"/>
        </w:rPr>
        <w:t>2</w:t>
      </w:r>
      <w:r>
        <w:rPr>
          <w:rFonts w:hint="eastAsia" w:ascii="方正小标宋_GBK" w:hAnsi="方正小标宋_GBK" w:eastAsia="方正小标宋_GBK" w:cs="方正小标宋_GBK"/>
          <w:sz w:val="52"/>
          <w:szCs w:val="52"/>
        </w:rPr>
        <w:t>年度</w:t>
      </w:r>
      <w:bookmarkEnd w:id="1"/>
      <w:bookmarkEnd w:id="2"/>
      <w:bookmarkEnd w:id="3"/>
      <w:bookmarkEnd w:id="4"/>
      <w:bookmarkEnd w:id="5"/>
      <w:bookmarkStart w:id="6" w:name="_Toc15377194"/>
      <w:bookmarkStart w:id="7" w:name="_Toc15378442"/>
      <w:bookmarkStart w:id="8" w:name="_Toc15377426"/>
      <w:bookmarkStart w:id="9" w:name="_Toc15396476"/>
      <w:bookmarkStart w:id="10" w:name="_Toc15396598"/>
      <w:r>
        <w:rPr>
          <w:rFonts w:hint="eastAsia" w:ascii="方正小标宋_GBK" w:hAnsi="方正小标宋_GBK" w:eastAsia="方正小标宋_GBK" w:cs="方正小标宋_GBK"/>
          <w:sz w:val="52"/>
          <w:szCs w:val="52"/>
        </w:rPr>
        <w:t>四川省</w:t>
      </w:r>
      <w:bookmarkEnd w:id="0"/>
      <w:bookmarkStart w:id="11" w:name="_Toc15306268"/>
      <w:r>
        <w:rPr>
          <w:rFonts w:hint="eastAsia" w:ascii="方正小标宋_GBK" w:hAnsi="方正小标宋_GBK" w:eastAsia="方正小标宋_GBK" w:cs="方正小标宋_GBK"/>
          <w:sz w:val="52"/>
          <w:szCs w:val="52"/>
        </w:rPr>
        <w:t>攀枝花市西区</w:t>
      </w:r>
    </w:p>
    <w:p>
      <w:pPr>
        <w:adjustRightInd w:val="0"/>
        <w:snapToGrid w:val="0"/>
        <w:spacing w:line="360" w:lineRule="auto"/>
        <w:jc w:val="center"/>
        <w:outlineLvl w:val="0"/>
        <w:rPr>
          <w:rFonts w:hint="eastAsia" w:ascii="方正小标宋_GBK" w:hAnsi="方正小标宋_GBK" w:eastAsia="方正小标宋_GBK" w:cs="方正小标宋_GBK"/>
          <w:sz w:val="52"/>
          <w:szCs w:val="52"/>
          <w:lang w:val="en-US" w:eastAsia="zh-CN"/>
        </w:rPr>
      </w:pPr>
      <w:r>
        <w:rPr>
          <w:rFonts w:hint="eastAsia" w:ascii="方正小标宋_GBK" w:hAnsi="方正小标宋_GBK" w:eastAsia="方正小标宋_GBK" w:cs="方正小标宋_GBK"/>
          <w:sz w:val="52"/>
          <w:szCs w:val="52"/>
        </w:rPr>
        <w:t>财政局</w:t>
      </w:r>
      <w:bookmarkEnd w:id="6"/>
      <w:bookmarkEnd w:id="7"/>
      <w:bookmarkEnd w:id="8"/>
      <w:bookmarkEnd w:id="9"/>
      <w:bookmarkEnd w:id="10"/>
      <w:bookmarkEnd w:id="11"/>
      <w:r>
        <w:rPr>
          <w:rFonts w:hint="eastAsia" w:ascii="方正小标宋_GBK" w:hAnsi="方正小标宋_GBK" w:eastAsia="方正小标宋_GBK" w:cs="方正小标宋_GBK"/>
          <w:sz w:val="52"/>
          <w:szCs w:val="52"/>
          <w:lang w:val="en-US" w:eastAsia="zh-CN"/>
        </w:rPr>
        <w:t>部门预算</w:t>
      </w:r>
    </w:p>
    <w:p>
      <w:pPr>
        <w:adjustRightInd w:val="0"/>
        <w:snapToGrid w:val="0"/>
        <w:spacing w:line="360" w:lineRule="auto"/>
        <w:jc w:val="center"/>
        <w:outlineLvl w:val="0"/>
        <w:rPr>
          <w:rFonts w:ascii="方正小标宋简体" w:hAnsi="宋体" w:eastAsia="方正小标宋简体"/>
          <w:sz w:val="52"/>
          <w:szCs w:val="52"/>
        </w:rPr>
      </w:pP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60" w:lineRule="atLeast"/>
        <w:ind w:left="0" w:right="0" w:firstLine="0"/>
        <w:jc w:val="center"/>
        <w:rPr>
          <w:rFonts w:ascii="方正小标宋简体" w:hAnsi="宋体" w:eastAsia="方正小标宋简体"/>
          <w:sz w:val="36"/>
          <w:szCs w:val="36"/>
        </w:rPr>
      </w:pPr>
      <w:r>
        <w:rPr>
          <w:rFonts w:ascii="方正小标宋简体" w:hAnsi="宋体" w:eastAsia="方正小标宋简体"/>
          <w:sz w:val="36"/>
          <w:szCs w:val="36"/>
        </w:rPr>
        <w:br w:type="page"/>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60" w:lineRule="atLeast"/>
        <w:ind w:left="0" w:right="0" w:firstLine="0"/>
        <w:jc w:val="center"/>
        <w:rPr>
          <w:rFonts w:ascii="微软雅黑" w:hAnsi="微软雅黑" w:eastAsia="微软雅黑" w:cs="微软雅黑"/>
          <w:i w:val="0"/>
          <w:iCs w:val="0"/>
          <w:caps w:val="0"/>
          <w:color w:val="000000"/>
          <w:spacing w:val="0"/>
          <w:sz w:val="21"/>
          <w:szCs w:val="21"/>
        </w:rPr>
      </w:pPr>
      <w:r>
        <w:rPr>
          <w:rFonts w:hint="eastAsia" w:ascii="黑体" w:hAnsi="黑体" w:eastAsia="黑体" w:cs="Times New Roman"/>
          <w:kern w:val="2"/>
          <w:sz w:val="48"/>
          <w:szCs w:val="48"/>
          <w:lang w:val="en-US" w:eastAsia="zh-CN" w:bidi="ar-SA"/>
        </w:rPr>
        <w:t>目  录</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60" w:lineRule="atLeast"/>
        <w:ind w:right="0" w:firstLine="480" w:firstLineChars="200"/>
        <w:jc w:val="left"/>
        <w:rPr>
          <w:rFonts w:hint="eastAsia" w:ascii="微软雅黑" w:hAnsi="微软雅黑" w:eastAsia="微软雅黑" w:cs="微软雅黑"/>
          <w:i w:val="0"/>
          <w:iCs w:val="0"/>
          <w:caps w:val="0"/>
          <w:color w:val="000000"/>
          <w:spacing w:val="0"/>
          <w:sz w:val="21"/>
          <w:szCs w:val="21"/>
        </w:rPr>
      </w:pPr>
      <w:r>
        <w:rPr>
          <w:rFonts w:hint="eastAsia" w:ascii="仿宋" w:hAnsi="仿宋" w:eastAsia="仿宋" w:cs="Times New Roman"/>
          <w:kern w:val="2"/>
          <w:sz w:val="24"/>
          <w:szCs w:val="28"/>
          <w:lang w:val="en-US" w:eastAsia="zh-CN" w:bidi="ar-SA"/>
        </w:rPr>
        <w:t>第一部分  攀枝花市西区财政局部门概况</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8F8F8"/>
        <w:kinsoku/>
        <w:wordWrap/>
        <w:overflowPunct/>
        <w:topLinePunct w:val="0"/>
        <w:autoSpaceDE/>
        <w:autoSpaceDN/>
        <w:bidi w:val="0"/>
        <w:adjustRightInd/>
        <w:snapToGrid/>
        <w:spacing w:before="0" w:beforeAutospacing="0" w:after="0" w:afterAutospacing="0" w:line="440" w:lineRule="exact"/>
        <w:ind w:left="0" w:right="0" w:firstLine="0"/>
        <w:jc w:val="left"/>
        <w:textAlignment w:val="auto"/>
        <w:rPr>
          <w:rFonts w:hint="eastAsia" w:ascii="Times New Roman" w:hAnsi="Times New Roman" w:eastAsia="宋体" w:cs="Times New Roman"/>
          <w:kern w:val="2"/>
          <w:sz w:val="24"/>
          <w:szCs w:val="24"/>
          <w:lang w:val="en-US" w:eastAsia="zh-CN" w:bidi="ar-SA"/>
        </w:rPr>
      </w:pPr>
      <w:r>
        <w:rPr>
          <w:rFonts w:hint="eastAsia" w:ascii="微软雅黑" w:hAnsi="微软雅黑" w:eastAsia="微软雅黑" w:cs="微软雅黑"/>
          <w:i w:val="0"/>
          <w:iCs w:val="0"/>
          <w:caps w:val="0"/>
          <w:color w:val="000000"/>
          <w:spacing w:val="0"/>
          <w:sz w:val="21"/>
          <w:szCs w:val="21"/>
          <w:shd w:val="clear" w:fill="F8F8F8"/>
        </w:rPr>
        <w:t>　　</w:t>
      </w:r>
      <w:r>
        <w:rPr>
          <w:rFonts w:hint="eastAsia" w:ascii="Times New Roman" w:hAnsi="Times New Roman" w:eastAsia="宋体" w:cs="Times New Roman"/>
          <w:kern w:val="2"/>
          <w:sz w:val="24"/>
          <w:szCs w:val="24"/>
          <w:lang w:val="en-US" w:eastAsia="zh-CN" w:bidi="ar-SA"/>
        </w:rPr>
        <w:t>一、基本职能及主要工作</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8F8F8"/>
        <w:kinsoku/>
        <w:wordWrap/>
        <w:overflowPunct/>
        <w:topLinePunct w:val="0"/>
        <w:autoSpaceDE/>
        <w:autoSpaceDN/>
        <w:bidi w:val="0"/>
        <w:adjustRightInd/>
        <w:snapToGrid/>
        <w:spacing w:before="0" w:beforeAutospacing="0" w:after="0" w:afterAutospacing="0" w:line="440" w:lineRule="exact"/>
        <w:ind w:left="0" w:right="0" w:firstLine="0"/>
        <w:jc w:val="left"/>
        <w:textAlignment w:val="auto"/>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　　二、部门预算单位构成</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60" w:lineRule="atLeast"/>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shd w:val="clear" w:fill="F8F8F8"/>
        </w:rPr>
        <w:t>　　</w:t>
      </w:r>
      <w:r>
        <w:rPr>
          <w:rFonts w:hint="eastAsia" w:ascii="仿宋" w:hAnsi="仿宋" w:eastAsia="仿宋" w:cs="Times New Roman"/>
          <w:kern w:val="2"/>
          <w:sz w:val="24"/>
          <w:szCs w:val="28"/>
          <w:lang w:val="en-US" w:eastAsia="zh-CN" w:bidi="ar-SA"/>
        </w:rPr>
        <w:t>第二部分  攀枝花市西区财政局2022年部门预算情况说明</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8F8F8"/>
        <w:kinsoku/>
        <w:wordWrap/>
        <w:overflowPunct/>
        <w:topLinePunct w:val="0"/>
        <w:autoSpaceDE/>
        <w:autoSpaceDN/>
        <w:bidi w:val="0"/>
        <w:adjustRightInd/>
        <w:snapToGrid/>
        <w:spacing w:before="0" w:beforeAutospacing="0" w:after="0" w:afterAutospacing="0" w:line="440" w:lineRule="exact"/>
        <w:ind w:left="0" w:right="0" w:firstLine="0"/>
        <w:jc w:val="left"/>
        <w:textAlignment w:val="auto"/>
        <w:rPr>
          <w:rFonts w:hint="eastAsia" w:ascii="Times New Roman" w:hAnsi="Times New Roman" w:eastAsia="宋体" w:cs="Times New Roman"/>
          <w:kern w:val="2"/>
          <w:sz w:val="24"/>
          <w:szCs w:val="24"/>
          <w:lang w:val="en-US" w:eastAsia="zh-CN" w:bidi="ar-SA"/>
        </w:rPr>
      </w:pPr>
      <w:r>
        <w:rPr>
          <w:rFonts w:hint="eastAsia" w:ascii="微软雅黑" w:hAnsi="微软雅黑" w:eastAsia="微软雅黑" w:cs="微软雅黑"/>
          <w:i w:val="0"/>
          <w:iCs w:val="0"/>
          <w:caps w:val="0"/>
          <w:color w:val="000000"/>
          <w:spacing w:val="0"/>
          <w:sz w:val="21"/>
          <w:szCs w:val="21"/>
          <w:shd w:val="clear" w:fill="F8F8F8"/>
        </w:rPr>
        <w:t>　　</w:t>
      </w:r>
      <w:r>
        <w:rPr>
          <w:rFonts w:hint="eastAsia" w:ascii="Times New Roman" w:hAnsi="Times New Roman" w:eastAsia="宋体" w:cs="Times New Roman"/>
          <w:kern w:val="2"/>
          <w:sz w:val="24"/>
          <w:szCs w:val="24"/>
          <w:lang w:val="en-US" w:eastAsia="zh-CN" w:bidi="ar-SA"/>
        </w:rPr>
        <w:t>一、收支预算情况说明</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8F8F8"/>
        <w:kinsoku/>
        <w:wordWrap/>
        <w:overflowPunct/>
        <w:topLinePunct w:val="0"/>
        <w:autoSpaceDE/>
        <w:autoSpaceDN/>
        <w:bidi w:val="0"/>
        <w:adjustRightInd/>
        <w:snapToGrid/>
        <w:spacing w:before="0" w:beforeAutospacing="0" w:after="0" w:afterAutospacing="0" w:line="440" w:lineRule="exact"/>
        <w:ind w:left="0" w:right="0" w:firstLine="0"/>
        <w:jc w:val="left"/>
        <w:textAlignment w:val="auto"/>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　　二、财政拨款收支预算情况说明</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8F8F8"/>
        <w:kinsoku/>
        <w:wordWrap/>
        <w:overflowPunct/>
        <w:topLinePunct w:val="0"/>
        <w:autoSpaceDE/>
        <w:autoSpaceDN/>
        <w:bidi w:val="0"/>
        <w:adjustRightInd/>
        <w:snapToGrid/>
        <w:spacing w:before="0" w:beforeAutospacing="0" w:after="0" w:afterAutospacing="0" w:line="440" w:lineRule="exact"/>
        <w:ind w:left="0" w:right="0" w:firstLine="0"/>
        <w:jc w:val="left"/>
        <w:textAlignment w:val="auto"/>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　　三、一般公共预算当年拨款情况说明</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8F8F8"/>
        <w:kinsoku/>
        <w:wordWrap/>
        <w:overflowPunct/>
        <w:topLinePunct w:val="0"/>
        <w:autoSpaceDE/>
        <w:autoSpaceDN/>
        <w:bidi w:val="0"/>
        <w:adjustRightInd/>
        <w:snapToGrid/>
        <w:spacing w:before="0" w:beforeAutospacing="0" w:after="0" w:afterAutospacing="0" w:line="440" w:lineRule="exact"/>
        <w:ind w:left="0" w:right="0" w:firstLine="0"/>
        <w:jc w:val="left"/>
        <w:textAlignment w:val="auto"/>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　　四、一般公共预算基本支出情况说明</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8F8F8"/>
        <w:kinsoku/>
        <w:wordWrap/>
        <w:overflowPunct/>
        <w:topLinePunct w:val="0"/>
        <w:autoSpaceDE/>
        <w:autoSpaceDN/>
        <w:bidi w:val="0"/>
        <w:adjustRightInd/>
        <w:snapToGrid/>
        <w:spacing w:before="0" w:beforeAutospacing="0" w:after="0" w:afterAutospacing="0" w:line="440" w:lineRule="exact"/>
        <w:ind w:left="0" w:right="0" w:firstLine="0"/>
        <w:jc w:val="left"/>
        <w:textAlignment w:val="auto"/>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　　五、“三公”经费财政拨款预算安排情况说明</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8F8F8"/>
        <w:kinsoku/>
        <w:wordWrap/>
        <w:overflowPunct/>
        <w:topLinePunct w:val="0"/>
        <w:autoSpaceDE/>
        <w:autoSpaceDN/>
        <w:bidi w:val="0"/>
        <w:adjustRightInd/>
        <w:snapToGrid/>
        <w:spacing w:before="0" w:beforeAutospacing="0" w:after="0" w:afterAutospacing="0" w:line="440" w:lineRule="exact"/>
        <w:ind w:left="0" w:right="0" w:firstLine="0"/>
        <w:jc w:val="left"/>
        <w:textAlignment w:val="auto"/>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　　六、政府性基金预算支出情况说明</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8F8F8"/>
        <w:kinsoku/>
        <w:wordWrap/>
        <w:overflowPunct/>
        <w:topLinePunct w:val="0"/>
        <w:autoSpaceDE/>
        <w:autoSpaceDN/>
        <w:bidi w:val="0"/>
        <w:adjustRightInd/>
        <w:snapToGrid/>
        <w:spacing w:before="0" w:beforeAutospacing="0" w:after="0" w:afterAutospacing="0" w:line="440" w:lineRule="exact"/>
        <w:ind w:left="0" w:right="0" w:firstLine="0"/>
        <w:jc w:val="left"/>
        <w:textAlignment w:val="auto"/>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　　七、其他重要事项的情况说明</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60" w:lineRule="atLeast"/>
        <w:ind w:left="0" w:right="0" w:firstLine="480" w:firstLineChars="200"/>
        <w:jc w:val="left"/>
        <w:rPr>
          <w:rFonts w:hint="eastAsia" w:ascii="仿宋" w:hAnsi="仿宋" w:eastAsia="仿宋" w:cs="Times New Roman"/>
          <w:kern w:val="2"/>
          <w:sz w:val="24"/>
          <w:szCs w:val="28"/>
          <w:lang w:val="en-US" w:eastAsia="zh-CN" w:bidi="ar-SA"/>
        </w:rPr>
      </w:pPr>
      <w:r>
        <w:rPr>
          <w:rFonts w:hint="eastAsia" w:ascii="仿宋" w:hAnsi="仿宋" w:eastAsia="仿宋" w:cs="Times New Roman"/>
          <w:kern w:val="2"/>
          <w:sz w:val="24"/>
          <w:szCs w:val="28"/>
          <w:lang w:val="en-US" w:eastAsia="zh-CN" w:bidi="ar-SA"/>
        </w:rPr>
        <w:t>第三部分  名词解释</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60" w:lineRule="atLeast"/>
        <w:ind w:left="0" w:right="0" w:firstLine="0"/>
        <w:jc w:val="left"/>
        <w:rPr>
          <w:rFonts w:hint="eastAsia" w:ascii="仿宋" w:hAnsi="仿宋" w:eastAsia="仿宋" w:cs="Times New Roman"/>
          <w:kern w:val="2"/>
          <w:sz w:val="24"/>
          <w:szCs w:val="28"/>
          <w:lang w:val="en-US" w:eastAsia="zh-CN" w:bidi="ar-SA"/>
        </w:rPr>
      </w:pPr>
      <w:r>
        <w:rPr>
          <w:rFonts w:hint="eastAsia" w:ascii="仿宋" w:hAnsi="仿宋" w:eastAsia="仿宋" w:cs="Times New Roman"/>
          <w:kern w:val="2"/>
          <w:sz w:val="24"/>
          <w:szCs w:val="28"/>
          <w:lang w:val="en-US" w:eastAsia="zh-CN" w:bidi="ar-SA"/>
        </w:rPr>
        <w:t>　　第四部分  附表</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8F8F8"/>
        <w:kinsoku/>
        <w:wordWrap/>
        <w:overflowPunct/>
        <w:topLinePunct w:val="0"/>
        <w:autoSpaceDE/>
        <w:autoSpaceDN/>
        <w:bidi w:val="0"/>
        <w:adjustRightInd/>
        <w:snapToGrid/>
        <w:spacing w:before="0" w:beforeAutospacing="0" w:after="0" w:afterAutospacing="0" w:line="440" w:lineRule="exact"/>
        <w:ind w:left="0" w:right="0" w:firstLine="0"/>
        <w:jc w:val="left"/>
        <w:textAlignment w:val="auto"/>
        <w:rPr>
          <w:rFonts w:hint="eastAsia" w:ascii="Times New Roman" w:hAnsi="Times New Roman" w:eastAsia="宋体" w:cs="Times New Roman"/>
          <w:kern w:val="2"/>
          <w:sz w:val="24"/>
          <w:szCs w:val="24"/>
          <w:lang w:val="en-US" w:eastAsia="zh-CN" w:bidi="ar-SA"/>
        </w:rPr>
      </w:pPr>
      <w:r>
        <w:rPr>
          <w:rFonts w:hint="eastAsia" w:ascii="微软雅黑" w:hAnsi="微软雅黑" w:eastAsia="微软雅黑" w:cs="微软雅黑"/>
          <w:i w:val="0"/>
          <w:iCs w:val="0"/>
          <w:caps w:val="0"/>
          <w:color w:val="000000"/>
          <w:spacing w:val="0"/>
          <w:sz w:val="21"/>
          <w:szCs w:val="21"/>
          <w:shd w:val="clear" w:fill="F8F8F8"/>
        </w:rPr>
        <w:t>　　</w:t>
      </w:r>
      <w:r>
        <w:rPr>
          <w:rFonts w:hint="eastAsia" w:ascii="Times New Roman" w:hAnsi="Times New Roman" w:eastAsia="宋体" w:cs="Times New Roman"/>
          <w:kern w:val="2"/>
          <w:sz w:val="24"/>
          <w:szCs w:val="24"/>
          <w:lang w:val="en-US" w:eastAsia="zh-CN" w:bidi="ar-SA"/>
        </w:rPr>
        <w:t>一、部门收支总表</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8F8F8"/>
        <w:kinsoku/>
        <w:wordWrap/>
        <w:overflowPunct/>
        <w:topLinePunct w:val="0"/>
        <w:autoSpaceDE/>
        <w:autoSpaceDN/>
        <w:bidi w:val="0"/>
        <w:adjustRightInd/>
        <w:snapToGrid/>
        <w:spacing w:before="0" w:beforeAutospacing="0" w:after="0" w:afterAutospacing="0" w:line="440" w:lineRule="exact"/>
        <w:ind w:left="0" w:right="0" w:firstLine="0"/>
        <w:jc w:val="left"/>
        <w:textAlignment w:val="auto"/>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　　二、部门收入总表</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8F8F8"/>
        <w:kinsoku/>
        <w:wordWrap/>
        <w:overflowPunct/>
        <w:topLinePunct w:val="0"/>
        <w:autoSpaceDE/>
        <w:autoSpaceDN/>
        <w:bidi w:val="0"/>
        <w:adjustRightInd/>
        <w:snapToGrid/>
        <w:spacing w:before="0" w:beforeAutospacing="0" w:after="0" w:afterAutospacing="0" w:line="440" w:lineRule="exact"/>
        <w:ind w:left="0" w:right="0" w:firstLine="0"/>
        <w:jc w:val="left"/>
        <w:textAlignment w:val="auto"/>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　　三、部门支出总表</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8F8F8"/>
        <w:kinsoku/>
        <w:wordWrap/>
        <w:overflowPunct/>
        <w:topLinePunct w:val="0"/>
        <w:autoSpaceDE/>
        <w:autoSpaceDN/>
        <w:bidi w:val="0"/>
        <w:adjustRightInd/>
        <w:snapToGrid/>
        <w:spacing w:before="0" w:beforeAutospacing="0" w:after="0" w:afterAutospacing="0" w:line="440" w:lineRule="exact"/>
        <w:ind w:left="0" w:right="0" w:firstLine="0"/>
        <w:jc w:val="left"/>
        <w:textAlignment w:val="auto"/>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　　四、财政拨款收支预算总表</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8F8F8"/>
        <w:kinsoku/>
        <w:wordWrap/>
        <w:overflowPunct/>
        <w:topLinePunct w:val="0"/>
        <w:autoSpaceDE/>
        <w:autoSpaceDN/>
        <w:bidi w:val="0"/>
        <w:adjustRightInd/>
        <w:snapToGrid/>
        <w:spacing w:before="0" w:beforeAutospacing="0" w:after="0" w:afterAutospacing="0" w:line="440" w:lineRule="exact"/>
        <w:ind w:left="0" w:right="0" w:firstLine="0"/>
        <w:jc w:val="left"/>
        <w:textAlignment w:val="auto"/>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　　五、财政拨款支出预算表（部门经济分类科目）</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8F8F8"/>
        <w:kinsoku/>
        <w:wordWrap/>
        <w:overflowPunct/>
        <w:topLinePunct w:val="0"/>
        <w:autoSpaceDE/>
        <w:autoSpaceDN/>
        <w:bidi w:val="0"/>
        <w:adjustRightInd/>
        <w:snapToGrid/>
        <w:spacing w:before="0" w:beforeAutospacing="0" w:after="0" w:afterAutospacing="0" w:line="440" w:lineRule="exact"/>
        <w:ind w:left="0" w:right="0" w:firstLine="0"/>
        <w:jc w:val="left"/>
        <w:textAlignment w:val="auto"/>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　　六、一般公共预算支出预算表</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8F8F8"/>
        <w:kinsoku/>
        <w:wordWrap/>
        <w:overflowPunct/>
        <w:topLinePunct w:val="0"/>
        <w:autoSpaceDE/>
        <w:autoSpaceDN/>
        <w:bidi w:val="0"/>
        <w:adjustRightInd/>
        <w:snapToGrid/>
        <w:spacing w:before="0" w:beforeAutospacing="0" w:after="0" w:afterAutospacing="0" w:line="440" w:lineRule="exact"/>
        <w:ind w:left="0" w:right="0" w:firstLine="0"/>
        <w:jc w:val="left"/>
        <w:textAlignment w:val="auto"/>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　　七、一般公共预算基本支出预算表</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8F8F8"/>
        <w:kinsoku/>
        <w:wordWrap/>
        <w:overflowPunct/>
        <w:topLinePunct w:val="0"/>
        <w:autoSpaceDE/>
        <w:autoSpaceDN/>
        <w:bidi w:val="0"/>
        <w:adjustRightInd/>
        <w:snapToGrid/>
        <w:spacing w:before="0" w:beforeAutospacing="0" w:after="0" w:afterAutospacing="0" w:line="440" w:lineRule="exact"/>
        <w:ind w:left="0" w:right="0" w:firstLine="0"/>
        <w:jc w:val="left"/>
        <w:textAlignment w:val="auto"/>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　　八、一般公共预算项目支出预算表</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8F8F8"/>
        <w:kinsoku/>
        <w:wordWrap/>
        <w:overflowPunct/>
        <w:topLinePunct w:val="0"/>
        <w:autoSpaceDE/>
        <w:autoSpaceDN/>
        <w:bidi w:val="0"/>
        <w:adjustRightInd/>
        <w:snapToGrid/>
        <w:spacing w:before="0" w:beforeAutospacing="0" w:after="0" w:afterAutospacing="0" w:line="440" w:lineRule="exact"/>
        <w:ind w:left="0" w:right="0" w:firstLine="0"/>
        <w:jc w:val="left"/>
        <w:textAlignment w:val="auto"/>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　　九、一般公共预算“三公”经费支出预算表</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8F8F8"/>
        <w:kinsoku/>
        <w:wordWrap/>
        <w:overflowPunct/>
        <w:topLinePunct w:val="0"/>
        <w:autoSpaceDE/>
        <w:autoSpaceDN/>
        <w:bidi w:val="0"/>
        <w:adjustRightInd/>
        <w:snapToGrid/>
        <w:spacing w:before="0" w:beforeAutospacing="0" w:after="0" w:afterAutospacing="0" w:line="440" w:lineRule="exact"/>
        <w:ind w:left="0" w:right="0" w:firstLine="0"/>
        <w:jc w:val="left"/>
        <w:textAlignment w:val="auto"/>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　　十、政府性基金预算支出预算表</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8F8F8"/>
        <w:kinsoku/>
        <w:wordWrap/>
        <w:overflowPunct/>
        <w:topLinePunct w:val="0"/>
        <w:autoSpaceDE/>
        <w:autoSpaceDN/>
        <w:bidi w:val="0"/>
        <w:adjustRightInd/>
        <w:snapToGrid/>
        <w:spacing w:before="0" w:beforeAutospacing="0" w:after="0" w:afterAutospacing="0" w:line="440" w:lineRule="exact"/>
        <w:ind w:left="0" w:right="0" w:firstLine="0"/>
        <w:jc w:val="left"/>
        <w:textAlignment w:val="auto"/>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　　十一、政府性基金预算“三公”经费支出预算表</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8F8F8"/>
        <w:kinsoku/>
        <w:wordWrap/>
        <w:overflowPunct/>
        <w:topLinePunct w:val="0"/>
        <w:autoSpaceDE/>
        <w:autoSpaceDN/>
        <w:bidi w:val="0"/>
        <w:adjustRightInd/>
        <w:snapToGrid/>
        <w:spacing w:before="0" w:beforeAutospacing="0" w:after="0" w:afterAutospacing="0" w:line="440" w:lineRule="exact"/>
        <w:ind w:left="0" w:right="0" w:firstLine="0"/>
        <w:jc w:val="left"/>
        <w:textAlignment w:val="auto"/>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　　十二、国有资本经营预算支出预算表</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8F8F8"/>
        <w:kinsoku/>
        <w:wordWrap/>
        <w:overflowPunct/>
        <w:topLinePunct w:val="0"/>
        <w:autoSpaceDE/>
        <w:autoSpaceDN/>
        <w:bidi w:val="0"/>
        <w:adjustRightInd/>
        <w:snapToGrid/>
        <w:spacing w:before="0" w:beforeAutospacing="0" w:after="0" w:afterAutospacing="0" w:line="440" w:lineRule="exact"/>
        <w:ind w:left="0" w:right="0" w:firstLine="0"/>
        <w:jc w:val="left"/>
        <w:textAlignment w:val="auto"/>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　　十三、部门预算项目支出绩效目标表</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8F8F8"/>
        <w:kinsoku/>
        <w:wordWrap/>
        <w:overflowPunct/>
        <w:topLinePunct w:val="0"/>
        <w:autoSpaceDE/>
        <w:autoSpaceDN/>
        <w:bidi w:val="0"/>
        <w:adjustRightInd/>
        <w:snapToGrid/>
        <w:spacing w:before="0" w:beforeAutospacing="0" w:after="0" w:afterAutospacing="0" w:line="440" w:lineRule="exact"/>
        <w:ind w:left="0" w:right="0" w:firstLine="0"/>
        <w:jc w:val="left"/>
        <w:textAlignment w:val="auto"/>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　　十四、部门整体支出绩效目标表</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60" w:lineRule="atLeast"/>
        <w:ind w:left="0" w:right="0" w:firstLine="0"/>
        <w:jc w:val="left"/>
        <w:rPr>
          <w:rFonts w:hint="eastAsia" w:ascii="微软雅黑" w:hAnsi="微软雅黑" w:eastAsia="微软雅黑" w:cs="微软雅黑"/>
          <w:i w:val="0"/>
          <w:iCs w:val="0"/>
          <w:caps w:val="0"/>
          <w:color w:val="000000"/>
          <w:spacing w:val="0"/>
          <w:sz w:val="21"/>
          <w:szCs w:val="21"/>
          <w:shd w:val="clear" w:fill="F8F8F8"/>
        </w:rPr>
      </w:pPr>
      <w:r>
        <w:rPr>
          <w:rFonts w:hint="eastAsia" w:ascii="微软雅黑" w:hAnsi="微软雅黑" w:eastAsia="微软雅黑" w:cs="微软雅黑"/>
          <w:i w:val="0"/>
          <w:iCs w:val="0"/>
          <w:caps w:val="0"/>
          <w:color w:val="000000"/>
          <w:spacing w:val="0"/>
          <w:sz w:val="21"/>
          <w:szCs w:val="21"/>
          <w:shd w:val="clear" w:fill="F8F8F8"/>
        </w:rPr>
        <w:t>　　</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60" w:lineRule="atLeast"/>
        <w:ind w:left="0" w:right="0" w:firstLine="0"/>
        <w:jc w:val="left"/>
        <w:rPr>
          <w:rFonts w:hint="eastAsia" w:ascii="微软雅黑" w:hAnsi="微软雅黑" w:eastAsia="微软雅黑" w:cs="微软雅黑"/>
          <w:i w:val="0"/>
          <w:iCs w:val="0"/>
          <w:caps w:val="0"/>
          <w:color w:val="000000"/>
          <w:spacing w:val="0"/>
          <w:sz w:val="21"/>
          <w:szCs w:val="21"/>
          <w:shd w:val="clear" w:fill="F8F8F8"/>
        </w:rPr>
      </w:pP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60" w:lineRule="atLeast"/>
        <w:ind w:left="0" w:right="0" w:firstLine="0"/>
        <w:jc w:val="left"/>
        <w:rPr>
          <w:rFonts w:hint="eastAsia" w:ascii="微软雅黑" w:hAnsi="微软雅黑" w:eastAsia="微软雅黑" w:cs="微软雅黑"/>
          <w:i w:val="0"/>
          <w:iCs w:val="0"/>
          <w:caps w:val="0"/>
          <w:color w:val="000000"/>
          <w:spacing w:val="0"/>
          <w:sz w:val="21"/>
          <w:szCs w:val="21"/>
          <w:shd w:val="clear" w:fill="F8F8F8"/>
        </w:rPr>
      </w:pP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8F8F8"/>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黑体" w:hAnsi="黑体" w:eastAsia="黑体" w:cs="Times New Roman"/>
          <w:b w:val="0"/>
          <w:bCs/>
          <w:kern w:val="44"/>
          <w:sz w:val="44"/>
          <w:szCs w:val="44"/>
          <w:lang w:val="en-US" w:eastAsia="zh-CN" w:bidi="ar-SA"/>
        </w:rPr>
      </w:pPr>
      <w:r>
        <w:rPr>
          <w:rFonts w:hint="eastAsia" w:ascii="黑体" w:hAnsi="黑体" w:eastAsia="黑体" w:cs="Times New Roman"/>
          <w:b w:val="0"/>
          <w:bCs/>
          <w:kern w:val="44"/>
          <w:sz w:val="44"/>
          <w:szCs w:val="44"/>
          <w:lang w:val="en-US" w:eastAsia="zh-CN" w:bidi="ar-SA"/>
        </w:rPr>
        <w:t>第一部分  攀枝花市西区财政局部门概况</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8F8F8"/>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微软雅黑" w:hAnsi="微软雅黑" w:eastAsia="微软雅黑" w:cs="微软雅黑"/>
          <w:i w:val="0"/>
          <w:iCs w:val="0"/>
          <w:caps w:val="0"/>
          <w:color w:val="000000"/>
          <w:spacing w:val="0"/>
          <w:sz w:val="21"/>
          <w:szCs w:val="21"/>
          <w:shd w:val="clear" w:fill="F8F8F8"/>
        </w:rPr>
      </w:pPr>
      <w:r>
        <w:rPr>
          <w:rFonts w:hint="eastAsia" w:ascii="微软雅黑" w:hAnsi="微软雅黑" w:eastAsia="微软雅黑" w:cs="微软雅黑"/>
          <w:i w:val="0"/>
          <w:iCs w:val="0"/>
          <w:caps w:val="0"/>
          <w:color w:val="000000"/>
          <w:spacing w:val="0"/>
          <w:sz w:val="21"/>
          <w:szCs w:val="21"/>
          <w:shd w:val="clear" w:fill="F8F8F8"/>
        </w:rPr>
        <w:t>　　</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8F8F8"/>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Style w:val="26"/>
          <w:rFonts w:hint="eastAsia" w:ascii="黑体" w:hAnsi="黑体" w:eastAsia="黑体"/>
          <w:b w:val="0"/>
          <w:bCs w:val="0"/>
          <w:lang w:val="en-US" w:eastAsia="zh-CN" w:bidi="ar-SA"/>
        </w:rPr>
      </w:pPr>
      <w:r>
        <w:rPr>
          <w:rStyle w:val="26"/>
          <w:rFonts w:hint="eastAsia" w:ascii="黑体" w:hAnsi="黑体" w:eastAsia="黑体"/>
          <w:b w:val="0"/>
          <w:bCs w:val="0"/>
          <w:lang w:val="en-US" w:eastAsia="zh-CN" w:bidi="ar-SA"/>
        </w:rPr>
        <w:t>一、基本职能及主要工作</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8F8F8"/>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shd w:val="clear" w:fill="F8F8F8"/>
        </w:rPr>
        <w:t>　　</w:t>
      </w:r>
      <w:r>
        <w:rPr>
          <w:rFonts w:hint="eastAsia" w:ascii="仿宋" w:hAnsi="仿宋" w:eastAsia="仿宋" w:cs="Times New Roman"/>
          <w:b/>
          <w:kern w:val="2"/>
          <w:sz w:val="32"/>
          <w:szCs w:val="32"/>
          <w:lang w:val="en-US" w:eastAsia="zh-CN" w:bidi="ar-SA"/>
        </w:rPr>
        <w:t>（一）主要职责。</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8F8F8"/>
        <w:kinsoku/>
        <w:wordWrap/>
        <w:overflowPunct/>
        <w:topLinePunct w:val="0"/>
        <w:autoSpaceDE/>
        <w:autoSpaceDN/>
        <w:bidi w:val="0"/>
        <w:adjustRightInd/>
        <w:snapToGrid/>
        <w:spacing w:before="0" w:beforeAutospacing="0" w:after="0" w:afterAutospacing="0" w:line="600" w:lineRule="exact"/>
        <w:ind w:right="0" w:firstLine="420" w:firstLineChars="200"/>
        <w:jc w:val="left"/>
        <w:textAlignment w:val="auto"/>
        <w:rPr>
          <w:rFonts w:hint="eastAsia" w:ascii="仿宋_GB2312" w:hAnsi="仿宋" w:eastAsia="仿宋_GB2312" w:cs="Times New Roman"/>
          <w:kern w:val="2"/>
          <w:sz w:val="32"/>
          <w:szCs w:val="32"/>
          <w:lang w:val="en-US" w:eastAsia="zh-CN" w:bidi="ar-SA"/>
        </w:rPr>
      </w:pPr>
      <w:r>
        <w:rPr>
          <w:rFonts w:hint="eastAsia" w:ascii="微软雅黑" w:hAnsi="微软雅黑" w:eastAsia="微软雅黑" w:cs="微软雅黑"/>
          <w:i w:val="0"/>
          <w:iCs w:val="0"/>
          <w:caps w:val="0"/>
          <w:color w:val="000000"/>
          <w:spacing w:val="0"/>
          <w:sz w:val="21"/>
          <w:szCs w:val="21"/>
          <w:shd w:val="clear" w:fill="F8F8F8"/>
        </w:rPr>
        <w:t>　</w:t>
      </w:r>
      <w:r>
        <w:rPr>
          <w:rFonts w:hint="eastAsia" w:ascii="仿宋_GB2312" w:hAnsi="仿宋" w:eastAsia="仿宋_GB2312" w:cs="Times New Roman"/>
          <w:kern w:val="2"/>
          <w:sz w:val="32"/>
          <w:szCs w:val="32"/>
          <w:lang w:val="en-US" w:eastAsia="zh-CN" w:bidi="ar-SA"/>
        </w:rPr>
        <w:t>财政局主要职责：一是拟订全区财政发展战略、规划、政策和改革方案并组织实施，分析预测宏观经济形势，参与制定各项经济政策，提出运用财税政策实施宏观调控和综合平衡社会财力的建议，拟订政府与企业的分配政策，完善鼓励公益事业发展的财税政策。二是贯彻执行财政、税收、财务、会计管理的法律法规和规章。负责组织起草地方性财政政策、规范性文件和制度并组织实施。按照管理权限管理全区税政事项。三是负责管理各项财政收支。编制年度区级预决算草案并组织执行。组织制定经费开支标准、定额，审核批复部门（单位）年度预决算。受区政府委托，向区人大及其常委会报告财政预算、执行和决算等情况。负责政府投资基金区级财政出资的资产管理。负责区级预决算公开。负责全面实施预算绩效管理。四是按分工负责政府非税收入管理。负责政府性基金管理，按规定管理行政事业性收费等其他非税收入。管理财政票据。贯彻执行彩票管理政策，制定彩票管理有关办法，监管彩票市场，按规定管理彩票资金。五是组织制定全区国库管理制度、国库集中收付制度，指导和监督国库业务，按规定开展国库现金管理工作。贯彻执行政府财务报告编制办法并组织实施。监督管理全区政府采购工作。六是贯彻执行地方政府债务管理制度和政策，制定具体管理办法，编制地方政府债余额限额计划，统一管理政府外债，防范财政风险。七是牵头编制全区国有资产管理情况报告。根据区政府授权，集中统一履行区级国有金融资本出资人职责。制定区级国有金融资本管理制度。拟订全区行政事业单位国有资产管理制度并组织实施。制定需要全区统一规定的开支标准和支出政策。八是负责审核并汇总编制全区国有资本经营预决算草案。制定国有资本经营预算制度和办法，收取区本级企业国有资本收益。组织实施企业财务制度，负责财政预算内行政事业单位和社会团体的非贸易外汇和财政预算内的国际收支管理。九是负责审核并汇总编制全区社会保险基金预决算草案，会同有关部门拟订有关资金（基金）财务管理制度，承担社会保险基金财政监管工作。十是负责办理和监督区级财政的经济发展支出、区级政府性投资项目的财政拨款，负责投资评审管理工作，参与拟订区级基建投资有关政策，制定基建财务管理制度。十一是贯彻执行各级有关金融工作的方针、政策、法律、法规，研究分析国家、省、市金融政策和金融形势以及全区金融运行情况；拟订全区金融业发展规划和政策，提出改善金融发展环境、促进金融业发展的建议，协调解决金融业发展中应由地方解决的矛盾和问题；负责联系协调全区金融部门，承担财政政策与金融政策协调配合的研究工作；组织协调有关部门防范、化解和处置地方金融风险，处理地方金融突发事件和重大事件。十二是管理外国政府和国际金融机构贷（赠）款项目的有关业务，参与财经领域的国际交流与合作。十三是负责管理全区会计工作，监督和规范会计行为，组织实施国家统一的会计制度，指导社会审计。依法管理资产评估有关工作。十四是负责职责范围内的安全生产和职业健康、生态环境保护、审批服务便民化等工作。</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8F8F8"/>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eastAsia" w:ascii="仿宋_GB2312" w:hAnsi="仿宋" w:eastAsia="仿宋_GB2312" w:cs="Times New Roman"/>
          <w:kern w:val="2"/>
          <w:sz w:val="32"/>
          <w:szCs w:val="32"/>
          <w:lang w:val="en-US" w:eastAsia="zh-CN" w:bidi="ar-SA"/>
        </w:rPr>
      </w:pPr>
      <w:r>
        <w:rPr>
          <w:rFonts w:hint="eastAsia" w:ascii="仿宋_GB2312" w:hAnsi="仿宋" w:eastAsia="仿宋_GB2312" w:cs="Times New Roman"/>
          <w:kern w:val="2"/>
          <w:sz w:val="32"/>
          <w:szCs w:val="32"/>
          <w:lang w:val="en-US" w:eastAsia="zh-CN" w:bidi="ar-SA"/>
        </w:rPr>
        <w:t>财评中心主要职责：一是制定投资评审规章制度，指导投资评审业务工作。二是确定投资评审项目，下达评审计划。三是确认或批复评审机构出具的评审报告。四是依据财政部的统一规定和要求制定预算绩效考核的具体实施办法，指导和监督预算绩效评价工作。五是受理、处理评审争议和投诉。</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8F8F8"/>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eastAsia" w:ascii="仿宋_GB2312" w:hAnsi="仿宋" w:eastAsia="仿宋_GB2312" w:cs="Times New Roman"/>
          <w:kern w:val="2"/>
          <w:sz w:val="32"/>
          <w:szCs w:val="32"/>
          <w:lang w:val="en-US" w:eastAsia="zh-CN" w:bidi="ar-SA"/>
        </w:rPr>
      </w:pPr>
      <w:r>
        <w:rPr>
          <w:rFonts w:hint="eastAsia" w:ascii="仿宋_GB2312" w:hAnsi="仿宋" w:eastAsia="仿宋_GB2312" w:cs="Times New Roman"/>
          <w:kern w:val="2"/>
          <w:sz w:val="32"/>
          <w:szCs w:val="32"/>
          <w:lang w:val="en-US" w:eastAsia="zh-CN" w:bidi="ar-SA"/>
        </w:rPr>
        <w:t>国库支付中心主要职责：一是根据区财政局批复的预算单位分月用款计划和授权支付额度，办理财政性资金支付业务;二是对各预算单位会计核算业务工作进行指导；三是建立财政性资金汇总和财政性资金清算管理系统，处理预算单位的支出信息及其他经济信息；四是定期与区财政局、代理银行、预算单位核对账目，向区财政局提供财政性资金支付和清算信息，报告财政性资金支付情况；五是受理预算单位、商品或劳务供应商的账务查询事宜；六是做好会计档案的保管及移交工作；七是参与单位预算编制及其他一些财务管理活动。</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8F8F8"/>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eastAsia" w:ascii="仿宋_GB2312" w:hAnsi="仿宋" w:eastAsia="仿宋_GB2312" w:cs="Times New Roman"/>
          <w:kern w:val="2"/>
          <w:sz w:val="32"/>
          <w:szCs w:val="32"/>
          <w:lang w:val="en-US" w:eastAsia="zh-CN" w:bidi="ar-SA"/>
        </w:rPr>
      </w:pPr>
      <w:r>
        <w:rPr>
          <w:rFonts w:hint="eastAsia" w:ascii="仿宋_GB2312" w:hAnsi="仿宋" w:eastAsia="仿宋_GB2312" w:cs="Times New Roman"/>
          <w:kern w:val="2"/>
          <w:sz w:val="32"/>
          <w:szCs w:val="32"/>
          <w:lang w:val="en-US" w:eastAsia="zh-CN" w:bidi="ar-SA"/>
        </w:rPr>
        <w:t>绩效评价中心：拟定财政监督政策和制度，监督检查财税法规、政策的执行情况;检查并反映财政收支和国有资产经营管理中存在的重大问题,提出加强财政监督和国有资产管理的政策建议;对查出的各种违反财经法纪的行为实施行政处罚;监督检查全区两级财政及各单位在预算编制和执行过程中执行财政法规、政策和制度的情况;监督检查区属各单位财务收支管理情况,监督检查全区专项资金使用情况和使用效果;协调审计机关对区财政实施审计的业务工作,并对区财政及财政所行使财政监督、审计职能。</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8F8F8"/>
        <w:kinsoku/>
        <w:wordWrap/>
        <w:overflowPunct/>
        <w:topLinePunct w:val="0"/>
        <w:autoSpaceDE/>
        <w:autoSpaceDN/>
        <w:bidi w:val="0"/>
        <w:adjustRightInd/>
        <w:snapToGrid/>
        <w:spacing w:before="0" w:beforeAutospacing="0" w:after="0" w:afterAutospacing="0" w:line="600" w:lineRule="exact"/>
        <w:ind w:right="0" w:firstLine="643" w:firstLineChars="200"/>
        <w:jc w:val="left"/>
        <w:textAlignment w:val="auto"/>
        <w:rPr>
          <w:rFonts w:hint="eastAsia" w:ascii="微软雅黑" w:hAnsi="微软雅黑" w:eastAsia="微软雅黑" w:cs="微软雅黑"/>
          <w:i w:val="0"/>
          <w:iCs w:val="0"/>
          <w:caps w:val="0"/>
          <w:color w:val="000000"/>
          <w:spacing w:val="0"/>
          <w:sz w:val="21"/>
          <w:szCs w:val="21"/>
        </w:rPr>
      </w:pPr>
      <w:r>
        <w:rPr>
          <w:rFonts w:hint="eastAsia" w:ascii="仿宋" w:hAnsi="仿宋" w:eastAsia="仿宋" w:cs="Times New Roman"/>
          <w:b/>
          <w:kern w:val="2"/>
          <w:sz w:val="32"/>
          <w:szCs w:val="32"/>
          <w:lang w:val="en-US" w:eastAsia="zh-CN" w:bidi="ar-SA"/>
        </w:rPr>
        <w:t>（二）2022年重点工作任务。</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8F8F8"/>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eastAsia" w:ascii="仿宋_GB2312" w:hAnsi="仿宋" w:eastAsia="仿宋_GB2312" w:cs="Times New Roman"/>
          <w:kern w:val="2"/>
          <w:sz w:val="32"/>
          <w:szCs w:val="32"/>
          <w:lang w:val="en-US" w:eastAsia="zh-CN" w:bidi="ar-SA"/>
        </w:rPr>
      </w:pPr>
      <w:r>
        <w:rPr>
          <w:rFonts w:hint="eastAsia" w:ascii="仿宋_GB2312" w:hAnsi="仿宋" w:eastAsia="仿宋_GB2312" w:cs="Times New Roman"/>
          <w:kern w:val="2"/>
          <w:sz w:val="32"/>
          <w:szCs w:val="32"/>
          <w:lang w:val="en-US" w:eastAsia="zh-CN" w:bidi="ar-SA"/>
        </w:rPr>
        <w:t>（1）力争一般公共预算收入完成2.1亿元；</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8F8F8"/>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eastAsia" w:ascii="微软雅黑" w:hAnsi="微软雅黑" w:eastAsia="微软雅黑" w:cs="微软雅黑"/>
          <w:i w:val="0"/>
          <w:iCs w:val="0"/>
          <w:caps w:val="0"/>
          <w:color w:val="000000"/>
          <w:spacing w:val="0"/>
          <w:sz w:val="21"/>
          <w:szCs w:val="21"/>
        </w:rPr>
      </w:pPr>
      <w:r>
        <w:rPr>
          <w:rFonts w:hint="eastAsia" w:ascii="仿宋_GB2312" w:hAnsi="仿宋" w:eastAsia="仿宋_GB2312" w:cs="Times New Roman"/>
          <w:kern w:val="2"/>
          <w:sz w:val="32"/>
          <w:szCs w:val="32"/>
          <w:lang w:val="en-US" w:eastAsia="zh-CN" w:bidi="ar-SA"/>
        </w:rPr>
        <w:t>（2）向上争取资金同口径增长5%，力争向上争取财力性补助达到5.5亿元。</w:t>
      </w:r>
      <w:r>
        <w:rPr>
          <w:rFonts w:hint="eastAsia" w:ascii="微软雅黑" w:hAnsi="微软雅黑" w:eastAsia="微软雅黑" w:cs="微软雅黑"/>
          <w:i w:val="0"/>
          <w:iCs w:val="0"/>
          <w:caps w:val="0"/>
          <w:color w:val="000000"/>
          <w:spacing w:val="0"/>
          <w:sz w:val="21"/>
          <w:szCs w:val="21"/>
          <w:shd w:val="clear" w:fill="F8F8F8"/>
        </w:rPr>
        <w:t>　　</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8F8F8"/>
        <w:kinsoku/>
        <w:wordWrap/>
        <w:overflowPunct/>
        <w:topLinePunct w:val="0"/>
        <w:autoSpaceDE/>
        <w:autoSpaceDN/>
        <w:bidi w:val="0"/>
        <w:adjustRightInd/>
        <w:snapToGrid/>
        <w:spacing w:before="0" w:beforeAutospacing="0" w:after="0" w:afterAutospacing="0" w:line="600" w:lineRule="exact"/>
        <w:ind w:right="0" w:firstLine="420" w:firstLineChars="200"/>
        <w:jc w:val="left"/>
        <w:textAlignment w:val="auto"/>
        <w:rPr>
          <w:rFonts w:hint="eastAsia" w:ascii="仿宋" w:hAnsi="仿宋" w:eastAsia="仿宋" w:cs="Times New Roman"/>
          <w:b/>
          <w:kern w:val="2"/>
          <w:sz w:val="32"/>
          <w:szCs w:val="32"/>
          <w:lang w:val="en-US" w:eastAsia="zh-CN" w:bidi="ar-SA"/>
        </w:rPr>
      </w:pPr>
      <w:r>
        <w:rPr>
          <w:rFonts w:hint="eastAsia" w:ascii="微软雅黑" w:hAnsi="微软雅黑" w:eastAsia="微软雅黑" w:cs="微软雅黑"/>
          <w:i w:val="0"/>
          <w:iCs w:val="0"/>
          <w:caps w:val="0"/>
          <w:color w:val="000000"/>
          <w:spacing w:val="0"/>
          <w:sz w:val="21"/>
          <w:szCs w:val="21"/>
          <w:shd w:val="clear" w:fill="F8F8F8"/>
        </w:rPr>
        <w:t> </w:t>
      </w:r>
      <w:r>
        <w:rPr>
          <w:rFonts w:hint="eastAsia" w:ascii="微软雅黑" w:hAnsi="微软雅黑" w:eastAsia="微软雅黑" w:cs="微软雅黑"/>
          <w:i w:val="0"/>
          <w:iCs w:val="0"/>
          <w:caps w:val="0"/>
          <w:color w:val="000000"/>
          <w:spacing w:val="0"/>
          <w:sz w:val="21"/>
          <w:szCs w:val="21"/>
          <w:shd w:val="clear" w:fill="F8F8F8"/>
          <w:lang w:val="en-US" w:eastAsia="zh-CN"/>
        </w:rPr>
        <w:t xml:space="preserve"> </w:t>
      </w:r>
      <w:r>
        <w:rPr>
          <w:rFonts w:hint="eastAsia" w:ascii="仿宋" w:hAnsi="仿宋" w:eastAsia="仿宋" w:cs="Times New Roman"/>
          <w:b/>
          <w:kern w:val="2"/>
          <w:sz w:val="32"/>
          <w:szCs w:val="32"/>
          <w:lang w:val="en-US" w:eastAsia="zh-CN" w:bidi="ar-SA"/>
        </w:rPr>
        <w:t>（三）深化国资国企改革，进一步明确鼎信集团功能定位，调整优化企业资本结构，拓展经营性业务，做大现金流，实现国有资产保值升值。力争区属国企资产增长 15%以上、资产总额突破 25亿元。</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8F8F8"/>
        <w:kinsoku/>
        <w:wordWrap/>
        <w:overflowPunct/>
        <w:topLinePunct w:val="0"/>
        <w:autoSpaceDE/>
        <w:autoSpaceDN/>
        <w:bidi w:val="0"/>
        <w:adjustRightInd/>
        <w:snapToGrid/>
        <w:spacing w:before="0" w:beforeAutospacing="0" w:after="0" w:afterAutospacing="0" w:line="600" w:lineRule="exact"/>
        <w:ind w:right="0" w:firstLine="643" w:firstLineChars="200"/>
        <w:jc w:val="left"/>
        <w:textAlignment w:val="auto"/>
        <w:rPr>
          <w:rFonts w:hint="eastAsia" w:ascii="仿宋" w:hAnsi="仿宋" w:eastAsia="仿宋" w:cs="Times New Roman"/>
          <w:b/>
          <w:kern w:val="2"/>
          <w:sz w:val="32"/>
          <w:szCs w:val="32"/>
          <w:lang w:val="en-US" w:eastAsia="zh-CN" w:bidi="ar-SA"/>
        </w:rPr>
      </w:pPr>
      <w:r>
        <w:rPr>
          <w:rFonts w:hint="eastAsia" w:ascii="仿宋" w:hAnsi="仿宋" w:eastAsia="仿宋" w:cs="Times New Roman"/>
          <w:b/>
          <w:kern w:val="2"/>
          <w:sz w:val="32"/>
          <w:szCs w:val="32"/>
          <w:lang w:val="en-US" w:eastAsia="zh-CN" w:bidi="ar-SA"/>
        </w:rPr>
        <w:t> （四）化解政府债务风险，逐步降低政府债务率，确保完成全年存量债务化解目标。</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8F8F8"/>
        <w:kinsoku/>
        <w:wordWrap/>
        <w:overflowPunct/>
        <w:topLinePunct w:val="0"/>
        <w:autoSpaceDE/>
        <w:autoSpaceDN/>
        <w:bidi w:val="0"/>
        <w:adjustRightInd/>
        <w:snapToGrid/>
        <w:spacing w:before="0" w:beforeAutospacing="0" w:after="0" w:afterAutospacing="0" w:line="600" w:lineRule="exact"/>
        <w:ind w:right="0" w:firstLine="643" w:firstLineChars="200"/>
        <w:jc w:val="left"/>
        <w:textAlignment w:val="auto"/>
        <w:rPr>
          <w:rFonts w:hint="eastAsia" w:ascii="仿宋" w:hAnsi="仿宋" w:eastAsia="仿宋" w:cs="Times New Roman"/>
          <w:b/>
          <w:kern w:val="2"/>
          <w:sz w:val="32"/>
          <w:szCs w:val="32"/>
          <w:lang w:val="en-US" w:eastAsia="zh-CN" w:bidi="ar-SA"/>
        </w:rPr>
      </w:pPr>
      <w:r>
        <w:rPr>
          <w:rFonts w:hint="eastAsia" w:ascii="仿宋" w:hAnsi="仿宋" w:eastAsia="仿宋" w:cs="Times New Roman"/>
          <w:b/>
          <w:kern w:val="2"/>
          <w:sz w:val="32"/>
          <w:szCs w:val="32"/>
          <w:lang w:val="en-US" w:eastAsia="zh-CN" w:bidi="ar-SA"/>
        </w:rPr>
        <w:t>（五）千方百计筹措资金，逐步弥补“三供一业”分离移交、山水林田湖、老工业基地、棚户区改造项目资金缺口。</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8F8F8"/>
        <w:kinsoku/>
        <w:wordWrap/>
        <w:overflowPunct/>
        <w:topLinePunct w:val="0"/>
        <w:autoSpaceDE/>
        <w:autoSpaceDN/>
        <w:bidi w:val="0"/>
        <w:adjustRightInd/>
        <w:snapToGrid/>
        <w:spacing w:before="0" w:beforeAutospacing="0" w:after="0" w:afterAutospacing="0" w:line="600" w:lineRule="exact"/>
        <w:ind w:right="0" w:firstLine="643" w:firstLineChars="200"/>
        <w:jc w:val="left"/>
        <w:textAlignment w:val="auto"/>
        <w:rPr>
          <w:rFonts w:hint="eastAsia" w:ascii="仿宋" w:hAnsi="仿宋" w:eastAsia="仿宋" w:cs="Times New Roman"/>
          <w:b/>
          <w:kern w:val="2"/>
          <w:sz w:val="32"/>
          <w:szCs w:val="32"/>
          <w:lang w:val="en-US" w:eastAsia="zh-CN" w:bidi="ar-SA"/>
        </w:rPr>
      </w:pPr>
      <w:r>
        <w:rPr>
          <w:rFonts w:hint="eastAsia" w:ascii="仿宋" w:hAnsi="仿宋" w:eastAsia="仿宋" w:cs="Times New Roman"/>
          <w:b/>
          <w:kern w:val="2"/>
          <w:sz w:val="32"/>
          <w:szCs w:val="32"/>
          <w:lang w:val="en-US" w:eastAsia="zh-CN" w:bidi="ar-SA"/>
        </w:rPr>
        <w:t>（六）加大教育、医疗、文化等重点领域民生投入，民生支出占一般公共预算支出稳定在65%以上。</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8F8F8"/>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Style w:val="26"/>
          <w:rFonts w:hint="eastAsia" w:ascii="黑体" w:hAnsi="黑体" w:eastAsia="黑体"/>
          <w:b w:val="0"/>
          <w:bCs w:val="0"/>
          <w:lang w:val="en-US" w:eastAsia="zh-CN" w:bidi="ar-SA"/>
        </w:rPr>
      </w:pPr>
      <w:r>
        <w:rPr>
          <w:rStyle w:val="26"/>
          <w:rFonts w:hint="eastAsia" w:ascii="黑体" w:hAnsi="黑体" w:eastAsia="黑体"/>
          <w:b w:val="0"/>
          <w:bCs w:val="0"/>
          <w:lang w:val="en-US" w:eastAsia="zh-CN" w:bidi="ar-SA"/>
        </w:rPr>
        <w:t>二、部门预算</w:t>
      </w:r>
      <w:bookmarkStart w:id="12" w:name="_GoBack"/>
      <w:bookmarkEnd w:id="12"/>
      <w:r>
        <w:rPr>
          <w:rStyle w:val="26"/>
          <w:rFonts w:hint="eastAsia" w:ascii="黑体" w:hAnsi="黑体" w:eastAsia="黑体"/>
          <w:b w:val="0"/>
          <w:bCs w:val="0"/>
          <w:lang w:val="en-US" w:eastAsia="zh-CN" w:bidi="ar-SA"/>
        </w:rPr>
        <w:t>单位构成</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8F8F8"/>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仿宋_GB2312" w:hAnsi="仿宋" w:eastAsia="仿宋_GB2312" w:cs="Times New Roman"/>
          <w:kern w:val="2"/>
          <w:sz w:val="32"/>
          <w:szCs w:val="32"/>
          <w:lang w:val="en-US" w:eastAsia="zh-CN" w:bidi="ar-SA"/>
        </w:rPr>
      </w:pPr>
      <w:r>
        <w:rPr>
          <w:rFonts w:hint="eastAsia" w:ascii="微软雅黑" w:hAnsi="微软雅黑" w:eastAsia="微软雅黑" w:cs="微软雅黑"/>
          <w:i w:val="0"/>
          <w:iCs w:val="0"/>
          <w:caps w:val="0"/>
          <w:color w:val="000000"/>
          <w:spacing w:val="0"/>
          <w:sz w:val="21"/>
          <w:szCs w:val="21"/>
          <w:shd w:val="clear" w:fill="F8F8F8"/>
        </w:rPr>
        <w:t>　　</w:t>
      </w:r>
      <w:r>
        <w:rPr>
          <w:rFonts w:hint="eastAsia" w:ascii="微软雅黑" w:hAnsi="微软雅黑" w:eastAsia="微软雅黑" w:cs="微软雅黑"/>
          <w:i w:val="0"/>
          <w:iCs w:val="0"/>
          <w:caps w:val="0"/>
          <w:color w:val="000000"/>
          <w:spacing w:val="0"/>
          <w:sz w:val="21"/>
          <w:szCs w:val="21"/>
          <w:shd w:val="clear" w:fill="F8F8F8"/>
          <w:lang w:val="en-US" w:eastAsia="zh-CN"/>
        </w:rPr>
        <w:t xml:space="preserve">  </w:t>
      </w:r>
      <w:r>
        <w:rPr>
          <w:rFonts w:hint="eastAsia" w:ascii="仿宋_GB2312" w:hAnsi="仿宋" w:eastAsia="仿宋_GB2312" w:cs="Times New Roman"/>
          <w:kern w:val="2"/>
          <w:sz w:val="32"/>
          <w:szCs w:val="32"/>
          <w:lang w:val="en-US" w:eastAsia="zh-CN" w:bidi="ar-SA"/>
        </w:rPr>
        <w:t>内设股室6个，下属二级单位3个，其中行政单位0个，参照公务员法管理的事业单位2个，分别是财政国库支付中心、财政绩效评价中心，其他事业单位1个，财政投资评审中心。</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8F8F8"/>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仿宋_GB2312" w:hAnsi="仿宋" w:eastAsia="仿宋_GB2312" w:cs="Times New Roman"/>
          <w:kern w:val="2"/>
          <w:sz w:val="32"/>
          <w:szCs w:val="32"/>
          <w:lang w:val="en-US" w:eastAsia="zh-CN" w:bidi="ar-SA"/>
        </w:rPr>
      </w:pP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8F8F8"/>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仿宋_GB2312" w:hAnsi="仿宋" w:eastAsia="仿宋_GB2312" w:cs="Times New Roman"/>
          <w:kern w:val="2"/>
          <w:sz w:val="32"/>
          <w:szCs w:val="32"/>
          <w:lang w:val="en-US" w:eastAsia="zh-CN" w:bidi="ar-SA"/>
        </w:rPr>
      </w:pP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8F8F8"/>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仿宋_GB2312" w:hAnsi="仿宋" w:eastAsia="仿宋_GB2312" w:cs="Times New Roman"/>
          <w:kern w:val="2"/>
          <w:sz w:val="32"/>
          <w:szCs w:val="32"/>
          <w:lang w:val="en-US" w:eastAsia="zh-CN" w:bidi="ar-SA"/>
        </w:rPr>
      </w:pP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8F8F8"/>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仿宋_GB2312" w:hAnsi="仿宋" w:eastAsia="仿宋_GB2312" w:cs="Times New Roman"/>
          <w:kern w:val="2"/>
          <w:sz w:val="32"/>
          <w:szCs w:val="32"/>
          <w:lang w:val="en-US" w:eastAsia="zh-CN" w:bidi="ar-SA"/>
        </w:rPr>
      </w:pP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8F8F8"/>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仿宋_GB2312" w:hAnsi="仿宋" w:eastAsia="仿宋_GB2312" w:cs="Times New Roman"/>
          <w:kern w:val="2"/>
          <w:sz w:val="32"/>
          <w:szCs w:val="32"/>
          <w:lang w:val="en-US" w:eastAsia="zh-CN" w:bidi="ar-SA"/>
        </w:rPr>
      </w:pP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8F8F8"/>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仿宋_GB2312" w:hAnsi="仿宋" w:eastAsia="仿宋_GB2312" w:cs="Times New Roman"/>
          <w:kern w:val="2"/>
          <w:sz w:val="32"/>
          <w:szCs w:val="32"/>
          <w:lang w:val="en-US" w:eastAsia="zh-CN" w:bidi="ar-SA"/>
        </w:rPr>
      </w:pP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8F8F8"/>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仿宋_GB2312" w:hAnsi="仿宋" w:eastAsia="仿宋_GB2312" w:cs="Times New Roman"/>
          <w:kern w:val="2"/>
          <w:sz w:val="32"/>
          <w:szCs w:val="32"/>
          <w:lang w:val="en-US" w:eastAsia="zh-CN" w:bidi="ar-SA"/>
        </w:rPr>
      </w:pP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8F8F8"/>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仿宋_GB2312" w:hAnsi="仿宋" w:eastAsia="仿宋_GB2312" w:cs="Times New Roman"/>
          <w:kern w:val="2"/>
          <w:sz w:val="32"/>
          <w:szCs w:val="32"/>
          <w:lang w:val="en-US" w:eastAsia="zh-CN" w:bidi="ar-SA"/>
        </w:rPr>
      </w:pP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8F8F8"/>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仿宋_GB2312" w:hAnsi="仿宋" w:eastAsia="仿宋_GB2312" w:cs="Times New Roman"/>
          <w:kern w:val="2"/>
          <w:sz w:val="32"/>
          <w:szCs w:val="32"/>
          <w:lang w:val="en-US" w:eastAsia="zh-CN" w:bidi="ar-SA"/>
        </w:rPr>
      </w:pP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8F8F8"/>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仿宋_GB2312" w:hAnsi="仿宋" w:eastAsia="仿宋_GB2312" w:cs="Times New Roman"/>
          <w:kern w:val="2"/>
          <w:sz w:val="32"/>
          <w:szCs w:val="32"/>
          <w:lang w:val="en-US" w:eastAsia="zh-CN" w:bidi="ar-SA"/>
        </w:rPr>
      </w:pP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8F8F8"/>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仿宋_GB2312" w:hAnsi="仿宋" w:eastAsia="仿宋_GB2312" w:cs="Times New Roman"/>
          <w:kern w:val="2"/>
          <w:sz w:val="32"/>
          <w:szCs w:val="32"/>
          <w:lang w:val="en-US" w:eastAsia="zh-CN" w:bidi="ar-SA"/>
        </w:rPr>
      </w:pP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8F8F8"/>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仿宋_GB2312" w:hAnsi="仿宋" w:eastAsia="仿宋_GB2312" w:cs="Times New Roman"/>
          <w:kern w:val="2"/>
          <w:sz w:val="32"/>
          <w:szCs w:val="32"/>
          <w:lang w:val="en-US" w:eastAsia="zh-CN" w:bidi="ar-SA"/>
        </w:rPr>
      </w:pP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8F8F8"/>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仿宋_GB2312" w:hAnsi="仿宋" w:eastAsia="仿宋_GB2312" w:cs="Times New Roman"/>
          <w:kern w:val="2"/>
          <w:sz w:val="32"/>
          <w:szCs w:val="32"/>
          <w:lang w:val="en-US" w:eastAsia="zh-CN" w:bidi="ar-SA"/>
        </w:rPr>
      </w:pP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8F8F8"/>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仿宋_GB2312" w:hAnsi="仿宋" w:eastAsia="仿宋_GB2312" w:cs="Times New Roman"/>
          <w:kern w:val="2"/>
          <w:sz w:val="32"/>
          <w:szCs w:val="32"/>
          <w:lang w:val="en-US" w:eastAsia="zh-CN" w:bidi="ar-SA"/>
        </w:rPr>
      </w:pP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8F8F8"/>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仿宋_GB2312" w:hAnsi="仿宋" w:eastAsia="仿宋_GB2312" w:cs="Times New Roman"/>
          <w:kern w:val="2"/>
          <w:sz w:val="32"/>
          <w:szCs w:val="32"/>
          <w:lang w:val="en-US" w:eastAsia="zh-CN" w:bidi="ar-SA"/>
        </w:rPr>
      </w:pP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8F8F8"/>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仿宋_GB2312" w:hAnsi="仿宋" w:eastAsia="仿宋_GB2312" w:cs="Times New Roman"/>
          <w:kern w:val="2"/>
          <w:sz w:val="32"/>
          <w:szCs w:val="32"/>
          <w:lang w:val="en-US" w:eastAsia="zh-CN" w:bidi="ar-SA"/>
        </w:rPr>
      </w:pP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8F8F8"/>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仿宋_GB2312" w:hAnsi="仿宋" w:eastAsia="仿宋_GB2312" w:cs="Times New Roman"/>
          <w:kern w:val="2"/>
          <w:sz w:val="32"/>
          <w:szCs w:val="32"/>
          <w:lang w:val="en-US" w:eastAsia="zh-CN" w:bidi="ar-SA"/>
        </w:rPr>
      </w:pP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8F8F8"/>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仿宋_GB2312" w:hAnsi="仿宋" w:eastAsia="仿宋_GB2312" w:cs="Times New Roman"/>
          <w:kern w:val="2"/>
          <w:sz w:val="32"/>
          <w:szCs w:val="32"/>
          <w:lang w:val="en-US" w:eastAsia="zh-CN" w:bidi="ar-SA"/>
        </w:rPr>
      </w:pP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8F8F8"/>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shd w:val="clear" w:fill="F8F8F8"/>
        </w:rPr>
        <w:t>　　</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8F8F8"/>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黑体" w:hAnsi="黑体" w:eastAsia="黑体" w:cs="黑体"/>
          <w:i w:val="0"/>
          <w:iCs w:val="0"/>
          <w:caps w:val="0"/>
          <w:color w:val="000000"/>
          <w:spacing w:val="0"/>
          <w:sz w:val="44"/>
          <w:szCs w:val="44"/>
          <w:shd w:val="clear" w:fill="F8F8F8"/>
        </w:rPr>
      </w:pPr>
      <w:r>
        <w:rPr>
          <w:rFonts w:hint="eastAsia" w:ascii="黑体" w:hAnsi="黑体" w:eastAsia="黑体" w:cs="黑体"/>
          <w:i w:val="0"/>
          <w:iCs w:val="0"/>
          <w:caps w:val="0"/>
          <w:color w:val="000000"/>
          <w:spacing w:val="0"/>
          <w:sz w:val="44"/>
          <w:szCs w:val="44"/>
          <w:shd w:val="clear" w:fill="F8F8F8"/>
        </w:rPr>
        <w:t>第二部分  </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8F8F8"/>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微软雅黑" w:hAnsi="微软雅黑" w:eastAsia="微软雅黑" w:cs="微软雅黑"/>
          <w:i w:val="0"/>
          <w:iCs w:val="0"/>
          <w:caps w:val="0"/>
          <w:color w:val="000000"/>
          <w:spacing w:val="0"/>
          <w:sz w:val="21"/>
          <w:szCs w:val="21"/>
        </w:rPr>
      </w:pPr>
      <w:r>
        <w:rPr>
          <w:rFonts w:hint="eastAsia" w:ascii="黑体" w:hAnsi="黑体" w:eastAsia="黑体" w:cs="黑体"/>
          <w:i w:val="0"/>
          <w:iCs w:val="0"/>
          <w:caps w:val="0"/>
          <w:color w:val="000000"/>
          <w:spacing w:val="0"/>
          <w:sz w:val="44"/>
          <w:szCs w:val="44"/>
          <w:shd w:val="clear" w:fill="F8F8F8"/>
        </w:rPr>
        <w:t>攀枝花市西区财政局</w:t>
      </w:r>
      <w:r>
        <w:rPr>
          <w:rFonts w:hint="eastAsia" w:ascii="微软雅黑" w:hAnsi="微软雅黑" w:eastAsia="微软雅黑" w:cs="微软雅黑"/>
          <w:i w:val="0"/>
          <w:iCs w:val="0"/>
          <w:caps w:val="0"/>
          <w:color w:val="000000"/>
          <w:spacing w:val="0"/>
          <w:sz w:val="21"/>
          <w:szCs w:val="21"/>
          <w:shd w:val="clear" w:fill="F8F8F8"/>
        </w:rPr>
        <w:t>　　</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8F8F8"/>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仿宋_GB2312" w:hAnsi="仿宋" w:eastAsia="仿宋_GB2312" w:cs="Times New Roman"/>
          <w:kern w:val="2"/>
          <w:sz w:val="32"/>
          <w:szCs w:val="32"/>
          <w:lang w:val="en-US" w:eastAsia="zh-CN" w:bidi="ar-SA"/>
        </w:rPr>
      </w:pPr>
      <w:r>
        <w:rPr>
          <w:rFonts w:hint="eastAsia" w:ascii="黑体" w:hAnsi="黑体" w:eastAsia="黑体" w:cs="黑体"/>
          <w:i w:val="0"/>
          <w:iCs w:val="0"/>
          <w:caps w:val="0"/>
          <w:color w:val="000000"/>
          <w:spacing w:val="0"/>
          <w:sz w:val="44"/>
          <w:szCs w:val="44"/>
          <w:shd w:val="clear" w:fill="F8F8F8"/>
          <w:lang w:val="en-US" w:eastAsia="zh-CN"/>
        </w:rPr>
        <w:t>2022年部门预算情况说明</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8F8F8"/>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微软雅黑" w:hAnsi="微软雅黑" w:eastAsia="微软雅黑" w:cs="微软雅黑"/>
          <w:i w:val="0"/>
          <w:iCs w:val="0"/>
          <w:caps w:val="0"/>
          <w:color w:val="000000"/>
          <w:spacing w:val="0"/>
          <w:sz w:val="21"/>
          <w:szCs w:val="21"/>
        </w:rPr>
      </w:pPr>
      <w:r>
        <w:rPr>
          <w:rStyle w:val="26"/>
          <w:rFonts w:hint="eastAsia" w:ascii="黑体" w:hAnsi="黑体" w:eastAsia="黑体"/>
          <w:b w:val="0"/>
          <w:bCs w:val="0"/>
          <w:lang w:val="en-US" w:eastAsia="zh-CN" w:bidi="ar-SA"/>
        </w:rPr>
        <w:t>一、收支预算总体情况</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8F8F8"/>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shd w:val="clear" w:fill="F8F8F8"/>
        </w:rPr>
        <w:t>　　</w:t>
      </w:r>
      <w:r>
        <w:rPr>
          <w:rFonts w:hint="eastAsia" w:ascii="仿宋" w:hAnsi="仿宋" w:eastAsia="仿宋" w:cs="Times New Roman"/>
          <w:b/>
          <w:kern w:val="2"/>
          <w:sz w:val="32"/>
          <w:szCs w:val="32"/>
          <w:lang w:val="en-US" w:eastAsia="zh-CN" w:bidi="ar-SA"/>
        </w:rPr>
        <w:t>（一）收入预算情况。</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8F8F8"/>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 w:eastAsia="仿宋_GB2312" w:cs="Times New Roman"/>
          <w:kern w:val="2"/>
          <w:sz w:val="32"/>
          <w:szCs w:val="32"/>
          <w:lang w:val="en-US" w:eastAsia="zh-CN" w:bidi="ar-SA"/>
        </w:rPr>
      </w:pPr>
      <w:r>
        <w:rPr>
          <w:rFonts w:hint="eastAsia" w:ascii="仿宋_GB2312" w:hAnsi="仿宋" w:eastAsia="仿宋_GB2312" w:cs="Times New Roman"/>
          <w:kern w:val="2"/>
          <w:sz w:val="32"/>
          <w:szCs w:val="32"/>
          <w:lang w:val="en-US" w:eastAsia="zh-CN" w:bidi="ar-SA"/>
        </w:rPr>
        <w:t>2022年，收入预算982.02万元，其中：一般公共预算收入532.02万元，占54.18%；政府性基金预算收入450万元，占45.82%。</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8F8F8"/>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shd w:val="clear" w:fill="F8F8F8"/>
        </w:rPr>
        <w:t>　</w:t>
      </w:r>
      <w:r>
        <w:rPr>
          <w:rFonts w:hint="eastAsia" w:ascii="微软雅黑" w:hAnsi="微软雅黑" w:eastAsia="微软雅黑" w:cs="微软雅黑"/>
          <w:i w:val="0"/>
          <w:iCs w:val="0"/>
          <w:caps w:val="0"/>
          <w:color w:val="000000"/>
          <w:spacing w:val="0"/>
          <w:sz w:val="21"/>
          <w:szCs w:val="21"/>
          <w:shd w:val="clear" w:fill="F8F8F8"/>
          <w:lang w:val="en-US" w:eastAsia="zh-CN"/>
        </w:rPr>
        <w:t xml:space="preserve">  </w:t>
      </w:r>
      <w:r>
        <w:rPr>
          <w:rFonts w:hint="eastAsia" w:ascii="仿宋" w:hAnsi="仿宋" w:eastAsia="仿宋" w:cs="Times New Roman"/>
          <w:b/>
          <w:kern w:val="2"/>
          <w:sz w:val="32"/>
          <w:szCs w:val="32"/>
          <w:lang w:val="en-US" w:eastAsia="zh-CN" w:bidi="ar-SA"/>
        </w:rPr>
        <w:t>（二）支出预算情况。</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8F8F8"/>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 w:eastAsia="仿宋_GB2312" w:cs="Times New Roman"/>
          <w:kern w:val="2"/>
          <w:sz w:val="32"/>
          <w:szCs w:val="32"/>
          <w:lang w:val="en-US" w:eastAsia="zh-CN" w:bidi="ar-SA"/>
        </w:rPr>
      </w:pPr>
      <w:r>
        <w:rPr>
          <w:rFonts w:hint="eastAsia" w:ascii="仿宋_GB2312" w:hAnsi="仿宋" w:eastAsia="仿宋_GB2312" w:cs="Times New Roman"/>
          <w:kern w:val="2"/>
          <w:sz w:val="32"/>
          <w:szCs w:val="32"/>
          <w:lang w:val="en-US" w:eastAsia="zh-CN" w:bidi="ar-SA"/>
        </w:rPr>
        <w:t>2022年，支出预算982.02万元，其中：基本支出532.02万元，占54.18%；项目支出450万元，占45.82%。</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8F8F8"/>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 w:eastAsia="仿宋_GB2312" w:cs="Times New Roman"/>
          <w:kern w:val="2"/>
          <w:sz w:val="32"/>
          <w:szCs w:val="32"/>
          <w:lang w:val="en-US" w:eastAsia="zh-CN" w:bidi="ar-SA"/>
        </w:rPr>
      </w:pPr>
      <w:r>
        <w:rPr>
          <w:rFonts w:hint="eastAsia" w:ascii="仿宋_GB2312" w:hAnsi="仿宋" w:eastAsia="仿宋_GB2312" w:cs="Times New Roman"/>
          <w:kern w:val="2"/>
          <w:sz w:val="32"/>
          <w:szCs w:val="32"/>
          <w:lang w:val="en-US" w:eastAsia="zh-CN" w:bidi="ar-SA"/>
        </w:rPr>
        <w:t>单位预算安排支出主要用于基本支出和项目支出。</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8F8F8"/>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 w:eastAsia="仿宋_GB2312" w:cs="Times New Roman"/>
          <w:kern w:val="2"/>
          <w:sz w:val="32"/>
          <w:szCs w:val="32"/>
          <w:lang w:val="en-US" w:eastAsia="zh-CN" w:bidi="ar-SA"/>
        </w:rPr>
      </w:pPr>
      <w:r>
        <w:rPr>
          <w:rFonts w:hint="eastAsia" w:ascii="仿宋_GB2312" w:hAnsi="仿宋" w:eastAsia="仿宋_GB2312" w:cs="Times New Roman"/>
          <w:kern w:val="2"/>
          <w:sz w:val="32"/>
          <w:szCs w:val="32"/>
          <w:lang w:val="en-US" w:eastAsia="zh-CN" w:bidi="ar-SA"/>
        </w:rPr>
        <w:t>基本支出，是用于保障单位的正常运行。</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8F8F8"/>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 w:eastAsia="仿宋_GB2312" w:cs="Times New Roman"/>
          <w:kern w:val="2"/>
          <w:sz w:val="32"/>
          <w:szCs w:val="32"/>
          <w:lang w:val="en-US" w:eastAsia="zh-CN" w:bidi="ar-SA"/>
        </w:rPr>
      </w:pPr>
      <w:r>
        <w:rPr>
          <w:rFonts w:hint="eastAsia" w:ascii="仿宋_GB2312" w:hAnsi="仿宋" w:eastAsia="仿宋_GB2312" w:cs="Times New Roman"/>
          <w:kern w:val="2"/>
          <w:sz w:val="32"/>
          <w:szCs w:val="32"/>
          <w:lang w:val="en-US" w:eastAsia="zh-CN" w:bidi="ar-SA"/>
        </w:rPr>
        <w:t>项目支出，是用于财政及二级单位各个项目的顺利实施，按照2022年工作计划、合同约定，完成经费的支付。</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8F8F8"/>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 w:eastAsia="仿宋_GB2312" w:cs="Times New Roman"/>
          <w:kern w:val="2"/>
          <w:sz w:val="32"/>
          <w:szCs w:val="32"/>
          <w:lang w:val="en-US" w:eastAsia="zh-CN" w:bidi="ar-SA"/>
        </w:rPr>
      </w:pPr>
      <w:r>
        <w:rPr>
          <w:rFonts w:hint="eastAsia" w:ascii="仿宋_GB2312" w:hAnsi="仿宋" w:eastAsia="仿宋_GB2312" w:cs="Times New Roman"/>
          <w:kern w:val="2"/>
          <w:sz w:val="32"/>
          <w:szCs w:val="32"/>
          <w:lang w:val="en-US" w:eastAsia="zh-CN" w:bidi="ar-SA"/>
        </w:rPr>
        <w:t>按支出功能分类主要用于以下方面支出：</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8F8F8"/>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 w:eastAsia="仿宋_GB2312" w:cs="Times New Roman"/>
          <w:kern w:val="2"/>
          <w:sz w:val="32"/>
          <w:szCs w:val="32"/>
          <w:lang w:val="en-US" w:eastAsia="zh-CN" w:bidi="ar-SA"/>
        </w:rPr>
      </w:pPr>
      <w:r>
        <w:rPr>
          <w:rFonts w:hint="eastAsia" w:ascii="仿宋_GB2312" w:hAnsi="仿宋" w:eastAsia="仿宋_GB2312" w:cs="Times New Roman"/>
          <w:kern w:val="2"/>
          <w:sz w:val="32"/>
          <w:szCs w:val="32"/>
          <w:lang w:val="en-US" w:eastAsia="zh-CN" w:bidi="ar-SA"/>
        </w:rPr>
        <w:t>1.一般公共服务支出420.12万元，主要用于人员工资及津贴补贴、基本公用等；</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8F8F8"/>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 w:eastAsia="仿宋_GB2312" w:cs="Times New Roman"/>
          <w:kern w:val="2"/>
          <w:sz w:val="32"/>
          <w:szCs w:val="32"/>
          <w:lang w:val="en-US" w:eastAsia="zh-CN" w:bidi="ar-SA"/>
        </w:rPr>
      </w:pPr>
      <w:r>
        <w:rPr>
          <w:rFonts w:hint="eastAsia" w:ascii="仿宋_GB2312" w:hAnsi="仿宋" w:eastAsia="仿宋_GB2312" w:cs="Times New Roman"/>
          <w:kern w:val="2"/>
          <w:sz w:val="32"/>
          <w:szCs w:val="32"/>
          <w:lang w:val="en-US" w:eastAsia="zh-CN" w:bidi="ar-SA"/>
        </w:rPr>
        <w:t>2.社会保障和就业支出36.51万元，主要用于机关人员基本养老保险；</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8F8F8"/>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 w:eastAsia="仿宋_GB2312" w:cs="Times New Roman"/>
          <w:kern w:val="2"/>
          <w:sz w:val="32"/>
          <w:szCs w:val="32"/>
          <w:lang w:val="en-US" w:eastAsia="zh-CN" w:bidi="ar-SA"/>
        </w:rPr>
      </w:pPr>
      <w:r>
        <w:rPr>
          <w:rFonts w:hint="eastAsia" w:ascii="仿宋_GB2312" w:hAnsi="仿宋" w:eastAsia="仿宋_GB2312" w:cs="Times New Roman"/>
          <w:kern w:val="2"/>
          <w:sz w:val="32"/>
          <w:szCs w:val="32"/>
          <w:lang w:val="en-US" w:eastAsia="zh-CN" w:bidi="ar-SA"/>
        </w:rPr>
        <w:t>3.医疗卫生支出30.51万元，主要用于公务员医疗补助及基本医疗保险，事业人员基本医疗；</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8F8F8"/>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 w:eastAsia="仿宋_GB2312" w:cs="Times New Roman"/>
          <w:kern w:val="2"/>
          <w:sz w:val="32"/>
          <w:szCs w:val="32"/>
          <w:lang w:val="en-US" w:eastAsia="zh-CN" w:bidi="ar-SA"/>
        </w:rPr>
      </w:pPr>
      <w:r>
        <w:rPr>
          <w:rFonts w:hint="eastAsia" w:ascii="仿宋_GB2312" w:hAnsi="仿宋" w:eastAsia="仿宋_GB2312" w:cs="Times New Roman"/>
          <w:kern w:val="2"/>
          <w:sz w:val="32"/>
          <w:szCs w:val="32"/>
          <w:lang w:val="en-US" w:eastAsia="zh-CN" w:bidi="ar-SA"/>
        </w:rPr>
        <w:t>4.住房保障支出44.88万元，主要用于职工公积金；</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8F8F8"/>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微软雅黑" w:hAnsi="微软雅黑" w:eastAsia="微软雅黑" w:cs="微软雅黑"/>
          <w:i w:val="0"/>
          <w:iCs w:val="0"/>
          <w:caps w:val="0"/>
          <w:color w:val="000000"/>
          <w:spacing w:val="0"/>
          <w:sz w:val="21"/>
          <w:szCs w:val="21"/>
        </w:rPr>
      </w:pPr>
      <w:r>
        <w:rPr>
          <w:rStyle w:val="26"/>
          <w:rFonts w:hint="eastAsia" w:ascii="黑体" w:hAnsi="黑体" w:eastAsia="黑体"/>
          <w:b w:val="0"/>
          <w:bCs w:val="0"/>
          <w:lang w:val="en-US" w:eastAsia="zh-CN" w:bidi="ar-SA"/>
        </w:rPr>
        <w:t>二、财政拨款收支预算情况说明</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8F8F8"/>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 w:eastAsia="仿宋_GB2312" w:cs="Times New Roman"/>
          <w:kern w:val="2"/>
          <w:sz w:val="32"/>
          <w:szCs w:val="32"/>
          <w:lang w:val="en-US" w:eastAsia="zh-CN" w:bidi="ar-SA"/>
        </w:rPr>
      </w:pPr>
      <w:r>
        <w:rPr>
          <w:rFonts w:hint="eastAsia" w:ascii="仿宋_GB2312" w:hAnsi="仿宋" w:eastAsia="仿宋_GB2312" w:cs="Times New Roman"/>
          <w:kern w:val="2"/>
          <w:sz w:val="32"/>
          <w:szCs w:val="32"/>
          <w:lang w:val="en-US" w:eastAsia="zh-CN" w:bidi="ar-SA"/>
        </w:rPr>
        <w:t>2022年，财政拨款收支总预算982.02万元。收入包括：本年一般公共预算拨款收入532.02万元、本年政府性基金预算拨款收入450万元；支出包括：一般公共服务支出420.12万元、社会保障和就业支出36.51万元、医疗卫生支出30.51万元、住房保障支出44.88万元，项目支出450万元。</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8F8F8"/>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Style w:val="26"/>
          <w:rFonts w:hint="eastAsia" w:ascii="黑体" w:hAnsi="黑体" w:eastAsia="黑体"/>
          <w:b w:val="0"/>
          <w:bCs w:val="0"/>
          <w:lang w:val="en-US" w:eastAsia="zh-CN" w:bidi="ar-SA"/>
        </w:rPr>
      </w:pPr>
      <w:r>
        <w:rPr>
          <w:rStyle w:val="26"/>
          <w:rFonts w:hint="eastAsia" w:ascii="黑体" w:hAnsi="黑体" w:eastAsia="黑体"/>
          <w:b w:val="0"/>
          <w:bCs w:val="0"/>
          <w:lang w:val="en-US" w:eastAsia="zh-CN" w:bidi="ar-SA"/>
        </w:rPr>
        <w:t>三、一般公共预算当年拨款情况说明</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8F8F8"/>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shd w:val="clear" w:fill="F8F8F8"/>
        </w:rPr>
        <w:t>　　</w:t>
      </w:r>
      <w:r>
        <w:rPr>
          <w:rFonts w:hint="eastAsia" w:ascii="仿宋" w:hAnsi="仿宋" w:eastAsia="仿宋" w:cs="Times New Roman"/>
          <w:b/>
          <w:kern w:val="2"/>
          <w:sz w:val="32"/>
          <w:szCs w:val="32"/>
          <w:lang w:val="en-US" w:eastAsia="zh-CN" w:bidi="ar-SA"/>
        </w:rPr>
        <w:t>（一）一般公共预算当年拨款规模变化情况。</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8F8F8"/>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微软雅黑" w:hAnsi="微软雅黑" w:eastAsia="微软雅黑" w:cs="微软雅黑"/>
          <w:i w:val="0"/>
          <w:iCs w:val="0"/>
          <w:caps w:val="0"/>
          <w:color w:val="000000"/>
          <w:spacing w:val="0"/>
          <w:sz w:val="21"/>
          <w:szCs w:val="21"/>
        </w:rPr>
      </w:pPr>
      <w:r>
        <w:rPr>
          <w:rFonts w:hint="eastAsia" w:ascii="仿宋_GB2312" w:hAnsi="仿宋" w:eastAsia="仿宋_GB2312" w:cs="Times New Roman"/>
          <w:kern w:val="2"/>
          <w:sz w:val="32"/>
          <w:szCs w:val="32"/>
          <w:lang w:val="en-US" w:eastAsia="zh-CN" w:bidi="ar-SA"/>
        </w:rPr>
        <w:t>2022年，一般公共预算当年拨款532.02万元，比2021年预算数减少58.25万元，主要原因是人员减少所致。</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8F8F8"/>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仿宋" w:hAnsi="仿宋" w:eastAsia="仿宋" w:cs="Times New Roman"/>
          <w:b/>
          <w:kern w:val="2"/>
          <w:sz w:val="32"/>
          <w:szCs w:val="32"/>
          <w:lang w:val="en-US" w:eastAsia="zh-CN" w:bidi="ar-SA"/>
        </w:rPr>
      </w:pPr>
      <w:r>
        <w:rPr>
          <w:rFonts w:hint="eastAsia" w:ascii="微软雅黑" w:hAnsi="微软雅黑" w:eastAsia="微软雅黑" w:cs="微软雅黑"/>
          <w:i w:val="0"/>
          <w:iCs w:val="0"/>
          <w:caps w:val="0"/>
          <w:color w:val="000000"/>
          <w:spacing w:val="0"/>
          <w:sz w:val="21"/>
          <w:szCs w:val="21"/>
          <w:shd w:val="clear" w:fill="F8F8F8"/>
        </w:rPr>
        <w:t>　　</w:t>
      </w:r>
      <w:r>
        <w:rPr>
          <w:rFonts w:hint="eastAsia" w:ascii="仿宋" w:hAnsi="仿宋" w:eastAsia="仿宋" w:cs="Times New Roman"/>
          <w:b/>
          <w:kern w:val="2"/>
          <w:sz w:val="32"/>
          <w:szCs w:val="32"/>
          <w:lang w:val="en-US" w:eastAsia="zh-CN" w:bidi="ar-SA"/>
        </w:rPr>
        <w:t>（二）一般公共预算当年拨款结构情况。</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8F8F8"/>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微软雅黑" w:hAnsi="微软雅黑" w:eastAsia="微软雅黑" w:cs="微软雅黑"/>
          <w:i w:val="0"/>
          <w:iCs w:val="0"/>
          <w:caps w:val="0"/>
          <w:color w:val="000000"/>
          <w:spacing w:val="0"/>
          <w:sz w:val="21"/>
          <w:szCs w:val="21"/>
        </w:rPr>
      </w:pPr>
      <w:r>
        <w:rPr>
          <w:rFonts w:hint="eastAsia" w:ascii="仿宋_GB2312" w:hAnsi="仿宋" w:eastAsia="仿宋_GB2312" w:cs="Times New Roman"/>
          <w:kern w:val="2"/>
          <w:sz w:val="32"/>
          <w:szCs w:val="32"/>
          <w:lang w:val="en-US" w:eastAsia="zh-CN" w:bidi="ar-SA"/>
        </w:rPr>
        <w:t>一般公共服务支出420.12万元、社会保障和就业支出36.51万元、医疗卫生支出30.51万元、住房保障支出44.88万元。</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8F8F8"/>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微软雅黑" w:hAnsi="微软雅黑" w:eastAsia="微软雅黑" w:cs="微软雅黑"/>
          <w:i w:val="0"/>
          <w:iCs w:val="0"/>
          <w:caps w:val="0"/>
          <w:color w:val="000000"/>
          <w:spacing w:val="0"/>
          <w:sz w:val="21"/>
          <w:szCs w:val="21"/>
        </w:rPr>
      </w:pPr>
      <w:r>
        <w:rPr>
          <w:rStyle w:val="26"/>
          <w:rFonts w:hint="eastAsia" w:ascii="黑体" w:hAnsi="黑体" w:eastAsia="黑体"/>
          <w:b w:val="0"/>
          <w:bCs w:val="0"/>
          <w:lang w:val="en-US" w:eastAsia="zh-CN" w:bidi="ar-SA"/>
        </w:rPr>
        <w:t>四、一般公共预算基本支出情况说明</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8F8F8"/>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eastAsia" w:ascii="仿宋_GB2312" w:hAnsi="仿宋" w:eastAsia="仿宋_GB2312" w:cs="Times New Roman"/>
          <w:kern w:val="2"/>
          <w:sz w:val="32"/>
          <w:szCs w:val="32"/>
          <w:lang w:val="en-US" w:eastAsia="zh-CN" w:bidi="ar-SA"/>
        </w:rPr>
      </w:pPr>
      <w:r>
        <w:rPr>
          <w:rFonts w:hint="eastAsia" w:ascii="仿宋_GB2312" w:hAnsi="仿宋" w:eastAsia="仿宋_GB2312" w:cs="Times New Roman"/>
          <w:kern w:val="2"/>
          <w:sz w:val="32"/>
          <w:szCs w:val="32"/>
          <w:lang w:val="en-US" w:eastAsia="zh-CN" w:bidi="ar-SA"/>
        </w:rPr>
        <w:t>2022年，一般公共预算基本支出532.02万元，其中：</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8F8F8"/>
        <w:kinsoku/>
        <w:wordWrap/>
        <w:overflowPunct/>
        <w:topLinePunct w:val="0"/>
        <w:autoSpaceDE/>
        <w:autoSpaceDN/>
        <w:bidi w:val="0"/>
        <w:adjustRightInd/>
        <w:snapToGrid/>
        <w:spacing w:before="0" w:beforeAutospacing="0" w:after="0" w:afterAutospacing="0" w:line="600" w:lineRule="exact"/>
        <w:ind w:right="0"/>
        <w:jc w:val="left"/>
        <w:textAlignment w:val="auto"/>
        <w:rPr>
          <w:rFonts w:hint="eastAsia" w:ascii="仿宋_GB2312" w:hAnsi="仿宋" w:eastAsia="仿宋_GB2312" w:cs="Times New Roman"/>
          <w:kern w:val="2"/>
          <w:sz w:val="32"/>
          <w:szCs w:val="32"/>
          <w:lang w:val="en-US" w:eastAsia="zh-CN" w:bidi="ar-SA"/>
        </w:rPr>
      </w:pPr>
      <w:r>
        <w:rPr>
          <w:rFonts w:hint="eastAsia" w:ascii="仿宋_GB2312" w:hAnsi="仿宋" w:eastAsia="仿宋_GB2312" w:cs="Times New Roman"/>
          <w:kern w:val="2"/>
          <w:sz w:val="32"/>
          <w:szCs w:val="32"/>
          <w:lang w:val="en-US" w:eastAsia="zh-CN" w:bidi="ar-SA"/>
        </w:rPr>
        <w:t>人员经费478.04万元，主要包括：人员基本工资127.98万元，津贴补贴111.32万元，基本养老保险34.1万元，公积金44.87万元，基本医疗保险27.55万元，医疗补助2.96万元，离退休费4.86万元，奖金5.12万元，在职人员应休未休年休假报酬3.64万元，其他工资福利支出33.85万元，事业人员绩效工资79.84，其他社会保障缴费1.95万元。</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8F8F8"/>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 w:eastAsia="仿宋_GB2312" w:cs="Times New Roman"/>
          <w:kern w:val="2"/>
          <w:sz w:val="32"/>
          <w:szCs w:val="32"/>
          <w:lang w:val="en-US" w:eastAsia="zh-CN" w:bidi="ar-SA"/>
        </w:rPr>
      </w:pPr>
      <w:r>
        <w:rPr>
          <w:rFonts w:hint="eastAsia" w:ascii="仿宋_GB2312" w:hAnsi="仿宋" w:eastAsia="仿宋_GB2312" w:cs="Times New Roman"/>
          <w:kern w:val="2"/>
          <w:sz w:val="32"/>
          <w:szCs w:val="32"/>
          <w:lang w:val="en-US" w:eastAsia="zh-CN" w:bidi="ar-SA"/>
        </w:rPr>
        <w:t>公用经费53.98万元，主要包括：差旅费12.4万元，办公费9.3万元，其他交通费用14.82万元，工会会费4.8万元，党建费0.45万元，公务接待费3.18万元，福利费2.02万元，离退休人员公用经费0.12万元，聘用人员公用经费0.12万元，电费2.47万元，水费1.24万元，公务车运行经费2.5万元，其他商品服务和支出0.47万元。</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8F8F8"/>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Style w:val="26"/>
          <w:rFonts w:hint="eastAsia" w:ascii="黑体" w:hAnsi="黑体" w:eastAsia="黑体"/>
          <w:b w:val="0"/>
          <w:bCs w:val="0"/>
          <w:lang w:val="en-US" w:eastAsia="zh-CN" w:bidi="ar-SA"/>
        </w:rPr>
      </w:pPr>
      <w:r>
        <w:rPr>
          <w:rStyle w:val="26"/>
          <w:rFonts w:hint="eastAsia" w:ascii="黑体" w:hAnsi="黑体" w:eastAsia="黑体"/>
          <w:b w:val="0"/>
          <w:bCs w:val="0"/>
          <w:lang w:val="en-US" w:eastAsia="zh-CN" w:bidi="ar-SA"/>
        </w:rPr>
        <w:t>五、“三公”经费财政拨款预算安排情况说明</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8F8F8"/>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微软雅黑" w:hAnsi="微软雅黑" w:eastAsia="微软雅黑" w:cs="微软雅黑"/>
          <w:i w:val="0"/>
          <w:iCs w:val="0"/>
          <w:caps w:val="0"/>
          <w:color w:val="000000"/>
          <w:spacing w:val="0"/>
          <w:sz w:val="21"/>
          <w:szCs w:val="21"/>
        </w:rPr>
      </w:pPr>
      <w:r>
        <w:rPr>
          <w:rFonts w:hint="eastAsia" w:ascii="仿宋_GB2312" w:hAnsi="仿宋" w:eastAsia="仿宋_GB2312" w:cs="Times New Roman"/>
          <w:kern w:val="2"/>
          <w:sz w:val="32"/>
          <w:szCs w:val="32"/>
          <w:lang w:val="en-US" w:eastAsia="zh-CN" w:bidi="ar-SA"/>
        </w:rPr>
        <w:t>2022年，“三公”经费财政拨款预算数5.69万元，其中：因公出国（境）经费0万元、公务接待费3.19万元、公务用车购置及运行维护费2.5万元。</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8F8F8"/>
        <w:kinsoku/>
        <w:wordWrap/>
        <w:overflowPunct/>
        <w:topLinePunct w:val="0"/>
        <w:autoSpaceDE/>
        <w:autoSpaceDN/>
        <w:bidi w:val="0"/>
        <w:adjustRightInd/>
        <w:snapToGrid/>
        <w:spacing w:before="0" w:beforeAutospacing="0" w:after="0" w:afterAutospacing="0" w:line="600" w:lineRule="exact"/>
        <w:ind w:left="0" w:right="0" w:firstLine="643" w:firstLineChars="200"/>
        <w:jc w:val="left"/>
        <w:textAlignment w:val="auto"/>
        <w:rPr>
          <w:rFonts w:hint="eastAsia" w:ascii="仿宋" w:hAnsi="仿宋" w:eastAsia="仿宋" w:cs="Times New Roman"/>
          <w:b/>
          <w:kern w:val="2"/>
          <w:sz w:val="32"/>
          <w:szCs w:val="32"/>
          <w:lang w:val="en-US" w:eastAsia="zh-CN" w:bidi="ar-SA"/>
        </w:rPr>
      </w:pPr>
      <w:r>
        <w:rPr>
          <w:rFonts w:hint="eastAsia" w:ascii="仿宋" w:hAnsi="仿宋" w:eastAsia="仿宋" w:cs="Times New Roman"/>
          <w:b/>
          <w:kern w:val="2"/>
          <w:sz w:val="32"/>
          <w:szCs w:val="32"/>
          <w:lang w:val="en-US" w:eastAsia="zh-CN" w:bidi="ar-SA"/>
        </w:rPr>
        <w:t>（一）因公出国（境）经费较2021年预算无变化，均为0万元。</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8F8F8"/>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仿宋" w:hAnsi="仿宋" w:eastAsia="仿宋" w:cs="Times New Roman"/>
          <w:b/>
          <w:kern w:val="2"/>
          <w:sz w:val="32"/>
          <w:szCs w:val="32"/>
          <w:lang w:val="en-US" w:eastAsia="zh-CN" w:bidi="ar-SA"/>
        </w:rPr>
      </w:pPr>
      <w:r>
        <w:rPr>
          <w:rFonts w:hint="eastAsia" w:ascii="仿宋" w:hAnsi="仿宋" w:eastAsia="仿宋" w:cs="Times New Roman"/>
          <w:b/>
          <w:kern w:val="2"/>
          <w:sz w:val="32"/>
          <w:szCs w:val="32"/>
          <w:lang w:val="en-US" w:eastAsia="zh-CN" w:bidi="ar-SA"/>
        </w:rPr>
        <w:t>　　（二）公务接待费较2021年预算无变化，均为3.19万元。</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8F8F8"/>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仿宋" w:hAnsi="仿宋" w:eastAsia="仿宋" w:cs="Times New Roman"/>
          <w:b/>
          <w:kern w:val="2"/>
          <w:sz w:val="32"/>
          <w:szCs w:val="32"/>
          <w:lang w:val="en-US" w:eastAsia="zh-CN" w:bidi="ar-SA"/>
        </w:rPr>
      </w:pPr>
      <w:r>
        <w:rPr>
          <w:rFonts w:hint="eastAsia" w:ascii="仿宋" w:hAnsi="仿宋" w:eastAsia="仿宋" w:cs="Times New Roman"/>
          <w:b/>
          <w:kern w:val="2"/>
          <w:sz w:val="32"/>
          <w:szCs w:val="32"/>
          <w:lang w:val="en-US" w:eastAsia="zh-CN" w:bidi="ar-SA"/>
        </w:rPr>
        <w:t>　　（三）公务用车购置及运行维护费较2021年预算无变化，均为2.5万元。</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8F8F8"/>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 w:eastAsia="仿宋_GB2312" w:cs="Times New Roman"/>
          <w:kern w:val="2"/>
          <w:sz w:val="32"/>
          <w:szCs w:val="32"/>
          <w:lang w:val="en-US" w:eastAsia="zh-CN" w:bidi="ar-SA"/>
        </w:rPr>
      </w:pPr>
      <w:r>
        <w:rPr>
          <w:rFonts w:hint="eastAsia" w:ascii="仿宋_GB2312" w:hAnsi="仿宋" w:eastAsia="仿宋_GB2312" w:cs="Times New Roman"/>
          <w:kern w:val="2"/>
          <w:sz w:val="32"/>
          <w:szCs w:val="32"/>
          <w:lang w:val="en-US" w:eastAsia="zh-CN" w:bidi="ar-SA"/>
        </w:rPr>
        <w:t>财政局机关、支付中心、财政绩效评价中心均无公用车辆。财评中心现有公务用车1辆，其中：轿车（含7座以下商务车、城市越野车）1辆，7座以上19座（含19座）以下客车0辆，越野车0辆，货车及19座以上客车0辆，摩托车0辆。</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8F8F8"/>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default" w:ascii="仿宋_GB2312" w:hAnsi="仿宋" w:eastAsia="仿宋_GB2312" w:cs="Times New Roman"/>
          <w:kern w:val="2"/>
          <w:sz w:val="32"/>
          <w:szCs w:val="32"/>
          <w:lang w:val="en-US" w:eastAsia="zh-CN" w:bidi="ar-SA"/>
        </w:rPr>
      </w:pPr>
      <w:r>
        <w:rPr>
          <w:rFonts w:hint="eastAsia" w:ascii="仿宋_GB2312" w:hAnsi="仿宋" w:eastAsia="仿宋_GB2312" w:cs="Times New Roman"/>
          <w:kern w:val="2"/>
          <w:sz w:val="32"/>
          <w:szCs w:val="32"/>
          <w:lang w:val="en-US" w:eastAsia="zh-CN" w:bidi="ar-SA"/>
        </w:rPr>
        <w:t>2022年，安排公务用车购置费0万元，购置公务用车0辆，其中：轿车（含7座以下商务车、城市越野车）0辆，7座以上19座（含19座）以下客车0辆，越野车0辆，货车及19座以上客车0辆，摩托车0辆。</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8F8F8"/>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 w:eastAsia="仿宋_GB2312" w:cs="Times New Roman"/>
          <w:kern w:val="2"/>
          <w:sz w:val="32"/>
          <w:szCs w:val="32"/>
          <w:lang w:val="en-US" w:eastAsia="zh-CN" w:bidi="ar-SA"/>
        </w:rPr>
      </w:pPr>
      <w:r>
        <w:rPr>
          <w:rFonts w:hint="eastAsia" w:ascii="仿宋_GB2312" w:hAnsi="仿宋" w:eastAsia="仿宋_GB2312" w:cs="Times New Roman"/>
          <w:kern w:val="2"/>
          <w:sz w:val="32"/>
          <w:szCs w:val="32"/>
          <w:lang w:val="en-US" w:eastAsia="zh-CN" w:bidi="ar-SA"/>
        </w:rPr>
        <w:t>2022年，安排财评中心公务用车运行维护费2.5万元，用于公务用车运行维护。</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8F8F8"/>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微软雅黑" w:hAnsi="微软雅黑" w:eastAsia="微软雅黑" w:cs="微软雅黑"/>
          <w:i w:val="0"/>
          <w:iCs w:val="0"/>
          <w:caps w:val="0"/>
          <w:color w:val="000000"/>
          <w:spacing w:val="0"/>
          <w:sz w:val="21"/>
          <w:szCs w:val="21"/>
        </w:rPr>
      </w:pPr>
      <w:r>
        <w:rPr>
          <w:rStyle w:val="26"/>
          <w:rFonts w:hint="eastAsia" w:ascii="黑体" w:hAnsi="黑体" w:eastAsia="黑体"/>
          <w:b w:val="0"/>
          <w:bCs w:val="0"/>
          <w:lang w:val="en-US" w:eastAsia="zh-CN" w:bidi="ar-SA"/>
        </w:rPr>
        <w:t>六、政府性基金预算支出情况说明</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8F8F8"/>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 w:eastAsia="仿宋_GB2312" w:cs="Times New Roman"/>
          <w:kern w:val="2"/>
          <w:sz w:val="32"/>
          <w:szCs w:val="32"/>
          <w:lang w:val="en-US" w:eastAsia="zh-CN" w:bidi="ar-SA"/>
        </w:rPr>
      </w:pPr>
      <w:r>
        <w:rPr>
          <w:rFonts w:hint="eastAsia" w:ascii="仿宋_GB2312" w:hAnsi="仿宋" w:eastAsia="仿宋_GB2312" w:cs="Times New Roman"/>
          <w:kern w:val="2"/>
          <w:sz w:val="32"/>
          <w:szCs w:val="32"/>
          <w:lang w:val="en-US" w:eastAsia="zh-CN" w:bidi="ar-SA"/>
        </w:rPr>
        <w:t>2022年，政府性基金预算支出450万元，其中：基本支出0万元，项目支出450万元。</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8F8F8"/>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shd w:val="clear" w:fill="F8F8F8"/>
        </w:rPr>
        <w:t>　　</w:t>
      </w:r>
      <w:r>
        <w:rPr>
          <w:rFonts w:hint="eastAsia" w:ascii="微软雅黑" w:hAnsi="微软雅黑" w:eastAsia="微软雅黑" w:cs="微软雅黑"/>
          <w:i w:val="0"/>
          <w:iCs w:val="0"/>
          <w:caps w:val="0"/>
          <w:color w:val="000000"/>
          <w:spacing w:val="0"/>
          <w:sz w:val="21"/>
          <w:szCs w:val="21"/>
          <w:shd w:val="clear" w:fill="F8F8F8"/>
          <w:lang w:val="en-US" w:eastAsia="zh-CN"/>
        </w:rPr>
        <w:t xml:space="preserve"> </w:t>
      </w:r>
      <w:r>
        <w:rPr>
          <w:rStyle w:val="26"/>
          <w:rFonts w:hint="eastAsia" w:ascii="黑体" w:hAnsi="黑体" w:eastAsia="黑体"/>
          <w:b w:val="0"/>
          <w:bCs w:val="0"/>
          <w:lang w:val="en-US" w:eastAsia="zh-CN" w:bidi="ar-SA"/>
        </w:rPr>
        <w:t>七、其他重要事项的情况说明</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8F8F8"/>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shd w:val="clear" w:fill="F8F8F8"/>
        </w:rPr>
        <w:t>　　</w:t>
      </w:r>
      <w:r>
        <w:rPr>
          <w:rFonts w:hint="eastAsia" w:ascii="仿宋" w:hAnsi="仿宋" w:eastAsia="仿宋" w:cs="Times New Roman"/>
          <w:b/>
          <w:kern w:val="2"/>
          <w:sz w:val="32"/>
          <w:szCs w:val="32"/>
          <w:lang w:val="en-US" w:eastAsia="zh-CN" w:bidi="ar-SA"/>
        </w:rPr>
        <w:t>（一）机关运行经费</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8F8F8"/>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微软雅黑" w:hAnsi="微软雅黑" w:eastAsia="微软雅黑" w:cs="微软雅黑"/>
          <w:i w:val="0"/>
          <w:iCs w:val="0"/>
          <w:caps w:val="0"/>
          <w:color w:val="000000"/>
          <w:spacing w:val="0"/>
          <w:sz w:val="21"/>
          <w:szCs w:val="21"/>
        </w:rPr>
      </w:pPr>
      <w:r>
        <w:rPr>
          <w:rFonts w:hint="eastAsia" w:ascii="仿宋_GB2312" w:hAnsi="仿宋" w:eastAsia="仿宋_GB2312" w:cs="Times New Roman"/>
          <w:kern w:val="2"/>
          <w:sz w:val="32"/>
          <w:szCs w:val="32"/>
          <w:lang w:val="en-US" w:eastAsia="zh-CN" w:bidi="ar-SA"/>
        </w:rPr>
        <w:t>2022年，机关运行经费财政拨款预算为53.98万元，比2021年预算减少1.05万元，下降1.95%。包括：主要是人员减少所致。</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8F8F8"/>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shd w:val="clear" w:fill="F8F8F8"/>
        </w:rPr>
        <w:t>　　</w:t>
      </w:r>
      <w:r>
        <w:rPr>
          <w:rFonts w:hint="eastAsia" w:ascii="仿宋" w:hAnsi="仿宋" w:eastAsia="仿宋" w:cs="Times New Roman"/>
          <w:b/>
          <w:kern w:val="2"/>
          <w:sz w:val="32"/>
          <w:szCs w:val="32"/>
          <w:lang w:val="en-US" w:eastAsia="zh-CN" w:bidi="ar-SA"/>
        </w:rPr>
        <w:t>（二）政府采购情况</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8F8F8"/>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微软雅黑" w:hAnsi="微软雅黑" w:eastAsia="微软雅黑" w:cs="微软雅黑"/>
          <w:i w:val="0"/>
          <w:iCs w:val="0"/>
          <w:caps w:val="0"/>
          <w:color w:val="000000"/>
          <w:spacing w:val="0"/>
          <w:sz w:val="21"/>
          <w:szCs w:val="21"/>
        </w:rPr>
      </w:pPr>
      <w:r>
        <w:rPr>
          <w:rFonts w:hint="eastAsia" w:ascii="仿宋_GB2312" w:hAnsi="仿宋" w:eastAsia="仿宋_GB2312" w:cs="Times New Roman"/>
          <w:kern w:val="2"/>
          <w:sz w:val="32"/>
          <w:szCs w:val="32"/>
          <w:lang w:val="en-US" w:eastAsia="zh-CN" w:bidi="ar-SA"/>
        </w:rPr>
        <w:t>2022年，财政绩效评价中心安排政府采购预算1.08万元, 属于政府采购货物预算。</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8F8F8"/>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shd w:val="clear" w:fill="F8F8F8"/>
        </w:rPr>
        <w:t>　　</w:t>
      </w:r>
      <w:r>
        <w:rPr>
          <w:rFonts w:hint="eastAsia" w:ascii="微软雅黑" w:hAnsi="微软雅黑" w:eastAsia="微软雅黑" w:cs="微软雅黑"/>
          <w:i w:val="0"/>
          <w:iCs w:val="0"/>
          <w:caps w:val="0"/>
          <w:color w:val="000000"/>
          <w:spacing w:val="0"/>
          <w:sz w:val="21"/>
          <w:szCs w:val="21"/>
          <w:shd w:val="clear" w:fill="F8F8F8"/>
          <w:lang w:val="en-US" w:eastAsia="zh-CN"/>
        </w:rPr>
        <w:t xml:space="preserve"> </w:t>
      </w:r>
      <w:r>
        <w:rPr>
          <w:rFonts w:hint="eastAsia" w:ascii="仿宋" w:hAnsi="仿宋" w:eastAsia="仿宋" w:cs="Times New Roman"/>
          <w:b/>
          <w:kern w:val="2"/>
          <w:sz w:val="32"/>
          <w:szCs w:val="32"/>
          <w:lang w:val="en-US" w:eastAsia="zh-CN" w:bidi="ar-SA"/>
        </w:rPr>
        <w:t>（三）国有资产占有使用情况</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8F8F8"/>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shd w:val="clear" w:fill="F8F8F8"/>
        </w:rPr>
        <w:t>　　</w:t>
      </w:r>
      <w:r>
        <w:rPr>
          <w:rFonts w:hint="eastAsia" w:ascii="微软雅黑" w:hAnsi="微软雅黑" w:eastAsia="微软雅黑" w:cs="微软雅黑"/>
          <w:i w:val="0"/>
          <w:iCs w:val="0"/>
          <w:caps w:val="0"/>
          <w:color w:val="000000"/>
          <w:spacing w:val="0"/>
          <w:sz w:val="21"/>
          <w:szCs w:val="21"/>
          <w:shd w:val="clear" w:fill="F8F8F8"/>
          <w:lang w:val="en-US" w:eastAsia="zh-CN"/>
        </w:rPr>
        <w:t xml:space="preserve">  </w:t>
      </w:r>
      <w:r>
        <w:rPr>
          <w:rFonts w:hint="eastAsia" w:ascii="仿宋_GB2312" w:hAnsi="仿宋" w:eastAsia="仿宋_GB2312" w:cs="Times New Roman"/>
          <w:kern w:val="2"/>
          <w:sz w:val="32"/>
          <w:szCs w:val="32"/>
          <w:lang w:val="en-US" w:eastAsia="zh-CN" w:bidi="ar-SA"/>
        </w:rPr>
        <w:t>截至2021年底，共有车辆1辆，一般公务用车。单价50万元以上通用设备0台（套），单价100万元以上专用设备0台（套）。</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8F8F8"/>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shd w:val="clear" w:fill="F8F8F8"/>
        </w:rPr>
        <w:t>　　</w:t>
      </w:r>
      <w:r>
        <w:rPr>
          <w:rFonts w:hint="eastAsia" w:ascii="微软雅黑" w:hAnsi="微软雅黑" w:eastAsia="微软雅黑" w:cs="微软雅黑"/>
          <w:i w:val="0"/>
          <w:iCs w:val="0"/>
          <w:caps w:val="0"/>
          <w:color w:val="000000"/>
          <w:spacing w:val="0"/>
          <w:sz w:val="21"/>
          <w:szCs w:val="21"/>
          <w:shd w:val="clear" w:fill="F8F8F8"/>
          <w:lang w:val="en-US" w:eastAsia="zh-CN"/>
        </w:rPr>
        <w:t xml:space="preserve"> </w:t>
      </w:r>
      <w:r>
        <w:rPr>
          <w:rFonts w:hint="eastAsia" w:ascii="仿宋" w:hAnsi="仿宋" w:eastAsia="仿宋" w:cs="Times New Roman"/>
          <w:b/>
          <w:kern w:val="2"/>
          <w:sz w:val="32"/>
          <w:szCs w:val="32"/>
          <w:lang w:val="en-US" w:eastAsia="zh-CN" w:bidi="ar-SA"/>
        </w:rPr>
        <w:t>（四）绩效目标设置情况</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8F8F8"/>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shd w:val="clear" w:fill="F8F8F8"/>
        </w:rPr>
        <w:t>　</w:t>
      </w:r>
      <w:r>
        <w:rPr>
          <w:rFonts w:hint="eastAsia" w:ascii="仿宋_GB2312" w:hAnsi="仿宋" w:eastAsia="仿宋_GB2312" w:cs="Times New Roman"/>
          <w:kern w:val="2"/>
          <w:sz w:val="32"/>
          <w:szCs w:val="32"/>
          <w:lang w:val="en-US" w:eastAsia="zh-CN" w:bidi="ar-SA"/>
        </w:rPr>
        <w:t>　 2022年，部门整体支出及预算批复项目均按要求实行绩效目标管理，涉及项目资金共计450万元，其中，财政软件及业务经费项目30万元、绩效评价体系建设项目25万元、全区金财网和等保测评项目30万元。业务经费项目25万元、项目评审服务费项目300万元。财政监督检查业务费15万元、国库集中支付管理业务专项25万元。</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8F8F8"/>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shd w:val="clear" w:fill="F8F8F8"/>
        </w:rPr>
        <w:t>　　</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8F8F8"/>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黑体" w:hAnsi="黑体" w:eastAsia="黑体" w:cs="黑体"/>
          <w:i w:val="0"/>
          <w:iCs w:val="0"/>
          <w:caps w:val="0"/>
          <w:color w:val="000000"/>
          <w:spacing w:val="0"/>
          <w:sz w:val="44"/>
          <w:szCs w:val="44"/>
          <w:shd w:val="clear" w:fill="F8F8F8"/>
        </w:rPr>
      </w:pP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8F8F8"/>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黑体" w:hAnsi="黑体" w:eastAsia="黑体" w:cs="黑体"/>
          <w:i w:val="0"/>
          <w:iCs w:val="0"/>
          <w:caps w:val="0"/>
          <w:color w:val="000000"/>
          <w:spacing w:val="0"/>
          <w:sz w:val="44"/>
          <w:szCs w:val="44"/>
          <w:shd w:val="clear" w:fill="F8F8F8"/>
        </w:rPr>
      </w:pP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8F8F8"/>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黑体" w:hAnsi="黑体" w:eastAsia="黑体" w:cs="黑体"/>
          <w:i w:val="0"/>
          <w:iCs w:val="0"/>
          <w:caps w:val="0"/>
          <w:color w:val="000000"/>
          <w:spacing w:val="0"/>
          <w:sz w:val="44"/>
          <w:szCs w:val="44"/>
          <w:shd w:val="clear" w:fill="F8F8F8"/>
        </w:rPr>
      </w:pP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8F8F8"/>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黑体" w:hAnsi="黑体" w:eastAsia="黑体" w:cs="黑体"/>
          <w:i w:val="0"/>
          <w:iCs w:val="0"/>
          <w:caps w:val="0"/>
          <w:color w:val="000000"/>
          <w:spacing w:val="0"/>
          <w:sz w:val="44"/>
          <w:szCs w:val="44"/>
        </w:rPr>
      </w:pPr>
      <w:r>
        <w:rPr>
          <w:rFonts w:hint="eastAsia" w:ascii="黑体" w:hAnsi="黑体" w:eastAsia="黑体" w:cs="黑体"/>
          <w:i w:val="0"/>
          <w:iCs w:val="0"/>
          <w:caps w:val="0"/>
          <w:color w:val="000000"/>
          <w:spacing w:val="0"/>
          <w:sz w:val="44"/>
          <w:szCs w:val="44"/>
          <w:shd w:val="clear" w:fill="F8F8F8"/>
        </w:rPr>
        <w:t>第三部分  名词解释</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8F8F8"/>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仿宋_GB2312" w:hAnsi="仿宋" w:eastAsia="仿宋_GB2312" w:cs="Times New Roman"/>
          <w:kern w:val="2"/>
          <w:sz w:val="32"/>
          <w:szCs w:val="32"/>
          <w:lang w:val="en-US" w:eastAsia="zh-CN" w:bidi="ar-SA"/>
        </w:rPr>
      </w:pPr>
      <w:r>
        <w:rPr>
          <w:rFonts w:hint="eastAsia" w:ascii="微软雅黑" w:hAnsi="微软雅黑" w:eastAsia="微软雅黑" w:cs="微软雅黑"/>
          <w:i w:val="0"/>
          <w:iCs w:val="0"/>
          <w:caps w:val="0"/>
          <w:color w:val="000000"/>
          <w:spacing w:val="0"/>
          <w:sz w:val="21"/>
          <w:szCs w:val="21"/>
          <w:shd w:val="clear" w:fill="F8F8F8"/>
        </w:rPr>
        <w:t>　　</w:t>
      </w:r>
      <w:r>
        <w:rPr>
          <w:rFonts w:hint="eastAsia" w:ascii="仿宋_GB2312" w:hAnsi="仿宋" w:eastAsia="仿宋_GB2312" w:cs="Times New Roman"/>
          <w:kern w:val="2"/>
          <w:sz w:val="32"/>
          <w:szCs w:val="32"/>
          <w:lang w:val="en-US" w:eastAsia="zh-CN" w:bidi="ar-SA"/>
        </w:rPr>
        <w:t>1.财政拨款：指由一般公共预算、政府性基金预算安排的财政拨款数。</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8F8F8"/>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仿宋_GB2312" w:hAnsi="仿宋" w:eastAsia="仿宋_GB2312" w:cs="Times New Roman"/>
          <w:kern w:val="2"/>
          <w:sz w:val="32"/>
          <w:szCs w:val="32"/>
          <w:lang w:val="en-US" w:eastAsia="zh-CN" w:bidi="ar-SA"/>
        </w:rPr>
      </w:pPr>
      <w:r>
        <w:rPr>
          <w:rFonts w:hint="eastAsia" w:ascii="仿宋_GB2312" w:hAnsi="仿宋" w:eastAsia="仿宋_GB2312" w:cs="Times New Roman"/>
          <w:kern w:val="2"/>
          <w:sz w:val="32"/>
          <w:szCs w:val="32"/>
          <w:lang w:val="en-US" w:eastAsia="zh-CN" w:bidi="ar-SA"/>
        </w:rPr>
        <w:t>　　2.一般公共预算：包括公共财政拨款（补助）资金、专项收入。</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8F8F8"/>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仿宋_GB2312" w:hAnsi="仿宋" w:eastAsia="仿宋_GB2312" w:cs="Times New Roman"/>
          <w:kern w:val="2"/>
          <w:sz w:val="32"/>
          <w:szCs w:val="32"/>
          <w:lang w:val="en-US" w:eastAsia="zh-CN" w:bidi="ar-SA"/>
        </w:rPr>
      </w:pPr>
      <w:r>
        <w:rPr>
          <w:rFonts w:hint="eastAsia" w:ascii="仿宋_GB2312" w:hAnsi="仿宋" w:eastAsia="仿宋_GB2312" w:cs="Times New Roman"/>
          <w:kern w:val="2"/>
          <w:sz w:val="32"/>
          <w:szCs w:val="32"/>
          <w:lang w:val="en-US" w:eastAsia="zh-CN" w:bidi="ar-SA"/>
        </w:rPr>
        <w:t>　　3.基本支出：包括人员经费、商品和服务支出（定额）。其中，人员经费包括工资福利支出、对个人和家庭的补助。</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8F8F8"/>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仿宋_GB2312" w:hAnsi="仿宋" w:eastAsia="仿宋_GB2312" w:cs="Times New Roman"/>
          <w:kern w:val="2"/>
          <w:sz w:val="32"/>
          <w:szCs w:val="32"/>
          <w:lang w:val="en-US" w:eastAsia="zh-CN" w:bidi="ar-SA"/>
        </w:rPr>
      </w:pPr>
      <w:r>
        <w:rPr>
          <w:rFonts w:hint="eastAsia" w:ascii="仿宋_GB2312" w:hAnsi="仿宋" w:eastAsia="仿宋_GB2312" w:cs="Times New Roman"/>
          <w:kern w:val="2"/>
          <w:sz w:val="32"/>
          <w:szCs w:val="32"/>
          <w:lang w:val="en-US" w:eastAsia="zh-CN" w:bidi="ar-SA"/>
        </w:rPr>
        <w:t>　　4.项目支出：包括编入部门预算的单位运转性项目、政府专项资金项目的支出安排数。</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8F8F8"/>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仿宋_GB2312" w:hAnsi="仿宋" w:eastAsia="仿宋_GB2312" w:cs="Times New Roman"/>
          <w:kern w:val="2"/>
          <w:sz w:val="32"/>
          <w:szCs w:val="32"/>
          <w:lang w:val="en-US" w:eastAsia="zh-CN" w:bidi="ar-SA"/>
        </w:rPr>
      </w:pPr>
      <w:r>
        <w:rPr>
          <w:rFonts w:hint="eastAsia" w:ascii="仿宋_GB2312" w:hAnsi="仿宋" w:eastAsia="仿宋_GB2312" w:cs="Times New Roman"/>
          <w:kern w:val="2"/>
          <w:sz w:val="32"/>
          <w:szCs w:val="32"/>
          <w:lang w:val="en-US" w:eastAsia="zh-CN" w:bidi="ar-SA"/>
        </w:rPr>
        <w:t>　　5.“三公”经费：指使用一般公共预算财政拨款安排的因公出国（境）费、公务用车购置及运行维护费和公务接待费。其中，因公出国（境）费用反映单位公务出国（境）的国际旅费、国外城市间交通费、住宿费、伙食费、培训费、公杂费等支出；公务用车购置及运行维护费反映单位公务用车车辆购置支出（含车辆购置税）及租用费、燃料费、维修费、过桥过路费、保险费、安全奖励费用等支出；公务接待费反映单位按规定开支的各类公务接待（含外宾接待）费用。</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8F8F8"/>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仿宋_GB2312" w:hAnsi="仿宋" w:eastAsia="仿宋_GB2312" w:cs="Times New Roman"/>
          <w:kern w:val="2"/>
          <w:sz w:val="32"/>
          <w:szCs w:val="32"/>
          <w:lang w:val="en-US" w:eastAsia="zh-CN" w:bidi="ar-SA"/>
        </w:rPr>
      </w:pPr>
      <w:r>
        <w:rPr>
          <w:rFonts w:hint="eastAsia" w:ascii="仿宋_GB2312" w:hAnsi="仿宋" w:eastAsia="仿宋_GB2312" w:cs="Times New Roman"/>
          <w:kern w:val="2"/>
          <w:sz w:val="32"/>
          <w:szCs w:val="32"/>
          <w:lang w:val="en-US" w:eastAsia="zh-CN" w:bidi="ar-SA"/>
        </w:rPr>
        <w:t>　　</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8F8F8"/>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黑体" w:hAnsi="黑体" w:eastAsia="黑体" w:cs="黑体"/>
          <w:i w:val="0"/>
          <w:iCs w:val="0"/>
          <w:caps w:val="0"/>
          <w:color w:val="000000"/>
          <w:spacing w:val="0"/>
          <w:sz w:val="44"/>
          <w:szCs w:val="44"/>
          <w:shd w:val="clear" w:fill="F8F8F8"/>
        </w:rPr>
      </w:pP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8F8F8"/>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黑体" w:hAnsi="黑体" w:eastAsia="黑体" w:cs="黑体"/>
          <w:i w:val="0"/>
          <w:iCs w:val="0"/>
          <w:caps w:val="0"/>
          <w:color w:val="000000"/>
          <w:spacing w:val="0"/>
          <w:sz w:val="44"/>
          <w:szCs w:val="44"/>
          <w:shd w:val="clear" w:fill="F8F8F8"/>
        </w:rPr>
      </w:pP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8F8F8"/>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黑体" w:hAnsi="黑体" w:eastAsia="黑体" w:cs="黑体"/>
          <w:i w:val="0"/>
          <w:iCs w:val="0"/>
          <w:caps w:val="0"/>
          <w:color w:val="000000"/>
          <w:spacing w:val="0"/>
          <w:sz w:val="44"/>
          <w:szCs w:val="44"/>
          <w:shd w:val="clear" w:fill="F8F8F8"/>
        </w:rPr>
      </w:pP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8F8F8"/>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黑体" w:hAnsi="黑体" w:eastAsia="黑体" w:cs="黑体"/>
          <w:i w:val="0"/>
          <w:iCs w:val="0"/>
          <w:caps w:val="0"/>
          <w:color w:val="000000"/>
          <w:spacing w:val="0"/>
          <w:sz w:val="44"/>
          <w:szCs w:val="44"/>
          <w:shd w:val="clear" w:fill="F8F8F8"/>
        </w:rPr>
      </w:pP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8F8F8"/>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黑体" w:hAnsi="黑体" w:eastAsia="黑体" w:cs="黑体"/>
          <w:i w:val="0"/>
          <w:iCs w:val="0"/>
          <w:caps w:val="0"/>
          <w:color w:val="000000"/>
          <w:spacing w:val="0"/>
          <w:sz w:val="44"/>
          <w:szCs w:val="44"/>
          <w:shd w:val="clear" w:fill="F8F8F8"/>
        </w:rPr>
      </w:pP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8F8F8"/>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黑体" w:hAnsi="黑体" w:eastAsia="黑体" w:cs="黑体"/>
          <w:i w:val="0"/>
          <w:iCs w:val="0"/>
          <w:caps w:val="0"/>
          <w:color w:val="000000"/>
          <w:spacing w:val="0"/>
          <w:sz w:val="44"/>
          <w:szCs w:val="44"/>
          <w:shd w:val="clear" w:fill="F8F8F8"/>
        </w:rPr>
      </w:pPr>
      <w:r>
        <w:rPr>
          <w:rFonts w:hint="eastAsia" w:ascii="黑体" w:hAnsi="黑体" w:eastAsia="黑体" w:cs="黑体"/>
          <w:i w:val="0"/>
          <w:iCs w:val="0"/>
          <w:caps w:val="0"/>
          <w:color w:val="000000"/>
          <w:spacing w:val="0"/>
          <w:sz w:val="44"/>
          <w:szCs w:val="44"/>
          <w:shd w:val="clear" w:fill="F8F8F8"/>
        </w:rPr>
        <w:t>第四部分  附表</w:t>
      </w:r>
    </w:p>
    <w:p>
      <w:pPr>
        <w:rPr>
          <w:rFonts w:eastAsia="仿宋"/>
        </w:rPr>
      </w:pP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方正小标宋简体">
    <w:altName w:val="Arial Unicode MS"/>
    <w:panose1 w:val="0201060103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8"/>
          <w:jc w:val="center"/>
        </w:pPr>
        <w:r>
          <w:fldChar w:fldCharType="begin"/>
        </w:r>
        <w:r>
          <w:instrText xml:space="preserve">PAGE   \* MERGEFORMAT</w:instrText>
        </w:r>
        <w:r>
          <w:fldChar w:fldCharType="separate"/>
        </w:r>
        <w:r>
          <w:rPr>
            <w:lang w:val="zh-CN"/>
          </w:rPr>
          <w:t>2</w:t>
        </w:r>
        <w:r>
          <w:rPr>
            <w:lang w:val="zh-CN"/>
          </w:rP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Tc2MDBhMTg0NGQ0ZDhiYjZhYzkzMDkxY2NjOGVhMWEifQ=="/>
  </w:docVars>
  <w:rsids>
    <w:rsidRoot w:val="00F1361C"/>
    <w:rsid w:val="000222C6"/>
    <w:rsid w:val="0002549F"/>
    <w:rsid w:val="000468DB"/>
    <w:rsid w:val="0006487A"/>
    <w:rsid w:val="00065F8F"/>
    <w:rsid w:val="00070A43"/>
    <w:rsid w:val="000768F2"/>
    <w:rsid w:val="0009184B"/>
    <w:rsid w:val="00094236"/>
    <w:rsid w:val="0009593C"/>
    <w:rsid w:val="00097322"/>
    <w:rsid w:val="000A0E95"/>
    <w:rsid w:val="000A6A92"/>
    <w:rsid w:val="000B047F"/>
    <w:rsid w:val="000B5923"/>
    <w:rsid w:val="000B5A48"/>
    <w:rsid w:val="000B6FF3"/>
    <w:rsid w:val="000C3467"/>
    <w:rsid w:val="000C3CA6"/>
    <w:rsid w:val="000C5197"/>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11219"/>
    <w:rsid w:val="00220536"/>
    <w:rsid w:val="00230ECD"/>
    <w:rsid w:val="00235629"/>
    <w:rsid w:val="00260C38"/>
    <w:rsid w:val="002616C0"/>
    <w:rsid w:val="002632C1"/>
    <w:rsid w:val="00265372"/>
    <w:rsid w:val="002662AA"/>
    <w:rsid w:val="00280496"/>
    <w:rsid w:val="00284BD0"/>
    <w:rsid w:val="00294DC9"/>
    <w:rsid w:val="00295495"/>
    <w:rsid w:val="002A31DE"/>
    <w:rsid w:val="002A44A6"/>
    <w:rsid w:val="002B2613"/>
    <w:rsid w:val="002D223F"/>
    <w:rsid w:val="002D6D05"/>
    <w:rsid w:val="002F1818"/>
    <w:rsid w:val="002F567B"/>
    <w:rsid w:val="003216A9"/>
    <w:rsid w:val="00335A74"/>
    <w:rsid w:val="0036561B"/>
    <w:rsid w:val="0037013F"/>
    <w:rsid w:val="003764CF"/>
    <w:rsid w:val="00377824"/>
    <w:rsid w:val="00380C92"/>
    <w:rsid w:val="00393EB6"/>
    <w:rsid w:val="003A484F"/>
    <w:rsid w:val="003A4883"/>
    <w:rsid w:val="003A5754"/>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53BCE"/>
    <w:rsid w:val="00471401"/>
    <w:rsid w:val="00473F31"/>
    <w:rsid w:val="0048263A"/>
    <w:rsid w:val="0048542F"/>
    <w:rsid w:val="00487E5D"/>
    <w:rsid w:val="004A711F"/>
    <w:rsid w:val="004B199D"/>
    <w:rsid w:val="004B4690"/>
    <w:rsid w:val="004E0A2D"/>
    <w:rsid w:val="004E206B"/>
    <w:rsid w:val="004E6DF7"/>
    <w:rsid w:val="004F0FBD"/>
    <w:rsid w:val="00505A47"/>
    <w:rsid w:val="00512FDA"/>
    <w:rsid w:val="00520DA0"/>
    <w:rsid w:val="005232E2"/>
    <w:rsid w:val="00525DE3"/>
    <w:rsid w:val="005664BB"/>
    <w:rsid w:val="00566FFA"/>
    <w:rsid w:val="00573520"/>
    <w:rsid w:val="0057481D"/>
    <w:rsid w:val="0058486E"/>
    <w:rsid w:val="00585B33"/>
    <w:rsid w:val="0059014D"/>
    <w:rsid w:val="005B5C64"/>
    <w:rsid w:val="005C5337"/>
    <w:rsid w:val="005C6BD0"/>
    <w:rsid w:val="005D1C8B"/>
    <w:rsid w:val="005D468D"/>
    <w:rsid w:val="005D5CED"/>
    <w:rsid w:val="005F1A4C"/>
    <w:rsid w:val="005F4330"/>
    <w:rsid w:val="00605688"/>
    <w:rsid w:val="006070AF"/>
    <w:rsid w:val="00607E6C"/>
    <w:rsid w:val="006101B1"/>
    <w:rsid w:val="00614E44"/>
    <w:rsid w:val="0062270A"/>
    <w:rsid w:val="00622830"/>
    <w:rsid w:val="00623DA0"/>
    <w:rsid w:val="00626C17"/>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36F9"/>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4A3F"/>
    <w:rsid w:val="00855221"/>
    <w:rsid w:val="00860645"/>
    <w:rsid w:val="00871F71"/>
    <w:rsid w:val="00872FD8"/>
    <w:rsid w:val="00885AF4"/>
    <w:rsid w:val="008939CD"/>
    <w:rsid w:val="008A06B8"/>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329F"/>
    <w:rsid w:val="00954C49"/>
    <w:rsid w:val="00955E37"/>
    <w:rsid w:val="0096243E"/>
    <w:rsid w:val="0097099F"/>
    <w:rsid w:val="00971997"/>
    <w:rsid w:val="00971FFC"/>
    <w:rsid w:val="00973651"/>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A1F8F"/>
    <w:rsid w:val="00AB64C9"/>
    <w:rsid w:val="00AC00C4"/>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181D"/>
    <w:rsid w:val="00B425E0"/>
    <w:rsid w:val="00B440AA"/>
    <w:rsid w:val="00B44B70"/>
    <w:rsid w:val="00B53C56"/>
    <w:rsid w:val="00B57DAF"/>
    <w:rsid w:val="00B77EA6"/>
    <w:rsid w:val="00B81598"/>
    <w:rsid w:val="00B83DB9"/>
    <w:rsid w:val="00B841F1"/>
    <w:rsid w:val="00B944D6"/>
    <w:rsid w:val="00B968D7"/>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77911"/>
    <w:rsid w:val="00C84BEE"/>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9119D"/>
    <w:rsid w:val="00D94087"/>
    <w:rsid w:val="00DA634F"/>
    <w:rsid w:val="00DA65AC"/>
    <w:rsid w:val="00DB1913"/>
    <w:rsid w:val="00DC410D"/>
    <w:rsid w:val="00DC5A81"/>
    <w:rsid w:val="00DC68CA"/>
    <w:rsid w:val="00DC7CBA"/>
    <w:rsid w:val="00DD73B7"/>
    <w:rsid w:val="00DF28BC"/>
    <w:rsid w:val="00DF34B9"/>
    <w:rsid w:val="00E01053"/>
    <w:rsid w:val="00E07ACF"/>
    <w:rsid w:val="00E26A1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23A9"/>
    <w:rsid w:val="00F45853"/>
    <w:rsid w:val="00F602DF"/>
    <w:rsid w:val="00F66FD9"/>
    <w:rsid w:val="00F754A1"/>
    <w:rsid w:val="00F81FD9"/>
    <w:rsid w:val="00F841AA"/>
    <w:rsid w:val="00F84A94"/>
    <w:rsid w:val="00F87E96"/>
    <w:rsid w:val="00FA23E8"/>
    <w:rsid w:val="00FD1A0F"/>
    <w:rsid w:val="00FD3CC1"/>
    <w:rsid w:val="00FF1E02"/>
    <w:rsid w:val="00FF30B4"/>
    <w:rsid w:val="06E31716"/>
    <w:rsid w:val="07612C76"/>
    <w:rsid w:val="0A2032A3"/>
    <w:rsid w:val="0B8A37D8"/>
    <w:rsid w:val="0BE0446D"/>
    <w:rsid w:val="0CD73E00"/>
    <w:rsid w:val="10C055FF"/>
    <w:rsid w:val="11440438"/>
    <w:rsid w:val="118107EC"/>
    <w:rsid w:val="11DD6519"/>
    <w:rsid w:val="16BB723D"/>
    <w:rsid w:val="18015F3F"/>
    <w:rsid w:val="1BE8440E"/>
    <w:rsid w:val="1CB710C0"/>
    <w:rsid w:val="1D155CEE"/>
    <w:rsid w:val="20395134"/>
    <w:rsid w:val="20E30C4C"/>
    <w:rsid w:val="20F57F95"/>
    <w:rsid w:val="21102020"/>
    <w:rsid w:val="23AB3D0B"/>
    <w:rsid w:val="240371BF"/>
    <w:rsid w:val="25C741E6"/>
    <w:rsid w:val="27842671"/>
    <w:rsid w:val="29FD04D3"/>
    <w:rsid w:val="2ABE7A3E"/>
    <w:rsid w:val="2EFA178C"/>
    <w:rsid w:val="30B46D73"/>
    <w:rsid w:val="319F7F4E"/>
    <w:rsid w:val="39AE70AB"/>
    <w:rsid w:val="3C0C0783"/>
    <w:rsid w:val="3C3D6F54"/>
    <w:rsid w:val="3CE65D2B"/>
    <w:rsid w:val="3F9F3A96"/>
    <w:rsid w:val="423A41C8"/>
    <w:rsid w:val="47A95F9F"/>
    <w:rsid w:val="493C27E9"/>
    <w:rsid w:val="496F39ED"/>
    <w:rsid w:val="49FF41D3"/>
    <w:rsid w:val="4BE068DB"/>
    <w:rsid w:val="4BF6002B"/>
    <w:rsid w:val="4D022FC0"/>
    <w:rsid w:val="4ECE2238"/>
    <w:rsid w:val="509C774A"/>
    <w:rsid w:val="51DB4B86"/>
    <w:rsid w:val="55333C3E"/>
    <w:rsid w:val="56393B21"/>
    <w:rsid w:val="5CDF08FB"/>
    <w:rsid w:val="636C2A57"/>
    <w:rsid w:val="64CA39A1"/>
    <w:rsid w:val="65E82E37"/>
    <w:rsid w:val="6722754E"/>
    <w:rsid w:val="68D37F5E"/>
    <w:rsid w:val="69F112CE"/>
    <w:rsid w:val="6C4A05C8"/>
    <w:rsid w:val="721F290F"/>
    <w:rsid w:val="72734D90"/>
    <w:rsid w:val="73D77CCE"/>
    <w:rsid w:val="74357F8F"/>
    <w:rsid w:val="76FC1502"/>
    <w:rsid w:val="775F3697"/>
    <w:rsid w:val="78370287"/>
    <w:rsid w:val="79E7B28D"/>
    <w:rsid w:val="7A7D77B8"/>
    <w:rsid w:val="7D713DC1"/>
    <w:rsid w:val="7F85507B"/>
    <w:rsid w:val="7F9F20EE"/>
    <w:rsid w:val="9E3A10E2"/>
    <w:rsid w:val="F2E1F9D4"/>
    <w:rsid w:val="F7880819"/>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5"/>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9"/>
    <w:unhideWhenUsed/>
    <w:qFormat/>
    <w:uiPriority w:val="9"/>
    <w:pPr>
      <w:keepNext/>
      <w:keepLines/>
      <w:spacing w:before="260" w:after="260" w:line="416" w:lineRule="auto"/>
      <w:outlineLvl w:val="2"/>
    </w:pPr>
    <w:rPr>
      <w:b/>
      <w:bCs/>
      <w:sz w:val="32"/>
      <w:szCs w:val="32"/>
    </w:rPr>
  </w:style>
  <w:style w:type="character" w:default="1" w:styleId="14">
    <w:name w:val="Default Paragraph Font"/>
    <w:semiHidden/>
    <w:unhideWhenUsed/>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2"/>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8"/>
    <w:semiHidden/>
    <w:unhideWhenUsed/>
    <w:qFormat/>
    <w:uiPriority w:val="99"/>
    <w:rPr>
      <w:sz w:val="18"/>
      <w:szCs w:val="18"/>
    </w:rPr>
  </w:style>
  <w:style w:type="paragraph" w:styleId="8">
    <w:name w:val="footer"/>
    <w:basedOn w:val="1"/>
    <w:link w:val="20"/>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8"/>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paragraph" w:styleId="12">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15">
    <w:name w:val="Strong"/>
    <w:basedOn w:val="14"/>
    <w:qFormat/>
    <w:uiPriority w:val="99"/>
    <w:rPr>
      <w:b/>
    </w:rPr>
  </w:style>
  <w:style w:type="character" w:styleId="16">
    <w:name w:val="Hyperlink"/>
    <w:basedOn w:val="14"/>
    <w:unhideWhenUsed/>
    <w:qFormat/>
    <w:uiPriority w:val="99"/>
    <w:rPr>
      <w:color w:val="0000FF" w:themeColor="hyperlink"/>
      <w:u w:val="single"/>
    </w:rPr>
  </w:style>
  <w:style w:type="character" w:customStyle="1" w:styleId="17">
    <w:name w:val="Header Char"/>
    <w:basedOn w:val="14"/>
    <w:semiHidden/>
    <w:qFormat/>
    <w:uiPriority w:val="99"/>
    <w:rPr>
      <w:rFonts w:ascii="Times New Roman" w:hAnsi="Times New Roman"/>
      <w:sz w:val="18"/>
      <w:szCs w:val="18"/>
    </w:rPr>
  </w:style>
  <w:style w:type="character" w:customStyle="1" w:styleId="18">
    <w:name w:val="页眉 Char"/>
    <w:link w:val="9"/>
    <w:semiHidden/>
    <w:qFormat/>
    <w:locked/>
    <w:uiPriority w:val="99"/>
    <w:rPr>
      <w:sz w:val="18"/>
    </w:rPr>
  </w:style>
  <w:style w:type="character" w:customStyle="1" w:styleId="19">
    <w:name w:val="Footer Char"/>
    <w:basedOn w:val="14"/>
    <w:semiHidden/>
    <w:qFormat/>
    <w:uiPriority w:val="99"/>
    <w:rPr>
      <w:rFonts w:ascii="Times New Roman" w:hAnsi="Times New Roman"/>
      <w:sz w:val="18"/>
      <w:szCs w:val="18"/>
    </w:rPr>
  </w:style>
  <w:style w:type="character" w:customStyle="1" w:styleId="20">
    <w:name w:val="页脚 Char"/>
    <w:link w:val="8"/>
    <w:qFormat/>
    <w:locked/>
    <w:uiPriority w:val="99"/>
    <w:rPr>
      <w:sz w:val="18"/>
    </w:rPr>
  </w:style>
  <w:style w:type="character" w:customStyle="1" w:styleId="21">
    <w:name w:val="Body Text Char"/>
    <w:basedOn w:val="14"/>
    <w:semiHidden/>
    <w:qFormat/>
    <w:uiPriority w:val="99"/>
    <w:rPr>
      <w:rFonts w:ascii="Times New Roman" w:hAnsi="Times New Roman"/>
      <w:szCs w:val="24"/>
    </w:rPr>
  </w:style>
  <w:style w:type="character" w:customStyle="1" w:styleId="22">
    <w:name w:val="正文文本 Char"/>
    <w:link w:val="2"/>
    <w:qFormat/>
    <w:locked/>
    <w:uiPriority w:val="99"/>
    <w:rPr>
      <w:rFonts w:ascii="仿宋_GB2312" w:hAnsi="Times New Roman" w:eastAsia="仿宋_GB2312"/>
      <w:sz w:val="24"/>
    </w:rPr>
  </w:style>
  <w:style w:type="paragraph" w:customStyle="1" w:styleId="23">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4">
    <w:name w:val="List Paragraph"/>
    <w:basedOn w:val="1"/>
    <w:qFormat/>
    <w:uiPriority w:val="34"/>
    <w:pPr>
      <w:ind w:firstLine="420" w:firstLineChars="200"/>
    </w:pPr>
  </w:style>
  <w:style w:type="character" w:customStyle="1" w:styleId="25">
    <w:name w:val="标题 1 Char"/>
    <w:basedOn w:val="14"/>
    <w:link w:val="3"/>
    <w:qFormat/>
    <w:uiPriority w:val="9"/>
    <w:rPr>
      <w:rFonts w:ascii="Times New Roman" w:hAnsi="Times New Roman"/>
      <w:b/>
      <w:bCs/>
      <w:kern w:val="44"/>
      <w:sz w:val="44"/>
      <w:szCs w:val="44"/>
    </w:rPr>
  </w:style>
  <w:style w:type="character" w:customStyle="1" w:styleId="26">
    <w:name w:val="标题 2 Char"/>
    <w:basedOn w:val="14"/>
    <w:link w:val="4"/>
    <w:qFormat/>
    <w:uiPriority w:val="9"/>
    <w:rPr>
      <w:rFonts w:asciiTheme="majorHAnsi" w:hAnsiTheme="majorHAnsi" w:eastAsiaTheme="majorEastAsia" w:cstheme="majorBidi"/>
      <w:b/>
      <w:bCs/>
      <w:kern w:val="2"/>
      <w:sz w:val="32"/>
      <w:szCs w:val="32"/>
    </w:rPr>
  </w:style>
  <w:style w:type="paragraph" w:customStyle="1" w:styleId="27">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28">
    <w:name w:val="批注框文本 Char"/>
    <w:basedOn w:val="14"/>
    <w:link w:val="7"/>
    <w:semiHidden/>
    <w:qFormat/>
    <w:uiPriority w:val="99"/>
    <w:rPr>
      <w:rFonts w:ascii="Times New Roman" w:hAnsi="Times New Roman"/>
      <w:kern w:val="2"/>
      <w:sz w:val="18"/>
      <w:szCs w:val="18"/>
    </w:rPr>
  </w:style>
  <w:style w:type="character" w:customStyle="1" w:styleId="29">
    <w:name w:val="标题 3 Char"/>
    <w:basedOn w:val="14"/>
    <w:link w:val="5"/>
    <w:qFormat/>
    <w:uiPriority w:val="9"/>
    <w:rPr>
      <w:rFonts w:ascii="Times New Roman" w:hAnsi="Times New Roman"/>
      <w:b/>
      <w:bCs/>
      <w:kern w:val="2"/>
      <w:sz w:val="32"/>
      <w:szCs w:val="32"/>
    </w:rPr>
  </w:style>
  <w:style w:type="paragraph" w:customStyle="1" w:styleId="30">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四川省财政厅</Company>
  <Pages>13</Pages>
  <Words>4690</Words>
  <Characters>5043</Characters>
  <Lines>77</Lines>
  <Paragraphs>21</Paragraphs>
  <TotalTime>2</TotalTime>
  <ScaleCrop>false</ScaleCrop>
  <LinksUpToDate>false</LinksUpToDate>
  <CharactersWithSpaces>5181</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Administrator</cp:lastModifiedBy>
  <cp:lastPrinted>2022-09-21T03:54:00Z</cp:lastPrinted>
  <dcterms:modified xsi:type="dcterms:W3CDTF">2023-10-11T01:43:18Z</dcterms:modified>
  <dc:title>四川省***</dc:title>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D6041E2DC1F64342BCBD384BF75945C3</vt:lpwstr>
  </property>
</Properties>
</file>