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_GBK" w:hAnsi="方正小标宋_GBK" w:eastAsia="方正小标宋_GBK" w:cs="方正小标宋_GBK"/>
          <w:sz w:val="52"/>
          <w:szCs w:val="52"/>
        </w:rPr>
      </w:pPr>
      <w:bookmarkStart w:id="0" w:name="_Toc15306267"/>
    </w:p>
    <w:p>
      <w:pPr>
        <w:spacing w:line="600" w:lineRule="exact"/>
        <w:jc w:val="center"/>
        <w:outlineLvl w:val="0"/>
        <w:rPr>
          <w:rFonts w:hint="eastAsia" w:ascii="方正小标宋_GBK" w:hAnsi="方正小标宋_GBK" w:eastAsia="方正小标宋_GBK" w:cs="方正小标宋_GBK"/>
          <w:sz w:val="52"/>
          <w:szCs w:val="52"/>
        </w:rPr>
      </w:pPr>
    </w:p>
    <w:p>
      <w:pPr>
        <w:spacing w:line="600" w:lineRule="exact"/>
        <w:jc w:val="center"/>
        <w:outlineLvl w:val="0"/>
        <w:rPr>
          <w:rFonts w:hint="eastAsia" w:ascii="方正小标宋_GBK" w:hAnsi="方正小标宋_GBK" w:eastAsia="方正小标宋_GBK" w:cs="方正小标宋_GBK"/>
          <w:sz w:val="52"/>
          <w:szCs w:val="52"/>
        </w:rPr>
      </w:pPr>
    </w:p>
    <w:p>
      <w:pPr>
        <w:spacing w:line="600" w:lineRule="exact"/>
        <w:jc w:val="center"/>
        <w:outlineLvl w:val="0"/>
        <w:rPr>
          <w:rFonts w:hint="eastAsia" w:ascii="方正小标宋_GBK" w:hAnsi="方正小标宋_GBK" w:eastAsia="方正小标宋_GBK" w:cs="方正小标宋_GBK"/>
          <w:sz w:val="52"/>
          <w:szCs w:val="52"/>
        </w:rPr>
      </w:pPr>
    </w:p>
    <w:p>
      <w:pPr>
        <w:adjustRightInd w:val="0"/>
        <w:snapToGrid w:val="0"/>
        <w:spacing w:line="360" w:lineRule="auto"/>
        <w:jc w:val="center"/>
        <w:outlineLvl w:val="0"/>
        <w:rPr>
          <w:rFonts w:hint="eastAsia" w:ascii="方正小标宋_GBK" w:hAnsi="方正小标宋_GBK" w:eastAsia="方正小标宋_GBK" w:cs="方正小标宋_GBK"/>
          <w:sz w:val="52"/>
          <w:szCs w:val="52"/>
        </w:rPr>
      </w:pPr>
      <w:bookmarkStart w:id="1" w:name="_Toc15396475"/>
      <w:bookmarkStart w:id="2" w:name="_Toc15378441"/>
      <w:bookmarkStart w:id="3" w:name="_Toc15396597"/>
      <w:bookmarkStart w:id="4" w:name="_Toc15377425"/>
      <w:bookmarkStart w:id="5" w:name="_Toc15377193"/>
      <w:r>
        <w:rPr>
          <w:rFonts w:hint="eastAsia" w:ascii="方正小标宋_GBK" w:hAnsi="方正小标宋_GBK" w:eastAsia="方正小标宋_GBK" w:cs="方正小标宋_GBK"/>
          <w:sz w:val="52"/>
          <w:szCs w:val="52"/>
        </w:rPr>
        <w:t>202</w:t>
      </w:r>
      <w:r>
        <w:rPr>
          <w:rFonts w:hint="eastAsia" w:ascii="方正小标宋_GBK" w:hAnsi="方正小标宋_GBK" w:eastAsia="方正小标宋_GBK" w:cs="方正小标宋_GBK"/>
          <w:sz w:val="52"/>
          <w:szCs w:val="52"/>
          <w:lang w:val="en-US" w:eastAsia="zh-CN"/>
        </w:rPr>
        <w:t>2</w:t>
      </w:r>
      <w:r>
        <w:rPr>
          <w:rFonts w:hint="eastAsia" w:ascii="方正小标宋_GBK" w:hAnsi="方正小标宋_GBK" w:eastAsia="方正小标宋_GBK" w:cs="方正小标宋_GBK"/>
          <w:sz w:val="52"/>
          <w:szCs w:val="52"/>
        </w:rPr>
        <w:t>年度</w:t>
      </w:r>
      <w:bookmarkEnd w:id="1"/>
      <w:bookmarkEnd w:id="2"/>
      <w:bookmarkEnd w:id="3"/>
      <w:bookmarkEnd w:id="4"/>
      <w:bookmarkEnd w:id="5"/>
      <w:bookmarkStart w:id="6" w:name="_Toc15378442"/>
      <w:bookmarkStart w:id="7" w:name="_Toc15377426"/>
      <w:bookmarkStart w:id="8" w:name="_Toc15396476"/>
      <w:bookmarkStart w:id="9" w:name="_Toc15396598"/>
      <w:bookmarkStart w:id="10" w:name="_Toc15377194"/>
      <w:r>
        <w:rPr>
          <w:rFonts w:hint="eastAsia" w:ascii="方正小标宋_GBK" w:hAnsi="方正小标宋_GBK" w:eastAsia="方正小标宋_GBK" w:cs="方正小标宋_GBK"/>
          <w:sz w:val="52"/>
          <w:szCs w:val="52"/>
        </w:rPr>
        <w:t>四川省</w:t>
      </w:r>
      <w:bookmarkEnd w:id="0"/>
      <w:bookmarkStart w:id="11" w:name="_Toc15306268"/>
      <w:r>
        <w:rPr>
          <w:rFonts w:hint="eastAsia" w:ascii="方正小标宋_GBK" w:hAnsi="方正小标宋_GBK" w:eastAsia="方正小标宋_GBK" w:cs="方正小标宋_GBK"/>
          <w:sz w:val="52"/>
          <w:szCs w:val="52"/>
        </w:rPr>
        <w:t>攀枝花市西区</w:t>
      </w:r>
    </w:p>
    <w:p>
      <w:pPr>
        <w:adjustRightInd w:val="0"/>
        <w:snapToGrid w:val="0"/>
        <w:spacing w:line="360" w:lineRule="auto"/>
        <w:jc w:val="center"/>
        <w:outlineLvl w:val="0"/>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rPr>
        <w:t>财政局</w:t>
      </w:r>
      <w:bookmarkEnd w:id="6"/>
      <w:bookmarkEnd w:id="7"/>
      <w:bookmarkEnd w:id="8"/>
      <w:bookmarkEnd w:id="9"/>
      <w:bookmarkEnd w:id="10"/>
      <w:bookmarkEnd w:id="11"/>
      <w:r>
        <w:rPr>
          <w:rFonts w:hint="eastAsia" w:ascii="方正小标宋_GBK" w:hAnsi="方正小标宋_GBK" w:eastAsia="方正小标宋_GBK" w:cs="方正小标宋_GBK"/>
          <w:sz w:val="52"/>
          <w:szCs w:val="52"/>
          <w:lang w:val="en-US" w:eastAsia="zh-CN"/>
        </w:rPr>
        <w:t>单位预算</w:t>
      </w:r>
    </w:p>
    <w:p>
      <w:pPr>
        <w:adjustRightInd w:val="0"/>
        <w:snapToGrid w:val="0"/>
        <w:spacing w:line="360" w:lineRule="auto"/>
        <w:jc w:val="center"/>
        <w:outlineLvl w:val="0"/>
        <w:rPr>
          <w:rFonts w:ascii="方正小标宋简体" w:hAnsi="宋体" w:eastAsia="方正小标宋简体"/>
          <w:sz w:val="52"/>
          <w:szCs w:val="52"/>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60" w:lineRule="atLeast"/>
        <w:ind w:left="0" w:right="0" w:firstLine="0"/>
        <w:jc w:val="center"/>
        <w:rPr>
          <w:rFonts w:ascii="方正小标宋简体" w:hAnsi="宋体" w:eastAsia="方正小标宋简体"/>
          <w:sz w:val="36"/>
          <w:szCs w:val="36"/>
        </w:rPr>
      </w:pPr>
      <w:r>
        <w:rPr>
          <w:rFonts w:ascii="方正小标宋简体" w:hAnsi="宋体" w:eastAsia="方正小标宋简体"/>
          <w:sz w:val="36"/>
          <w:szCs w:val="36"/>
        </w:rPr>
        <w:br w:type="page"/>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center"/>
        <w:textAlignment w:val="auto"/>
        <w:rPr>
          <w:rFonts w:hint="eastAsia" w:ascii="黑体" w:hAnsi="黑体" w:eastAsia="黑体" w:cs="Times New Roman"/>
          <w:kern w:val="2"/>
          <w:sz w:val="48"/>
          <w:szCs w:val="48"/>
          <w:lang w:val="en-US" w:eastAsia="zh-CN" w:bidi="ar-SA"/>
        </w:rPr>
      </w:pPr>
      <w:r>
        <w:rPr>
          <w:rFonts w:hint="eastAsia" w:ascii="黑体" w:hAnsi="黑体" w:eastAsia="黑体" w:cs="Times New Roman"/>
          <w:kern w:val="2"/>
          <w:sz w:val="44"/>
          <w:szCs w:val="44"/>
          <w:lang w:val="en-US" w:eastAsia="zh-CN" w:bidi="ar-SA"/>
        </w:rPr>
        <w:t>目  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仿宋" w:hAnsi="仿宋" w:eastAsia="仿宋" w:cs="Times New Roman"/>
          <w:kern w:val="2"/>
          <w:sz w:val="24"/>
          <w:szCs w:val="28"/>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kern w:val="2"/>
          <w:sz w:val="24"/>
          <w:szCs w:val="28"/>
          <w:lang w:val="en-US" w:eastAsia="zh-CN" w:bidi="ar-SA"/>
        </w:rPr>
        <w:t>第一部分  攀枝花市西区财政局概况</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420" w:leftChars="0" w:right="0" w:firstLine="0" w:firstLineChars="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职能简介</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420" w:leftChars="0" w:right="0" w:rightChars="0"/>
        <w:jc w:val="left"/>
        <w:textAlignment w:val="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二、</w:t>
      </w:r>
      <w:r>
        <w:rPr>
          <w:rFonts w:hint="eastAsia" w:asciiTheme="minorEastAsia" w:hAnsiTheme="minorEastAsia" w:eastAsiaTheme="minorEastAsia" w:cstheme="minorEastAsia"/>
          <w:kern w:val="2"/>
          <w:sz w:val="24"/>
          <w:szCs w:val="24"/>
          <w:lang w:val="en-US" w:eastAsia="zh-CN" w:bidi="ar-SA"/>
        </w:rPr>
        <w:t>2022年重点工作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仿宋" w:hAnsi="仿宋" w:eastAsia="仿宋" w:cs="Times New Roman"/>
          <w:kern w:val="2"/>
          <w:sz w:val="24"/>
          <w:szCs w:val="28"/>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kern w:val="2"/>
          <w:sz w:val="24"/>
          <w:szCs w:val="28"/>
          <w:lang w:val="en-US" w:eastAsia="zh-CN" w:bidi="ar-SA"/>
        </w:rPr>
        <w:t>第二部分  攀枝花市西区财政局2022年部门预算情况说明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Times New Roman" w:hAnsi="Times New Roman" w:eastAsia="宋体" w:cs="Times New Roman"/>
          <w:kern w:val="2"/>
          <w:sz w:val="24"/>
          <w:szCs w:val="24"/>
          <w:lang w:val="en-US" w:eastAsia="zh-CN" w:bidi="ar-SA"/>
        </w:rPr>
        <w:t>一、收支预算情况说明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二、财政拨款收支预算情况说明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三、一般公共预算当年拨款情况说明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四、一般公共预算基本支出情况说明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五、“三公”经费财政拨款预算安排情况说明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六、政府性基金预算支出情况说明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七、其他重要事项的情况说明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kern w:val="2"/>
          <w:sz w:val="24"/>
          <w:szCs w:val="28"/>
          <w:lang w:val="en-US" w:eastAsia="zh-CN" w:bidi="ar-SA"/>
        </w:rPr>
        <w:t>第三部分  名词解释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kern w:val="2"/>
          <w:sz w:val="24"/>
          <w:szCs w:val="28"/>
          <w:lang w:val="en-US" w:eastAsia="zh-CN" w:bidi="ar-SA"/>
        </w:rPr>
        <w:t>第四部分  附表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Times New Roman" w:hAnsi="Times New Roman" w:eastAsia="宋体" w:cs="Times New Roman"/>
          <w:kern w:val="2"/>
          <w:sz w:val="24"/>
          <w:szCs w:val="24"/>
          <w:lang w:val="en-US" w:eastAsia="zh-CN" w:bidi="ar-SA"/>
        </w:rPr>
        <w:t>一、单位收支总表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二、单位收入总表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三、单位支出总表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四、财政拨款收支预算总表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五、财政拨款支出预算表（部门经济分类科目）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六、一般公共预算支出预算表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七、一般公共预算基本支出预算表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八、一般公共预算项目支出预算表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九、一般公共预算“三公”经费支出预算表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十、政府性基金预算支出预算表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十一、政府性基金预算“三公”经费支出预算表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十二、国有资本经营预算支出预算表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十三、单位预算项目支出绩效目标表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20" w:lineRule="exact"/>
        <w:ind w:left="0" w:right="0" w:firstLine="48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十四、部门整体支出绩效目标表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Times New Roman" w:hAnsi="Times New Roman" w:eastAsia="宋体" w:cs="Times New Roman"/>
          <w:kern w:val="2"/>
          <w:sz w:val="24"/>
          <w:szCs w:val="24"/>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Times New Roman"/>
          <w:b w:val="0"/>
          <w:bCs/>
          <w:kern w:val="44"/>
          <w:sz w:val="44"/>
          <w:szCs w:val="44"/>
          <w:lang w:val="en-US" w:eastAsia="zh-CN" w:bidi="ar-SA"/>
        </w:rPr>
      </w:pPr>
      <w:r>
        <w:rPr>
          <w:rFonts w:hint="eastAsia" w:ascii="黑体" w:hAnsi="黑体" w:eastAsia="黑体" w:cs="Times New Roman"/>
          <w:b w:val="0"/>
          <w:bCs/>
          <w:kern w:val="44"/>
          <w:sz w:val="44"/>
          <w:szCs w:val="44"/>
          <w:lang w:val="en-US" w:eastAsia="zh-CN" w:bidi="ar-SA"/>
        </w:rPr>
        <w:t>第一部分  攀枝花市西区财政局概况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Style w:val="26"/>
          <w:rFonts w:hint="eastAsia" w:ascii="黑体" w:hAnsi="黑体" w:eastAsia="黑体"/>
          <w:b w:val="0"/>
          <w:bCs w:val="0"/>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Style w:val="26"/>
          <w:rFonts w:hint="eastAsia" w:ascii="黑体" w:hAnsi="黑体" w:eastAsia="黑体"/>
          <w:b w:val="0"/>
          <w:bCs w:val="0"/>
          <w:lang w:val="en-US" w:eastAsia="zh-CN" w:bidi="ar-SA"/>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Style w:val="26"/>
          <w:rFonts w:hint="eastAsia" w:ascii="黑体" w:hAnsi="黑体" w:eastAsia="黑体"/>
          <w:b w:val="0"/>
          <w:bCs w:val="0"/>
          <w:lang w:val="en-US" w:eastAsia="zh-CN" w:bidi="ar-SA"/>
        </w:rPr>
        <w:t>一、主要职责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是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二是贯彻执行财政、税收、财务、会计管理的法律法规和规章。负责组织起草地方性财政政策、规范性文件和制度并组织实施。按照管理权限管理全区税政事项。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三是负责管理各项财政收支。编制年度区级预决算草案并组织执行。组织制定经费开支标准、定额，审核批复部门（单位）年度预决算。受区政府委托，向区人大及其常委会报告财政预算、执行和决算等情况。负责政府投资基金区级财政出资的资产管理。负责区级预决算公开。负责全面实施预算绩效管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四是按分工负责政府非税收入管理。负责政府性基金管理，按规定管理行政事业性收费等其他非税收入。管理财政票据。贯彻执行彩票管理政策，制定彩票管理有关办法，监管彩票市场，按规定管理彩票资金。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五是组织制定全区国库管理制度、国库集中收付制度，指导和监督国库业务，按规定开展国库现金管理工作。贯彻执行政府财务报告编制办法并组织实施。监督管理全区政府采购工作。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六是贯彻执行地方政府债务管理制度和政策，制定具体管理办法，编制地方政府债余额限额计划，统一管理政府外债，防范财政风险。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七是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八是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九是负责审核并汇总编制全区社会保险基金预决算草案，会同有关部门拟订有关资金（基金）财务管理制度，承担社会保险基金财政监管工作。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十是负责办理和监督区级财政的经济发展支出、区级政府性投资项目的财政拨款，负责投资评审管理工作，参与拟订区级基建投资有关政策，制定基建财务管理制度。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十一是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十二是管理外国政府和国际金融机构贷（赠）款项目的有关业务，参与财经领域的国际交流与合作。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十三是负责管理全区会计工作，监督和规范会计行为，组织实施国家统一的会计制度，指导社会审计。依法管理资产评估有关工作。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十四是负责职责范围内的安全生产和职业健康、生态环境保护、审批服务便民化等工作。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Style w:val="26"/>
          <w:rFonts w:hint="eastAsia" w:ascii="黑体" w:hAnsi="黑体" w:eastAsia="黑体"/>
          <w:b w:val="0"/>
          <w:bCs w:val="0"/>
          <w:lang w:val="en-US" w:eastAsia="zh-CN" w:bidi="ar-SA"/>
        </w:rPr>
        <w:t>二、2022年重点工作任务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2"/>
          <w:szCs w:val="32"/>
          <w:lang w:val="en-US" w:eastAsia="zh-CN" w:bidi="ar-SA"/>
        </w:rPr>
        <w:t>（一）力争一般公共预算收入完成2.1亿元；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（二）向上争取资金同口径增长5%，力争向上争取财力性补助达到5.5亿元。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（三）深化国资国企改革，进一步明确鼎信集团功能定位，调整优化企业资本结构，拓展经营性业务，做大现金流，实现国有资产保值升值。力争区属国企资产增长 15%以上、资产总额突破 25亿元。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（四）化解政府债务风险，逐步降低政府债务率，确保完成全年存量债务化解目标。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（五）千方百计筹措资金，逐步弥补“三供一业”分离移交、山水林田湖、老工业基地、棚户区改造项目资金缺口。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（六）加大教育、医疗、文化等重点领域民生投入，民生支出占一般公共预算支出稳定在65%以上。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r>
        <w:rPr>
          <w:rFonts w:hint="eastAsia" w:ascii="微软雅黑" w:hAnsi="微软雅黑" w:eastAsia="微软雅黑" w:cs="微软雅黑"/>
          <w:i w:val="0"/>
          <w:iCs w:val="0"/>
          <w:caps w:val="0"/>
          <w:color w:val="000000"/>
          <w:spacing w:val="0"/>
          <w:sz w:val="21"/>
          <w:szCs w:val="21"/>
          <w:shd w:val="clear" w:fill="F8F8F8"/>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b w:val="0"/>
          <w:bCs/>
          <w:kern w:val="44"/>
          <w:sz w:val="44"/>
          <w:szCs w:val="44"/>
          <w:lang w:val="en-US" w:eastAsia="zh-CN" w:bidi="ar-SA"/>
        </w:rPr>
      </w:pPr>
      <w:r>
        <w:rPr>
          <w:rFonts w:hint="eastAsia" w:ascii="黑体" w:hAnsi="黑体" w:eastAsia="黑体" w:cs="黑体"/>
          <w:b w:val="0"/>
          <w:bCs/>
          <w:kern w:val="44"/>
          <w:sz w:val="44"/>
          <w:szCs w:val="44"/>
          <w:lang w:val="en-US" w:eastAsia="zh-CN" w:bidi="ar-SA"/>
        </w:rPr>
        <w:t>第二部分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b w:val="0"/>
          <w:bCs/>
          <w:kern w:val="44"/>
          <w:sz w:val="44"/>
          <w:szCs w:val="44"/>
          <w:lang w:val="en-US" w:eastAsia="zh-CN" w:bidi="ar-SA"/>
        </w:rPr>
      </w:pPr>
      <w:r>
        <w:rPr>
          <w:rFonts w:hint="eastAsia" w:ascii="黑体" w:hAnsi="黑体" w:eastAsia="黑体" w:cs="黑体"/>
          <w:b w:val="0"/>
          <w:bCs/>
          <w:kern w:val="44"/>
          <w:sz w:val="44"/>
          <w:szCs w:val="44"/>
          <w:lang w:val="en-US" w:eastAsia="zh-CN" w:bidi="ar-SA"/>
        </w:rPr>
        <w:t>攀枝花市西区财政局2022年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Times New Roman"/>
          <w:b w:val="0"/>
          <w:bCs/>
          <w:kern w:val="44"/>
          <w:sz w:val="44"/>
          <w:szCs w:val="44"/>
          <w:lang w:val="en-US" w:eastAsia="zh-CN" w:bidi="ar-SA"/>
        </w:rPr>
      </w:pPr>
      <w:r>
        <w:rPr>
          <w:rFonts w:hint="eastAsia" w:ascii="黑体" w:hAnsi="黑体" w:eastAsia="黑体" w:cs="黑体"/>
          <w:b w:val="0"/>
          <w:bCs/>
          <w:kern w:val="44"/>
          <w:sz w:val="44"/>
          <w:szCs w:val="44"/>
          <w:lang w:val="en-US" w:eastAsia="zh-CN" w:bidi="ar-SA"/>
        </w:rPr>
        <w:t>部门预算情况说明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Style w:val="26"/>
          <w:rFonts w:hint="eastAsia" w:ascii="黑体" w:hAnsi="黑体" w:eastAsia="黑体"/>
          <w:b w:val="0"/>
          <w:bCs w:val="0"/>
          <w:lang w:val="en-US" w:eastAsia="zh-CN" w:bidi="ar-SA"/>
        </w:rPr>
        <w:t>　一、收支预算总体情况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2"/>
          <w:szCs w:val="32"/>
          <w:lang w:val="en-US" w:eastAsia="zh-CN" w:bidi="ar-SA"/>
        </w:rPr>
        <w:t>（一）收入预算情况。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2022年，收入预算221.13万元，其中：一般公共预算收入136.13万元，占61.56%；政府性基金预算收入85万元，占38.44%。</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0"/>
          <w:szCs w:val="30"/>
          <w:lang w:val="en-US" w:eastAsia="zh-CN" w:bidi="ar-SA"/>
        </w:rPr>
        <w:t>（二）支出预算情况。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_GB2312" w:hAnsi="仿宋" w:eastAsia="仿宋_GB2312" w:cs="Times New Roman"/>
          <w:kern w:val="2"/>
          <w:sz w:val="32"/>
          <w:szCs w:val="32"/>
          <w:lang w:val="en-US" w:eastAsia="zh-CN" w:bidi="ar-SA"/>
        </w:rPr>
        <w:t>2022年，支出预算221.13万元，其中：基本支出136.13万元，占61.56%；项目支出85万元，占38.44%。</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_GB2312" w:hAnsi="仿宋" w:eastAsia="仿宋_GB2312" w:cs="Times New Roman"/>
          <w:kern w:val="2"/>
          <w:sz w:val="32"/>
          <w:szCs w:val="32"/>
          <w:lang w:val="en-US" w:eastAsia="zh-CN" w:bidi="ar-SA"/>
        </w:rPr>
        <w:t>　单位预算安排支出主要用于基本支出和项目支出。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基本支出，是用于保障人员工资及社保、公积金等。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项目支出，是用于保障绩效评价体系建设、金财网络运行及财政软件及业务工作的正常运转。</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按支出功能分类主要用于以下方面支出：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1.一般公共服务支出107.02万元，主要用于人员工资及津贴补贴、基本公用等；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2.社会保障和就业支出8.61万元，主要用于机关人员基本养老保险；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3.医疗卫生支出8.27万元，主要用于公务员医疗补助及基本医疗保险；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4.住房保障支出12.23万元，主要用于职工公积金；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Style w:val="26"/>
          <w:rFonts w:hint="eastAsia" w:ascii="黑体" w:hAnsi="黑体" w:eastAsia="黑体"/>
          <w:b w:val="0"/>
          <w:bCs w:val="0"/>
          <w:lang w:val="en-US" w:eastAsia="zh-CN" w:bidi="ar-SA"/>
        </w:rPr>
        <w:t>二、财政拨款收支预算情况说明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Times New Roman"/>
          <w:kern w:val="2"/>
          <w:sz w:val="32"/>
          <w:szCs w:val="32"/>
          <w:lang w:val="en-US" w:eastAsia="zh-CN" w:bidi="ar-SA"/>
        </w:rPr>
        <w:t>2022年，财政拨款收支总预算221.13万元：本年一般公共预算拨款收入136.13万元、本年政府性基金预算拨款收入85万元；支出包括：一般公共服务支出107.02万元、医疗卫生支出8.27万元、社会保障和就业支出8.61万元，住房保障支出12.23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Style w:val="26"/>
          <w:rFonts w:hint="eastAsia" w:ascii="黑体" w:hAnsi="黑体" w:eastAsia="黑体"/>
          <w:b w:val="0"/>
          <w:bCs w:val="0"/>
          <w:lang w:val="en-US" w:eastAsia="zh-CN" w:bidi="ar-SA"/>
        </w:rPr>
        <w:t>三、一般公共预算当年拨款情况说明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0"/>
          <w:szCs w:val="30"/>
          <w:lang w:val="en-US" w:eastAsia="zh-CN" w:bidi="ar-SA"/>
        </w:rPr>
        <w:t>（一）一般公共预算当年拨款规模变化情况。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_GB2312" w:hAnsi="仿宋" w:eastAsia="仿宋_GB2312" w:cs="Times New Roman"/>
          <w:kern w:val="2"/>
          <w:sz w:val="32"/>
          <w:szCs w:val="32"/>
          <w:lang w:val="en-US" w:eastAsia="zh-CN" w:bidi="ar-SA"/>
        </w:rPr>
        <w:t>2022年，一般公共预算当年拨款136.13万元，比2021年预算数减少9.48万元，主要原因是机关人员考出单位，人员减少所致。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0"/>
          <w:szCs w:val="30"/>
          <w:lang w:val="en-US" w:eastAsia="zh-CN" w:bidi="ar-SA"/>
        </w:rPr>
        <w:t>（二）一般公共预算当年拨款结构情况。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Times New Roman"/>
          <w:kern w:val="2"/>
          <w:sz w:val="32"/>
          <w:szCs w:val="32"/>
          <w:lang w:val="en-US" w:eastAsia="zh-CN" w:bidi="ar-SA"/>
        </w:rPr>
        <w:t>一般公共服务支出107.02万元、社会保障和就业支出8.61万元、医疗卫生支出8.27万元、住房保障支出12.23万元。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Style w:val="26"/>
          <w:rFonts w:hint="eastAsia" w:ascii="黑体" w:hAnsi="黑体" w:eastAsia="黑体"/>
          <w:b w:val="0"/>
          <w:bCs w:val="0"/>
          <w:lang w:val="en-US" w:eastAsia="zh-CN" w:bidi="ar-SA"/>
        </w:rPr>
        <w:t>　 四、一般公共预算基本支出情况说明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42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_GB2312" w:hAnsi="仿宋" w:eastAsia="仿宋_GB2312" w:cs="Times New Roman"/>
          <w:kern w:val="2"/>
          <w:sz w:val="32"/>
          <w:szCs w:val="32"/>
          <w:lang w:val="en-US" w:eastAsia="zh-CN" w:bidi="ar-SA"/>
        </w:rPr>
        <w:t>2022年，一般公共预算基本支出136.13万元，其中：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人员经费120.92万元，主要包括：人员基本工资53.19万元，津贴补贴26.31万元，基本养老保险8.61万元，公积金12.23万元，基本医疗保险8.26万元，离退休费2.45万元，奖金2.26万元，在职人员应休未休年休假报酬3.64万元，其他工资福利支出3.97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公用经费15.21万元，主要包括：差旅费2.8万元，办公费2.1万元，其他交通费用5.82万元，工会会费1.19万元，党建费0.14万元，公务接待费1.36万元，福利费0.41万元，离退休人员公用经费0.12万元，聘用人员公用经费0.04万元，聘用人员工会经费0.04万元，离退休人员公用支出福利费0.26万元，电费0.56万元，水费0.28万元，离退休人员党建经费0.09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Style w:val="26"/>
          <w:rFonts w:hint="eastAsia" w:ascii="黑体" w:hAnsi="黑体" w:eastAsia="黑体"/>
          <w:b w:val="0"/>
          <w:bCs w:val="0"/>
          <w:lang w:val="en-US" w:eastAsia="zh-CN" w:bidi="ar-SA"/>
        </w:rPr>
        <w:t>五、“三公”经费财政拨款预算安排情况说明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_GB2312" w:hAnsi="仿宋" w:eastAsia="仿宋_GB2312" w:cs="Times New Roman"/>
          <w:kern w:val="2"/>
          <w:sz w:val="32"/>
          <w:szCs w:val="32"/>
          <w:lang w:val="en-US" w:eastAsia="zh-CN" w:bidi="ar-SA"/>
        </w:rPr>
        <w:t>2022年，“三公”经费财政拨款预算数1.36万元，其中：因公出国（境）经费0万元、公务接待费1.36万元、公务用车购置及运行维护费0万元。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hint="eastAsia"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（一）因公出国（境）经费2021年预算为0万元，2022年预算为0万元。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hint="eastAsia"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（二）公务接待费2021年预算1.36万元，2022年为1.36万元，无变化。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　　（三）公务用车改革后，机关无车辆。无运行维护费。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_GB2312" w:hAnsi="仿宋" w:eastAsia="仿宋_GB2312" w:cs="Times New Roman"/>
          <w:kern w:val="2"/>
          <w:sz w:val="32"/>
          <w:szCs w:val="32"/>
          <w:lang w:val="en-US" w:eastAsia="zh-CN" w:bidi="ar-SA"/>
        </w:rPr>
        <w:t>单位现有公务用车0辆，其中：轿车（含7座以下商务车、城市越野车）0辆，7座以上19座（含19座）以下客车0辆，越野车0辆，货车及19座以上客车0辆，摩托车0辆。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2022年，安排公务用车购置费0万元，购置公务用车0辆，其中：轿车（含7座以下商务车、城市越野车）0辆，7座以上19座（含19座）以下客车0辆，越野车0辆，货车及19座以上客车0辆，摩托车0辆。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2022年，安排公务用车运行维护费0万元。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Style w:val="26"/>
          <w:rFonts w:hint="eastAsia" w:ascii="黑体" w:hAnsi="黑体" w:eastAsia="黑体"/>
          <w:b w:val="0"/>
          <w:bCs w:val="0"/>
          <w:lang w:val="en-US" w:eastAsia="zh-CN" w:bidi="ar-SA"/>
        </w:rPr>
        <w:t>六、政府性基金预算支出情况说明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_GB2312" w:hAnsi="仿宋" w:eastAsia="仿宋_GB2312" w:cs="Times New Roman"/>
          <w:kern w:val="2"/>
          <w:sz w:val="32"/>
          <w:szCs w:val="32"/>
          <w:lang w:val="en-US" w:eastAsia="zh-CN" w:bidi="ar-SA"/>
        </w:rPr>
        <w:t>2022年，政府性基金预算支出85万元，其中：基本支出0万元，项目支出85万元。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Style w:val="26"/>
          <w:rFonts w:hint="eastAsia" w:ascii="黑体" w:hAnsi="黑体" w:eastAsia="黑体"/>
          <w:b w:val="0"/>
          <w:bCs w:val="0"/>
          <w:lang w:val="en-US" w:eastAsia="zh-CN" w:bidi="ar-SA"/>
        </w:rPr>
        <w:t>　七、其他重要事项的情况说明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0"/>
          <w:szCs w:val="30"/>
          <w:lang w:val="en-US" w:eastAsia="zh-CN" w:bidi="ar-SA"/>
        </w:rPr>
        <w:t>（一）机关运行经费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2022年，机关运行经费财政拨款预算为15.21万元，比2021年预算减少0.95万元，下降7.06%。包括：主要是机关人员减少。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0"/>
          <w:szCs w:val="30"/>
          <w:lang w:val="en-US" w:eastAsia="zh-CN" w:bidi="ar-SA"/>
        </w:rPr>
        <w:t>（二）政府采购情况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_GB2312" w:hAnsi="仿宋" w:eastAsia="仿宋_GB2312" w:cs="Times New Roman"/>
          <w:kern w:val="2"/>
          <w:sz w:val="32"/>
          <w:szCs w:val="32"/>
          <w:lang w:val="en-US" w:eastAsia="zh-CN" w:bidi="ar-SA"/>
        </w:rPr>
        <w:t>2022年，安排政府采购预算0万元；政府采购工程预算0万元；政府购买服务预算0万元。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0"/>
          <w:szCs w:val="30"/>
          <w:lang w:val="en-US" w:eastAsia="zh-CN" w:bidi="ar-SA"/>
        </w:rPr>
        <w:t>（三）国有资产占有使用情况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_GB2312" w:hAnsi="仿宋" w:eastAsia="仿宋_GB2312" w:cs="Times New Roman"/>
          <w:kern w:val="2"/>
          <w:sz w:val="32"/>
          <w:szCs w:val="32"/>
          <w:lang w:val="en-US" w:eastAsia="zh-CN" w:bidi="ar-SA"/>
        </w:rPr>
        <w:t>　截至2021年底，共有车辆0辆；单价50万元以上通用设备0台（套），单价100万元以上专用设备0台（套）。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Times New Roman"/>
          <w:b/>
          <w:kern w:val="2"/>
          <w:sz w:val="30"/>
          <w:szCs w:val="30"/>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0"/>
          <w:szCs w:val="30"/>
          <w:lang w:val="en-US" w:eastAsia="zh-CN" w:bidi="ar-SA"/>
        </w:rPr>
        <w:t>（四）绩效目标设置情况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_GB2312" w:hAnsi="仿宋" w:eastAsia="仿宋_GB2312" w:cs="Times New Roman"/>
          <w:kern w:val="2"/>
          <w:sz w:val="32"/>
          <w:szCs w:val="32"/>
          <w:lang w:val="en-US" w:eastAsia="zh-CN" w:bidi="ar-SA"/>
        </w:rPr>
        <w:t>　2022年，单位整体支出及预算批复项目均按要求实行绩效目标管理，涉及项目资金共计85万元，其中，财政软件及业务经费项目30万元、绩效评价体系建设项目25万元、全区金财网和等保测评项目30万元。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r>
        <w:rPr>
          <w:rFonts w:hint="eastAsia" w:ascii="微软雅黑" w:hAnsi="微软雅黑" w:eastAsia="微软雅黑" w:cs="微软雅黑"/>
          <w:i w:val="0"/>
          <w:iCs w:val="0"/>
          <w:caps w:val="0"/>
          <w:color w:val="000000"/>
          <w:spacing w:val="0"/>
          <w:sz w:val="21"/>
          <w:szCs w:val="21"/>
          <w:shd w:val="clear" w:fill="F8F8F8"/>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b w:val="0"/>
          <w:bCs/>
          <w:kern w:val="44"/>
          <w:sz w:val="44"/>
          <w:szCs w:val="44"/>
          <w:lang w:val="en-US" w:eastAsia="zh-CN" w:bidi="ar-SA"/>
        </w:rPr>
      </w:pPr>
      <w:r>
        <w:rPr>
          <w:rFonts w:hint="eastAsia" w:ascii="黑体" w:hAnsi="黑体" w:eastAsia="黑体" w:cs="黑体"/>
          <w:b w:val="0"/>
          <w:bCs/>
          <w:kern w:val="44"/>
          <w:sz w:val="44"/>
          <w:szCs w:val="44"/>
          <w:lang w:val="en-US" w:eastAsia="zh-CN" w:bidi="ar-SA"/>
        </w:rPr>
        <w:t>第三部分  名词解释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_GB2312" w:hAnsi="仿宋" w:eastAsia="仿宋_GB2312" w:cs="Times New Roman"/>
          <w:kern w:val="2"/>
          <w:sz w:val="32"/>
          <w:szCs w:val="32"/>
          <w:lang w:val="en-US" w:eastAsia="zh-CN" w:bidi="ar-SA"/>
        </w:rPr>
        <w:t>1.财政拨款：指由一般公共预算、政府性基金预算安排的财政拨款数。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2.一般公共预算：包括公共财政拨款（补助）资金、专项收入。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3.基本支出：包括人员经费、商品和服务支出（定额）。其中，人员经费包括工资福利支出、对个人和家庭的补助。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4.项目支出：包括编入部门预算的单位运转性项目、政府专项资金项目的支出安排数。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_GB2312" w:hAnsi="仿宋" w:eastAsia="仿宋_GB2312" w:cs="Times New Roman"/>
          <w:kern w:val="2"/>
          <w:sz w:val="32"/>
          <w:szCs w:val="32"/>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r>
        <w:rPr>
          <w:rFonts w:hint="eastAsia" w:ascii="微软雅黑" w:hAnsi="微软雅黑" w:eastAsia="微软雅黑" w:cs="微软雅黑"/>
          <w:i w:val="0"/>
          <w:iCs w:val="0"/>
          <w:caps w:val="0"/>
          <w:color w:val="000000"/>
          <w:spacing w:val="0"/>
          <w:sz w:val="21"/>
          <w:szCs w:val="21"/>
          <w:shd w:val="clear" w:fill="F8F8F8"/>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44"/>
          <w:szCs w:val="44"/>
        </w:rPr>
      </w:pPr>
      <w:bookmarkStart w:id="12" w:name="_GoBack"/>
      <w:bookmarkEnd w:id="12"/>
      <w:r>
        <w:rPr>
          <w:rFonts w:hint="eastAsia" w:ascii="黑体" w:hAnsi="黑体" w:eastAsia="黑体" w:cs="黑体"/>
          <w:i w:val="0"/>
          <w:iCs w:val="0"/>
          <w:caps w:val="0"/>
          <w:color w:val="000000"/>
          <w:spacing w:val="0"/>
          <w:sz w:val="44"/>
          <w:szCs w:val="44"/>
          <w:shd w:val="clear" w:fill="F8F8F8"/>
        </w:rPr>
        <w:t>第四部分  附表</w:t>
      </w:r>
    </w:p>
    <w:p>
      <w:pPr>
        <w:keepNext w:val="0"/>
        <w:keepLines w:val="0"/>
        <w:pageBreakBefore w:val="0"/>
        <w:kinsoku/>
        <w:wordWrap/>
        <w:overflowPunct/>
        <w:topLinePunct w:val="0"/>
        <w:autoSpaceDE/>
        <w:autoSpaceDN/>
        <w:bidi w:val="0"/>
        <w:adjustRightInd/>
        <w:snapToGrid/>
        <w:spacing w:line="600" w:lineRule="exact"/>
        <w:textAlignment w:val="auto"/>
        <w:rPr>
          <w:rFonts w:eastAsia="仿宋"/>
        </w:rPr>
      </w:pPr>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58C95"/>
    <w:multiLevelType w:val="singleLevel"/>
    <w:tmpl w:val="22158C95"/>
    <w:lvl w:ilvl="0" w:tentative="0">
      <w:start w:val="1"/>
      <w:numFmt w:val="chineseCounting"/>
      <w:suff w:val="nothing"/>
      <w:lvlText w:val="%1、"/>
      <w:lvlJc w:val="left"/>
      <w:pPr>
        <w:ind w:left="4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2MDBhMTg0NGQ0ZDhiYjZhYzkzMDkxY2NjOGVhMWEifQ=="/>
  </w:docVars>
  <w:rsids>
    <w:rsidRoot w:val="00F1361C"/>
    <w:rsid w:val="000222C6"/>
    <w:rsid w:val="0002549F"/>
    <w:rsid w:val="000468DB"/>
    <w:rsid w:val="0006487A"/>
    <w:rsid w:val="00065F8F"/>
    <w:rsid w:val="00070A43"/>
    <w:rsid w:val="000768F2"/>
    <w:rsid w:val="0009184B"/>
    <w:rsid w:val="00094236"/>
    <w:rsid w:val="0009593C"/>
    <w:rsid w:val="00097322"/>
    <w:rsid w:val="000A0E95"/>
    <w:rsid w:val="000A6A92"/>
    <w:rsid w:val="000B047F"/>
    <w:rsid w:val="000B5923"/>
    <w:rsid w:val="000B5A48"/>
    <w:rsid w:val="000B6FF3"/>
    <w:rsid w:val="000C3467"/>
    <w:rsid w:val="000C3CA6"/>
    <w:rsid w:val="000C5197"/>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1219"/>
    <w:rsid w:val="00220536"/>
    <w:rsid w:val="00230ECD"/>
    <w:rsid w:val="00235629"/>
    <w:rsid w:val="00260C38"/>
    <w:rsid w:val="002616C0"/>
    <w:rsid w:val="002632C1"/>
    <w:rsid w:val="00265372"/>
    <w:rsid w:val="002662AA"/>
    <w:rsid w:val="00280496"/>
    <w:rsid w:val="00284BD0"/>
    <w:rsid w:val="00294DC9"/>
    <w:rsid w:val="00295495"/>
    <w:rsid w:val="002A31DE"/>
    <w:rsid w:val="002A44A6"/>
    <w:rsid w:val="002B2613"/>
    <w:rsid w:val="002D223F"/>
    <w:rsid w:val="002D6D05"/>
    <w:rsid w:val="002F1818"/>
    <w:rsid w:val="002F567B"/>
    <w:rsid w:val="003216A9"/>
    <w:rsid w:val="00335A74"/>
    <w:rsid w:val="0036561B"/>
    <w:rsid w:val="0037013F"/>
    <w:rsid w:val="003764CF"/>
    <w:rsid w:val="00377824"/>
    <w:rsid w:val="00380C92"/>
    <w:rsid w:val="00393EB6"/>
    <w:rsid w:val="003A484F"/>
    <w:rsid w:val="003A4883"/>
    <w:rsid w:val="003A5754"/>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53BCE"/>
    <w:rsid w:val="00471401"/>
    <w:rsid w:val="00473F31"/>
    <w:rsid w:val="0048263A"/>
    <w:rsid w:val="0048542F"/>
    <w:rsid w:val="00487E5D"/>
    <w:rsid w:val="004A711F"/>
    <w:rsid w:val="004B199D"/>
    <w:rsid w:val="004B4690"/>
    <w:rsid w:val="004E0A2D"/>
    <w:rsid w:val="004E206B"/>
    <w:rsid w:val="004E6DF7"/>
    <w:rsid w:val="004F0FBD"/>
    <w:rsid w:val="00505A47"/>
    <w:rsid w:val="00512FDA"/>
    <w:rsid w:val="00520DA0"/>
    <w:rsid w:val="005232E2"/>
    <w:rsid w:val="00525DE3"/>
    <w:rsid w:val="005664BB"/>
    <w:rsid w:val="00566FFA"/>
    <w:rsid w:val="00573520"/>
    <w:rsid w:val="0057481D"/>
    <w:rsid w:val="0058486E"/>
    <w:rsid w:val="00585B33"/>
    <w:rsid w:val="0059014D"/>
    <w:rsid w:val="005B5C64"/>
    <w:rsid w:val="005C5337"/>
    <w:rsid w:val="005C6BD0"/>
    <w:rsid w:val="005D1C8B"/>
    <w:rsid w:val="005D468D"/>
    <w:rsid w:val="005D5CED"/>
    <w:rsid w:val="005F1A4C"/>
    <w:rsid w:val="005F4330"/>
    <w:rsid w:val="00605688"/>
    <w:rsid w:val="006070AF"/>
    <w:rsid w:val="00607E6C"/>
    <w:rsid w:val="006101B1"/>
    <w:rsid w:val="00614E44"/>
    <w:rsid w:val="0062270A"/>
    <w:rsid w:val="00622830"/>
    <w:rsid w:val="00623DA0"/>
    <w:rsid w:val="00626C17"/>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36F9"/>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4A3F"/>
    <w:rsid w:val="00855221"/>
    <w:rsid w:val="00860645"/>
    <w:rsid w:val="00871F71"/>
    <w:rsid w:val="00872FD8"/>
    <w:rsid w:val="00885AF4"/>
    <w:rsid w:val="008939CD"/>
    <w:rsid w:val="008A06B8"/>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329F"/>
    <w:rsid w:val="00954C49"/>
    <w:rsid w:val="00955E37"/>
    <w:rsid w:val="0096243E"/>
    <w:rsid w:val="0097099F"/>
    <w:rsid w:val="00971997"/>
    <w:rsid w:val="00971FFC"/>
    <w:rsid w:val="00973651"/>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1F8F"/>
    <w:rsid w:val="00AB64C9"/>
    <w:rsid w:val="00AC00C4"/>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181D"/>
    <w:rsid w:val="00B425E0"/>
    <w:rsid w:val="00B440AA"/>
    <w:rsid w:val="00B44B70"/>
    <w:rsid w:val="00B53C56"/>
    <w:rsid w:val="00B57DAF"/>
    <w:rsid w:val="00B77EA6"/>
    <w:rsid w:val="00B81598"/>
    <w:rsid w:val="00B83DB9"/>
    <w:rsid w:val="00B841F1"/>
    <w:rsid w:val="00B944D6"/>
    <w:rsid w:val="00B968D7"/>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7911"/>
    <w:rsid w:val="00C84BEE"/>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119D"/>
    <w:rsid w:val="00D94087"/>
    <w:rsid w:val="00DA634F"/>
    <w:rsid w:val="00DA65AC"/>
    <w:rsid w:val="00DB1913"/>
    <w:rsid w:val="00DC410D"/>
    <w:rsid w:val="00DC5A81"/>
    <w:rsid w:val="00DC68CA"/>
    <w:rsid w:val="00DC7CBA"/>
    <w:rsid w:val="00DD73B7"/>
    <w:rsid w:val="00DF28BC"/>
    <w:rsid w:val="00DF34B9"/>
    <w:rsid w:val="00E01053"/>
    <w:rsid w:val="00E07ACF"/>
    <w:rsid w:val="00E26A1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23A9"/>
    <w:rsid w:val="00F45853"/>
    <w:rsid w:val="00F602DF"/>
    <w:rsid w:val="00F66FD9"/>
    <w:rsid w:val="00F754A1"/>
    <w:rsid w:val="00F81FD9"/>
    <w:rsid w:val="00F841AA"/>
    <w:rsid w:val="00F84A94"/>
    <w:rsid w:val="00F87E96"/>
    <w:rsid w:val="00FA23E8"/>
    <w:rsid w:val="00FD1A0F"/>
    <w:rsid w:val="00FD3CC1"/>
    <w:rsid w:val="00FF1E02"/>
    <w:rsid w:val="00FF30B4"/>
    <w:rsid w:val="010843B8"/>
    <w:rsid w:val="06E31716"/>
    <w:rsid w:val="0A2032A3"/>
    <w:rsid w:val="0B8A37D8"/>
    <w:rsid w:val="0BE0446D"/>
    <w:rsid w:val="0CD73E00"/>
    <w:rsid w:val="10C055FF"/>
    <w:rsid w:val="118107EC"/>
    <w:rsid w:val="11950978"/>
    <w:rsid w:val="11DD6519"/>
    <w:rsid w:val="126F08F1"/>
    <w:rsid w:val="16BB723D"/>
    <w:rsid w:val="18015F3F"/>
    <w:rsid w:val="1B882A24"/>
    <w:rsid w:val="1BE8440E"/>
    <w:rsid w:val="1CB710C0"/>
    <w:rsid w:val="1D155CEE"/>
    <w:rsid w:val="1F10055E"/>
    <w:rsid w:val="20395134"/>
    <w:rsid w:val="20F57F95"/>
    <w:rsid w:val="21102020"/>
    <w:rsid w:val="23AB3D0B"/>
    <w:rsid w:val="240371BF"/>
    <w:rsid w:val="25C741E6"/>
    <w:rsid w:val="27842671"/>
    <w:rsid w:val="281D44F4"/>
    <w:rsid w:val="29FD04D3"/>
    <w:rsid w:val="2ABE7A3E"/>
    <w:rsid w:val="2D8E17DF"/>
    <w:rsid w:val="2EFA178C"/>
    <w:rsid w:val="2FD85AF7"/>
    <w:rsid w:val="307A0735"/>
    <w:rsid w:val="30B46D73"/>
    <w:rsid w:val="319F7F4E"/>
    <w:rsid w:val="39AE70AB"/>
    <w:rsid w:val="3C0C0783"/>
    <w:rsid w:val="3C3D6F54"/>
    <w:rsid w:val="3CE65D2B"/>
    <w:rsid w:val="3DCA2365"/>
    <w:rsid w:val="3DCC536F"/>
    <w:rsid w:val="3F9F3A96"/>
    <w:rsid w:val="47A95F9F"/>
    <w:rsid w:val="493C27E9"/>
    <w:rsid w:val="496F39ED"/>
    <w:rsid w:val="49FF41D3"/>
    <w:rsid w:val="4A227A1C"/>
    <w:rsid w:val="4BE068DB"/>
    <w:rsid w:val="4BF6002B"/>
    <w:rsid w:val="4ECE2238"/>
    <w:rsid w:val="4FD27944"/>
    <w:rsid w:val="50684D28"/>
    <w:rsid w:val="509C774A"/>
    <w:rsid w:val="51DB4B86"/>
    <w:rsid w:val="55333C3E"/>
    <w:rsid w:val="55945173"/>
    <w:rsid w:val="5C0450D3"/>
    <w:rsid w:val="61665FE8"/>
    <w:rsid w:val="64A137DB"/>
    <w:rsid w:val="64CA39A1"/>
    <w:rsid w:val="6722754E"/>
    <w:rsid w:val="6C4A05C8"/>
    <w:rsid w:val="72734D90"/>
    <w:rsid w:val="73D77CCE"/>
    <w:rsid w:val="74161AF0"/>
    <w:rsid w:val="74357F8F"/>
    <w:rsid w:val="76FC1502"/>
    <w:rsid w:val="789C79A5"/>
    <w:rsid w:val="79E7B28D"/>
    <w:rsid w:val="7D713DC1"/>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12</Pages>
  <Words>3834</Words>
  <Characters>4113</Characters>
  <Lines>77</Lines>
  <Paragraphs>21</Paragraphs>
  <TotalTime>1</TotalTime>
  <ScaleCrop>false</ScaleCrop>
  <LinksUpToDate>false</LinksUpToDate>
  <CharactersWithSpaces>4295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2022-09-21T03:54:00Z</cp:lastPrinted>
  <dcterms:modified xsi:type="dcterms:W3CDTF">2023-10-11T01:39:02Z</dcterms:modified>
  <dc:title>四川省***</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D6041E2DC1F64342BCBD384BF75945C3</vt:lpwstr>
  </property>
</Properties>
</file>