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8441"/>
      <w:bookmarkStart w:id="2" w:name="_Toc15396597"/>
      <w:bookmarkStart w:id="3" w:name="_Toc1539647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tabs>
          <w:tab w:val="center" w:pos="4213"/>
          <w:tab w:val="right" w:pos="8306"/>
        </w:tabs>
        <w:adjustRightInd w:val="0"/>
        <w:snapToGrid w:val="0"/>
        <w:spacing w:line="360" w:lineRule="auto"/>
        <w:jc w:val="left"/>
        <w:outlineLvl w:val="0"/>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ab/>
      </w: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r>
        <w:rPr>
          <w:rFonts w:hint="eastAsia" w:ascii="方正小标宋简体" w:hAnsi="方正小标宋简体" w:eastAsia="方正小标宋简体" w:cs="方正小标宋简体"/>
          <w:sz w:val="72"/>
          <w:szCs w:val="72"/>
          <w:lang w:eastAsia="zh-CN"/>
        </w:rPr>
        <w:tab/>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426"/>
      <w:bookmarkStart w:id="8" w:name="_Toc15377194"/>
      <w:bookmarkStart w:id="9" w:name="_Toc15378442"/>
      <w:bookmarkStart w:id="10" w:name="_Toc1539647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攀枝花市西区格里坪镇人民政府</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w:t>
      </w:r>
      <w:r>
        <w:rPr>
          <w:rFonts w:hint="eastAsia"/>
          <w:lang w:val="en-US" w:eastAsia="zh-CN"/>
        </w:rPr>
        <w:t>9</w:t>
      </w:r>
      <w:r>
        <w:rPr>
          <w:rFonts w:hint="eastAsia"/>
        </w:rPr>
        <w:t>月29日</w:t>
      </w:r>
    </w:p>
    <w:p/>
    <w:p>
      <w:pPr>
        <w:pStyle w:val="12"/>
        <w:adjustRightInd w:val="0"/>
        <w:snapToGrid w:val="0"/>
        <w:spacing w:line="440" w:lineRule="exact"/>
        <w:jc w:val="left"/>
        <w:rPr>
          <w:rFonts w:hint="default"/>
          <w:sz w:val="24"/>
          <w:lang w:val="en-US" w:eastAsia="zh-CN"/>
        </w:rPr>
      </w:pPr>
      <w:r>
        <w:rPr>
          <w:rFonts w:hint="eastAsia"/>
          <w:sz w:val="24"/>
        </w:rPr>
        <w:t xml:space="preserve">第一部分 </w:t>
      </w:r>
      <w:r>
        <w:rPr>
          <w:rFonts w:hint="eastAsia"/>
          <w:sz w:val="24"/>
        </w:rPr>
        <w:t>部门概况</w:t>
      </w:r>
      <w:r>
        <w:rPr>
          <w:rFonts w:hint="eastAsia"/>
          <w:sz w:val="24"/>
          <w:lang w:val="en-US" w:eastAsia="zh-CN"/>
        </w:rPr>
        <w:t>.....................................................................4</w:t>
      </w:r>
    </w:p>
    <w:p>
      <w:pPr>
        <w:pStyle w:val="12"/>
        <w:adjustRightInd w:val="0"/>
        <w:snapToGrid w:val="0"/>
        <w:spacing w:line="440" w:lineRule="exact"/>
        <w:jc w:val="left"/>
        <w:rPr>
          <w:rFonts w:hint="default"/>
          <w:sz w:val="24"/>
          <w:lang w:val="en-US" w:eastAsia="zh-CN"/>
        </w:rPr>
      </w:pPr>
      <w:r>
        <w:rPr>
          <w:rFonts w:hint="eastAsia"/>
          <w:sz w:val="24"/>
        </w:rPr>
        <w:t>一、基本职能及主要工作</w:t>
      </w:r>
      <w:r>
        <w:rPr>
          <w:rFonts w:hint="eastAsia"/>
          <w:sz w:val="24"/>
          <w:lang w:val="en-US" w:eastAsia="zh-CN"/>
        </w:rPr>
        <w:t>...........................................................4</w:t>
      </w:r>
    </w:p>
    <w:p>
      <w:pPr>
        <w:pStyle w:val="12"/>
        <w:adjustRightInd w:val="0"/>
        <w:snapToGrid w:val="0"/>
        <w:spacing w:line="440" w:lineRule="exact"/>
        <w:jc w:val="left"/>
        <w:rPr>
          <w:rFonts w:hint="default"/>
          <w:sz w:val="24"/>
          <w:lang w:val="en-US" w:eastAsia="zh-CN"/>
        </w:rPr>
      </w:pPr>
      <w:r>
        <w:rPr>
          <w:rFonts w:hint="eastAsia"/>
          <w:sz w:val="24"/>
        </w:rPr>
        <w:t>二、机构设置</w:t>
      </w:r>
      <w:r>
        <w:rPr>
          <w:rFonts w:hint="eastAsia"/>
          <w:sz w:val="24"/>
          <w:lang w:val="en-US" w:eastAsia="zh-CN"/>
        </w:rPr>
        <w:t>...............................................................................9</w:t>
      </w:r>
    </w:p>
    <w:p>
      <w:pPr>
        <w:pStyle w:val="12"/>
        <w:adjustRightInd w:val="0"/>
        <w:snapToGrid w:val="0"/>
        <w:spacing w:line="440" w:lineRule="exact"/>
        <w:jc w:val="left"/>
        <w:rPr>
          <w:rFonts w:hint="default"/>
          <w:sz w:val="24"/>
          <w:lang w:val="en-US" w:eastAsia="zh-CN"/>
        </w:rPr>
      </w:pPr>
      <w:r>
        <w:rPr>
          <w:rFonts w:hint="eastAsia"/>
          <w:sz w:val="24"/>
        </w:rPr>
        <w:t>第二部分 2021年度部门决算情况说明</w:t>
      </w:r>
      <w:r>
        <w:rPr>
          <w:rFonts w:hint="eastAsia"/>
          <w:sz w:val="24"/>
          <w:lang w:val="en-US" w:eastAsia="zh-CN"/>
        </w:rPr>
        <w:t>...................................10</w:t>
      </w:r>
    </w:p>
    <w:p>
      <w:pPr>
        <w:pStyle w:val="12"/>
        <w:adjustRightInd w:val="0"/>
        <w:snapToGrid w:val="0"/>
        <w:spacing w:line="440" w:lineRule="exact"/>
        <w:jc w:val="left"/>
        <w:rPr>
          <w:rFonts w:hint="default"/>
          <w:sz w:val="24"/>
          <w:lang w:val="en-US" w:eastAsia="zh-CN"/>
        </w:rPr>
      </w:pPr>
      <w:r>
        <w:rPr>
          <w:rFonts w:hint="eastAsia"/>
          <w:sz w:val="24"/>
        </w:rPr>
        <w:t>一、收入支出决算总体情况说明</w:t>
      </w:r>
      <w:r>
        <w:rPr>
          <w:rFonts w:hint="eastAsia"/>
          <w:sz w:val="24"/>
          <w:lang w:val="en-US" w:eastAsia="zh-CN"/>
        </w:rPr>
        <w:t>..............................................10</w:t>
      </w:r>
    </w:p>
    <w:p>
      <w:pPr>
        <w:pStyle w:val="12"/>
        <w:adjustRightInd w:val="0"/>
        <w:snapToGrid w:val="0"/>
        <w:spacing w:line="440" w:lineRule="exact"/>
        <w:jc w:val="left"/>
        <w:rPr>
          <w:rFonts w:hint="eastAsia"/>
          <w:sz w:val="24"/>
          <w:lang w:val="en-US" w:eastAsia="zh-CN"/>
        </w:rPr>
      </w:pPr>
      <w:r>
        <w:rPr>
          <w:rFonts w:hint="eastAsia"/>
          <w:sz w:val="24"/>
        </w:rPr>
        <w:t>二、收入决算情况说明</w:t>
      </w:r>
      <w:r>
        <w:rPr>
          <w:rFonts w:hint="eastAsia"/>
          <w:sz w:val="24"/>
          <w:lang w:val="en-US" w:eastAsia="zh-CN"/>
        </w:rPr>
        <w:t>..............................................................10</w:t>
      </w:r>
    </w:p>
    <w:p>
      <w:pPr>
        <w:pStyle w:val="12"/>
        <w:adjustRightInd w:val="0"/>
        <w:snapToGrid w:val="0"/>
        <w:spacing w:line="440" w:lineRule="exact"/>
        <w:jc w:val="left"/>
        <w:rPr>
          <w:rFonts w:hint="default"/>
          <w:sz w:val="24"/>
          <w:lang w:val="en-US" w:eastAsia="zh-CN"/>
        </w:rPr>
      </w:pPr>
      <w:r>
        <w:rPr>
          <w:rFonts w:hint="eastAsia"/>
          <w:sz w:val="24"/>
        </w:rPr>
        <w:t>三、支出决算情况说明</w:t>
      </w:r>
      <w:r>
        <w:rPr>
          <w:rFonts w:hint="eastAsia"/>
          <w:sz w:val="24"/>
          <w:lang w:val="en-US" w:eastAsia="zh-CN"/>
        </w:rPr>
        <w:t>..............................................................11</w:t>
      </w:r>
    </w:p>
    <w:p>
      <w:pPr>
        <w:pStyle w:val="12"/>
        <w:adjustRightInd w:val="0"/>
        <w:snapToGrid w:val="0"/>
        <w:spacing w:line="440" w:lineRule="exact"/>
        <w:jc w:val="left"/>
        <w:rPr>
          <w:rFonts w:hint="default"/>
          <w:sz w:val="24"/>
          <w:lang w:val="en-US" w:eastAsia="zh-CN"/>
        </w:rPr>
      </w:pPr>
      <w:r>
        <w:rPr>
          <w:rFonts w:hint="eastAsia"/>
          <w:sz w:val="24"/>
        </w:rPr>
        <w:t>四、财政拨款收入支出决算总体情况说明</w:t>
      </w:r>
      <w:r>
        <w:rPr>
          <w:rFonts w:hint="eastAsia"/>
          <w:sz w:val="24"/>
          <w:lang w:val="en-US" w:eastAsia="zh-CN"/>
        </w:rPr>
        <w:t>..............................12</w:t>
      </w:r>
    </w:p>
    <w:p>
      <w:pPr>
        <w:pStyle w:val="12"/>
        <w:adjustRightInd w:val="0"/>
        <w:snapToGrid w:val="0"/>
        <w:spacing w:line="440" w:lineRule="exact"/>
        <w:jc w:val="left"/>
        <w:rPr>
          <w:rFonts w:hint="default"/>
          <w:sz w:val="24"/>
          <w:lang w:val="en-US" w:eastAsia="zh-CN"/>
        </w:rPr>
      </w:pPr>
      <w:r>
        <w:rPr>
          <w:rFonts w:hint="eastAsia"/>
          <w:sz w:val="24"/>
        </w:rPr>
        <w:t>五、一般公共预算财政拨款支出决算情况说明</w:t>
      </w:r>
      <w:r>
        <w:rPr>
          <w:rFonts w:hint="eastAsia"/>
          <w:sz w:val="24"/>
          <w:lang w:val="en-US" w:eastAsia="zh-CN"/>
        </w:rPr>
        <w:t>......................13</w:t>
      </w:r>
    </w:p>
    <w:p>
      <w:pPr>
        <w:pStyle w:val="12"/>
        <w:adjustRightInd w:val="0"/>
        <w:snapToGrid w:val="0"/>
        <w:spacing w:line="440" w:lineRule="exact"/>
        <w:jc w:val="left"/>
        <w:rPr>
          <w:rFonts w:hint="default"/>
          <w:sz w:val="24"/>
          <w:lang w:val="en-US" w:eastAsia="zh-CN"/>
        </w:rPr>
      </w:pPr>
      <w:r>
        <w:rPr>
          <w:rFonts w:hint="eastAsia"/>
          <w:sz w:val="24"/>
        </w:rPr>
        <w:t>六、一般公共预算财政拨款基本支出决算情况说明</w:t>
      </w:r>
      <w:r>
        <w:rPr>
          <w:rFonts w:hint="eastAsia"/>
          <w:sz w:val="24"/>
          <w:lang w:val="en-US" w:eastAsia="zh-CN"/>
        </w:rPr>
        <w:t>..............16</w:t>
      </w:r>
    </w:p>
    <w:p>
      <w:pPr>
        <w:pStyle w:val="12"/>
        <w:adjustRightInd w:val="0"/>
        <w:snapToGrid w:val="0"/>
        <w:spacing w:line="440" w:lineRule="exact"/>
        <w:jc w:val="left"/>
        <w:rPr>
          <w:rFonts w:hint="default"/>
          <w:sz w:val="24"/>
          <w:lang w:val="en-US" w:eastAsia="zh-CN"/>
        </w:rPr>
      </w:pPr>
      <w:r>
        <w:rPr>
          <w:rFonts w:hint="eastAsia"/>
          <w:sz w:val="24"/>
        </w:rPr>
        <w:t>七、“三公”经费财政拨款支出决算情况说明</w:t>
      </w:r>
      <w:r>
        <w:rPr>
          <w:rFonts w:hint="eastAsia"/>
          <w:sz w:val="24"/>
          <w:lang w:val="en-US" w:eastAsia="zh-CN"/>
        </w:rPr>
        <w:t>......................17</w:t>
      </w:r>
    </w:p>
    <w:p>
      <w:pPr>
        <w:pStyle w:val="12"/>
        <w:adjustRightInd w:val="0"/>
        <w:snapToGrid w:val="0"/>
        <w:spacing w:line="440" w:lineRule="exact"/>
        <w:jc w:val="left"/>
        <w:rPr>
          <w:rFonts w:hint="default"/>
          <w:sz w:val="24"/>
          <w:lang w:val="en-US" w:eastAsia="zh-CN"/>
        </w:rPr>
      </w:pPr>
      <w:r>
        <w:rPr>
          <w:rFonts w:hint="eastAsia"/>
          <w:sz w:val="24"/>
        </w:rPr>
        <w:t>八、政府性基金预算支出决算情况说明</w:t>
      </w:r>
      <w:r>
        <w:rPr>
          <w:rFonts w:hint="eastAsia"/>
          <w:sz w:val="24"/>
          <w:lang w:val="en-US" w:eastAsia="zh-CN"/>
        </w:rPr>
        <w:t>..................................19</w:t>
      </w:r>
    </w:p>
    <w:p>
      <w:pPr>
        <w:pStyle w:val="12"/>
        <w:adjustRightInd w:val="0"/>
        <w:snapToGrid w:val="0"/>
        <w:spacing w:line="440" w:lineRule="exact"/>
        <w:jc w:val="left"/>
        <w:rPr>
          <w:rFonts w:hint="default"/>
          <w:sz w:val="24"/>
          <w:lang w:val="en-US" w:eastAsia="zh-CN"/>
        </w:rPr>
      </w:pPr>
      <w:r>
        <w:rPr>
          <w:rFonts w:hint="eastAsia"/>
          <w:sz w:val="24"/>
        </w:rPr>
        <w:t>九、国有资本经营预算支出决算情况说明</w:t>
      </w:r>
      <w:r>
        <w:rPr>
          <w:rFonts w:hint="eastAsia"/>
          <w:sz w:val="24"/>
          <w:lang w:val="en-US" w:eastAsia="zh-CN"/>
        </w:rPr>
        <w:t>..............................19</w:t>
      </w:r>
    </w:p>
    <w:p>
      <w:pPr>
        <w:pStyle w:val="12"/>
        <w:adjustRightInd w:val="0"/>
        <w:snapToGrid w:val="0"/>
        <w:spacing w:line="440" w:lineRule="exact"/>
        <w:jc w:val="left"/>
        <w:rPr>
          <w:rFonts w:hint="default"/>
          <w:sz w:val="24"/>
          <w:lang w:val="en-US" w:eastAsia="zh-CN"/>
        </w:rPr>
      </w:pPr>
      <w:r>
        <w:rPr>
          <w:rFonts w:hint="eastAsia"/>
          <w:sz w:val="24"/>
        </w:rPr>
        <w:t>十、其他重要事项的情况说明</w:t>
      </w:r>
      <w:r>
        <w:rPr>
          <w:rFonts w:hint="eastAsia"/>
          <w:sz w:val="24"/>
          <w:lang w:val="en-US" w:eastAsia="zh-CN"/>
        </w:rPr>
        <w:t>..................................................19</w:t>
      </w:r>
    </w:p>
    <w:p>
      <w:pPr>
        <w:pStyle w:val="12"/>
        <w:adjustRightInd w:val="0"/>
        <w:snapToGrid w:val="0"/>
        <w:spacing w:line="440" w:lineRule="exact"/>
        <w:jc w:val="left"/>
        <w:rPr>
          <w:rFonts w:hint="default"/>
          <w:sz w:val="24"/>
          <w:lang w:val="en-US" w:eastAsia="zh-CN"/>
        </w:rPr>
      </w:pPr>
      <w:r>
        <w:rPr>
          <w:rFonts w:hint="eastAsia"/>
          <w:sz w:val="24"/>
        </w:rPr>
        <w:t xml:space="preserve">第三部分 </w:t>
      </w:r>
      <w:r>
        <w:rPr>
          <w:rFonts w:hint="eastAsia"/>
          <w:sz w:val="24"/>
        </w:rPr>
        <w:t>名词解释</w:t>
      </w:r>
      <w:r>
        <w:rPr>
          <w:rFonts w:hint="eastAsia"/>
          <w:sz w:val="24"/>
          <w:lang w:val="en-US" w:eastAsia="zh-CN"/>
        </w:rPr>
        <w:t>....................................................................22</w:t>
      </w:r>
    </w:p>
    <w:p>
      <w:pPr>
        <w:pStyle w:val="12"/>
        <w:adjustRightInd w:val="0"/>
        <w:snapToGrid w:val="0"/>
        <w:spacing w:line="440" w:lineRule="exact"/>
        <w:jc w:val="left"/>
        <w:rPr>
          <w:rFonts w:hint="default"/>
          <w:sz w:val="24"/>
          <w:lang w:val="en-US" w:eastAsia="zh-CN"/>
        </w:rPr>
      </w:pPr>
      <w:r>
        <w:rPr>
          <w:rFonts w:hint="eastAsia"/>
          <w:sz w:val="24"/>
        </w:rPr>
        <w:t xml:space="preserve">第四部分 </w:t>
      </w:r>
      <w:r>
        <w:rPr>
          <w:rFonts w:hint="eastAsia"/>
          <w:sz w:val="24"/>
        </w:rPr>
        <w:t>附件</w:t>
      </w:r>
      <w:r>
        <w:rPr>
          <w:rFonts w:hint="eastAsia"/>
          <w:sz w:val="24"/>
          <w:lang w:val="en-US" w:eastAsia="zh-CN"/>
        </w:rPr>
        <w:t>............................................................................27</w:t>
      </w:r>
    </w:p>
    <w:p>
      <w:pPr>
        <w:pStyle w:val="12"/>
        <w:adjustRightInd w:val="0"/>
        <w:snapToGrid w:val="0"/>
        <w:spacing w:line="440" w:lineRule="exact"/>
        <w:jc w:val="left"/>
        <w:rPr>
          <w:rFonts w:hint="default"/>
          <w:sz w:val="24"/>
          <w:lang w:val="en-US" w:eastAsia="zh-CN"/>
        </w:rPr>
      </w:pPr>
      <w:r>
        <w:rPr>
          <w:rFonts w:hint="eastAsia"/>
          <w:sz w:val="24"/>
        </w:rPr>
        <w:t xml:space="preserve">第五部分 </w:t>
      </w:r>
      <w:r>
        <w:rPr>
          <w:rFonts w:hint="eastAsia"/>
          <w:sz w:val="24"/>
        </w:rPr>
        <w:t>附表</w:t>
      </w:r>
      <w:r>
        <w:rPr>
          <w:rFonts w:hint="eastAsia"/>
          <w:sz w:val="24"/>
          <w:lang w:val="en-US" w:eastAsia="zh-CN"/>
        </w:rPr>
        <w:t>...................................................................</w:t>
      </w:r>
      <w:bookmarkStart w:id="73" w:name="_GoBack"/>
      <w:bookmarkEnd w:id="73"/>
      <w:r>
        <w:rPr>
          <w:rFonts w:hint="eastAsia"/>
          <w:sz w:val="24"/>
          <w:lang w:val="en-US" w:eastAsia="zh-CN"/>
        </w:rPr>
        <w:t>.........42</w:t>
      </w:r>
    </w:p>
    <w:p>
      <w:pPr>
        <w:pStyle w:val="12"/>
        <w:adjustRightInd w:val="0"/>
        <w:snapToGrid w:val="0"/>
        <w:spacing w:line="440" w:lineRule="exact"/>
        <w:jc w:val="left"/>
        <w:rPr>
          <w:rFonts w:hint="eastAsia"/>
          <w:sz w:val="24"/>
        </w:rPr>
      </w:pPr>
      <w:r>
        <w:rPr>
          <w:rFonts w:hint="eastAsia"/>
          <w:sz w:val="24"/>
        </w:rPr>
        <w:t>一、</w:t>
      </w:r>
      <w:r>
        <w:rPr>
          <w:rFonts w:hint="eastAsia"/>
          <w:sz w:val="24"/>
        </w:rPr>
        <w:t>收入支出决算总表</w:t>
      </w:r>
    </w:p>
    <w:p>
      <w:pPr>
        <w:pStyle w:val="12"/>
        <w:adjustRightInd w:val="0"/>
        <w:snapToGrid w:val="0"/>
        <w:spacing w:line="440" w:lineRule="exact"/>
        <w:jc w:val="left"/>
        <w:rPr>
          <w:rFonts w:hint="eastAsia"/>
          <w:sz w:val="24"/>
        </w:rPr>
      </w:pPr>
      <w:r>
        <w:rPr>
          <w:rFonts w:hint="eastAsia"/>
          <w:sz w:val="24"/>
        </w:rPr>
        <w:t>二、收入决算表</w:t>
      </w:r>
    </w:p>
    <w:p>
      <w:pPr>
        <w:pStyle w:val="12"/>
        <w:adjustRightInd w:val="0"/>
        <w:snapToGrid w:val="0"/>
        <w:spacing w:line="440" w:lineRule="exact"/>
        <w:jc w:val="left"/>
        <w:rPr>
          <w:rFonts w:hint="eastAsia"/>
          <w:sz w:val="24"/>
        </w:rPr>
      </w:pPr>
      <w:r>
        <w:rPr>
          <w:rFonts w:hint="eastAsia"/>
          <w:sz w:val="24"/>
        </w:rPr>
        <w:t>三、支出决算表</w:t>
      </w:r>
    </w:p>
    <w:p>
      <w:pPr>
        <w:pStyle w:val="12"/>
        <w:adjustRightInd w:val="0"/>
        <w:snapToGrid w:val="0"/>
        <w:spacing w:line="440" w:lineRule="exact"/>
        <w:jc w:val="left"/>
        <w:rPr>
          <w:rFonts w:hint="eastAsia"/>
          <w:sz w:val="24"/>
        </w:rPr>
      </w:pPr>
      <w:r>
        <w:rPr>
          <w:rFonts w:hint="eastAsia"/>
          <w:sz w:val="24"/>
        </w:rPr>
        <w:t>四、财政拨款收入支出决算总表</w:t>
      </w:r>
    </w:p>
    <w:p>
      <w:pPr>
        <w:pStyle w:val="12"/>
        <w:adjustRightInd w:val="0"/>
        <w:snapToGrid w:val="0"/>
        <w:spacing w:line="440" w:lineRule="exact"/>
        <w:jc w:val="left"/>
        <w:rPr>
          <w:rFonts w:hint="eastAsia"/>
          <w:sz w:val="24"/>
        </w:rPr>
      </w:pPr>
      <w:r>
        <w:rPr>
          <w:rFonts w:hint="eastAsia"/>
          <w:sz w:val="24"/>
        </w:rPr>
        <w:t>五、财政拨款支出决算明细表</w:t>
      </w:r>
    </w:p>
    <w:p>
      <w:pPr>
        <w:pStyle w:val="12"/>
        <w:adjustRightInd w:val="0"/>
        <w:snapToGrid w:val="0"/>
        <w:spacing w:line="440" w:lineRule="exact"/>
        <w:jc w:val="left"/>
        <w:rPr>
          <w:rFonts w:hint="eastAsia"/>
          <w:sz w:val="24"/>
        </w:rPr>
      </w:pPr>
      <w:r>
        <w:rPr>
          <w:rFonts w:hint="eastAsia"/>
          <w:sz w:val="24"/>
        </w:rPr>
        <w:t>六、一般公共预算财政拨款支出决算表</w:t>
      </w:r>
    </w:p>
    <w:p>
      <w:pPr>
        <w:pStyle w:val="12"/>
        <w:adjustRightInd w:val="0"/>
        <w:snapToGrid w:val="0"/>
        <w:spacing w:line="440" w:lineRule="exact"/>
        <w:jc w:val="left"/>
        <w:rPr>
          <w:rFonts w:hint="eastAsia"/>
          <w:sz w:val="24"/>
        </w:rPr>
      </w:pPr>
      <w:r>
        <w:rPr>
          <w:rFonts w:hint="eastAsia"/>
          <w:sz w:val="24"/>
        </w:rPr>
        <w:t>七、一般公共预算财政拨款支出决算明细表</w:t>
      </w:r>
    </w:p>
    <w:p>
      <w:pPr>
        <w:pStyle w:val="12"/>
        <w:adjustRightInd w:val="0"/>
        <w:snapToGrid w:val="0"/>
        <w:spacing w:line="440" w:lineRule="exact"/>
        <w:jc w:val="left"/>
        <w:rPr>
          <w:rFonts w:hint="eastAsia"/>
          <w:sz w:val="24"/>
        </w:rPr>
      </w:pPr>
      <w:r>
        <w:rPr>
          <w:rFonts w:hint="eastAsia"/>
          <w:sz w:val="24"/>
        </w:rPr>
        <w:t>八、一般公共预算财政拨款基本支出决算表</w:t>
      </w:r>
    </w:p>
    <w:p>
      <w:pPr>
        <w:pStyle w:val="12"/>
        <w:adjustRightInd w:val="0"/>
        <w:snapToGrid w:val="0"/>
        <w:spacing w:line="440" w:lineRule="exact"/>
        <w:jc w:val="left"/>
        <w:rPr>
          <w:rFonts w:hint="eastAsia"/>
          <w:sz w:val="24"/>
        </w:rPr>
      </w:pPr>
      <w:r>
        <w:rPr>
          <w:rFonts w:hint="eastAsia"/>
          <w:sz w:val="24"/>
        </w:rPr>
        <w:t>九、一般公共预算财政拨款项目支出决算表</w:t>
      </w:r>
    </w:p>
    <w:p>
      <w:pPr>
        <w:pStyle w:val="12"/>
        <w:adjustRightInd w:val="0"/>
        <w:snapToGrid w:val="0"/>
        <w:spacing w:line="440" w:lineRule="exact"/>
        <w:jc w:val="left"/>
        <w:rPr>
          <w:rFonts w:hint="eastAsia"/>
          <w:sz w:val="24"/>
        </w:rPr>
      </w:pPr>
      <w:r>
        <w:rPr>
          <w:rFonts w:hint="eastAsia"/>
          <w:sz w:val="24"/>
        </w:rPr>
        <w:t>十、一般公共预算财政拨款“三公”经费支出决算表</w:t>
      </w:r>
    </w:p>
    <w:p>
      <w:pPr>
        <w:pStyle w:val="12"/>
        <w:adjustRightInd w:val="0"/>
        <w:snapToGrid w:val="0"/>
        <w:spacing w:line="440" w:lineRule="exact"/>
        <w:jc w:val="left"/>
        <w:rPr>
          <w:rFonts w:hint="eastAsia"/>
          <w:sz w:val="24"/>
        </w:rPr>
      </w:pPr>
      <w:r>
        <w:rPr>
          <w:rFonts w:hint="eastAsia"/>
          <w:sz w:val="24"/>
        </w:rPr>
        <w:t>十一、政府性基金预算财政拨款收入支出决算表</w:t>
      </w:r>
    </w:p>
    <w:p>
      <w:pPr>
        <w:pStyle w:val="12"/>
        <w:adjustRightInd w:val="0"/>
        <w:snapToGrid w:val="0"/>
        <w:spacing w:line="440" w:lineRule="exact"/>
        <w:jc w:val="left"/>
        <w:rPr>
          <w:rFonts w:hint="eastAsia"/>
          <w:sz w:val="24"/>
        </w:rPr>
      </w:pPr>
      <w:r>
        <w:rPr>
          <w:rFonts w:hint="eastAsia"/>
          <w:sz w:val="24"/>
        </w:rPr>
        <w:t>十二、政府性基金预算财政拨款“三公”经费支出决算表</w:t>
      </w:r>
    </w:p>
    <w:p>
      <w:pPr>
        <w:pStyle w:val="12"/>
        <w:adjustRightInd w:val="0"/>
        <w:snapToGrid w:val="0"/>
        <w:spacing w:line="440" w:lineRule="exact"/>
        <w:jc w:val="left"/>
        <w:rPr>
          <w:rFonts w:hint="eastAsia"/>
          <w:sz w:val="24"/>
        </w:rPr>
      </w:pPr>
      <w:r>
        <w:rPr>
          <w:rFonts w:hint="eastAsia"/>
          <w:sz w:val="24"/>
        </w:rPr>
        <w:t>十三、国有资本经营预算财政拨款收入支出决算表</w:t>
      </w:r>
    </w:p>
    <w:p>
      <w:pPr>
        <w:pStyle w:val="12"/>
        <w:adjustRightInd w:val="0"/>
        <w:snapToGrid w:val="0"/>
        <w:spacing w:line="440" w:lineRule="exact"/>
        <w:jc w:val="left"/>
        <w:rPr>
          <w:rFonts w:hint="eastAsia"/>
          <w:sz w:val="24"/>
        </w:rPr>
      </w:pPr>
      <w:r>
        <w:rPr>
          <w:rFonts w:hint="eastAsia"/>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28"/>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8"/>
          <w:rFonts w:hint="eastAsia" w:ascii="黑体" w:hAnsi="黑体" w:eastAsia="黑体"/>
          <w:b w:val="0"/>
          <w:bCs w:val="0"/>
        </w:rPr>
        <w:t>本职能及主要工作</w:t>
      </w:r>
      <w:bookmarkEnd w:id="14"/>
      <w:bookmarkEnd w:id="15"/>
    </w:p>
    <w:p>
      <w:pPr>
        <w:ind w:firstLine="640" w:firstLineChars="200"/>
        <w:rPr>
          <w:rFonts w:hint="eastAsia"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格里坪镇党委的主要职责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1.贯彻执行党的路线、方针、政策和上级党委及本镇党员代表大会的决议、决定。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2.研究决定本镇经济建设和社会发展中带有全局性的重大问题。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3.履行全面从严治党主体责任，全面推进村（社区）以及其他所属党组织的政治建设、思想建设、组织建设、作风建设、纪律建设。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4.落实基层党建工作责任制，加强镇党委自身建设和以党支部为核心的基层党组织建设，强化党建引领，统筹推进基层治理制度创新和能力建设。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5.负责对本辖区的工会、共青团、妇联等群团组织的领导，协调党群之间的关系。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6.负责本行政区域的思想政治、意识形态、宣传、统战、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政法、信访、保密、武装、精神文明建设和民主法制建设等 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7.完成上级党委交办的其他工作。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格里坪镇政府的主要职责：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1.贯彻执行党和国家的各项方针、政策、法律、法规，以及上级行政机关和镇党委、镇人代会的决定、决议。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2.制定并执行本行政区域内经济和社会发展规划、计划。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3.负责乡村振兴、新农村建设和推进城乡一体化的组织和实施。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4.负责辖区经济、文化、教育、科技、卫生健康、民政、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社会保障、民族宗教、村镇建设、司法、退役军人、扶贫、安全、统计等行政管理和服务工作。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5.负责农业产业结构调整和“三农”服务工作。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6.建立健全社会治安综合防范体系，负责辖区平安建设、社会治安综合治理工作，建立社会矛盾纠纷排查调处机制，维护社会和谐稳定。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7.负责辖区内城乡环境综合治理工作，开展爱国卫生、环境卫生监督检查，协助做好生态环境、资源保护等工作，促进人与自然和谐发展。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8.负责应急管理抢险救灾工作，做好安全生产、防汛、防火等应急管理工作，构建公共安全防控体系，建立应对突发紧急事件的处理预案。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9.完成上级党委、政府交办的其他工作。 </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_GB2312" w:hAnsi="仿宋_GB2312" w:eastAsia="仿宋_GB2312" w:cs="仿宋_GB2312"/>
          <w:sz w:val="32"/>
          <w:szCs w:val="32"/>
          <w:lang w:val="en-US" w:eastAsia="zh-CN"/>
        </w:rPr>
        <w:t xml:space="preserve">镇人大主席团、纪委、武装部按有关规定设置并履行相应职责，镇工会、共青团和妇联按有关章程设置并履行相应职责。 </w:t>
      </w:r>
    </w:p>
    <w:p>
      <w:pPr>
        <w:keepNext w:val="0"/>
        <w:keepLines w:val="0"/>
        <w:pageBreakBefore w:val="0"/>
        <w:numPr>
          <w:ilvl w:val="0"/>
          <w:numId w:val="0"/>
        </w:numPr>
        <w:kinsoku/>
        <w:wordWrap/>
        <w:overflowPunct w:val="0"/>
        <w:topLinePunct w:val="0"/>
        <w:bidi w:val="0"/>
        <w:spacing w:line="353" w:lineRule="auto"/>
        <w:ind w:firstLine="640" w:firstLineChars="200"/>
        <w:textAlignment w:val="auto"/>
        <w:rPr>
          <w:rFonts w:hint="eastAsia"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keepNext w:val="0"/>
        <w:keepLines w:val="0"/>
        <w:pageBreakBefore w:val="0"/>
        <w:numPr>
          <w:ilvl w:val="0"/>
          <w:numId w:val="0"/>
        </w:numPr>
        <w:kinsoku/>
        <w:wordWrap/>
        <w:overflowPunct w:val="0"/>
        <w:topLinePunct w:val="0"/>
        <w:bidi w:val="0"/>
        <w:spacing w:line="353" w:lineRule="auto"/>
        <w:ind w:firstLine="619"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000000"/>
          <w:spacing w:val="-6"/>
          <w:sz w:val="32"/>
          <w:szCs w:val="32"/>
          <w:lang w:val="en-US" w:eastAsia="zh-CN"/>
        </w:rPr>
        <w:t>筑牢疫情防控防线</w:t>
      </w:r>
      <w:r>
        <w:rPr>
          <w:rFonts w:hint="eastAsia" w:ascii="Times New Roman" w:hAnsi="Times New Roman" w:eastAsia="楷体_GB2312" w:cs="Times New Roman"/>
          <w:b/>
          <w:bCs/>
          <w:color w:val="000000"/>
          <w:spacing w:val="-6"/>
          <w:sz w:val="32"/>
          <w:szCs w:val="32"/>
          <w:lang w:val="en-US" w:eastAsia="zh-CN"/>
        </w:rPr>
        <w:t>。一是</w:t>
      </w:r>
      <w:r>
        <w:rPr>
          <w:rFonts w:hint="default" w:ascii="Times New Roman" w:hAnsi="Times New Roman" w:eastAsia="仿宋_GB2312" w:cs="Times New Roman"/>
          <w:color w:val="auto"/>
          <w:sz w:val="32"/>
          <w:szCs w:val="32"/>
          <w:lang w:val="en-US" w:eastAsia="zh-CN"/>
        </w:rPr>
        <w:t>定期研判疫情形势，严格落实“四级包干”和“五包一”责任制，完善“三级”疫情防控体系，</w:t>
      </w:r>
      <w:r>
        <w:rPr>
          <w:rFonts w:hint="default" w:ascii="Times New Roman" w:hAnsi="Times New Roman" w:eastAsia="仿宋_GB2312" w:cs="Times New Roman"/>
          <w:color w:val="auto"/>
          <w:sz w:val="32"/>
          <w:szCs w:val="32"/>
          <w:shd w:val="clear" w:color="auto" w:fill="auto"/>
          <w:lang w:val="en-US" w:eastAsia="zh-CN"/>
        </w:rPr>
        <w:t>健全网格化防控工作体</w:t>
      </w:r>
      <w:r>
        <w:rPr>
          <w:rFonts w:hint="default" w:ascii="Times New Roman" w:hAnsi="Times New Roman" w:eastAsia="仿宋_GB2312" w:cs="Times New Roman"/>
          <w:color w:val="auto"/>
          <w:sz w:val="32"/>
          <w:szCs w:val="32"/>
          <w:lang w:val="en-US" w:eastAsia="zh-CN"/>
        </w:rPr>
        <w:t>系，村社干部、普通党员群众包保到户。</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创新实施“1+3”摸排方式，做细全域排查“一本账”，形成了点、线、面一体推进防疫格局。</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加强境外和国内中高风险地区返乡人员管控工作</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积极推进疫苗接种工作，采取专班、专车、专人方式完成22822人疫苗接种，加强针接种正在有序开展。</w:t>
      </w:r>
    </w:p>
    <w:p>
      <w:pPr>
        <w:keepNext w:val="0"/>
        <w:keepLines w:val="0"/>
        <w:pageBreakBefore w:val="0"/>
        <w:numPr>
          <w:ilvl w:val="0"/>
          <w:numId w:val="0"/>
        </w:numPr>
        <w:kinsoku/>
        <w:wordWrap/>
        <w:overflowPunct w:val="0"/>
        <w:topLinePunct w:val="0"/>
        <w:bidi w:val="0"/>
        <w:spacing w:line="353" w:lineRule="auto"/>
        <w:ind w:firstLine="619"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000000"/>
          <w:spacing w:val="-6"/>
          <w:sz w:val="32"/>
          <w:szCs w:val="32"/>
          <w:lang w:val="en-US" w:eastAsia="zh-CN"/>
        </w:rPr>
        <w:t>经济发展稳中有进。</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紧扣建设“工业强镇”目标，狠抓政策措施落实，加快推进格里坪康复辅具特色小镇项目</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加快构建现代特色农业产业体系，打造特色农业基地11个，农产品冷链加工产业园建设稳步推进，初步实现农业集约化、智慧化。</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持续推动现代服务业融合</w:t>
      </w:r>
      <w:r>
        <w:rPr>
          <w:rFonts w:hint="default" w:ascii="Times New Roman" w:hAnsi="Times New Roman" w:eastAsia="仿宋_GB2312" w:cs="Times New Roman"/>
          <w:b w:val="0"/>
          <w:bCs w:val="0"/>
          <w:color w:val="auto"/>
          <w:sz w:val="32"/>
          <w:szCs w:val="32"/>
          <w:lang w:val="en-US" w:eastAsia="zh-Hans"/>
        </w:rPr>
        <w:t>发展</w:t>
      </w:r>
      <w:r>
        <w:rPr>
          <w:rFonts w:hint="default" w:ascii="Times New Roman" w:hAnsi="Times New Roman" w:eastAsia="仿宋_GB2312" w:cs="Times New Roman"/>
          <w:b w:val="0"/>
          <w:bCs w:val="0"/>
          <w:color w:val="auto"/>
          <w:sz w:val="32"/>
          <w:szCs w:val="32"/>
          <w:lang w:val="en-US" w:eastAsia="zh-CN"/>
        </w:rPr>
        <w:t>，成功引进达海现代物流园项目，鑫铁、新启、攀青等物流企业提档升级</w:t>
      </w:r>
      <w:r>
        <w:rPr>
          <w:rFonts w:hint="default" w:ascii="Times New Roman" w:hAnsi="Times New Roman" w:eastAsia="仿宋_GB2312" w:cs="Times New Roman"/>
          <w:b w:val="0"/>
          <w:bCs w:val="0"/>
          <w:color w:val="auto"/>
          <w:sz w:val="32"/>
          <w:szCs w:val="32"/>
          <w:lang w:val="en-US" w:eastAsia="zh-Hans"/>
        </w:rPr>
        <w:t>。</w:t>
      </w:r>
    </w:p>
    <w:p>
      <w:pPr>
        <w:overflowPunct w:val="0"/>
        <w:ind w:firstLine="619"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000000"/>
          <w:spacing w:val="-6"/>
          <w:sz w:val="32"/>
          <w:szCs w:val="32"/>
          <w:lang w:val="en-US" w:eastAsia="zh-CN"/>
        </w:rPr>
        <w:t>乡村振兴加快步伐。</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eastAsia="zh-CN"/>
        </w:rPr>
        <w:t>聚焦两项改革“后半篇”文章</w:t>
      </w:r>
      <w:r>
        <w:rPr>
          <w:rFonts w:hint="default" w:ascii="Times New Roman" w:hAnsi="Times New Roman" w:eastAsia="仿宋_GB2312" w:cs="Times New Roman"/>
          <w:color w:val="auto"/>
          <w:sz w:val="32"/>
          <w:szCs w:val="32"/>
        </w:rPr>
        <w:t>，积极盘活闲置资产，</w:t>
      </w:r>
      <w:r>
        <w:rPr>
          <w:rFonts w:hint="default" w:ascii="Times New Roman" w:hAnsi="Times New Roman" w:eastAsia="仿宋_GB2312" w:cs="Times New Roman"/>
          <w:color w:val="auto"/>
          <w:sz w:val="32"/>
          <w:szCs w:val="32"/>
          <w:lang w:eastAsia="zh-CN"/>
        </w:rPr>
        <w:t>积极</w:t>
      </w:r>
      <w:r>
        <w:rPr>
          <w:rFonts w:hint="default" w:ascii="Times New Roman" w:hAnsi="Times New Roman" w:eastAsia="仿宋_GB2312" w:cs="Times New Roman"/>
          <w:color w:val="auto"/>
          <w:sz w:val="32"/>
          <w:szCs w:val="32"/>
          <w:lang w:val="en-US" w:eastAsia="zh-CN"/>
        </w:rPr>
        <w:t>打造党建引领乡村振兴示范点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rPr>
        <w:t>以创建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四好农村路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省级示范区为契机，全面推行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路长制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，加快推进辖区道路建设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rPr>
        <w:t>持续推进农村产业党建联盟“平台+集体经济组织”“线上+线下”发展模式，支持农易达发展壮大，年销售额突破500万，获评攀枝花市农业龙头企业、西区农业产业化重点龙头企业、西区农业孵化园。</w:t>
      </w:r>
    </w:p>
    <w:p>
      <w:pPr>
        <w:keepNext w:val="0"/>
        <w:keepLines w:val="0"/>
        <w:pageBreakBefore w:val="0"/>
        <w:numPr>
          <w:ilvl w:val="0"/>
          <w:numId w:val="0"/>
        </w:numPr>
        <w:kinsoku/>
        <w:wordWrap/>
        <w:topLinePunct w:val="0"/>
        <w:autoSpaceDE w:val="0"/>
        <w:autoSpaceDN w:val="0"/>
        <w:bidi w:val="0"/>
        <w:spacing w:line="353" w:lineRule="auto"/>
        <w:ind w:firstLine="619"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000000"/>
          <w:spacing w:val="-6"/>
          <w:sz w:val="32"/>
          <w:szCs w:val="32"/>
          <w:lang w:val="en-US" w:eastAsia="zh-CN"/>
        </w:rPr>
        <w:t>镇村环境持续改善。</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一是</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实现</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“户分类、村收集、镇清运、区处理”的垃圾收处模式全覆盖，开展镇街环境集中清理整治6次，</w:t>
      </w:r>
      <w:r>
        <w:rPr>
          <w:rFonts w:hint="default" w:ascii="Times New Roman" w:hAnsi="Times New Roman" w:eastAsia="仿宋_GB2312" w:cs="Times New Roman"/>
          <w:i w:val="0"/>
          <w:iCs w:val="0"/>
          <w:caps w:val="0"/>
          <w:color w:val="auto"/>
          <w:spacing w:val="0"/>
          <w:sz w:val="32"/>
          <w:szCs w:val="32"/>
          <w:shd w:val="clear" w:color="auto" w:fill="FFFFFF"/>
          <w:lang w:eastAsia="zh-CN"/>
        </w:rPr>
        <w:t>共清理垃圾污物</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50</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余</w:t>
      </w:r>
      <w:r>
        <w:rPr>
          <w:rFonts w:hint="default" w:ascii="Times New Roman" w:hAnsi="Times New Roman" w:eastAsia="仿宋_GB2312" w:cs="Times New Roman"/>
          <w:i w:val="0"/>
          <w:iCs w:val="0"/>
          <w:caps w:val="0"/>
          <w:color w:val="auto"/>
          <w:spacing w:val="0"/>
          <w:sz w:val="32"/>
          <w:szCs w:val="32"/>
          <w:shd w:val="clear" w:color="auto" w:fill="FFFFFF"/>
          <w:lang w:eastAsia="zh-CN"/>
        </w:rPr>
        <w:t>吨。</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lang w:eastAsia="zh-CN"/>
        </w:rPr>
        <w:t>全面推行“河长制”，镇村两级河长共巡河</w:t>
      </w:r>
      <w:r>
        <w:rPr>
          <w:rFonts w:hint="default" w:ascii="Times New Roman" w:hAnsi="Times New Roman" w:eastAsia="仿宋_GB2312" w:cs="Times New Roman"/>
          <w:color w:val="auto"/>
          <w:sz w:val="32"/>
          <w:szCs w:val="32"/>
          <w:lang w:val="en-US" w:eastAsia="zh-CN"/>
        </w:rPr>
        <w:t>700余</w:t>
      </w:r>
      <w:r>
        <w:rPr>
          <w:rFonts w:hint="default" w:ascii="Times New Roman" w:hAnsi="Times New Roman" w:eastAsia="仿宋_GB2312" w:cs="Times New Roman"/>
          <w:color w:val="auto"/>
          <w:sz w:val="32"/>
          <w:szCs w:val="32"/>
          <w:lang w:eastAsia="zh-CN"/>
        </w:rPr>
        <w:t>人次，发现河道保洁、“四乱”现象等问题</w:t>
      </w:r>
      <w:r>
        <w:rPr>
          <w:rFonts w:hint="default" w:ascii="Times New Roman" w:hAnsi="Times New Roman" w:eastAsia="仿宋_GB2312" w:cs="Times New Roman"/>
          <w:color w:val="auto"/>
          <w:sz w:val="32"/>
          <w:szCs w:val="32"/>
          <w:lang w:val="en-US" w:eastAsia="zh-CN"/>
        </w:rPr>
        <w:t>60余</w:t>
      </w:r>
      <w:r>
        <w:rPr>
          <w:rFonts w:hint="default" w:ascii="Times New Roman" w:hAnsi="Times New Roman" w:eastAsia="仿宋_GB2312" w:cs="Times New Roman"/>
          <w:color w:val="auto"/>
          <w:sz w:val="32"/>
          <w:szCs w:val="32"/>
          <w:lang w:eastAsia="zh-CN"/>
        </w:rPr>
        <w:t>个，均已采取“清单制”</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“责任制”方式及时交办、整改回复、销号。</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rPr>
        <w:t>总投资2.83亿元</w:t>
      </w:r>
      <w:r>
        <w:rPr>
          <w:rFonts w:hint="default" w:ascii="Times New Roman" w:hAnsi="Times New Roman" w:eastAsia="仿宋_GB2312" w:cs="Times New Roman"/>
          <w:color w:val="auto"/>
          <w:sz w:val="32"/>
          <w:szCs w:val="32"/>
          <w:lang w:val="en-US" w:eastAsia="zh-Hans"/>
        </w:rPr>
        <w:t>的</w:t>
      </w:r>
      <w:r>
        <w:rPr>
          <w:rFonts w:hint="default" w:ascii="Times New Roman" w:hAnsi="Times New Roman" w:eastAsia="仿宋_GB2312" w:cs="Times New Roman"/>
          <w:color w:val="auto"/>
          <w:sz w:val="32"/>
          <w:szCs w:val="32"/>
        </w:rPr>
        <w:t>“三供一业”改造</w:t>
      </w:r>
      <w:r>
        <w:rPr>
          <w:rFonts w:hint="default" w:ascii="Times New Roman" w:hAnsi="Times New Roman" w:eastAsia="仿宋_GB2312" w:cs="Times New Roman"/>
          <w:color w:val="auto"/>
          <w:sz w:val="32"/>
          <w:szCs w:val="32"/>
          <w:lang w:val="en-US" w:eastAsia="zh-Hans"/>
        </w:rPr>
        <w:t>项目全面完成</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rPr>
        <w:t>格里坪飞歌巷老旧小区改造项目</w:t>
      </w:r>
      <w:r>
        <w:rPr>
          <w:rFonts w:hint="default" w:ascii="Times New Roman" w:hAnsi="Times New Roman" w:eastAsia="仿宋_GB2312" w:cs="Times New Roman"/>
          <w:color w:val="auto"/>
          <w:sz w:val="32"/>
          <w:szCs w:val="32"/>
          <w:lang w:val="en-US" w:eastAsia="zh-Hans"/>
        </w:rPr>
        <w:t>全面完工，实现</w:t>
      </w:r>
      <w:r>
        <w:rPr>
          <w:rFonts w:hint="default" w:ascii="Times New Roman" w:hAnsi="Times New Roman" w:eastAsia="仿宋_GB2312" w:cs="Times New Roman"/>
          <w:color w:val="auto"/>
          <w:sz w:val="32"/>
          <w:szCs w:val="32"/>
        </w:rPr>
        <w:t>灯亮、路平、管通</w:t>
      </w:r>
      <w:r>
        <w:rPr>
          <w:rFonts w:hint="default" w:ascii="Times New Roman" w:hAnsi="Times New Roman" w:eastAsia="仿宋_GB2312" w:cs="Times New Roman"/>
          <w:color w:val="auto"/>
          <w:sz w:val="32"/>
          <w:szCs w:val="32"/>
          <w:lang w:eastAsia="zh-CN"/>
        </w:rPr>
        <w:t>，景怡社区、金林社区获评第一批四川省级绿色社区。</w:t>
      </w:r>
      <w:r>
        <w:rPr>
          <w:rFonts w:hint="default" w:ascii="Times New Roman" w:hAnsi="Times New Roman" w:eastAsia="仿宋_GB2312" w:cs="Times New Roman"/>
          <w:b/>
          <w:bCs/>
          <w:color w:val="auto"/>
          <w:sz w:val="32"/>
          <w:szCs w:val="32"/>
          <w:lang w:eastAsia="zh-CN"/>
        </w:rPr>
        <w:t>四是</w:t>
      </w:r>
      <w:r>
        <w:rPr>
          <w:rFonts w:hint="default" w:ascii="Times New Roman" w:hAnsi="Times New Roman" w:eastAsia="仿宋_GB2312" w:cs="Times New Roman"/>
          <w:color w:val="auto"/>
          <w:sz w:val="32"/>
          <w:szCs w:val="32"/>
        </w:rPr>
        <w:t>全面完成</w:t>
      </w:r>
      <w:r>
        <w:rPr>
          <w:rFonts w:hint="default" w:ascii="Times New Roman" w:hAnsi="Times New Roman" w:eastAsia="仿宋_GB2312" w:cs="Times New Roman"/>
          <w:color w:val="auto"/>
          <w:sz w:val="32"/>
          <w:szCs w:val="32"/>
          <w:lang w:val="en-US" w:eastAsia="zh-Hans"/>
        </w:rPr>
        <w:t>环保</w:t>
      </w:r>
      <w:r>
        <w:rPr>
          <w:rFonts w:hint="default" w:ascii="Times New Roman" w:hAnsi="Times New Roman" w:eastAsia="仿宋_GB2312" w:cs="Times New Roman"/>
          <w:color w:val="auto"/>
          <w:sz w:val="32"/>
          <w:szCs w:val="32"/>
        </w:rPr>
        <w:t>突出问题整治和中央、省、市环保督察反馈问题整改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关停禁养区养殖场</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家，排查整治“散乱污”企业</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小作坊、堆场</w:t>
      </w:r>
      <w:r>
        <w:rPr>
          <w:rFonts w:hint="default" w:ascii="Times New Roman" w:hAnsi="Times New Roman" w:eastAsia="仿宋_GB2312" w:cs="Times New Roman"/>
          <w:color w:val="auto"/>
          <w:sz w:val="32"/>
          <w:szCs w:val="32"/>
          <w:lang w:val="en-US" w:eastAsia="zh-CN"/>
        </w:rPr>
        <w:t>百余</w:t>
      </w:r>
      <w:r>
        <w:rPr>
          <w:rFonts w:hint="default" w:ascii="Times New Roman" w:hAnsi="Times New Roman" w:eastAsia="仿宋_GB2312" w:cs="Times New Roman"/>
          <w:color w:val="auto"/>
          <w:sz w:val="32"/>
          <w:szCs w:val="32"/>
          <w:lang w:val="en-US" w:eastAsia="zh-Hans"/>
        </w:rPr>
        <w:t>家，解决群众反映的环保信访案件</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val="en-US" w:eastAsia="zh-Hans"/>
        </w:rPr>
        <w:t>余件</w:t>
      </w:r>
      <w:r>
        <w:rPr>
          <w:rFonts w:hint="default" w:ascii="Times New Roman" w:hAnsi="Times New Roman" w:eastAsia="仿宋_GB2312" w:cs="Times New Roman"/>
          <w:color w:val="auto"/>
          <w:sz w:val="32"/>
          <w:szCs w:val="32"/>
        </w:rPr>
        <w:t>。</w:t>
      </w:r>
    </w:p>
    <w:p>
      <w:pPr>
        <w:pStyle w:val="11"/>
        <w:keepNext w:val="0"/>
        <w:keepLines w:val="0"/>
        <w:pageBreakBefore w:val="0"/>
        <w:kinsoku/>
        <w:wordWrap/>
        <w:topLinePunct w:val="0"/>
        <w:bidi w:val="0"/>
        <w:spacing w:line="353" w:lineRule="auto"/>
        <w:ind w:left="0" w:leftChars="0" w:firstLine="619"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000000"/>
          <w:spacing w:val="-6"/>
          <w:kern w:val="2"/>
          <w:sz w:val="32"/>
          <w:szCs w:val="32"/>
          <w:lang w:val="en-US" w:eastAsia="zh-CN" w:bidi="ar-SA"/>
        </w:rPr>
        <w:t>全面完成村（居）委会换届选举。</w:t>
      </w:r>
      <w:r>
        <w:rPr>
          <w:rFonts w:hint="default" w:ascii="Times New Roman" w:hAnsi="Times New Roman" w:eastAsia="仿宋_GB2312" w:cs="Times New Roman"/>
          <w:b/>
          <w:bCs/>
          <w:color w:val="auto"/>
          <w:spacing w:val="-6"/>
          <w:sz w:val="32"/>
          <w:szCs w:val="32"/>
          <w:lang w:val="en-US" w:eastAsia="zh-CN"/>
        </w:rPr>
        <w:t>一是</w:t>
      </w:r>
      <w:r>
        <w:rPr>
          <w:rFonts w:hint="default" w:ascii="Times New Roman" w:hAnsi="Times New Roman" w:eastAsia="仿宋_GB2312" w:cs="Times New Roman"/>
          <w:color w:val="auto"/>
          <w:kern w:val="2"/>
          <w:sz w:val="32"/>
          <w:szCs w:val="32"/>
          <w:lang w:val="en-US" w:eastAsia="zh-CN" w:bidi="ar-SA"/>
        </w:rPr>
        <w:t>始终坚持加强党的领导，尊重群众意愿和依法办事的原则，选优配强村（居）委会班子，截止2021年4月28日，全镇8个村（居）委会全部完成换届选举任务。</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共选举产生59名村（居）委员会委员，其中大专以上学历占比71.2%，平均年龄40.3岁，实现学历和年龄“一升一降”。</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color w:val="auto"/>
          <w:kern w:val="2"/>
          <w:sz w:val="32"/>
          <w:szCs w:val="32"/>
          <w:lang w:val="en-US" w:eastAsia="zh-CN" w:bidi="ar-SA"/>
        </w:rPr>
        <w:t>8个村（社区）党组组书记成功当选村（居）委会主任，实现书记主任“一肩挑”全覆盖，切实发挥以党组织为核心的村级组织的整体功能，思想步调更加统一，有效促进基层各项事业蓬勃发展。</w:t>
      </w:r>
    </w:p>
    <w:p>
      <w:pPr>
        <w:snapToGrid w:val="0"/>
        <w:spacing w:line="576" w:lineRule="exact"/>
        <w:ind w:firstLine="619" w:firstLineChars="200"/>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楷体_GB2312" w:cs="Times New Roman"/>
          <w:b/>
          <w:bCs/>
          <w:color w:val="000000"/>
          <w:spacing w:val="-6"/>
          <w:kern w:val="2"/>
          <w:sz w:val="32"/>
          <w:szCs w:val="32"/>
          <w:lang w:val="en-US" w:eastAsia="zh-CN" w:bidi="ar-SA"/>
        </w:rPr>
        <w:t>不断改善民生福祉。</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color w:val="auto"/>
          <w:kern w:val="2"/>
          <w:sz w:val="32"/>
          <w:szCs w:val="32"/>
          <w:lang w:val="en-US" w:eastAsia="zh-CN" w:bidi="ar-SA"/>
        </w:rPr>
        <w:t>重点排查“五类人群”，全面做好社会救助、社会保险、养老服务等工作</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b w:val="0"/>
          <w:bCs w:val="0"/>
          <w:color w:val="auto"/>
          <w:sz w:val="32"/>
          <w:szCs w:val="32"/>
          <w:lang w:eastAsia="zh-CN"/>
        </w:rPr>
        <w:t>积极开展就业援助</w:t>
      </w:r>
      <w:r>
        <w:rPr>
          <w:rFonts w:hint="default" w:ascii="Times New Roman" w:hAnsi="Times New Roman" w:eastAsia="仿宋_GB2312" w:cs="Times New Roman"/>
          <w:b w:val="0"/>
          <w:bCs w:val="0"/>
          <w:color w:val="auto"/>
          <w:sz w:val="32"/>
          <w:szCs w:val="32"/>
          <w:lang w:val="en-US" w:eastAsia="zh-CN"/>
        </w:rPr>
        <w:t>工作，</w:t>
      </w:r>
      <w:r>
        <w:rPr>
          <w:rFonts w:hint="default" w:ascii="Times New Roman" w:hAnsi="Times New Roman" w:eastAsia="仿宋_GB2312" w:cs="Times New Roman"/>
          <w:b w:val="0"/>
          <w:bCs w:val="0"/>
          <w:color w:val="auto"/>
          <w:sz w:val="32"/>
          <w:szCs w:val="32"/>
          <w:lang w:eastAsia="zh-CN"/>
        </w:rPr>
        <w:t>办理登记就业失业人员</w:t>
      </w:r>
      <w:r>
        <w:rPr>
          <w:rFonts w:hint="default" w:ascii="Times New Roman" w:hAnsi="Times New Roman" w:eastAsia="仿宋_GB2312" w:cs="Times New Roman"/>
          <w:b w:val="0"/>
          <w:bCs w:val="0"/>
          <w:color w:val="auto"/>
          <w:sz w:val="32"/>
          <w:szCs w:val="32"/>
          <w:lang w:val="en-US" w:eastAsia="zh-CN"/>
        </w:rPr>
        <w:t>181人次，城镇新增就业人员35次，开展就业援助12次，发布就业信息456次。</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b w:val="0"/>
          <w:bCs w:val="0"/>
          <w:color w:val="auto"/>
          <w:sz w:val="32"/>
          <w:szCs w:val="32"/>
          <w:lang w:eastAsia="zh-CN"/>
        </w:rPr>
        <w:t>顺利通过全国文明城市创建工作验收，完成新时代文明实践站（所）建设</w:t>
      </w:r>
      <w:r>
        <w:rPr>
          <w:rFonts w:hint="default" w:ascii="Times New Roman" w:hAnsi="Times New Roman" w:eastAsia="仿宋_GB2312" w:cs="Times New Roman"/>
          <w:b w:val="0"/>
          <w:bCs w:val="0"/>
          <w:color w:val="auto"/>
          <w:sz w:val="32"/>
          <w:szCs w:val="32"/>
          <w:lang w:val="en-US" w:eastAsia="zh-CN"/>
        </w:rPr>
        <w:t>9个，</w:t>
      </w:r>
      <w:r>
        <w:rPr>
          <w:rFonts w:hint="default" w:ascii="Times New Roman" w:hAnsi="Times New Roman" w:eastAsia="仿宋_GB2312" w:cs="Times New Roman"/>
          <w:b w:val="0"/>
          <w:bCs w:val="0"/>
          <w:color w:val="auto"/>
          <w:sz w:val="32"/>
          <w:szCs w:val="32"/>
        </w:rPr>
        <w:t>开展</w:t>
      </w:r>
      <w:r>
        <w:rPr>
          <w:rFonts w:hint="default" w:ascii="Times New Roman" w:hAnsi="Times New Roman" w:eastAsia="仿宋_GB2312" w:cs="Times New Roman"/>
          <w:b w:val="0"/>
          <w:bCs w:val="0"/>
          <w:color w:val="auto"/>
          <w:sz w:val="32"/>
          <w:szCs w:val="32"/>
          <w:lang w:eastAsia="zh-CN"/>
        </w:rPr>
        <w:t>“庆祝建党</w:t>
      </w:r>
      <w:r>
        <w:rPr>
          <w:rFonts w:hint="default" w:ascii="Times New Roman" w:hAnsi="Times New Roman" w:eastAsia="仿宋_GB2312" w:cs="Times New Roman"/>
          <w:b w:val="0"/>
          <w:bCs w:val="0"/>
          <w:color w:val="auto"/>
          <w:sz w:val="32"/>
          <w:szCs w:val="32"/>
          <w:lang w:val="en-US" w:eastAsia="zh-CN"/>
        </w:rPr>
        <w:t>100周年文艺汇演</w:t>
      </w:r>
      <w:r>
        <w:rPr>
          <w:rFonts w:hint="default" w:ascii="Times New Roman" w:hAnsi="Times New Roman" w:eastAsia="仿宋_GB2312" w:cs="Times New Roman"/>
          <w:b w:val="0"/>
          <w:bCs w:val="0"/>
          <w:color w:val="auto"/>
          <w:sz w:val="32"/>
          <w:szCs w:val="32"/>
          <w:lang w:eastAsia="zh-CN"/>
        </w:rPr>
        <w:t>”、“送文化下乡村”等</w:t>
      </w:r>
      <w:r>
        <w:rPr>
          <w:rFonts w:hint="default" w:ascii="Times New Roman" w:hAnsi="Times New Roman" w:eastAsia="仿宋_GB2312" w:cs="Times New Roman"/>
          <w:b w:val="0"/>
          <w:bCs w:val="0"/>
          <w:color w:val="auto"/>
          <w:sz w:val="32"/>
          <w:szCs w:val="32"/>
        </w:rPr>
        <w:t>群众文体活动</w:t>
      </w:r>
      <w:r>
        <w:rPr>
          <w:rFonts w:hint="default" w:ascii="Times New Roman" w:hAnsi="Times New Roman" w:eastAsia="仿宋_GB2312" w:cs="Times New Roman"/>
          <w:b w:val="0"/>
          <w:bCs w:val="0"/>
          <w:color w:val="auto"/>
          <w:sz w:val="32"/>
          <w:szCs w:val="32"/>
          <w:lang w:val="en-US" w:eastAsia="zh-CN"/>
        </w:rPr>
        <w:t>16</w:t>
      </w:r>
      <w:r>
        <w:rPr>
          <w:rFonts w:hint="default" w:ascii="Times New Roman" w:hAnsi="Times New Roman" w:eastAsia="仿宋_GB2312" w:cs="Times New Roman"/>
          <w:b w:val="0"/>
          <w:bCs w:val="0"/>
          <w:color w:val="auto"/>
          <w:sz w:val="32"/>
          <w:szCs w:val="32"/>
        </w:rPr>
        <w:t>次，</w:t>
      </w:r>
      <w:r>
        <w:rPr>
          <w:rFonts w:hint="default" w:ascii="Times New Roman" w:hAnsi="Times New Roman" w:eastAsia="仿宋_GB2312" w:cs="Times New Roman"/>
          <w:b w:val="0"/>
          <w:bCs w:val="0"/>
          <w:color w:val="auto"/>
          <w:sz w:val="32"/>
          <w:szCs w:val="32"/>
          <w:lang w:val="en-US" w:eastAsia="zh-CN"/>
        </w:rPr>
        <w:t>放映红色电影、公益电影138场次</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bCs/>
          <w:color w:val="auto"/>
          <w:sz w:val="32"/>
          <w:szCs w:val="32"/>
          <w:lang w:eastAsia="zh-CN"/>
        </w:rPr>
        <w:t>四是</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深入推进市域社会治理现代化建设，充分发挥“智慧社区”“平安乡村”创建效果，用好用活“三说会堂”，探索形成“五微”工作法、马大姐调解队等服务品牌。</w:t>
      </w:r>
    </w:p>
    <w:p>
      <w:pPr>
        <w:keepNext w:val="0"/>
        <w:keepLines w:val="0"/>
        <w:pageBreakBefore w:val="0"/>
        <w:widowControl w:val="0"/>
        <w:kinsoku/>
        <w:wordWrap/>
        <w:overflowPunct/>
        <w:topLinePunct w:val="0"/>
        <w:autoSpaceDE/>
        <w:autoSpaceDN/>
        <w:bidi w:val="0"/>
        <w:adjustRightInd w:val="0"/>
        <w:snapToGrid/>
        <w:spacing w:line="353" w:lineRule="auto"/>
        <w:ind w:firstLine="619" w:firstLineChars="200"/>
        <w:textAlignment w:val="auto"/>
        <w:rPr>
          <w:rFonts w:ascii="仿宋" w:hAnsi="仿宋" w:eastAsia="仿宋"/>
          <w:bCs/>
          <w:sz w:val="32"/>
          <w:szCs w:val="32"/>
        </w:rPr>
      </w:pPr>
      <w:r>
        <w:rPr>
          <w:rFonts w:hint="default" w:ascii="Times New Roman" w:hAnsi="Times New Roman" w:eastAsia="楷体_GB2312" w:cs="Times New Roman"/>
          <w:b/>
          <w:bCs/>
          <w:color w:val="000000"/>
          <w:spacing w:val="-6"/>
          <w:kern w:val="2"/>
          <w:sz w:val="32"/>
          <w:szCs w:val="32"/>
          <w:lang w:val="en-US" w:eastAsia="zh-CN" w:bidi="ar-SA"/>
        </w:rPr>
        <w:t>扎实抓好安全工作。</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color w:val="auto"/>
          <w:sz w:val="32"/>
          <w:szCs w:val="32"/>
        </w:rPr>
        <w:t>牢固树立红线意识、底线思维，调整完善指挥体系和工作机制，新建防火通道13公里，开设隔离带25公里，实施计划烧除8100</w:t>
      </w:r>
      <w:r>
        <w:rPr>
          <w:rFonts w:hint="default" w:ascii="Times New Roman" w:hAnsi="Times New Roman" w:eastAsia="仿宋_GB2312" w:cs="Times New Roman"/>
          <w:color w:val="auto"/>
          <w:sz w:val="32"/>
          <w:szCs w:val="32"/>
          <w:lang w:eastAsia="zh-CN"/>
        </w:rPr>
        <w:t>余</w:t>
      </w:r>
      <w:r>
        <w:rPr>
          <w:rFonts w:hint="default" w:ascii="Times New Roman" w:hAnsi="Times New Roman" w:eastAsia="仿宋_GB2312" w:cs="Times New Roman"/>
          <w:color w:val="auto"/>
          <w:sz w:val="32"/>
          <w:szCs w:val="32"/>
        </w:rPr>
        <w:t>亩，全面落实“七级包保”责任制，联防联控、严防死守，实现森林火灾“零</w:t>
      </w:r>
      <w:r>
        <w:rPr>
          <w:rFonts w:hint="default" w:ascii="Times New Roman" w:hAnsi="Times New Roman" w:eastAsia="仿宋_GB2312" w:cs="Times New Roman"/>
          <w:color w:val="auto"/>
          <w:sz w:val="32"/>
          <w:szCs w:val="32"/>
          <w:lang w:eastAsia="zh-CN"/>
        </w:rPr>
        <w:t>发生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rPr>
        <w:t>实施安全生产专项整治三年行动计划，推行安全生产清单制管理，扎实开展</w:t>
      </w:r>
      <w:r>
        <w:rPr>
          <w:rFonts w:hint="default" w:ascii="Times New Roman" w:hAnsi="Times New Roman" w:eastAsia="仿宋_GB2312" w:cs="Times New Roman"/>
          <w:color w:val="auto"/>
          <w:sz w:val="32"/>
          <w:szCs w:val="32"/>
          <w:lang w:eastAsia="zh-CN"/>
        </w:rPr>
        <w:t>联合</w:t>
      </w:r>
      <w:r>
        <w:rPr>
          <w:rFonts w:hint="default" w:ascii="Times New Roman" w:hAnsi="Times New Roman" w:eastAsia="仿宋_GB2312" w:cs="Times New Roman"/>
          <w:color w:val="auto"/>
          <w:sz w:val="32"/>
          <w:szCs w:val="32"/>
        </w:rPr>
        <w:t>执法专项行动，</w:t>
      </w:r>
      <w:r>
        <w:rPr>
          <w:rFonts w:hint="default"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对非煤矿山、危险化学品、建筑施工场所等重点行业领域</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巡查和检查</w:t>
      </w:r>
      <w:r>
        <w:rPr>
          <w:rFonts w:hint="default" w:ascii="Times New Roman" w:hAnsi="Times New Roman" w:eastAsia="仿宋_GB2312" w:cs="Times New Roman"/>
          <w:color w:val="auto"/>
          <w:sz w:val="32"/>
          <w:szCs w:val="32"/>
          <w:lang w:val="en-US" w:eastAsia="zh-CN"/>
        </w:rPr>
        <w:t>60余次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排查安全生产隐患</w:t>
      </w:r>
      <w:r>
        <w:rPr>
          <w:rFonts w:hint="default" w:ascii="Times New Roman" w:hAnsi="Times New Roman" w:eastAsia="仿宋_GB2312" w:cs="Times New Roman"/>
          <w:color w:val="auto"/>
          <w:sz w:val="32"/>
          <w:szCs w:val="32"/>
          <w:lang w:val="en-US" w:eastAsia="zh-CN"/>
        </w:rPr>
        <w:t>155条，</w:t>
      </w:r>
      <w:r>
        <w:rPr>
          <w:rFonts w:hint="default" w:ascii="Times New Roman" w:hAnsi="Times New Roman" w:eastAsia="仿宋_GB2312" w:cs="Times New Roman"/>
          <w:color w:val="auto"/>
          <w:sz w:val="32"/>
          <w:szCs w:val="32"/>
          <w:lang w:eastAsia="zh-CN"/>
        </w:rPr>
        <w:t>督促整改</w:t>
      </w:r>
      <w:r>
        <w:rPr>
          <w:rFonts w:hint="default" w:ascii="Times New Roman" w:hAnsi="Times New Roman" w:eastAsia="仿宋_GB2312" w:cs="Times New Roman"/>
          <w:color w:val="auto"/>
          <w:sz w:val="32"/>
          <w:szCs w:val="32"/>
          <w:lang w:val="en-US" w:eastAsia="zh-CN"/>
        </w:rPr>
        <w:t>155条。</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rPr>
        <w:t>持续强化食品药品安全监管</w:t>
      </w:r>
      <w:r>
        <w:rPr>
          <w:rFonts w:hint="default" w:ascii="Times New Roman" w:hAnsi="Times New Roman" w:eastAsia="仿宋_GB2312" w:cs="Times New Roman"/>
          <w:color w:val="auto"/>
          <w:sz w:val="32"/>
          <w:szCs w:val="32"/>
          <w:lang w:eastAsia="zh-CN"/>
        </w:rPr>
        <w:t>，开展主题宣传活动</w:t>
      </w:r>
      <w:r>
        <w:rPr>
          <w:rFonts w:hint="default" w:ascii="Times New Roman" w:hAnsi="Times New Roman" w:eastAsia="仿宋_GB2312" w:cs="Times New Roman"/>
          <w:color w:val="auto"/>
          <w:sz w:val="32"/>
          <w:szCs w:val="32"/>
          <w:lang w:val="en-US" w:eastAsia="zh-CN"/>
        </w:rPr>
        <w:t>4次，发放宣传资料3000份。</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道路交通检查</w:t>
      </w:r>
      <w:r>
        <w:rPr>
          <w:rFonts w:hint="default" w:ascii="Times New Roman" w:hAnsi="Times New Roman" w:eastAsia="仿宋_GB2312" w:cs="Times New Roman"/>
          <w:color w:val="auto"/>
          <w:sz w:val="32"/>
          <w:szCs w:val="32"/>
        </w:rPr>
        <w:t>监管</w:t>
      </w:r>
      <w:r>
        <w:rPr>
          <w:rFonts w:hint="default" w:ascii="Times New Roman" w:hAnsi="Times New Roman" w:eastAsia="仿宋_GB2312" w:cs="Times New Roman"/>
          <w:color w:val="auto"/>
          <w:sz w:val="32"/>
          <w:szCs w:val="32"/>
          <w:lang w:eastAsia="zh-CN"/>
        </w:rPr>
        <w:t>力度，</w:t>
      </w:r>
      <w:r>
        <w:rPr>
          <w:rFonts w:hint="default" w:ascii="Times New Roman" w:hAnsi="Times New Roman" w:eastAsia="仿宋_GB2312" w:cs="Times New Roman"/>
          <w:color w:val="auto"/>
          <w:sz w:val="32"/>
          <w:szCs w:val="32"/>
        </w:rPr>
        <w:t>联合区级相关执法部门开展联合执法4次，累计劝导群众300余人次，查处无证驾驶2起、违章载人25起、不戴安全帽等行为20起。</w:t>
      </w:r>
    </w:p>
    <w:p>
      <w:pPr>
        <w:pStyle w:val="4"/>
        <w:rPr>
          <w:rStyle w:val="28"/>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20"/>
      <w:bookmarkEnd w:id="21"/>
    </w:p>
    <w:p>
      <w:pPr>
        <w:widowControl/>
        <w:ind w:firstLine="640" w:firstLineChars="200"/>
        <w:jc w:val="left"/>
        <w:rPr>
          <w:rFonts w:hint="eastAsia" w:ascii="宋体" w:hAnsi="宋体"/>
          <w:sz w:val="30"/>
          <w:szCs w:val="30"/>
        </w:rPr>
      </w:pPr>
      <w:r>
        <w:rPr>
          <w:rFonts w:hint="eastAsia" w:ascii="仿宋_GB2312" w:hAnsi="仿宋_GB2312" w:eastAsia="仿宋_GB2312" w:cs="仿宋_GB2312"/>
          <w:sz w:val="32"/>
          <w:szCs w:val="32"/>
        </w:rPr>
        <w:t>根据三定方案，格里坪镇设5个行政内设机构，即：党政办公室、经济发展办公室、社会事务办公室、群众工作办公室、财政所；5个事业单位，即：农业综合服务中心、城乡建设服务中心、文化服务中心、社会保障服务中心、项目协调服务中心。</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22" w:name="_Toc15377204"/>
      <w:bookmarkStart w:id="23" w:name="_Toc15396602"/>
      <w:r>
        <w:rPr>
          <w:rFonts w:hint="eastAsia" w:ascii="黑体" w:hAnsi="黑体" w:eastAsia="黑体"/>
          <w:b w:val="0"/>
        </w:rPr>
        <w:t>第二部分 2021年度</w:t>
      </w:r>
      <w:r>
        <w:rPr>
          <w:rStyle w:val="27"/>
          <w:rFonts w:hint="eastAsia" w:ascii="黑体" w:hAnsi="黑体" w:eastAsia="黑体"/>
          <w:b w:val="0"/>
          <w:bCs/>
        </w:rPr>
        <w:t>部门决算情况说明</w:t>
      </w:r>
      <w:bookmarkEnd w:id="22"/>
      <w:bookmarkEnd w:id="23"/>
    </w:p>
    <w:p/>
    <w:p>
      <w:pPr>
        <w:pStyle w:val="26"/>
        <w:numPr>
          <w:ilvl w:val="0"/>
          <w:numId w:val="1"/>
        </w:numPr>
        <w:spacing w:line="600" w:lineRule="exact"/>
        <w:ind w:firstLineChars="0"/>
        <w:outlineLvl w:val="1"/>
        <w:rPr>
          <w:rStyle w:val="28"/>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p>
    <w:p>
      <w:p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sz w:val="32"/>
          <w:szCs w:val="32"/>
        </w:rPr>
        <w:t>2021年度收</w:t>
      </w:r>
      <w:r>
        <w:rPr>
          <w:rFonts w:hint="eastAsia" w:ascii="仿宋" w:hAnsi="仿宋" w:eastAsia="仿宋"/>
          <w:sz w:val="32"/>
          <w:szCs w:val="32"/>
          <w:lang w:eastAsia="zh-CN"/>
        </w:rPr>
        <w:t>入</w:t>
      </w:r>
      <w:r>
        <w:rPr>
          <w:rFonts w:hint="eastAsia" w:ascii="仿宋" w:hAnsi="仿宋" w:eastAsia="仿宋"/>
          <w:sz w:val="32"/>
          <w:szCs w:val="32"/>
        </w:rPr>
        <w:t>总计</w:t>
      </w:r>
      <w:r>
        <w:rPr>
          <w:rFonts w:hint="eastAsia" w:ascii="仿宋" w:hAnsi="仿宋" w:eastAsia="仿宋"/>
          <w:sz w:val="32"/>
          <w:szCs w:val="32"/>
          <w:lang w:val="en-US" w:eastAsia="zh-CN"/>
        </w:rPr>
        <w:t>5167</w:t>
      </w:r>
      <w:r>
        <w:rPr>
          <w:rFonts w:hint="eastAsia" w:ascii="仿宋" w:hAnsi="仿宋" w:eastAsia="仿宋"/>
          <w:sz w:val="32"/>
          <w:szCs w:val="32"/>
        </w:rPr>
        <w:t>万元</w:t>
      </w:r>
      <w:r>
        <w:rPr>
          <w:rFonts w:hint="eastAsia" w:ascii="仿宋" w:hAnsi="仿宋" w:eastAsia="仿宋"/>
          <w:sz w:val="32"/>
          <w:szCs w:val="32"/>
          <w:lang w:eastAsia="zh-CN"/>
        </w:rPr>
        <w:t>，支出总计</w:t>
      </w:r>
      <w:r>
        <w:rPr>
          <w:rFonts w:hint="eastAsia" w:ascii="仿宋" w:hAnsi="仿宋" w:eastAsia="仿宋"/>
          <w:sz w:val="32"/>
          <w:szCs w:val="32"/>
          <w:lang w:val="en-US" w:eastAsia="zh-CN"/>
        </w:rPr>
        <w:t>5167万元，</w:t>
      </w:r>
      <w:r>
        <w:rPr>
          <w:rFonts w:hint="eastAsia" w:ascii="仿宋" w:hAnsi="仿宋" w:eastAsia="仿宋"/>
          <w:sz w:val="32"/>
          <w:szCs w:val="32"/>
        </w:rPr>
        <w:t>与2020年相比，收</w:t>
      </w:r>
      <w:r>
        <w:rPr>
          <w:rFonts w:hint="eastAsia" w:ascii="仿宋" w:hAnsi="仿宋" w:eastAsia="仿宋"/>
          <w:sz w:val="32"/>
          <w:szCs w:val="32"/>
          <w:lang w:eastAsia="zh-CN"/>
        </w:rPr>
        <w:t>入</w:t>
      </w:r>
      <w:r>
        <w:rPr>
          <w:rFonts w:hint="eastAsia" w:ascii="仿宋" w:hAnsi="仿宋" w:eastAsia="仿宋"/>
          <w:sz w:val="32"/>
          <w:szCs w:val="32"/>
        </w:rPr>
        <w:t>减少</w:t>
      </w:r>
      <w:r>
        <w:rPr>
          <w:rFonts w:hint="eastAsia" w:ascii="仿宋" w:hAnsi="仿宋" w:eastAsia="仿宋"/>
          <w:sz w:val="32"/>
          <w:szCs w:val="32"/>
          <w:lang w:val="en-US" w:eastAsia="zh-CN"/>
        </w:rPr>
        <w:t>3396.57</w:t>
      </w:r>
      <w:r>
        <w:rPr>
          <w:rFonts w:hint="eastAsia" w:ascii="仿宋" w:hAnsi="仿宋" w:eastAsia="仿宋"/>
          <w:sz w:val="32"/>
          <w:szCs w:val="32"/>
        </w:rPr>
        <w:t>万元，</w:t>
      </w:r>
      <w:r>
        <w:rPr>
          <w:rFonts w:hint="eastAsia" w:ascii="仿宋" w:hAnsi="仿宋" w:eastAsia="仿宋"/>
          <w:sz w:val="32"/>
          <w:szCs w:val="32"/>
          <w:lang w:eastAsia="zh-CN"/>
        </w:rPr>
        <w:t>支出减少</w:t>
      </w:r>
      <w:r>
        <w:rPr>
          <w:rFonts w:hint="eastAsia" w:ascii="仿宋" w:hAnsi="仿宋" w:eastAsia="仿宋"/>
          <w:sz w:val="32"/>
          <w:szCs w:val="32"/>
          <w:lang w:val="en-US" w:eastAsia="zh-CN"/>
        </w:rPr>
        <w:t>3396.57万元，收入和支出同样</w:t>
      </w:r>
      <w:r>
        <w:rPr>
          <w:rFonts w:hint="eastAsia" w:ascii="仿宋" w:hAnsi="仿宋" w:eastAsia="仿宋"/>
          <w:sz w:val="32"/>
          <w:szCs w:val="32"/>
        </w:rPr>
        <w:t>下降</w:t>
      </w:r>
      <w:r>
        <w:rPr>
          <w:rFonts w:hint="eastAsia" w:ascii="仿宋" w:hAnsi="仿宋" w:eastAsia="仿宋"/>
          <w:sz w:val="32"/>
          <w:szCs w:val="32"/>
          <w:lang w:val="en-US" w:eastAsia="zh-CN"/>
        </w:rPr>
        <w:t>39.66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val="en-US" w:eastAsia="zh-CN"/>
        </w:rPr>
        <w:t>2021年财政局收回存量资金2923.96万元，部分项目（如土地整理项目）资金拨付滞后。</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2069"/>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69" w:type="dxa"/>
            <w:noWrap w:val="0"/>
            <w:vAlign w:val="top"/>
          </w:tcPr>
          <w:p>
            <w:pPr>
              <w:snapToGrid w:val="0"/>
              <w:spacing w:line="520" w:lineRule="exact"/>
              <w:rPr>
                <w:rFonts w:hint="eastAsia" w:ascii="仿宋_GB2312" w:hAnsi="仿宋" w:eastAsia="仿宋_GB2312"/>
                <w:sz w:val="32"/>
                <w:szCs w:val="32"/>
              </w:rPr>
            </w:pPr>
          </w:p>
        </w:tc>
        <w:tc>
          <w:tcPr>
            <w:tcW w:w="2069" w:type="dxa"/>
            <w:noWrap w:val="0"/>
            <w:vAlign w:val="top"/>
          </w:tcPr>
          <w:p>
            <w:pPr>
              <w:snapToGrid w:val="0"/>
              <w:spacing w:line="520" w:lineRule="exact"/>
              <w:rPr>
                <w:rFonts w:hint="eastAsia" w:ascii="仿宋_GB2312" w:hAnsi="仿宋" w:eastAsia="仿宋_GB2312"/>
                <w:sz w:val="24"/>
              </w:rPr>
            </w:pPr>
            <w:r>
              <w:rPr>
                <w:rFonts w:hint="eastAsia" w:ascii="仿宋_GB2312" w:hAnsi="仿宋" w:eastAsia="仿宋_GB2312"/>
                <w:sz w:val="32"/>
                <w:szCs w:val="32"/>
                <w:lang w:val="en-US" w:eastAsia="zh-CN"/>
              </w:rPr>
              <w:t>2020</w:t>
            </w:r>
            <w:r>
              <w:rPr>
                <w:rFonts w:hint="eastAsia" w:ascii="仿宋_GB2312" w:hAnsi="仿宋" w:eastAsia="仿宋_GB2312"/>
                <w:sz w:val="32"/>
                <w:szCs w:val="32"/>
              </w:rPr>
              <w:t>年</w:t>
            </w:r>
          </w:p>
        </w:tc>
        <w:tc>
          <w:tcPr>
            <w:tcW w:w="2070" w:type="dxa"/>
            <w:noWrap w:val="0"/>
            <w:vAlign w:val="top"/>
          </w:tcPr>
          <w:p>
            <w:pPr>
              <w:snapToGrid w:val="0"/>
              <w:spacing w:line="520" w:lineRule="exact"/>
              <w:rPr>
                <w:rFonts w:hint="eastAsia" w:ascii="仿宋_GB2312" w:hAnsi="仿宋" w:eastAsia="仿宋_GB2312"/>
                <w:sz w:val="24"/>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p>
        </w:tc>
        <w:tc>
          <w:tcPr>
            <w:tcW w:w="2070" w:type="dxa"/>
            <w:noWrap w:val="0"/>
            <w:vAlign w:val="top"/>
          </w:tcPr>
          <w:p>
            <w:pPr>
              <w:snapToGrid w:val="0"/>
              <w:spacing w:line="520" w:lineRule="exact"/>
              <w:rPr>
                <w:rFonts w:hint="eastAsia" w:ascii="仿宋_GB2312" w:hAnsi="仿宋" w:eastAsia="仿宋_GB2312"/>
                <w:sz w:val="24"/>
              </w:rPr>
            </w:pPr>
            <w:r>
              <w:rPr>
                <w:rFonts w:hint="eastAsia" w:ascii="仿宋_GB2312" w:hAnsi="仿宋" w:eastAsia="仿宋_GB2312"/>
                <w:sz w:val="32"/>
                <w:szCs w:val="32"/>
              </w:rPr>
              <w:t xml:space="preserve"> 差异率%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69" w:type="dxa"/>
            <w:noWrap w:val="0"/>
            <w:vAlign w:val="top"/>
          </w:tcPr>
          <w:p>
            <w:pPr>
              <w:snapToGrid w:val="0"/>
              <w:spacing w:line="520" w:lineRule="exact"/>
              <w:rPr>
                <w:rFonts w:hint="eastAsia" w:ascii="仿宋_GB2312" w:hAnsi="仿宋" w:eastAsia="仿宋_GB2312"/>
                <w:sz w:val="24"/>
              </w:rPr>
            </w:pPr>
            <w:r>
              <w:rPr>
                <w:rFonts w:hint="eastAsia" w:ascii="仿宋_GB2312" w:hAnsi="仿宋" w:eastAsia="仿宋_GB2312"/>
                <w:sz w:val="32"/>
                <w:szCs w:val="32"/>
              </w:rPr>
              <w:t>本年收入</w:t>
            </w:r>
          </w:p>
        </w:tc>
        <w:tc>
          <w:tcPr>
            <w:tcW w:w="2069" w:type="dxa"/>
            <w:noWrap w:val="0"/>
            <w:vAlign w:val="top"/>
          </w:tcPr>
          <w:p>
            <w:pPr>
              <w:snapToGrid w:val="0"/>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8563.57</w:t>
            </w:r>
          </w:p>
        </w:tc>
        <w:tc>
          <w:tcPr>
            <w:tcW w:w="2070" w:type="dxa"/>
            <w:noWrap w:val="0"/>
            <w:vAlign w:val="top"/>
          </w:tcPr>
          <w:p>
            <w:pPr>
              <w:snapToGrid w:val="0"/>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5167</w:t>
            </w:r>
          </w:p>
        </w:tc>
        <w:tc>
          <w:tcPr>
            <w:tcW w:w="2070" w:type="dxa"/>
            <w:noWrap w:val="0"/>
            <w:vAlign w:val="top"/>
          </w:tcPr>
          <w:p>
            <w:pPr>
              <w:snapToGrid w:val="0"/>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69" w:type="dxa"/>
            <w:noWrap w:val="0"/>
            <w:vAlign w:val="top"/>
          </w:tcPr>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本年支出</w:t>
            </w:r>
          </w:p>
        </w:tc>
        <w:tc>
          <w:tcPr>
            <w:tcW w:w="2069" w:type="dxa"/>
            <w:noWrap w:val="0"/>
            <w:vAlign w:val="top"/>
          </w:tcPr>
          <w:p>
            <w:pPr>
              <w:snapToGrid w:val="0"/>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8563.57</w:t>
            </w:r>
          </w:p>
        </w:tc>
        <w:tc>
          <w:tcPr>
            <w:tcW w:w="2070" w:type="dxa"/>
            <w:noWrap w:val="0"/>
            <w:vAlign w:val="top"/>
          </w:tcPr>
          <w:p>
            <w:pPr>
              <w:snapToGrid w:val="0"/>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5167</w:t>
            </w:r>
          </w:p>
        </w:tc>
        <w:tc>
          <w:tcPr>
            <w:tcW w:w="2070" w:type="dxa"/>
            <w:noWrap w:val="0"/>
            <w:vAlign w:val="top"/>
          </w:tcPr>
          <w:p>
            <w:pPr>
              <w:snapToGrid w:val="0"/>
              <w:spacing w:line="520" w:lineRule="exac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39.66</w:t>
            </w:r>
          </w:p>
        </w:tc>
      </w:tr>
    </w:tbl>
    <w:p>
      <w:pPr>
        <w:spacing w:line="600" w:lineRule="exact"/>
        <w:ind w:firstLine="320" w:firstLineChars="100"/>
        <w:rPr>
          <w:rFonts w:ascii="仿宋_GB2312" w:eastAsia="仿宋_GB2312"/>
          <w:sz w:val="32"/>
          <w:szCs w:val="32"/>
        </w:rPr>
      </w:pPr>
      <w:r>
        <w:rPr>
          <w:rFonts w:hint="eastAsia" w:ascii="仿宋" w:hAnsi="仿宋" w:eastAsia="仿宋"/>
          <w:sz w:val="32"/>
          <w:szCs w:val="32"/>
          <w:lang w:eastAsia="zh-CN"/>
        </w:rPr>
        <w:drawing>
          <wp:anchor distT="0" distB="0" distL="114300" distR="114300" simplePos="0" relativeHeight="251659264" behindDoc="0" locked="0" layoutInCell="1" allowOverlap="1">
            <wp:simplePos x="0" y="0"/>
            <wp:positionH relativeFrom="column">
              <wp:posOffset>26670</wp:posOffset>
            </wp:positionH>
            <wp:positionV relativeFrom="paragraph">
              <wp:posOffset>128270</wp:posOffset>
            </wp:positionV>
            <wp:extent cx="5042535" cy="2638425"/>
            <wp:effectExtent l="4445" t="4445" r="20320" b="508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6"/>
        <w:numPr>
          <w:ilvl w:val="0"/>
          <w:numId w:val="1"/>
        </w:numPr>
        <w:spacing w:line="600" w:lineRule="exact"/>
        <w:ind w:firstLineChars="0"/>
        <w:outlineLvl w:val="1"/>
        <w:rPr>
          <w:rStyle w:val="28"/>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4253.15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3731.63</w:t>
      </w:r>
      <w:r>
        <w:rPr>
          <w:rFonts w:hint="eastAsia" w:ascii="仿宋" w:hAnsi="仿宋" w:eastAsia="仿宋"/>
          <w:sz w:val="32"/>
          <w:szCs w:val="32"/>
        </w:rPr>
        <w:t>万元，占</w:t>
      </w:r>
      <w:r>
        <w:rPr>
          <w:rFonts w:hint="eastAsia" w:ascii="仿宋" w:hAnsi="仿宋" w:eastAsia="仿宋"/>
          <w:sz w:val="32"/>
          <w:szCs w:val="32"/>
          <w:lang w:val="en-US" w:eastAsia="zh-CN"/>
        </w:rPr>
        <w:t>87.74</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520.07</w:t>
      </w:r>
      <w:r>
        <w:rPr>
          <w:rFonts w:hint="eastAsia" w:ascii="仿宋" w:hAnsi="仿宋" w:eastAsia="仿宋"/>
          <w:sz w:val="32"/>
          <w:szCs w:val="32"/>
        </w:rPr>
        <w:t>万元，占</w:t>
      </w:r>
      <w:r>
        <w:rPr>
          <w:rFonts w:hint="eastAsia" w:ascii="仿宋" w:hAnsi="仿宋" w:eastAsia="仿宋"/>
          <w:sz w:val="32"/>
          <w:szCs w:val="32"/>
          <w:lang w:val="en-US" w:eastAsia="zh-CN"/>
        </w:rPr>
        <w:t>12.23</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1.45</w:t>
      </w:r>
      <w:r>
        <w:rPr>
          <w:rFonts w:hint="eastAsia" w:ascii="仿宋" w:hAnsi="仿宋" w:eastAsia="仿宋"/>
          <w:sz w:val="32"/>
          <w:szCs w:val="32"/>
        </w:rPr>
        <w:t>万元，占</w:t>
      </w:r>
      <w:r>
        <w:rPr>
          <w:rFonts w:hint="eastAsia" w:ascii="仿宋" w:hAnsi="仿宋" w:eastAsia="仿宋"/>
          <w:sz w:val="32"/>
          <w:szCs w:val="32"/>
          <w:lang w:val="en-US" w:eastAsia="zh-CN"/>
        </w:rPr>
        <w:t>0.03</w:t>
      </w:r>
      <w:r>
        <w:rPr>
          <w:rFonts w:ascii="仿宋" w:hAnsi="仿宋" w:eastAsia="仿宋"/>
          <w:sz w:val="32"/>
          <w:szCs w:val="32"/>
        </w:rPr>
        <w:t>%</w:t>
      </w:r>
      <w:r>
        <w:rPr>
          <w:rFonts w:hint="eastAsia" w:ascii="仿宋" w:hAnsi="仿宋" w:eastAsia="仿宋"/>
          <w:sz w:val="32"/>
          <w:szCs w:val="32"/>
        </w:rPr>
        <w:t>。</w:t>
      </w:r>
    </w:p>
    <w:tbl>
      <w:tblPr>
        <w:tblStyle w:val="1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220"/>
        <w:gridCol w:w="1220"/>
        <w:gridCol w:w="1220"/>
        <w:gridCol w:w="1220"/>
        <w:gridCol w:w="122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1"/>
                <w:szCs w:val="21"/>
              </w:rPr>
            </w:pPr>
            <w:r>
              <w:rPr>
                <w:rFonts w:hint="eastAsia" w:ascii="宋体" w:hAnsi="宋体"/>
                <w:sz w:val="21"/>
                <w:szCs w:val="21"/>
              </w:rPr>
              <w:t>本年收入</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eastAsia="宋体"/>
                <w:sz w:val="21"/>
                <w:szCs w:val="21"/>
                <w:lang w:eastAsia="zh-CN"/>
              </w:rPr>
            </w:pPr>
            <w:r>
              <w:rPr>
                <w:rFonts w:hint="eastAsia" w:ascii="宋体" w:hAnsi="宋体"/>
                <w:sz w:val="21"/>
                <w:szCs w:val="21"/>
                <w:lang w:eastAsia="zh-CN"/>
              </w:rPr>
              <w:t>一般公共预算财政拨款收入</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sz w:val="21"/>
                <w:szCs w:val="21"/>
                <w:lang w:val="en-US" w:eastAsia="zh-CN"/>
              </w:rPr>
            </w:pPr>
            <w:r>
              <w:rPr>
                <w:rFonts w:hint="eastAsia" w:ascii="宋体" w:hAnsi="宋体"/>
                <w:sz w:val="21"/>
                <w:szCs w:val="21"/>
                <w:lang w:eastAsia="zh-CN"/>
              </w:rPr>
              <w:t>占本年收入</w:t>
            </w:r>
            <w:r>
              <w:rPr>
                <w:rFonts w:hint="eastAsia" w:ascii="宋体" w:hAnsi="宋体"/>
                <w:sz w:val="21"/>
                <w:szCs w:val="21"/>
                <w:lang w:val="en-US" w:eastAsia="zh-CN"/>
              </w:rPr>
              <w:t>%</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1"/>
                <w:szCs w:val="21"/>
              </w:rPr>
            </w:pPr>
            <w:r>
              <w:rPr>
                <w:rFonts w:hint="eastAsia" w:ascii="宋体" w:hAnsi="宋体"/>
                <w:sz w:val="21"/>
                <w:szCs w:val="21"/>
                <w:lang w:eastAsia="zh-CN"/>
              </w:rPr>
              <w:t>政府性基金</w:t>
            </w:r>
            <w:r>
              <w:rPr>
                <w:rFonts w:hint="eastAsia" w:ascii="宋体" w:hAnsi="宋体"/>
                <w:sz w:val="21"/>
                <w:szCs w:val="21"/>
              </w:rPr>
              <w:t>财政拨款收入</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1"/>
                <w:szCs w:val="21"/>
              </w:rPr>
            </w:pPr>
            <w:r>
              <w:rPr>
                <w:rFonts w:hint="eastAsia" w:ascii="宋体" w:hAnsi="宋体"/>
                <w:sz w:val="21"/>
                <w:szCs w:val="21"/>
              </w:rPr>
              <w:t>占本年收入%</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1"/>
                <w:szCs w:val="21"/>
              </w:rPr>
            </w:pPr>
            <w:r>
              <w:rPr>
                <w:rFonts w:hint="eastAsia" w:ascii="宋体" w:hAnsi="宋体"/>
                <w:sz w:val="21"/>
                <w:szCs w:val="21"/>
              </w:rPr>
              <w:t>其他收入</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eastAsia" w:ascii="宋体" w:hAnsi="宋体"/>
                <w:sz w:val="21"/>
                <w:szCs w:val="21"/>
              </w:rPr>
            </w:pPr>
            <w:r>
              <w:rPr>
                <w:rFonts w:hint="eastAsia" w:ascii="宋体" w:hAnsi="宋体"/>
                <w:sz w:val="21"/>
                <w:szCs w:val="21"/>
              </w:rPr>
              <w:t>占本年收入%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4253.15</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3731.63</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87.74%</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520.07</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12.23%</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1.45</w:t>
            </w: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center"/>
              <w:textAlignment w:val="auto"/>
              <w:rPr>
                <w:rFonts w:hint="default" w:ascii="宋体" w:hAnsi="宋体" w:eastAsia="宋体"/>
                <w:sz w:val="24"/>
                <w:lang w:val="en-US" w:eastAsia="zh-CN"/>
              </w:rPr>
            </w:pPr>
            <w:r>
              <w:rPr>
                <w:rFonts w:hint="eastAsia" w:ascii="宋体" w:hAnsi="宋体"/>
                <w:sz w:val="24"/>
                <w:lang w:val="en-US" w:eastAsia="zh-CN"/>
              </w:rPr>
              <w:t>0.03%</w:t>
            </w:r>
          </w:p>
        </w:tc>
      </w:tr>
    </w:tbl>
    <w:p>
      <w:pPr>
        <w:spacing w:line="600" w:lineRule="exact"/>
        <w:ind w:firstLine="640" w:firstLineChars="200"/>
        <w:rPr>
          <w:rFonts w:ascii="仿宋_GB2312" w:eastAsia="仿宋_GB2312"/>
          <w:sz w:val="32"/>
          <w:szCs w:val="32"/>
        </w:rPr>
      </w:pPr>
      <w:r>
        <w:rPr>
          <w:rFonts w:hint="eastAsia" w:ascii="仿宋" w:hAnsi="仿宋" w:eastAsia="仿宋"/>
          <w:sz w:val="32"/>
          <w:szCs w:val="32"/>
        </w:rPr>
        <w:drawing>
          <wp:anchor distT="0" distB="0" distL="114300" distR="114300" simplePos="0" relativeHeight="251660288" behindDoc="1" locked="0" layoutInCell="1" allowOverlap="1">
            <wp:simplePos x="0" y="0"/>
            <wp:positionH relativeFrom="column">
              <wp:posOffset>126365</wp:posOffset>
            </wp:positionH>
            <wp:positionV relativeFrom="paragraph">
              <wp:posOffset>53975</wp:posOffset>
            </wp:positionV>
            <wp:extent cx="4777740" cy="2801620"/>
            <wp:effectExtent l="4445" t="4445" r="18415" b="13335"/>
            <wp:wrapTight wrapText="bothSides">
              <wp:wrapPolygon>
                <wp:start x="-20" y="-34"/>
                <wp:lineTo x="-20" y="21556"/>
                <wp:lineTo x="21511" y="21556"/>
                <wp:lineTo x="21511" y="-34"/>
                <wp:lineTo x="-20" y="-34"/>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（图2：收入决算结构图）（饼状图）</w:t>
      </w:r>
    </w:p>
    <w:p>
      <w:pPr>
        <w:pStyle w:val="26"/>
        <w:numPr>
          <w:ilvl w:val="0"/>
          <w:numId w:val="1"/>
        </w:numPr>
        <w:spacing w:line="600" w:lineRule="exact"/>
        <w:ind w:firstLineChars="0"/>
        <w:outlineLvl w:val="1"/>
        <w:rPr>
          <w:rStyle w:val="28"/>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8"/>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5167</w:t>
      </w:r>
      <w:r>
        <w:rPr>
          <w:rFonts w:hint="eastAsia" w:ascii="仿宋" w:hAnsi="仿宋" w:eastAsia="仿宋"/>
          <w:sz w:val="32"/>
          <w:szCs w:val="32"/>
        </w:rPr>
        <w:t>万元，其中：基本支出</w:t>
      </w:r>
      <w:r>
        <w:rPr>
          <w:rFonts w:hint="eastAsia" w:ascii="仿宋" w:hAnsi="仿宋" w:eastAsia="仿宋"/>
          <w:sz w:val="32"/>
          <w:szCs w:val="32"/>
          <w:lang w:val="en-US" w:eastAsia="zh-CN"/>
        </w:rPr>
        <w:t>1387</w:t>
      </w:r>
      <w:r>
        <w:rPr>
          <w:rFonts w:hint="eastAsia" w:ascii="仿宋" w:hAnsi="仿宋" w:eastAsia="仿宋"/>
          <w:sz w:val="32"/>
          <w:szCs w:val="32"/>
        </w:rPr>
        <w:t>万元，占</w:t>
      </w:r>
      <w:r>
        <w:rPr>
          <w:rFonts w:hint="eastAsia" w:ascii="仿宋" w:hAnsi="仿宋" w:eastAsia="仿宋"/>
          <w:sz w:val="32"/>
          <w:szCs w:val="32"/>
          <w:lang w:val="en-US" w:eastAsia="zh-CN"/>
        </w:rPr>
        <w:t>26.84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3780</w:t>
      </w:r>
      <w:r>
        <w:rPr>
          <w:rFonts w:hint="eastAsia" w:ascii="仿宋" w:hAnsi="仿宋" w:eastAsia="仿宋"/>
          <w:sz w:val="32"/>
          <w:szCs w:val="32"/>
        </w:rPr>
        <w:t>万元，占</w:t>
      </w:r>
      <w:r>
        <w:rPr>
          <w:rFonts w:hint="eastAsia" w:ascii="仿宋" w:hAnsi="仿宋" w:eastAsia="仿宋"/>
          <w:sz w:val="32"/>
          <w:szCs w:val="32"/>
          <w:lang w:val="en-US" w:eastAsia="zh-CN"/>
        </w:rPr>
        <w:t>73.16</w:t>
      </w:r>
      <w:r>
        <w:rPr>
          <w:rFonts w:ascii="仿宋" w:hAnsi="仿宋" w:eastAsia="仿宋"/>
          <w:sz w:val="32"/>
          <w:szCs w:val="32"/>
        </w:rPr>
        <w:t>%</w:t>
      </w:r>
      <w:r>
        <w:rPr>
          <w:rFonts w:hint="eastAsia" w:ascii="仿宋" w:hAnsi="仿宋" w:eastAsia="仿宋"/>
          <w:sz w:val="32"/>
          <w:szCs w:val="32"/>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napToGrid w:val="0"/>
              <w:spacing w:line="520" w:lineRule="exact"/>
              <w:rPr>
                <w:rFonts w:hint="eastAsia" w:ascii="宋体" w:hAnsi="宋体"/>
                <w:sz w:val="24"/>
              </w:rPr>
            </w:pPr>
            <w:r>
              <w:rPr>
                <w:rFonts w:hint="eastAsia" w:ascii="宋体" w:hAnsi="宋体"/>
                <w:sz w:val="24"/>
              </w:rPr>
              <w:t>本年支出</w:t>
            </w:r>
          </w:p>
        </w:tc>
        <w:tc>
          <w:tcPr>
            <w:tcW w:w="1704" w:type="dxa"/>
            <w:noWrap w:val="0"/>
            <w:vAlign w:val="top"/>
          </w:tcPr>
          <w:p>
            <w:pPr>
              <w:snapToGrid w:val="0"/>
              <w:spacing w:line="520" w:lineRule="exact"/>
              <w:rPr>
                <w:rFonts w:hint="eastAsia" w:ascii="宋体" w:hAnsi="宋体"/>
                <w:sz w:val="24"/>
              </w:rPr>
            </w:pPr>
            <w:r>
              <w:rPr>
                <w:rFonts w:hint="eastAsia" w:ascii="宋体" w:hAnsi="宋体"/>
                <w:sz w:val="24"/>
              </w:rPr>
              <w:t>基本支出</w:t>
            </w:r>
          </w:p>
        </w:tc>
        <w:tc>
          <w:tcPr>
            <w:tcW w:w="1704" w:type="dxa"/>
            <w:noWrap w:val="0"/>
            <w:vAlign w:val="top"/>
          </w:tcPr>
          <w:p>
            <w:pPr>
              <w:snapToGrid w:val="0"/>
              <w:spacing w:line="520" w:lineRule="exact"/>
              <w:rPr>
                <w:rFonts w:hint="eastAsia" w:ascii="宋体" w:hAnsi="宋体"/>
                <w:sz w:val="24"/>
              </w:rPr>
            </w:pPr>
            <w:r>
              <w:rPr>
                <w:rFonts w:hint="eastAsia" w:ascii="宋体" w:hAnsi="宋体"/>
                <w:sz w:val="24"/>
              </w:rPr>
              <w:t>占本年支出%</w:t>
            </w:r>
          </w:p>
        </w:tc>
        <w:tc>
          <w:tcPr>
            <w:tcW w:w="1705" w:type="dxa"/>
            <w:noWrap w:val="0"/>
            <w:vAlign w:val="top"/>
          </w:tcPr>
          <w:p>
            <w:pPr>
              <w:snapToGrid w:val="0"/>
              <w:spacing w:line="520" w:lineRule="exact"/>
              <w:rPr>
                <w:rFonts w:hint="eastAsia" w:ascii="宋体" w:hAnsi="宋体"/>
                <w:sz w:val="24"/>
              </w:rPr>
            </w:pPr>
            <w:r>
              <w:rPr>
                <w:rFonts w:hint="eastAsia" w:ascii="宋体" w:hAnsi="宋体"/>
                <w:sz w:val="24"/>
              </w:rPr>
              <w:t>项目支出</w:t>
            </w:r>
          </w:p>
        </w:tc>
        <w:tc>
          <w:tcPr>
            <w:tcW w:w="1705" w:type="dxa"/>
            <w:noWrap w:val="0"/>
            <w:vAlign w:val="top"/>
          </w:tcPr>
          <w:p>
            <w:pPr>
              <w:snapToGrid w:val="0"/>
              <w:spacing w:line="520" w:lineRule="exact"/>
              <w:rPr>
                <w:rFonts w:hint="eastAsia" w:ascii="宋体" w:hAnsi="宋体"/>
                <w:sz w:val="24"/>
              </w:rPr>
            </w:pPr>
            <w:r>
              <w:rPr>
                <w:rFonts w:hint="eastAsia" w:ascii="宋体" w:hAnsi="宋体"/>
                <w:sz w:val="24"/>
              </w:rPr>
              <w:t>占本年支出%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snapToGrid w:val="0"/>
              <w:spacing w:line="520" w:lineRule="exact"/>
              <w:rPr>
                <w:rFonts w:hint="default" w:ascii="宋体" w:hAnsi="宋体" w:eastAsia="宋体"/>
                <w:sz w:val="24"/>
                <w:lang w:val="en-US" w:eastAsia="zh-CN"/>
              </w:rPr>
            </w:pPr>
            <w:r>
              <w:rPr>
                <w:rFonts w:hint="eastAsia" w:ascii="宋体" w:hAnsi="宋体"/>
                <w:sz w:val="24"/>
                <w:lang w:val="en-US" w:eastAsia="zh-CN"/>
              </w:rPr>
              <w:t>5167</w:t>
            </w:r>
          </w:p>
        </w:tc>
        <w:tc>
          <w:tcPr>
            <w:tcW w:w="1704" w:type="dxa"/>
            <w:noWrap w:val="0"/>
            <w:vAlign w:val="top"/>
          </w:tcPr>
          <w:p>
            <w:pPr>
              <w:snapToGrid w:val="0"/>
              <w:spacing w:line="520" w:lineRule="exact"/>
              <w:rPr>
                <w:rFonts w:hint="default" w:ascii="宋体" w:hAnsi="宋体" w:eastAsia="宋体"/>
                <w:sz w:val="24"/>
                <w:lang w:val="en-US" w:eastAsia="zh-CN"/>
              </w:rPr>
            </w:pPr>
            <w:r>
              <w:rPr>
                <w:rFonts w:hint="eastAsia" w:ascii="宋体" w:hAnsi="宋体"/>
                <w:sz w:val="24"/>
                <w:lang w:val="en-US" w:eastAsia="zh-CN"/>
              </w:rPr>
              <w:t>1387</w:t>
            </w:r>
          </w:p>
        </w:tc>
        <w:tc>
          <w:tcPr>
            <w:tcW w:w="1704" w:type="dxa"/>
            <w:noWrap w:val="0"/>
            <w:vAlign w:val="top"/>
          </w:tcPr>
          <w:p>
            <w:pPr>
              <w:snapToGrid w:val="0"/>
              <w:spacing w:line="520" w:lineRule="exact"/>
              <w:rPr>
                <w:rFonts w:hint="default" w:ascii="宋体" w:hAnsi="宋体" w:eastAsia="宋体"/>
                <w:sz w:val="24"/>
                <w:lang w:val="en-US" w:eastAsia="zh-CN"/>
              </w:rPr>
            </w:pPr>
            <w:r>
              <w:rPr>
                <w:rFonts w:hint="eastAsia" w:ascii="宋体" w:hAnsi="宋体"/>
                <w:sz w:val="24"/>
                <w:lang w:val="en-US" w:eastAsia="zh-CN"/>
              </w:rPr>
              <w:t>26.84%</w:t>
            </w:r>
          </w:p>
        </w:tc>
        <w:tc>
          <w:tcPr>
            <w:tcW w:w="1705" w:type="dxa"/>
            <w:noWrap w:val="0"/>
            <w:vAlign w:val="top"/>
          </w:tcPr>
          <w:p>
            <w:pPr>
              <w:snapToGrid w:val="0"/>
              <w:spacing w:line="520" w:lineRule="exact"/>
              <w:rPr>
                <w:rFonts w:hint="default" w:ascii="宋体" w:hAnsi="宋体" w:eastAsia="宋体"/>
                <w:sz w:val="24"/>
                <w:lang w:val="en-US" w:eastAsia="zh-CN"/>
              </w:rPr>
            </w:pPr>
            <w:r>
              <w:rPr>
                <w:rFonts w:hint="eastAsia" w:ascii="宋体" w:hAnsi="宋体"/>
                <w:sz w:val="24"/>
                <w:lang w:val="en-US" w:eastAsia="zh-CN"/>
              </w:rPr>
              <w:t>3780</w:t>
            </w:r>
          </w:p>
        </w:tc>
        <w:tc>
          <w:tcPr>
            <w:tcW w:w="1705" w:type="dxa"/>
            <w:noWrap w:val="0"/>
            <w:vAlign w:val="top"/>
          </w:tcPr>
          <w:p>
            <w:pPr>
              <w:snapToGrid w:val="0"/>
              <w:spacing w:line="520" w:lineRule="exact"/>
              <w:rPr>
                <w:rFonts w:hint="default" w:ascii="宋体" w:hAnsi="宋体" w:eastAsia="宋体"/>
                <w:sz w:val="24"/>
                <w:lang w:val="en-US" w:eastAsia="zh-CN"/>
              </w:rPr>
            </w:pPr>
            <w:r>
              <w:rPr>
                <w:rFonts w:hint="eastAsia" w:ascii="宋体" w:hAnsi="宋体"/>
                <w:sz w:val="24"/>
                <w:lang w:val="en-US" w:eastAsia="zh-CN"/>
              </w:rPr>
              <w:t>73.16%</w:t>
            </w:r>
          </w:p>
        </w:tc>
      </w:tr>
    </w:tbl>
    <w:p>
      <w:pPr>
        <w:spacing w:line="600" w:lineRule="exact"/>
        <w:rPr>
          <w:rFonts w:hint="eastAsia" w:ascii="仿宋" w:hAnsi="仿宋" w:eastAsia="仿宋"/>
          <w:sz w:val="32"/>
          <w:szCs w:val="32"/>
          <w:shd w:val="pct10" w:color="auto" w:fill="FFFFFF"/>
          <w:lang w:eastAsia="zh-CN"/>
        </w:rPr>
      </w:pPr>
    </w:p>
    <w:p>
      <w:pPr>
        <w:pStyle w:val="2"/>
        <w:rPr>
          <w:rFonts w:ascii="仿宋" w:hAnsi="仿宋" w:eastAsia="仿宋"/>
          <w:sz w:val="32"/>
          <w:szCs w:val="32"/>
          <w:shd w:val="pct10" w:color="auto" w:fill="FFFFFF"/>
        </w:rPr>
      </w:pPr>
      <w:r>
        <w:rPr>
          <w:rFonts w:hint="eastAsia" w:ascii="仿宋" w:hAnsi="仿宋" w:eastAsia="仿宋"/>
          <w:sz w:val="32"/>
          <w:szCs w:val="32"/>
          <w:shd w:val="pct10" w:color="auto" w:fill="FFFFFF"/>
          <w:lang w:eastAsia="zh-CN"/>
        </w:rPr>
        <w:drawing>
          <wp:inline distT="0" distB="0" distL="114300" distR="114300">
            <wp:extent cx="4965700" cy="287655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0"/>
      <w:bookmarkEnd w:id="31"/>
    </w:p>
    <w:p>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21年财政拨款收</w:t>
      </w:r>
      <w:r>
        <w:rPr>
          <w:rFonts w:hint="eastAsia" w:ascii="仿宋" w:hAnsi="仿宋" w:eastAsia="仿宋"/>
          <w:sz w:val="32"/>
          <w:szCs w:val="32"/>
          <w:lang w:eastAsia="zh-CN"/>
        </w:rPr>
        <w:t>、支</w:t>
      </w:r>
      <w:r>
        <w:rPr>
          <w:rFonts w:hint="eastAsia" w:ascii="仿宋" w:hAnsi="仿宋" w:eastAsia="仿宋"/>
          <w:sz w:val="32"/>
          <w:szCs w:val="32"/>
        </w:rPr>
        <w:t>总计</w:t>
      </w:r>
      <w:r>
        <w:rPr>
          <w:rFonts w:hint="eastAsia" w:ascii="仿宋" w:hAnsi="仿宋" w:eastAsia="仿宋"/>
          <w:sz w:val="32"/>
          <w:szCs w:val="32"/>
          <w:lang w:val="en-US" w:eastAsia="zh-CN"/>
        </w:rPr>
        <w:t>5164.23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20年相比，财政拨款收、支总计减少</w:t>
      </w:r>
      <w:r>
        <w:rPr>
          <w:rFonts w:hint="eastAsia" w:ascii="仿宋" w:hAnsi="仿宋" w:eastAsia="仿宋"/>
          <w:sz w:val="32"/>
          <w:szCs w:val="32"/>
          <w:lang w:val="en-US" w:eastAsia="zh-CN"/>
        </w:rPr>
        <w:t>3395.39</w:t>
      </w:r>
      <w:r>
        <w:rPr>
          <w:rFonts w:hint="eastAsia" w:ascii="仿宋" w:hAnsi="仿宋" w:eastAsia="仿宋"/>
          <w:sz w:val="32"/>
          <w:szCs w:val="32"/>
        </w:rPr>
        <w:t>万元，下降</w:t>
      </w:r>
      <w:r>
        <w:rPr>
          <w:rFonts w:hint="eastAsia" w:ascii="仿宋" w:hAnsi="仿宋" w:eastAsia="仿宋"/>
          <w:sz w:val="32"/>
          <w:szCs w:val="32"/>
          <w:lang w:val="en-US" w:eastAsia="zh-CN"/>
        </w:rPr>
        <w:t>39.67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rPr>
        <w:t>主要变动原因是</w:t>
      </w:r>
      <w:r>
        <w:rPr>
          <w:rFonts w:hint="eastAsia" w:ascii="仿宋" w:hAnsi="仿宋" w:eastAsia="仿宋"/>
          <w:color w:val="auto"/>
          <w:sz w:val="32"/>
          <w:szCs w:val="32"/>
          <w:lang w:val="en-US" w:eastAsia="zh-CN"/>
        </w:rPr>
        <w:t>2021年财政局收回存量资金2923.96万元，部分项目（如土地整理项目）资金拨付滞后。</w:t>
      </w:r>
    </w:p>
    <w:p>
      <w:pPr>
        <w:spacing w:line="600" w:lineRule="exact"/>
        <w:rPr>
          <w:rFonts w:ascii="仿宋" w:hAnsi="仿宋" w:eastAsia="仿宋"/>
          <w:b/>
          <w:sz w:val="32"/>
          <w:szCs w:val="32"/>
        </w:rPr>
      </w:pPr>
      <w:r>
        <w:rPr>
          <w:rFonts w:hint="eastAsia" w:ascii="仿宋" w:hAnsi="仿宋" w:eastAsia="仿宋"/>
          <w:sz w:val="32"/>
          <w:szCs w:val="32"/>
          <w:lang w:eastAsia="zh-CN"/>
        </w:rPr>
        <w:drawing>
          <wp:anchor distT="0" distB="0" distL="114300" distR="114300" simplePos="0" relativeHeight="251661312" behindDoc="1" locked="0" layoutInCell="1" allowOverlap="1">
            <wp:simplePos x="0" y="0"/>
            <wp:positionH relativeFrom="column">
              <wp:posOffset>229870</wp:posOffset>
            </wp:positionH>
            <wp:positionV relativeFrom="paragraph">
              <wp:posOffset>233045</wp:posOffset>
            </wp:positionV>
            <wp:extent cx="4794885" cy="2762885"/>
            <wp:effectExtent l="4445" t="4445" r="20320" b="13970"/>
            <wp:wrapTight wrapText="bothSides">
              <wp:wrapPolygon>
                <wp:start x="-20" y="-35"/>
                <wp:lineTo x="-20" y="21560"/>
                <wp:lineTo x="21520" y="21560"/>
                <wp:lineTo x="21520" y="-35"/>
                <wp:lineTo x="-20" y="-35"/>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lang w:val="en-US" w:eastAsia="zh-CN"/>
        </w:rPr>
        <w:t xml:space="preserve">   </w:t>
      </w: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8"/>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4383.14</w:t>
      </w:r>
      <w:r>
        <w:rPr>
          <w:rFonts w:hint="eastAsia" w:ascii="仿宋" w:hAnsi="仿宋" w:eastAsia="仿宋"/>
          <w:sz w:val="32"/>
          <w:szCs w:val="32"/>
        </w:rPr>
        <w:t>万元，占本年支出合计的</w:t>
      </w:r>
      <w:r>
        <w:rPr>
          <w:rFonts w:hint="eastAsia" w:ascii="仿宋" w:hAnsi="仿宋" w:eastAsia="仿宋"/>
          <w:sz w:val="32"/>
          <w:szCs w:val="32"/>
          <w:lang w:val="en-US" w:eastAsia="zh-CN"/>
        </w:rPr>
        <w:t>84.87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121.87</w:t>
      </w:r>
      <w:r>
        <w:rPr>
          <w:rFonts w:hint="eastAsia" w:ascii="仿宋" w:hAnsi="仿宋" w:eastAsia="仿宋"/>
          <w:sz w:val="32"/>
          <w:szCs w:val="32"/>
        </w:rPr>
        <w:t>万元，下降</w:t>
      </w:r>
      <w:r>
        <w:rPr>
          <w:rFonts w:hint="eastAsia" w:ascii="仿宋" w:hAnsi="仿宋" w:eastAsia="仿宋"/>
          <w:sz w:val="32"/>
          <w:szCs w:val="32"/>
          <w:lang w:val="en-US" w:eastAsia="zh-CN"/>
        </w:rPr>
        <w:t>2.71</w:t>
      </w:r>
      <w:r>
        <w:rPr>
          <w:rFonts w:ascii="仿宋" w:hAnsi="仿宋" w:eastAsia="仿宋"/>
          <w:sz w:val="32"/>
          <w:szCs w:val="32"/>
        </w:rPr>
        <w:t>%</w:t>
      </w:r>
      <w:r>
        <w:rPr>
          <w:rFonts w:hint="eastAsia" w:ascii="仿宋" w:hAnsi="仿宋" w:eastAsia="仿宋"/>
          <w:sz w:val="32"/>
          <w:szCs w:val="32"/>
        </w:rPr>
        <w:t>。</w:t>
      </w:r>
    </w:p>
    <w:p>
      <w:pPr>
        <w:spacing w:line="600" w:lineRule="exact"/>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2336" behindDoc="1" locked="0" layoutInCell="1" allowOverlap="1">
            <wp:simplePos x="0" y="0"/>
            <wp:positionH relativeFrom="column">
              <wp:posOffset>109220</wp:posOffset>
            </wp:positionH>
            <wp:positionV relativeFrom="paragraph">
              <wp:posOffset>73660</wp:posOffset>
            </wp:positionV>
            <wp:extent cx="4994275" cy="2981325"/>
            <wp:effectExtent l="4445" t="4445" r="11430" b="5080"/>
            <wp:wrapTight wrapText="bothSides">
              <wp:wrapPolygon>
                <wp:start x="-19" y="-32"/>
                <wp:lineTo x="-19" y="21499"/>
                <wp:lineTo x="21567" y="21499"/>
                <wp:lineTo x="21567" y="-32"/>
                <wp:lineTo x="-19" y="-32"/>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hint="eastAsia" w:ascii="仿宋" w:hAnsi="仿宋" w:eastAsia="仿宋"/>
          <w:color w:val="auto"/>
          <w:sz w:val="32"/>
          <w:szCs w:val="32"/>
          <w:lang w:eastAsia="zh-CN"/>
        </w:rPr>
      </w:pPr>
      <w:r>
        <w:rPr>
          <w:rFonts w:ascii="仿宋" w:hAnsi="仿宋" w:eastAsia="仿宋"/>
          <w:color w:val="auto"/>
          <w:sz w:val="32"/>
          <w:szCs w:val="32"/>
        </w:rPr>
        <w:t>20</w:t>
      </w:r>
      <w:r>
        <w:rPr>
          <w:rFonts w:hint="eastAsia" w:ascii="仿宋" w:hAnsi="仿宋" w:eastAsia="仿宋"/>
          <w:color w:val="auto"/>
          <w:sz w:val="32"/>
          <w:szCs w:val="32"/>
        </w:rPr>
        <w:t>21年一般公共预算财政拨款支出</w:t>
      </w:r>
      <w:r>
        <w:rPr>
          <w:rFonts w:hint="eastAsia" w:ascii="仿宋" w:hAnsi="仿宋" w:eastAsia="仿宋"/>
          <w:color w:val="auto"/>
          <w:sz w:val="32"/>
          <w:szCs w:val="32"/>
          <w:lang w:val="en-US" w:eastAsia="zh-CN"/>
        </w:rPr>
        <w:t>4383.14</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717.84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16.38</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教育支出（类）</w:t>
      </w:r>
      <w:r>
        <w:rPr>
          <w:rFonts w:hint="eastAsia" w:ascii="仿宋" w:hAnsi="仿宋" w:eastAsia="仿宋"/>
          <w:color w:val="auto"/>
          <w:sz w:val="32"/>
          <w:szCs w:val="32"/>
          <w:lang w:val="en-US" w:eastAsia="zh-CN"/>
        </w:rPr>
        <w:t>2000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45.63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文化旅游体育与传媒（类）支出</w:t>
      </w:r>
      <w:r>
        <w:rPr>
          <w:rFonts w:hint="eastAsia" w:ascii="仿宋" w:hAnsi="仿宋" w:eastAsia="仿宋"/>
          <w:b w:val="0"/>
          <w:bCs w:val="0"/>
          <w:color w:val="auto"/>
          <w:sz w:val="32"/>
          <w:szCs w:val="32"/>
          <w:lang w:val="en-US" w:eastAsia="zh-CN"/>
        </w:rPr>
        <w:t>6.44</w:t>
      </w:r>
      <w:r>
        <w:rPr>
          <w:rFonts w:hint="eastAsia" w:ascii="仿宋" w:hAnsi="仿宋" w:eastAsia="仿宋"/>
          <w:b w:val="0"/>
          <w:bCs w:val="0"/>
          <w:color w:val="auto"/>
          <w:sz w:val="32"/>
          <w:szCs w:val="32"/>
        </w:rPr>
        <w:t>万元，占</w:t>
      </w:r>
      <w:r>
        <w:rPr>
          <w:rFonts w:hint="eastAsia" w:ascii="仿宋" w:hAnsi="仿宋" w:eastAsia="仿宋"/>
          <w:b w:val="0"/>
          <w:bCs w:val="0"/>
          <w:color w:val="auto"/>
          <w:sz w:val="32"/>
          <w:szCs w:val="32"/>
          <w:lang w:val="en-US" w:eastAsia="zh-CN"/>
        </w:rPr>
        <w:t>0.15</w:t>
      </w:r>
      <w:r>
        <w:rPr>
          <w:rFonts w:ascii="仿宋" w:hAnsi="仿宋" w:eastAsia="仿宋"/>
          <w:b w:val="0"/>
          <w:bCs w:val="0"/>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107.65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2.46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43.36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0.99</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lang w:eastAsia="zh-CN"/>
        </w:rPr>
        <w:t>城乡社区支出</w:t>
      </w:r>
      <w:r>
        <w:rPr>
          <w:rFonts w:hint="eastAsia" w:ascii="仿宋_GB2312" w:hAnsi="仿宋_GB2312" w:eastAsia="仿宋_GB2312" w:cs="仿宋_GB2312"/>
          <w:color w:val="auto"/>
          <w:sz w:val="32"/>
          <w:szCs w:val="32"/>
          <w:lang w:val="en-US" w:eastAsia="zh-CN"/>
        </w:rPr>
        <w:t>68.39万元，占1.56%；</w:t>
      </w:r>
      <w:r>
        <w:rPr>
          <w:rFonts w:hint="eastAsia" w:ascii="仿宋" w:hAnsi="仿宋" w:eastAsia="仿宋"/>
          <w:b/>
          <w:bCs/>
          <w:color w:val="auto"/>
          <w:sz w:val="32"/>
          <w:szCs w:val="32"/>
          <w:lang w:val="en-US" w:eastAsia="zh-CN"/>
        </w:rPr>
        <w:t>农林水支出</w:t>
      </w:r>
      <w:r>
        <w:rPr>
          <w:rFonts w:hint="eastAsia" w:ascii="仿宋_GB2312" w:hAnsi="仿宋_GB2312" w:eastAsia="仿宋_GB2312" w:cs="仿宋_GB2312"/>
          <w:color w:val="auto"/>
          <w:sz w:val="32"/>
          <w:szCs w:val="32"/>
          <w:lang w:val="en-US" w:eastAsia="zh-CN"/>
        </w:rPr>
        <w:t>1372.25万元，占31.31%；</w:t>
      </w:r>
      <w:r>
        <w:rPr>
          <w:rFonts w:hint="eastAsia" w:ascii="仿宋" w:hAnsi="仿宋" w:eastAsia="仿宋"/>
          <w:b/>
          <w:bCs/>
          <w:color w:val="auto"/>
          <w:sz w:val="32"/>
          <w:szCs w:val="32"/>
        </w:rPr>
        <w:t>住房保障支出</w:t>
      </w:r>
      <w:r>
        <w:rPr>
          <w:rFonts w:hint="eastAsia" w:ascii="仿宋" w:hAnsi="仿宋" w:eastAsia="仿宋"/>
          <w:color w:val="auto"/>
          <w:sz w:val="32"/>
          <w:szCs w:val="32"/>
          <w:lang w:val="en-US" w:eastAsia="zh-CN"/>
        </w:rPr>
        <w:t>67.21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1.52</w:t>
      </w:r>
      <w:r>
        <w:rPr>
          <w:rFonts w:ascii="仿宋" w:hAnsi="仿宋" w:eastAsia="仿宋"/>
          <w:color w:val="auto"/>
          <w:sz w:val="32"/>
          <w:szCs w:val="32"/>
        </w:rPr>
        <w:t>%</w:t>
      </w:r>
      <w:r>
        <w:rPr>
          <w:rFonts w:hint="eastAsia" w:ascii="仿宋" w:hAnsi="仿宋" w:eastAsia="仿宋"/>
          <w:color w:val="auto"/>
          <w:sz w:val="32"/>
          <w:szCs w:val="32"/>
        </w:rPr>
        <w:t>。</w:t>
      </w:r>
    </w:p>
    <w:p>
      <w:pPr>
        <w:pStyle w:val="2"/>
        <w:rPr>
          <w:rFonts w:ascii="仿宋" w:hAnsi="仿宋" w:eastAsia="仿宋"/>
          <w:sz w:val="32"/>
          <w:szCs w:val="32"/>
        </w:rPr>
      </w:pPr>
      <w:r>
        <w:rPr>
          <w:rFonts w:hint="eastAsia" w:ascii="仿宋" w:hAnsi="仿宋" w:eastAsia="仿宋"/>
          <w:sz w:val="32"/>
          <w:szCs w:val="32"/>
          <w:lang w:eastAsia="zh-CN"/>
        </w:rPr>
        <w:drawing>
          <wp:inline distT="0" distB="0" distL="114300" distR="114300">
            <wp:extent cx="5147310" cy="2894965"/>
            <wp:effectExtent l="4445" t="4445" r="10795" b="15240"/>
            <wp:docPr id="6" name="图表 6"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320" w:firstLineChars="1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8460"/>
      <w:bookmarkStart w:id="38" w:name="_Toc15377213"/>
      <w:bookmarkStart w:id="39" w:name="_Toc15377444"/>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4383.14</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7"/>
      <w:bookmarkEnd w:id="38"/>
      <w:bookmarkEnd w:id="39"/>
    </w:p>
    <w:p>
      <w:pPr>
        <w:numPr>
          <w:ilvl w:val="0"/>
          <w:numId w:val="2"/>
        </w:numPr>
        <w:spacing w:line="600" w:lineRule="exact"/>
        <w:ind w:firstLine="643" w:firstLineChars="200"/>
        <w:rPr>
          <w:rStyle w:val="17"/>
          <w:rFonts w:hint="eastAsia" w:ascii="仿宋" w:hAnsi="仿宋" w:eastAsia="仿宋"/>
          <w:b w:val="0"/>
          <w:bCs/>
          <w:sz w:val="32"/>
          <w:szCs w:val="32"/>
        </w:rPr>
      </w:pPr>
      <w:r>
        <w:rPr>
          <w:rStyle w:val="17"/>
          <w:rFonts w:hint="eastAsia" w:ascii="仿宋" w:hAnsi="仿宋" w:eastAsia="仿宋"/>
          <w:bCs/>
          <w:sz w:val="32"/>
          <w:szCs w:val="32"/>
          <w:highlight w:val="none"/>
        </w:rPr>
        <w:t>一般公共服务（类）</w:t>
      </w:r>
      <w:r>
        <w:rPr>
          <w:rStyle w:val="17"/>
          <w:rFonts w:hint="eastAsia" w:ascii="仿宋" w:hAnsi="仿宋" w:eastAsia="仿宋"/>
          <w:bCs/>
          <w:sz w:val="32"/>
          <w:szCs w:val="32"/>
          <w:highlight w:val="none"/>
          <w:lang w:eastAsia="zh-CN"/>
        </w:rPr>
        <w:t>政府办公厅（室）及相关机构事务</w:t>
      </w:r>
      <w:r>
        <w:rPr>
          <w:rStyle w:val="17"/>
          <w:rFonts w:hint="eastAsia" w:ascii="仿宋" w:hAnsi="仿宋" w:eastAsia="仿宋"/>
          <w:bCs/>
          <w:sz w:val="32"/>
          <w:szCs w:val="32"/>
          <w:highlight w:val="none"/>
        </w:rPr>
        <w:t>（款）</w:t>
      </w:r>
      <w:r>
        <w:rPr>
          <w:rStyle w:val="17"/>
          <w:rFonts w:hint="eastAsia" w:ascii="仿宋" w:hAnsi="仿宋" w:eastAsia="仿宋"/>
          <w:bCs/>
          <w:sz w:val="32"/>
          <w:szCs w:val="32"/>
          <w:highlight w:val="none"/>
          <w:lang w:eastAsia="zh-CN"/>
        </w:rPr>
        <w:t>行政运行</w:t>
      </w:r>
      <w:r>
        <w:rPr>
          <w:rStyle w:val="17"/>
          <w:rFonts w:hint="eastAsia" w:ascii="仿宋" w:hAnsi="仿宋" w:eastAsia="仿宋"/>
          <w:bCs/>
          <w:sz w:val="32"/>
          <w:szCs w:val="32"/>
          <w:highlight w:val="none"/>
        </w:rPr>
        <w:t>（项）</w:t>
      </w:r>
      <w:r>
        <w:rPr>
          <w:rStyle w:val="17"/>
          <w:rFonts w:ascii="仿宋" w:hAnsi="仿宋" w:eastAsia="仿宋"/>
          <w:bCs/>
          <w:sz w:val="32"/>
          <w:szCs w:val="32"/>
          <w:highlight w:val="none"/>
        </w:rPr>
        <w:t>:</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highlight w:val="none"/>
        </w:rPr>
        <w:t>支出</w:t>
      </w:r>
      <w:r>
        <w:rPr>
          <w:rStyle w:val="17"/>
          <w:rFonts w:hint="eastAsia" w:ascii="仿宋" w:hAnsi="仿宋" w:eastAsia="仿宋"/>
          <w:b w:val="0"/>
          <w:bCs/>
          <w:sz w:val="32"/>
          <w:szCs w:val="32"/>
        </w:rPr>
        <w:t>决算为</w:t>
      </w:r>
      <w:r>
        <w:rPr>
          <w:rStyle w:val="17"/>
          <w:rFonts w:hint="eastAsia" w:ascii="仿宋" w:hAnsi="仿宋" w:eastAsia="仿宋"/>
          <w:b w:val="0"/>
          <w:bCs/>
          <w:sz w:val="32"/>
          <w:szCs w:val="32"/>
          <w:lang w:val="en-US" w:eastAsia="zh-CN"/>
        </w:rPr>
        <w:t>105.32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Style w:val="17"/>
          <w:rFonts w:hint="eastAsia" w:ascii="仿宋" w:hAnsi="仿宋" w:eastAsia="仿宋"/>
          <w:b w:val="0"/>
          <w:bCs/>
          <w:sz w:val="32"/>
          <w:szCs w:val="32"/>
          <w:lang w:eastAsia="zh-CN"/>
        </w:rPr>
        <w:t>其中，</w:t>
      </w:r>
      <w:r>
        <w:rPr>
          <w:rStyle w:val="17"/>
          <w:rFonts w:hint="eastAsia" w:ascii="仿宋" w:hAnsi="仿宋" w:eastAsia="仿宋"/>
          <w:b/>
          <w:bCs w:val="0"/>
          <w:sz w:val="32"/>
          <w:szCs w:val="32"/>
          <w:lang w:eastAsia="zh-CN"/>
        </w:rPr>
        <w:t>事业运行（项）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99.5万元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行政运行（项）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105.32万元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一般行政管理事务（项）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429.5万元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信访事务（项）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其他政府办公厅（室）及相关机构事务支出（项）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51.09万元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统计信息事务（项）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12.54万元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财政事务（项）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1.55万元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民族事务（项）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10.1万元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群众团体事务（项）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2.9万元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其他共产党事务支出（项）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2.34万元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市场监督管理事务（项）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highlight w:val="none"/>
        </w:rPr>
        <w:t>2.</w:t>
      </w:r>
      <w:r>
        <w:rPr>
          <w:rStyle w:val="17"/>
          <w:rFonts w:hint="eastAsia" w:ascii="仿宋" w:hAnsi="仿宋" w:eastAsia="仿宋"/>
          <w:bCs/>
          <w:sz w:val="32"/>
          <w:szCs w:val="32"/>
          <w:highlight w:val="none"/>
        </w:rPr>
        <w:t>教育（类）</w:t>
      </w:r>
      <w:r>
        <w:rPr>
          <w:rStyle w:val="17"/>
          <w:rFonts w:hint="eastAsia" w:ascii="仿宋" w:hAnsi="仿宋" w:eastAsia="仿宋"/>
          <w:bCs/>
          <w:sz w:val="32"/>
          <w:szCs w:val="32"/>
          <w:highlight w:val="none"/>
          <w:lang w:eastAsia="zh-CN"/>
        </w:rPr>
        <w:t>其他教育支出</w:t>
      </w:r>
      <w:r>
        <w:rPr>
          <w:rStyle w:val="17"/>
          <w:rFonts w:hint="eastAsia" w:ascii="仿宋" w:hAnsi="仿宋" w:eastAsia="仿宋"/>
          <w:bCs/>
          <w:sz w:val="32"/>
          <w:szCs w:val="32"/>
          <w:highlight w:val="none"/>
        </w:rPr>
        <w:t>（款）</w:t>
      </w:r>
      <w:r>
        <w:rPr>
          <w:rStyle w:val="17"/>
          <w:rFonts w:hint="eastAsia" w:ascii="仿宋" w:hAnsi="仿宋" w:eastAsia="仿宋"/>
          <w:bCs/>
          <w:sz w:val="32"/>
          <w:szCs w:val="32"/>
          <w:highlight w:val="none"/>
          <w:lang w:eastAsia="zh-CN"/>
        </w:rPr>
        <w:t>其他教育支出</w:t>
      </w:r>
      <w:r>
        <w:rPr>
          <w:rStyle w:val="17"/>
          <w:rFonts w:hint="eastAsia" w:ascii="仿宋" w:hAnsi="仿宋" w:eastAsia="仿宋"/>
          <w:bCs/>
          <w:sz w:val="32"/>
          <w:szCs w:val="32"/>
          <w:highlight w:val="none"/>
        </w:rPr>
        <w:t>（项）</w:t>
      </w:r>
      <w:r>
        <w:rPr>
          <w:rStyle w:val="17"/>
          <w:rFonts w:ascii="仿宋" w:hAnsi="仿宋" w:eastAsia="仿宋"/>
          <w:bCs/>
          <w:sz w:val="32"/>
          <w:szCs w:val="32"/>
          <w:highlight w:val="none"/>
        </w:rPr>
        <w:t>:</w:t>
      </w:r>
      <w:r>
        <w:rPr>
          <w:rStyle w:val="17"/>
          <w:rFonts w:ascii="仿宋" w:hAnsi="仿宋" w:eastAsia="仿宋"/>
          <w:b w:val="0"/>
          <w:bCs/>
          <w:sz w:val="32"/>
          <w:szCs w:val="32"/>
          <w:highlight w:val="none"/>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2000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hint="default" w:ascii="仿宋" w:hAnsi="仿宋" w:eastAsia="仿宋"/>
          <w:b w:val="0"/>
          <w:bCs/>
          <w:sz w:val="32"/>
          <w:szCs w:val="32"/>
          <w:lang w:val="en-US" w:eastAsia="zh-CN"/>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Style w:val="17"/>
          <w:rFonts w:hint="eastAsia" w:ascii="仿宋" w:hAnsi="仿宋" w:eastAsia="仿宋"/>
          <w:bCs/>
          <w:sz w:val="32"/>
          <w:szCs w:val="32"/>
        </w:rPr>
        <w:t>文化旅游体育与传媒（类）</w:t>
      </w:r>
      <w:r>
        <w:rPr>
          <w:rStyle w:val="17"/>
          <w:rFonts w:hint="eastAsia" w:ascii="仿宋" w:hAnsi="仿宋" w:eastAsia="仿宋"/>
          <w:bCs/>
          <w:sz w:val="32"/>
          <w:szCs w:val="32"/>
          <w:lang w:eastAsia="zh-CN"/>
        </w:rPr>
        <w:t>文化和旅游</w:t>
      </w:r>
      <w:r>
        <w:rPr>
          <w:rStyle w:val="17"/>
          <w:rFonts w:hint="eastAsia" w:ascii="仿宋" w:hAnsi="仿宋" w:eastAsia="仿宋"/>
          <w:bCs/>
          <w:sz w:val="32"/>
          <w:szCs w:val="32"/>
        </w:rPr>
        <w:t>（款）</w:t>
      </w:r>
      <w:r>
        <w:rPr>
          <w:rStyle w:val="17"/>
          <w:rFonts w:hint="eastAsia" w:ascii="仿宋" w:hAnsi="仿宋" w:eastAsia="仿宋"/>
          <w:bCs/>
          <w:sz w:val="32"/>
          <w:szCs w:val="32"/>
          <w:lang w:eastAsia="zh-CN"/>
        </w:rPr>
        <w:t>其他文化旅游体育与传媒支出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6.44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rPr>
        <w:t>社会保障和就业（类）</w:t>
      </w:r>
      <w:r>
        <w:rPr>
          <w:rStyle w:val="17"/>
          <w:rFonts w:hint="eastAsia" w:ascii="仿宋_GB2312" w:hAnsi="仿宋" w:eastAsia="仿宋_GB2312"/>
          <w:bCs/>
          <w:color w:val="000000"/>
          <w:sz w:val="32"/>
          <w:szCs w:val="32"/>
        </w:rPr>
        <w:t>行政事业单位养老支出</w:t>
      </w:r>
      <w:r>
        <w:rPr>
          <w:rStyle w:val="17"/>
          <w:rFonts w:hint="eastAsia" w:ascii="仿宋" w:hAnsi="仿宋" w:eastAsia="仿宋"/>
          <w:bCs/>
          <w:sz w:val="32"/>
          <w:szCs w:val="32"/>
        </w:rPr>
        <w:t>（款）</w:t>
      </w:r>
      <w:r>
        <w:rPr>
          <w:rStyle w:val="17"/>
          <w:rFonts w:hint="eastAsia" w:ascii="仿宋_GB2312" w:hAnsi="仿宋" w:eastAsia="仿宋_GB2312"/>
          <w:bCs/>
          <w:color w:val="000000"/>
          <w:sz w:val="32"/>
          <w:szCs w:val="32"/>
        </w:rPr>
        <w:t>行政单位离退休</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lang w:eastAsia="zh-CN"/>
        </w:rPr>
        <w:t>支出决算为</w:t>
      </w:r>
      <w:r>
        <w:rPr>
          <w:rStyle w:val="17"/>
          <w:rFonts w:hint="eastAsia" w:ascii="仿宋" w:hAnsi="仿宋" w:eastAsia="仿宋"/>
          <w:b w:val="0"/>
          <w:bCs/>
          <w:sz w:val="32"/>
          <w:szCs w:val="32"/>
          <w:lang w:val="en-US" w:eastAsia="zh-CN"/>
        </w:rPr>
        <w:t>21.44万元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机关事业单位基本养老保险缴费支出（项）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48.95万元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机关事业单位职业年金缴费支出（项）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5.63万元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死亡抚恤（项）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18.88万元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其他农村生活救助（项）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4.49万元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其他社会保障和就业支出（项）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8.26万元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5</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_GB2312" w:hAnsi="仿宋" w:eastAsia="仿宋_GB2312"/>
          <w:bCs/>
          <w:color w:val="000000"/>
          <w:sz w:val="32"/>
          <w:szCs w:val="32"/>
        </w:rPr>
        <w:t>行政事业单位医疗</w:t>
      </w:r>
      <w:r>
        <w:rPr>
          <w:rStyle w:val="17"/>
          <w:rFonts w:hint="eastAsia" w:ascii="仿宋" w:hAnsi="仿宋" w:eastAsia="仿宋"/>
          <w:bCs/>
          <w:sz w:val="32"/>
          <w:szCs w:val="32"/>
        </w:rPr>
        <w:t>（款）</w:t>
      </w:r>
      <w:r>
        <w:rPr>
          <w:rStyle w:val="17"/>
          <w:rFonts w:hint="eastAsia" w:ascii="仿宋_GB2312" w:hAnsi="仿宋" w:eastAsia="仿宋_GB2312"/>
          <w:bCs/>
          <w:color w:val="000000"/>
          <w:sz w:val="32"/>
          <w:szCs w:val="32"/>
        </w:rPr>
        <w:t>行政单位医疗</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17.44万元，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事业单位医疗（项）</w:t>
      </w:r>
      <w:r>
        <w:rPr>
          <w:rStyle w:val="17"/>
          <w:rFonts w:hint="eastAsia" w:ascii="仿宋" w:hAnsi="仿宋" w:eastAsia="仿宋"/>
          <w:b w:val="0"/>
          <w:bCs/>
          <w:sz w:val="32"/>
          <w:szCs w:val="32"/>
          <w:lang w:val="en-US" w:eastAsia="zh-CN"/>
        </w:rPr>
        <w:t>20.69万元，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val="en-US" w:eastAsia="zh-CN"/>
        </w:rPr>
        <w:t>；</w:t>
      </w:r>
      <w:r>
        <w:rPr>
          <w:rStyle w:val="17"/>
          <w:rFonts w:hint="eastAsia" w:ascii="仿宋" w:hAnsi="仿宋" w:eastAsia="仿宋"/>
          <w:b/>
          <w:bCs w:val="0"/>
          <w:sz w:val="32"/>
          <w:szCs w:val="32"/>
          <w:lang w:val="en-US" w:eastAsia="zh-CN"/>
        </w:rPr>
        <w:t>公务员医疗补助（项）</w:t>
      </w:r>
      <w:r>
        <w:rPr>
          <w:rStyle w:val="17"/>
          <w:rFonts w:hint="eastAsia" w:ascii="仿宋" w:hAnsi="仿宋" w:eastAsia="仿宋"/>
          <w:b w:val="0"/>
          <w:bCs/>
          <w:sz w:val="32"/>
          <w:szCs w:val="32"/>
          <w:lang w:val="en-US" w:eastAsia="zh-CN"/>
        </w:rPr>
        <w:t>5.23万元，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_GB2312" w:hAnsi="仿宋_GB2312" w:eastAsia="仿宋_GB2312" w:cs="仿宋_GB2312"/>
          <w:b w:val="0"/>
          <w:bCs/>
          <w:color w:val="000000"/>
          <w:sz w:val="32"/>
          <w:szCs w:val="32"/>
        </w:rPr>
      </w:pPr>
      <w:r>
        <w:rPr>
          <w:rStyle w:val="17"/>
          <w:rFonts w:hint="eastAsia" w:ascii="仿宋" w:hAnsi="仿宋" w:eastAsia="仿宋"/>
          <w:bCs/>
          <w:color w:val="000000"/>
          <w:sz w:val="32"/>
          <w:szCs w:val="32"/>
          <w:lang w:val="en-US" w:eastAsia="zh-CN"/>
        </w:rPr>
        <w:t>6</w:t>
      </w:r>
      <w:r>
        <w:rPr>
          <w:rStyle w:val="17"/>
          <w:rFonts w:ascii="仿宋" w:hAnsi="仿宋" w:eastAsia="仿宋"/>
          <w:bCs/>
          <w:color w:val="000000"/>
          <w:sz w:val="32"/>
          <w:szCs w:val="32"/>
        </w:rPr>
        <w:t>.</w:t>
      </w:r>
      <w:r>
        <w:rPr>
          <w:rFonts w:hint="eastAsia" w:ascii="仿宋" w:hAnsi="仿宋" w:eastAsia="仿宋"/>
          <w:b/>
          <w:bCs/>
          <w:color w:val="000000"/>
          <w:sz w:val="32"/>
          <w:szCs w:val="32"/>
          <w:lang w:eastAsia="zh-CN"/>
        </w:rPr>
        <w:t>城乡社区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城乡社区管理事务</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其他城乡社区管理事务</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50.59万元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其他城乡社区公共设施支出（项）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17.8万元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p>
    <w:p>
      <w:pPr>
        <w:spacing w:line="600" w:lineRule="exact"/>
        <w:ind w:firstLine="643" w:firstLineChars="200"/>
        <w:rPr>
          <w:rStyle w:val="17"/>
          <w:rFonts w:hint="eastAsia" w:ascii="仿宋_GB2312" w:hAnsi="仿宋_GB2312" w:eastAsia="仿宋_GB2312" w:cs="仿宋_GB2312"/>
          <w:b w:val="0"/>
          <w:bCs/>
          <w:color w:val="000000"/>
          <w:sz w:val="32"/>
          <w:szCs w:val="32"/>
        </w:rPr>
      </w:pPr>
      <w:r>
        <w:rPr>
          <w:rStyle w:val="17"/>
          <w:rFonts w:hint="eastAsia" w:ascii="仿宋" w:hAnsi="仿宋" w:eastAsia="仿宋"/>
          <w:bCs/>
          <w:color w:val="000000"/>
          <w:sz w:val="32"/>
          <w:szCs w:val="32"/>
          <w:lang w:val="en-US" w:eastAsia="zh-CN"/>
        </w:rPr>
        <w:t>7</w:t>
      </w:r>
      <w:r>
        <w:rPr>
          <w:rStyle w:val="17"/>
          <w:rFonts w:ascii="仿宋" w:hAnsi="仿宋" w:eastAsia="仿宋"/>
          <w:bCs/>
          <w:color w:val="000000"/>
          <w:sz w:val="32"/>
          <w:szCs w:val="32"/>
        </w:rPr>
        <w:t>.</w:t>
      </w:r>
      <w:r>
        <w:rPr>
          <w:rFonts w:hint="eastAsia" w:ascii="仿宋" w:hAnsi="仿宋" w:eastAsia="仿宋"/>
          <w:b/>
          <w:bCs/>
          <w:color w:val="000000"/>
          <w:sz w:val="32"/>
          <w:szCs w:val="32"/>
          <w:lang w:eastAsia="zh-CN"/>
        </w:rPr>
        <w:t>农林水</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农业农村</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行政运行</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327.21万元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事业运行（项）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198.5万元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农村社会事业（项）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11.2万元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对高校毕业生到基层任职补助（项）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0.6万元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；其他</w:t>
      </w:r>
      <w:r>
        <w:rPr>
          <w:rStyle w:val="17"/>
          <w:rFonts w:hint="eastAsia" w:ascii="仿宋_GB2312" w:hAnsi="仿宋_GB2312" w:eastAsia="仿宋_GB2312" w:cs="仿宋_GB2312"/>
          <w:b/>
          <w:bCs w:val="0"/>
          <w:color w:val="000000"/>
          <w:sz w:val="32"/>
          <w:szCs w:val="32"/>
          <w:lang w:val="en-US" w:eastAsia="zh-CN"/>
        </w:rPr>
        <w:t>林业和草原支出（项）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16.94万元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水利工程建设（项）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40.75万元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其他水利支出（项）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0.08万元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社会发展（项）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150.56万元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其他扶贫支出（项）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38万元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对村民委员会和村党支部的补助（项）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43.98万元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对村集体经济组织的补助（项）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504.43万元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val="en-US" w:eastAsia="zh-CN"/>
        </w:rPr>
        <w:t>；</w:t>
      </w:r>
      <w:r>
        <w:rPr>
          <w:rStyle w:val="17"/>
          <w:rFonts w:hint="eastAsia" w:ascii="仿宋_GB2312" w:hAnsi="仿宋_GB2312" w:eastAsia="仿宋_GB2312" w:cs="仿宋_GB2312"/>
          <w:b/>
          <w:bCs w:val="0"/>
          <w:color w:val="000000"/>
          <w:sz w:val="32"/>
          <w:szCs w:val="32"/>
          <w:lang w:val="en-US" w:eastAsia="zh-CN"/>
        </w:rPr>
        <w:t>化解其他公益性乡村债务支出（项）</w:t>
      </w:r>
      <w:r>
        <w:rPr>
          <w:rStyle w:val="17"/>
          <w:rFonts w:hint="eastAsia" w:ascii="仿宋_GB2312" w:hAnsi="仿宋_GB2312" w:eastAsia="仿宋_GB2312" w:cs="仿宋_GB2312"/>
          <w:b w:val="0"/>
          <w:bCs/>
          <w:color w:val="000000"/>
          <w:sz w:val="32"/>
          <w:szCs w:val="32"/>
        </w:rPr>
        <w:t>支出决算为</w:t>
      </w:r>
      <w:r>
        <w:rPr>
          <w:rStyle w:val="17"/>
          <w:rFonts w:hint="eastAsia" w:ascii="仿宋_GB2312" w:hAnsi="仿宋_GB2312" w:eastAsia="仿宋_GB2312" w:cs="仿宋_GB2312"/>
          <w:b w:val="0"/>
          <w:bCs/>
          <w:color w:val="000000"/>
          <w:sz w:val="32"/>
          <w:szCs w:val="32"/>
          <w:lang w:val="en-US" w:eastAsia="zh-CN"/>
        </w:rPr>
        <w:t>40万元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bCs/>
          <w:color w:val="000000"/>
          <w:sz w:val="32"/>
          <w:szCs w:val="32"/>
          <w:lang w:val="en-US" w:eastAsia="zh-CN"/>
        </w:rPr>
        <w:t>8.</w:t>
      </w:r>
      <w:r>
        <w:rPr>
          <w:rFonts w:hint="eastAsia" w:ascii="仿宋" w:hAnsi="仿宋" w:eastAsia="仿宋"/>
          <w:b/>
          <w:bCs/>
          <w:color w:val="000000"/>
          <w:sz w:val="32"/>
          <w:szCs w:val="32"/>
        </w:rPr>
        <w:t>住房保障</w:t>
      </w:r>
      <w:r>
        <w:rPr>
          <w:rStyle w:val="17"/>
          <w:rFonts w:hint="eastAsia" w:ascii="仿宋" w:hAnsi="仿宋" w:eastAsia="仿宋"/>
          <w:bCs/>
          <w:color w:val="000000"/>
          <w:sz w:val="32"/>
          <w:szCs w:val="32"/>
        </w:rPr>
        <w:t>（类）</w:t>
      </w:r>
      <w:r>
        <w:rPr>
          <w:rStyle w:val="17"/>
          <w:rFonts w:hint="eastAsia" w:ascii="仿宋_GB2312" w:hAnsi="仿宋" w:eastAsia="仿宋_GB2312"/>
          <w:bCs/>
          <w:color w:val="000000"/>
          <w:sz w:val="32"/>
          <w:szCs w:val="32"/>
        </w:rPr>
        <w:t>住房改革支出</w:t>
      </w:r>
      <w:r>
        <w:rPr>
          <w:rStyle w:val="17"/>
          <w:rFonts w:hint="eastAsia" w:ascii="仿宋" w:hAnsi="仿宋" w:eastAsia="仿宋"/>
          <w:bCs/>
          <w:color w:val="000000"/>
          <w:sz w:val="32"/>
          <w:szCs w:val="32"/>
        </w:rPr>
        <w:t>（款）</w:t>
      </w:r>
      <w:r>
        <w:rPr>
          <w:rStyle w:val="17"/>
          <w:rFonts w:hint="eastAsia" w:ascii="仿宋_GB2312" w:hAnsi="仿宋" w:eastAsia="仿宋_GB2312"/>
          <w:bCs/>
          <w:color w:val="000000"/>
          <w:sz w:val="32"/>
          <w:szCs w:val="32"/>
        </w:rPr>
        <w:t>住房公积金</w:t>
      </w:r>
      <w:r>
        <w:rPr>
          <w:rStyle w:val="17"/>
          <w:rFonts w:hint="eastAsia" w:ascii="仿宋" w:hAnsi="仿宋" w:eastAsia="仿宋"/>
          <w:bCs/>
          <w:color w:val="000000"/>
          <w:sz w:val="32"/>
          <w:szCs w:val="32"/>
        </w:rPr>
        <w:t>（项）</w:t>
      </w:r>
      <w:r>
        <w:rPr>
          <w:rFonts w:hint="eastAsia" w:ascii="仿宋" w:hAnsi="仿宋" w:eastAsia="仿宋"/>
          <w:b/>
          <w:bCs/>
          <w:color w:val="000000"/>
          <w:sz w:val="32"/>
          <w:szCs w:val="32"/>
          <w:lang w:eastAsia="zh-CN"/>
        </w:rPr>
        <w:t>：</w:t>
      </w:r>
      <w:r>
        <w:rPr>
          <w:rFonts w:hint="eastAsia" w:ascii="仿宋_GB2312" w:hAnsi="仿宋_GB2312" w:eastAsia="仿宋_GB2312" w:cs="仿宋_GB2312"/>
          <w:b w:val="0"/>
          <w:bCs w:val="0"/>
          <w:color w:val="000000"/>
          <w:sz w:val="32"/>
          <w:szCs w:val="32"/>
        </w:rPr>
        <w:t>支出</w:t>
      </w:r>
      <w:r>
        <w:rPr>
          <w:rFonts w:hint="eastAsia" w:ascii="仿宋_GB2312" w:hAnsi="仿宋_GB2312" w:eastAsia="仿宋_GB2312" w:cs="仿宋_GB2312"/>
          <w:b w:val="0"/>
          <w:bCs w:val="0"/>
          <w:color w:val="000000"/>
          <w:sz w:val="32"/>
          <w:szCs w:val="32"/>
          <w:lang w:eastAsia="zh-CN"/>
        </w:rPr>
        <w:t>决算为</w:t>
      </w:r>
      <w:r>
        <w:rPr>
          <w:rFonts w:hint="eastAsia" w:ascii="仿宋_GB2312" w:hAnsi="仿宋_GB2312" w:eastAsia="仿宋_GB2312" w:cs="仿宋_GB2312"/>
          <w:color w:val="000000"/>
          <w:sz w:val="32"/>
          <w:szCs w:val="32"/>
          <w:lang w:val="en-US" w:eastAsia="zh-CN"/>
        </w:rPr>
        <w:t>67.22</w:t>
      </w:r>
      <w:r>
        <w:rPr>
          <w:rFonts w:hint="eastAsia" w:ascii="仿宋_GB2312" w:hAnsi="仿宋_GB2312" w:eastAsia="仿宋_GB2312" w:cs="仿宋_GB2312"/>
          <w:color w:val="000000"/>
          <w:sz w:val="32"/>
          <w:szCs w:val="32"/>
        </w:rPr>
        <w:t>万元，</w:t>
      </w:r>
      <w:r>
        <w:rPr>
          <w:rStyle w:val="17"/>
          <w:rFonts w:hint="eastAsia" w:ascii="仿宋_GB2312" w:hAnsi="仿宋_GB2312" w:eastAsia="仿宋_GB2312" w:cs="仿宋_GB2312"/>
          <w:b w:val="0"/>
          <w:bCs/>
          <w:color w:val="000000"/>
          <w:sz w:val="32"/>
          <w:szCs w:val="32"/>
        </w:rPr>
        <w:t>完成预算</w:t>
      </w:r>
      <w:r>
        <w:rPr>
          <w:rStyle w:val="17"/>
          <w:rFonts w:hint="eastAsia" w:ascii="仿宋_GB2312" w:hAnsi="仿宋_GB2312" w:eastAsia="仿宋_GB2312" w:cs="仿宋_GB2312"/>
          <w:b w:val="0"/>
          <w:bCs/>
          <w:color w:val="000000"/>
          <w:sz w:val="32"/>
          <w:szCs w:val="32"/>
          <w:lang w:val="en-US" w:eastAsia="zh-CN"/>
        </w:rPr>
        <w:t>100</w:t>
      </w:r>
      <w:r>
        <w:rPr>
          <w:rStyle w:val="17"/>
          <w:rFonts w:hint="eastAsia" w:ascii="仿宋_GB2312" w:hAnsi="仿宋_GB2312" w:eastAsia="仿宋_GB2312" w:cs="仿宋_GB2312"/>
          <w:b w:val="0"/>
          <w:bCs/>
          <w:color w:val="000000"/>
          <w:sz w:val="32"/>
          <w:szCs w:val="32"/>
        </w:rPr>
        <w:t>%，</w:t>
      </w:r>
      <w:r>
        <w:rPr>
          <w:rStyle w:val="17"/>
          <w:rFonts w:hint="eastAsia" w:ascii="仿宋_GB2312" w:hAnsi="仿宋_GB2312" w:eastAsia="仿宋_GB2312" w:cs="仿宋_GB2312"/>
          <w:b w:val="0"/>
          <w:bCs/>
          <w:color w:val="000000"/>
          <w:sz w:val="32"/>
          <w:szCs w:val="32"/>
          <w:lang w:eastAsia="zh-CN"/>
        </w:rPr>
        <w:t>其中，住房公积金支出</w:t>
      </w:r>
      <w:r>
        <w:rPr>
          <w:rStyle w:val="17"/>
          <w:rFonts w:hint="eastAsia" w:ascii="仿宋_GB2312" w:hAnsi="仿宋_GB2312" w:eastAsia="仿宋_GB2312" w:cs="仿宋_GB2312"/>
          <w:b w:val="0"/>
          <w:bCs/>
          <w:color w:val="000000"/>
          <w:sz w:val="32"/>
          <w:szCs w:val="32"/>
          <w:lang w:val="en-US" w:eastAsia="zh-CN"/>
        </w:rPr>
        <w:t>67.22万元</w:t>
      </w:r>
      <w:r>
        <w:rPr>
          <w:rStyle w:val="17"/>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8"/>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1384.24</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1282.3</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101.2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2" w:name="_Toc15377215"/>
      <w:bookmarkStart w:id="43" w:name="_Toc15396609"/>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hint="eastAsia" w:ascii="仿宋_GB2312" w:hAnsi="仿宋_GB2312" w:eastAsia="仿宋_GB2312" w:cs="仿宋_GB2312"/>
          <w:color w:val="333333"/>
          <w:sz w:val="32"/>
          <w:szCs w:val="32"/>
          <w:lang w:eastAsia="zh-CN"/>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15</w:t>
      </w:r>
      <w:r>
        <w:rPr>
          <w:rFonts w:hint="eastAsia" w:ascii="仿宋" w:hAnsi="仿宋" w:eastAsia="仿宋"/>
          <w:sz w:val="32"/>
          <w:szCs w:val="32"/>
        </w:rPr>
        <w:t>万元，完成预算</w:t>
      </w:r>
      <w:r>
        <w:rPr>
          <w:rFonts w:hint="eastAsia" w:ascii="仿宋" w:hAnsi="仿宋" w:eastAsia="仿宋"/>
          <w:sz w:val="32"/>
          <w:szCs w:val="32"/>
          <w:lang w:val="en-US" w:eastAsia="zh-CN"/>
        </w:rPr>
        <w:t>93.75</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_GB2312" w:hAnsi="仿宋_GB2312" w:eastAsia="仿宋_GB2312" w:cs="仿宋_GB2312"/>
          <w:color w:val="333333"/>
          <w:sz w:val="32"/>
          <w:szCs w:val="32"/>
        </w:rPr>
        <w:t>格里坪镇严格执行中央八项规定精神，</w:t>
      </w:r>
      <w:r>
        <w:rPr>
          <w:rFonts w:hint="eastAsia" w:ascii="仿宋_GB2312" w:hAnsi="仿宋_GB2312" w:eastAsia="仿宋_GB2312" w:cs="仿宋_GB2312"/>
          <w:color w:val="333333"/>
          <w:sz w:val="32"/>
          <w:szCs w:val="32"/>
          <w:lang w:eastAsia="zh-CN"/>
        </w:rPr>
        <w:t>坚持厉行节约的原则</w:t>
      </w:r>
      <w:r>
        <w:rPr>
          <w:rFonts w:hint="eastAsia" w:ascii="仿宋_GB2312" w:hAnsi="仿宋_GB2312" w:eastAsia="仿宋_GB2312" w:cs="仿宋_GB2312"/>
          <w:color w:val="333333"/>
          <w:sz w:val="32"/>
          <w:szCs w:val="32"/>
        </w:rPr>
        <w:t>，严格控制“三公”经费支出</w:t>
      </w:r>
      <w:r>
        <w:rPr>
          <w:rFonts w:hint="eastAsia" w:ascii="仿宋_GB2312" w:hAnsi="仿宋_GB2312" w:eastAsia="仿宋_GB2312" w:cs="仿宋_GB2312"/>
          <w:color w:val="333333"/>
          <w:sz w:val="32"/>
          <w:szCs w:val="32"/>
          <w:lang w:eastAsia="zh-CN"/>
        </w:rPr>
        <w:t>。</w:t>
      </w:r>
    </w:p>
    <w:p>
      <w:pPr>
        <w:spacing w:line="600" w:lineRule="exact"/>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15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0" locked="0" layoutInCell="1" allowOverlap="1">
            <wp:simplePos x="0" y="0"/>
            <wp:positionH relativeFrom="column">
              <wp:posOffset>747395</wp:posOffset>
            </wp:positionH>
            <wp:positionV relativeFrom="paragraph">
              <wp:posOffset>46355</wp:posOffset>
            </wp:positionV>
            <wp:extent cx="4258945" cy="2790190"/>
            <wp:effectExtent l="4445" t="4445" r="22860" b="571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支出持平</w:t>
      </w:r>
      <w:r>
        <w:rPr>
          <w:rFonts w:hint="eastAsia" w:ascii="仿宋_GB2312" w:eastAsia="仿宋_GB2312"/>
          <w:sz w:val="32"/>
          <w:szCs w:val="32"/>
        </w:rPr>
        <w:t>。主要原因是</w:t>
      </w:r>
      <w:r>
        <w:rPr>
          <w:rFonts w:hint="eastAsia" w:ascii="仿宋_GB2312" w:hAnsi="仿宋_GB2312" w:eastAsia="仿宋_GB2312" w:cs="仿宋_GB2312"/>
          <w:color w:val="000000"/>
          <w:sz w:val="32"/>
          <w:szCs w:val="32"/>
        </w:rPr>
        <w:t>无因公出国（境）费支出</w:t>
      </w:r>
    </w:p>
    <w:p>
      <w:pPr>
        <w:numPr>
          <w:ilvl w:val="0"/>
          <w:numId w:val="3"/>
        </w:numPr>
        <w:spacing w:line="353" w:lineRule="auto"/>
        <w:ind w:left="0" w:leftChars="0"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15</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7.5</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Times New Roman" w:hAnsi="Times New Roman" w:eastAsia="仿宋_GB2312" w:cs="Times New Roman"/>
          <w:color w:val="000000"/>
          <w:sz w:val="32"/>
          <w:szCs w:val="32"/>
          <w:lang w:val="en-US" w:eastAsia="zh-CN"/>
        </w:rPr>
        <w:t>森林草原防灭火专项整治和常态化疫情防控工作开展以来，为了保障出勤需求，扎实推进森林防灭火和疫情防控工作，由区林业局调拨公务用车一辆</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6</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Times New Roman" w:hAnsi="Times New Roman" w:eastAsia="仿宋_GB2312" w:cs="Times New Roman"/>
          <w:color w:val="000000"/>
          <w:sz w:val="32"/>
          <w:szCs w:val="32"/>
          <w:lang w:eastAsia="zh-CN"/>
        </w:rPr>
        <w:t>小型货车</w:t>
      </w:r>
      <w:r>
        <w:rPr>
          <w:rFonts w:hint="eastAsia" w:ascii="Times New Roman" w:hAnsi="Times New Roman" w:eastAsia="仿宋_GB2312" w:cs="Times New Roman"/>
          <w:color w:val="000000"/>
          <w:sz w:val="32"/>
          <w:szCs w:val="32"/>
          <w:lang w:val="en-US" w:eastAsia="zh-CN"/>
        </w:rPr>
        <w:t>5辆、</w:t>
      </w:r>
      <w:r>
        <w:rPr>
          <w:rFonts w:hint="eastAsia" w:ascii="仿宋_GB2312" w:eastAsia="仿宋_GB2312"/>
          <w:sz w:val="32"/>
          <w:szCs w:val="32"/>
        </w:rPr>
        <w:t>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15</w:t>
      </w:r>
      <w:r>
        <w:rPr>
          <w:rFonts w:hint="eastAsia" w:ascii="仿宋_GB2312" w:eastAsia="仿宋_GB2312"/>
          <w:sz w:val="32"/>
          <w:szCs w:val="32"/>
        </w:rPr>
        <w:t>万元。</w:t>
      </w:r>
      <w:r>
        <w:rPr>
          <w:rFonts w:hint="eastAsia" w:ascii="仿宋_GB2312" w:hAnsi="仿宋_GB2312" w:eastAsia="仿宋_GB2312" w:cs="仿宋_GB2312"/>
          <w:color w:val="000000"/>
          <w:sz w:val="32"/>
          <w:szCs w:val="32"/>
        </w:rPr>
        <w:t>主要用于格里坪镇干部职工与上级部门工作对接、下村入户、维稳协调</w:t>
      </w:r>
      <w:r>
        <w:rPr>
          <w:rFonts w:hint="eastAsia" w:ascii="仿宋_GB2312" w:eastAsia="仿宋_GB2312"/>
          <w:sz w:val="32"/>
          <w:szCs w:val="32"/>
        </w:rPr>
        <w:t>等所需的公务用车燃料费、维修费、过路过桥费、保险费等支出。</w:t>
      </w:r>
    </w:p>
    <w:p>
      <w:pPr>
        <w:spacing w:line="600" w:lineRule="exact"/>
        <w:ind w:firstLine="640"/>
        <w:rPr>
          <w:rFonts w:hint="default" w:ascii="仿宋_GB2312" w:eastAsia="仿宋_GB2312"/>
          <w:sz w:val="32"/>
          <w:szCs w:val="32"/>
          <w:lang w:val="en-US" w:eastAsia="zh-CN"/>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val="0"/>
          <w:bCs/>
          <w:sz w:val="32"/>
          <w:szCs w:val="32"/>
          <w:lang w:val="en-US" w:eastAsia="zh-CN"/>
        </w:rPr>
        <w:t>2021年格里坪镇无公务接待支出。</w:t>
      </w:r>
    </w:p>
    <w:p>
      <w:pPr>
        <w:spacing w:line="600" w:lineRule="exact"/>
        <w:ind w:firstLine="640"/>
        <w:outlineLvl w:val="1"/>
        <w:rPr>
          <w:rStyle w:val="28"/>
          <w:rFonts w:ascii="黑体" w:hAnsi="黑体" w:eastAsia="黑体"/>
        </w:rPr>
      </w:pPr>
      <w:bookmarkStart w:id="46" w:name="_Toc15377218"/>
      <w:bookmarkStart w:id="47" w:name="_Toc15396610"/>
      <w:r>
        <w:rPr>
          <w:rFonts w:hint="eastAsia" w:ascii="黑体" w:eastAsia="黑体"/>
          <w:sz w:val="32"/>
          <w:szCs w:val="32"/>
        </w:rPr>
        <w:t>八、</w:t>
      </w:r>
      <w:r>
        <w:rPr>
          <w:rStyle w:val="2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781.1</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8"/>
          <w:rFonts w:ascii="黑体" w:hAnsi="黑体" w:eastAsia="黑体"/>
          <w:b w:val="0"/>
        </w:rPr>
      </w:pPr>
      <w:bookmarkStart w:id="50" w:name="_Toc15396612"/>
      <w:bookmarkStart w:id="51" w:name="_Toc15377221"/>
      <w:r>
        <w:rPr>
          <w:rStyle w:val="2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格里坪镇</w:t>
      </w:r>
      <w:r>
        <w:rPr>
          <w:rFonts w:hint="eastAsia" w:ascii="仿宋_GB2312" w:eastAsia="仿宋_GB2312"/>
          <w:sz w:val="32"/>
          <w:szCs w:val="32"/>
        </w:rPr>
        <w:t>机关运行经费支</w:t>
      </w:r>
      <w:r>
        <w:rPr>
          <w:rFonts w:hint="eastAsia" w:ascii="仿宋_GB2312" w:eastAsia="仿宋_GB2312"/>
          <w:sz w:val="32"/>
          <w:szCs w:val="32"/>
          <w:lang w:eastAsia="zh-CN"/>
        </w:rPr>
        <w:t>出</w:t>
      </w:r>
      <w:r>
        <w:rPr>
          <w:rFonts w:hint="eastAsia" w:ascii="仿宋_GB2312" w:eastAsia="仿宋_GB2312"/>
          <w:sz w:val="32"/>
          <w:szCs w:val="32"/>
          <w:lang w:val="en-US" w:eastAsia="zh-CN"/>
        </w:rPr>
        <w:t>101.94</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14.75</w:t>
      </w:r>
      <w:r>
        <w:rPr>
          <w:rFonts w:hint="eastAsia" w:ascii="仿宋_GB2312" w:eastAsia="仿宋_GB2312"/>
          <w:sz w:val="32"/>
          <w:szCs w:val="32"/>
        </w:rPr>
        <w:t>万元，增长</w:t>
      </w:r>
      <w:r>
        <w:rPr>
          <w:rFonts w:hint="eastAsia" w:ascii="仿宋_GB2312" w:eastAsia="仿宋_GB2312"/>
          <w:sz w:val="32"/>
          <w:szCs w:val="32"/>
          <w:lang w:val="en-US" w:eastAsia="zh-CN"/>
        </w:rPr>
        <w:t>16.92</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人员刚性支出增加及</w:t>
      </w:r>
      <w:r>
        <w:rPr>
          <w:rFonts w:hint="eastAsia" w:ascii="仿宋_GB2312" w:eastAsia="仿宋_GB2312"/>
          <w:sz w:val="32"/>
          <w:szCs w:val="32"/>
        </w:rPr>
        <w:t>本年开展了镇党</w:t>
      </w:r>
      <w:r>
        <w:rPr>
          <w:rFonts w:hint="eastAsia" w:ascii="仿宋_GB2312" w:eastAsia="仿宋_GB2312"/>
          <w:sz w:val="32"/>
          <w:szCs w:val="32"/>
          <w:lang w:eastAsia="zh-CN"/>
        </w:rPr>
        <w:t>党代表、</w:t>
      </w:r>
      <w:r>
        <w:rPr>
          <w:rFonts w:hint="eastAsia" w:ascii="仿宋_GB2312" w:eastAsia="仿宋_GB2312"/>
          <w:sz w:val="32"/>
          <w:szCs w:val="32"/>
        </w:rPr>
        <w:t>人大</w:t>
      </w:r>
      <w:r>
        <w:rPr>
          <w:rFonts w:hint="eastAsia" w:ascii="仿宋_GB2312" w:eastAsia="仿宋_GB2312"/>
          <w:sz w:val="32"/>
          <w:szCs w:val="32"/>
          <w:lang w:eastAsia="zh-CN"/>
        </w:rPr>
        <w:t>代表及</w:t>
      </w:r>
      <w:r>
        <w:rPr>
          <w:rFonts w:hint="eastAsia" w:ascii="仿宋_GB2312" w:eastAsia="仿宋_GB2312"/>
          <w:sz w:val="32"/>
          <w:szCs w:val="32"/>
        </w:rPr>
        <w:t>村、社区两委换届</w:t>
      </w:r>
      <w:r>
        <w:rPr>
          <w:rFonts w:hint="eastAsia" w:ascii="仿宋_GB2312" w:eastAsia="仿宋_GB2312"/>
          <w:sz w:val="32"/>
          <w:szCs w:val="32"/>
          <w:lang w:eastAsia="zh-CN"/>
        </w:rPr>
        <w:t>工作。</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格里坪镇</w:t>
      </w:r>
      <w:r>
        <w:rPr>
          <w:rFonts w:hint="eastAsia" w:ascii="仿宋_GB2312" w:eastAsia="仿宋_GB2312"/>
          <w:sz w:val="32"/>
          <w:szCs w:val="32"/>
        </w:rPr>
        <w:t>政府采购支出总额</w:t>
      </w:r>
      <w:r>
        <w:rPr>
          <w:rFonts w:hint="eastAsia" w:ascii="仿宋_GB2312" w:eastAsia="仿宋_GB2312"/>
          <w:sz w:val="32"/>
          <w:szCs w:val="32"/>
          <w:lang w:val="en-US" w:eastAsia="zh-CN"/>
        </w:rPr>
        <w:t>319</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319</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b w:val="0"/>
          <w:bCs w:val="0"/>
          <w:color w:val="000000" w:themeColor="text1"/>
          <w:sz w:val="32"/>
          <w:szCs w:val="32"/>
          <w14:textFill>
            <w14:solidFill>
              <w14:schemeClr w14:val="tx1"/>
            </w14:solidFill>
          </w14:textFill>
        </w:rPr>
        <w:t>主要用于</w:t>
      </w:r>
      <w:r>
        <w:rPr>
          <w:rFonts w:hint="eastAsia" w:ascii="仿宋_GB2312" w:eastAsia="仿宋_GB2312"/>
          <w:b w:val="0"/>
          <w:bCs w:val="0"/>
          <w:color w:val="000000" w:themeColor="text1"/>
          <w:sz w:val="32"/>
          <w:szCs w:val="32"/>
          <w:lang w:eastAsia="zh-CN"/>
          <w14:textFill>
            <w14:solidFill>
              <w14:schemeClr w14:val="tx1"/>
            </w14:solidFill>
          </w14:textFill>
        </w:rPr>
        <w:t>完善农村基础设施建设</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319</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格里坪镇人民政府</w:t>
      </w:r>
      <w:r>
        <w:rPr>
          <w:rFonts w:hint="eastAsia" w:ascii="仿宋_GB2312" w:eastAsia="仿宋_GB2312"/>
          <w:sz w:val="32"/>
          <w:szCs w:val="32"/>
        </w:rPr>
        <w:t>共有车辆</w:t>
      </w:r>
      <w:r>
        <w:rPr>
          <w:rFonts w:hint="eastAsia" w:ascii="仿宋_GB2312" w:eastAsia="仿宋_GB2312"/>
          <w:sz w:val="32"/>
          <w:szCs w:val="32"/>
          <w:lang w:val="en-US" w:eastAsia="zh-CN"/>
        </w:rPr>
        <w:t>21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特种专业技术用车</w:t>
      </w:r>
      <w:r>
        <w:rPr>
          <w:rFonts w:hint="eastAsia" w:ascii="仿宋_GB2312" w:eastAsia="仿宋_GB2312"/>
          <w:sz w:val="32"/>
          <w:szCs w:val="32"/>
          <w:lang w:val="en-US" w:eastAsia="zh-CN"/>
        </w:rPr>
        <w:t>11辆、</w:t>
      </w:r>
      <w:r>
        <w:rPr>
          <w:rFonts w:hint="eastAsia" w:ascii="仿宋_GB2312" w:eastAsia="仿宋_GB2312"/>
          <w:sz w:val="32"/>
          <w:szCs w:val="32"/>
        </w:rPr>
        <w:t>其他用车</w:t>
      </w:r>
      <w:r>
        <w:rPr>
          <w:rFonts w:hint="eastAsia" w:ascii="仿宋_GB2312" w:eastAsia="仿宋_GB2312"/>
          <w:sz w:val="32"/>
          <w:szCs w:val="32"/>
          <w:lang w:val="en-US" w:eastAsia="zh-CN"/>
        </w:rPr>
        <w:t>10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垃圾清运，</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 xml:space="preserve"> </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 xml:space="preserve"> </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根据预算绩效管理要求，本部门在2021年度预算编制阶段，组织对编外人员清扫保洁费</w:t>
      </w:r>
      <w:r>
        <w:rPr>
          <w:rFonts w:hint="eastAsia" w:ascii="仿宋_GB2312" w:hAnsi="仿宋_GB2312" w:eastAsia="仿宋_GB2312" w:cs="仿宋_GB2312"/>
          <w:sz w:val="32"/>
          <w:szCs w:val="32"/>
          <w:lang w:eastAsia="zh-CN"/>
        </w:rPr>
        <w:t>、（安全环保、乡村道路、防汛、抗旱、抗灾减灾项目）、劳务费含民兵出勤、人、党代会会议费项目、食堂运行经费、庄上土地流转、敬老院生活运行经费、乡村振兴、城乡环境综合治理等</w:t>
      </w:r>
      <w:r>
        <w:rPr>
          <w:rFonts w:hint="eastAsia" w:ascii="仿宋_GB2312" w:hAnsi="仿宋_GB2312" w:eastAsia="仿宋_GB2312" w:cs="仿宋_GB2312"/>
          <w:sz w:val="32"/>
          <w:szCs w:val="32"/>
          <w:lang w:val="en-US" w:eastAsia="zh-CN"/>
        </w:rPr>
        <w:t>8个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eastAsia="zh-CN"/>
        </w:rPr>
        <w:t>格里坪镇人民政府</w:t>
      </w:r>
      <w:r>
        <w:rPr>
          <w:rFonts w:hint="eastAsia" w:ascii="仿宋_GB2312" w:hAnsi="仿宋_GB2312" w:eastAsia="仿宋_GB2312" w:cs="仿宋_GB2312"/>
          <w:sz w:val="32"/>
          <w:szCs w:val="32"/>
        </w:rPr>
        <w:t>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7"/>
          <w:rFonts w:ascii="黑体" w:hAnsi="黑体" w:eastAsia="黑体"/>
          <w:b w:val="0"/>
          <w:highlight w:val="none"/>
        </w:rPr>
      </w:pPr>
      <w:bookmarkStart w:id="55" w:name="_Toc15377225"/>
      <w:bookmarkStart w:id="56" w:name="_Toc15396613"/>
      <w:r>
        <w:rPr>
          <w:rFonts w:hint="eastAsia" w:ascii="黑体" w:hAnsi="黑体" w:eastAsia="黑体"/>
          <w:sz w:val="44"/>
          <w:szCs w:val="44"/>
          <w:highlight w:val="none"/>
        </w:rPr>
        <w:t>名</w:t>
      </w:r>
      <w:r>
        <w:rPr>
          <w:rStyle w:val="27"/>
          <w:rFonts w:hint="eastAsia" w:ascii="黑体" w:hAnsi="黑体" w:eastAsia="黑体"/>
          <w:b w:val="0"/>
          <w:highlight w:val="none"/>
        </w:rPr>
        <w:t>词解释</w:t>
      </w:r>
      <w:bookmarkEnd w:id="55"/>
      <w:bookmarkEnd w:id="56"/>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一般公共服务（类</w:t>
      </w:r>
      <w:r>
        <w:rPr>
          <w:rFonts w:hint="eastAsia" w:ascii="仿宋_GB2312" w:eastAsia="仿宋_GB2312"/>
          <w:sz w:val="32"/>
          <w:szCs w:val="32"/>
          <w:highlight w:val="none"/>
        </w:rPr>
        <w:t>）</w:t>
      </w:r>
      <w:r>
        <w:rPr>
          <w:rFonts w:hint="eastAsia" w:ascii="仿宋_GB2312" w:eastAsia="仿宋_GB2312"/>
          <w:color w:val="000000"/>
          <w:sz w:val="32"/>
          <w:szCs w:val="32"/>
          <w:highlight w:val="none"/>
        </w:rPr>
        <w:t>财政事务（款）行政运行</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lang w:eastAsia="zh-CN"/>
        </w:rPr>
        <w:t>项）：</w:t>
      </w:r>
      <w:r>
        <w:rPr>
          <w:rFonts w:hint="eastAsia" w:ascii="仿宋_GB2312" w:hAnsi="仿宋_GB2312" w:eastAsia="仿宋_GB2312" w:cs="仿宋_GB2312"/>
          <w:color w:val="000000"/>
          <w:sz w:val="32"/>
          <w:szCs w:val="32"/>
          <w:lang w:eastAsia="zh-CN"/>
        </w:rPr>
        <w:t>反映行政单位的基本支出；一般行政管理事务（项）：反映行政单位未单独设置项级科目的其他项目支出；事业运行（项）：反映事业单位的基本支出，不包括行政单位后勤服务中心、医务室等附属事业单位</w:t>
      </w:r>
      <w:r>
        <w:rPr>
          <w:rFonts w:hint="eastAsia" w:ascii="仿宋_GB2312" w:hAnsi="仿宋_GB2312" w:eastAsia="仿宋_GB2312" w:cs="仿宋_GB2312"/>
          <w:color w:val="000000"/>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教育（类）</w:t>
      </w:r>
      <w:r>
        <w:rPr>
          <w:rFonts w:hint="eastAsia" w:ascii="仿宋_GB2312" w:eastAsia="仿宋_GB2312"/>
          <w:sz w:val="32"/>
          <w:szCs w:val="32"/>
          <w:lang w:eastAsia="zh-CN"/>
        </w:rPr>
        <w:t>其他教育支出</w:t>
      </w:r>
      <w:r>
        <w:rPr>
          <w:rFonts w:hint="eastAsia" w:ascii="仿宋_GB2312" w:eastAsia="仿宋_GB2312"/>
          <w:sz w:val="32"/>
          <w:szCs w:val="32"/>
        </w:rPr>
        <w:t>（款）</w:t>
      </w:r>
      <w:r>
        <w:rPr>
          <w:rFonts w:hint="eastAsia" w:ascii="仿宋_GB2312" w:eastAsia="仿宋_GB2312"/>
          <w:sz w:val="32"/>
          <w:szCs w:val="32"/>
          <w:lang w:eastAsia="zh-CN"/>
        </w:rPr>
        <w:t>其他教育支出</w:t>
      </w:r>
      <w:r>
        <w:rPr>
          <w:rFonts w:hint="eastAsia" w:ascii="仿宋_GB2312" w:eastAsia="仿宋_GB2312"/>
          <w:sz w:val="32"/>
          <w:szCs w:val="32"/>
        </w:rPr>
        <w:t>（项）：指</w:t>
      </w:r>
      <w:r>
        <w:rPr>
          <w:rFonts w:hint="eastAsia" w:ascii="仿宋_GB2312" w:eastAsia="仿宋_GB2312"/>
          <w:sz w:val="32"/>
          <w:szCs w:val="32"/>
          <w:lang w:eastAsia="zh-CN"/>
        </w:rPr>
        <w:t>反映用于政府教育事务其他支出如大水井新区项目被征地农民安置费</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文化体育与传媒（类）</w:t>
      </w:r>
      <w:r>
        <w:rPr>
          <w:rFonts w:hint="eastAsia" w:ascii="仿宋_GB2312" w:eastAsia="仿宋_GB2312"/>
          <w:sz w:val="32"/>
          <w:szCs w:val="32"/>
          <w:lang w:eastAsia="zh-CN"/>
        </w:rPr>
        <w:t>文化和旅游</w:t>
      </w:r>
      <w:r>
        <w:rPr>
          <w:rFonts w:hint="eastAsia" w:ascii="仿宋_GB2312" w:eastAsia="仿宋_GB2312"/>
          <w:sz w:val="32"/>
          <w:szCs w:val="32"/>
        </w:rPr>
        <w:t>（款）</w:t>
      </w:r>
      <w:r>
        <w:rPr>
          <w:rFonts w:hint="eastAsia" w:ascii="仿宋_GB2312" w:eastAsia="仿宋_GB2312"/>
          <w:sz w:val="32"/>
          <w:szCs w:val="32"/>
          <w:lang w:eastAsia="zh-CN"/>
        </w:rPr>
        <w:t>群众文化</w:t>
      </w:r>
      <w:r>
        <w:rPr>
          <w:rFonts w:hint="eastAsia" w:ascii="仿宋_GB2312" w:eastAsia="仿宋_GB2312"/>
          <w:sz w:val="32"/>
          <w:szCs w:val="32"/>
        </w:rPr>
        <w:t>（项）：</w:t>
      </w:r>
      <w:r>
        <w:rPr>
          <w:rFonts w:hint="eastAsia" w:ascii="仿宋_GB2312" w:eastAsia="仿宋_GB2312"/>
          <w:sz w:val="32"/>
          <w:szCs w:val="32"/>
          <w:lang w:eastAsia="zh-CN"/>
        </w:rPr>
        <w:t>反映群众文化方面的支出，包括基层文化馆（站）、群众艺术馆支出等。</w:t>
      </w:r>
    </w:p>
    <w:p>
      <w:pPr>
        <w:ind w:firstLine="640" w:firstLineChars="200"/>
        <w:rPr>
          <w:rFonts w:ascii="仿宋_GB2312" w:eastAsia="仿宋_GB2312"/>
          <w:sz w:val="32"/>
          <w:szCs w:val="32"/>
          <w:highlight w:val="none"/>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社会保障和就业支出（类）行政事业单位养老支出（款）</w:t>
      </w:r>
      <w:r>
        <w:rPr>
          <w:rFonts w:hint="eastAsia" w:ascii="仿宋" w:hAnsi="仿宋" w:eastAsia="仿宋"/>
          <w:color w:val="000000"/>
          <w:sz w:val="32"/>
          <w:szCs w:val="32"/>
        </w:rPr>
        <w:t>行政单位离退休（项）：反映行政单位开支的离退休经费；</w:t>
      </w:r>
      <w:r>
        <w:rPr>
          <w:rFonts w:hint="eastAsia" w:ascii="仿宋" w:hAnsi="仿宋" w:eastAsia="仿宋"/>
          <w:color w:val="000000"/>
          <w:sz w:val="32"/>
          <w:szCs w:val="32"/>
          <w:lang w:eastAsia="zh-CN"/>
        </w:rPr>
        <w:t>事业单位离退休（项）：反映各类离退休人员管理机构的支出；</w:t>
      </w:r>
      <w:r>
        <w:rPr>
          <w:rFonts w:hint="eastAsia" w:ascii="仿宋_GB2312" w:eastAsia="仿宋_GB2312"/>
          <w:color w:val="000000"/>
          <w:sz w:val="32"/>
          <w:szCs w:val="32"/>
        </w:rPr>
        <w:t>机关事业单位基本养老保险缴费支出（项）：反映机关事业单位实施养老保险制度由单位缴纳的基本养老保险费支出</w:t>
      </w:r>
      <w:r>
        <w:rPr>
          <w:rFonts w:hint="eastAsia" w:ascii="仿宋_GB2312" w:eastAsia="仿宋_GB2312"/>
          <w:color w:val="000000"/>
          <w:sz w:val="32"/>
          <w:szCs w:val="32"/>
          <w:lang w:eastAsia="zh-CN"/>
        </w:rPr>
        <w:t>；</w:t>
      </w:r>
      <w:r>
        <w:rPr>
          <w:rFonts w:hint="eastAsia" w:ascii="仿宋_GB2312" w:eastAsia="仿宋_GB2312"/>
          <w:color w:val="000000"/>
          <w:sz w:val="32"/>
          <w:szCs w:val="32"/>
        </w:rPr>
        <w:t>机关事业单位职业年金缴费支出（项）：反映机关事业单位实施养老保险制度由单位实际缴纳的职业年金支出</w:t>
      </w:r>
      <w:r>
        <w:rPr>
          <w:rFonts w:hint="eastAsia" w:ascii="仿宋_GB2312" w:eastAsia="仿宋_GB2312"/>
          <w:color w:val="000000"/>
          <w:sz w:val="32"/>
          <w:szCs w:val="32"/>
          <w:lang w:eastAsia="zh-CN"/>
        </w:rPr>
        <w:t>；民政管理事务（款）</w:t>
      </w:r>
      <w:r>
        <w:rPr>
          <w:rFonts w:hint="eastAsia" w:ascii="仿宋_GB2312" w:hAnsi="仿宋_GB2312" w:eastAsia="仿宋_GB2312" w:cs="仿宋_GB2312"/>
          <w:color w:val="000000"/>
          <w:sz w:val="32"/>
          <w:szCs w:val="32"/>
        </w:rPr>
        <w:t>基层政权和社区事务</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rPr>
        <w:t>：反映开展村民自治、村务公开等基层政权和社区建设工作的支出；</w:t>
      </w:r>
      <w:r>
        <w:rPr>
          <w:rFonts w:hint="eastAsia" w:ascii="仿宋_GB2312" w:hAnsi="仿宋_GB2312" w:eastAsia="仿宋_GB2312" w:cs="仿宋_GB2312"/>
          <w:color w:val="000000"/>
          <w:sz w:val="32"/>
          <w:szCs w:val="32"/>
          <w:lang w:eastAsia="zh-CN"/>
        </w:rPr>
        <w:t>财政对基本养老保险基金的补助（款）</w:t>
      </w:r>
      <w:r>
        <w:rPr>
          <w:rFonts w:hint="eastAsia" w:ascii="仿宋_GB2312" w:hAnsi="仿宋_GB2312" w:eastAsia="仿宋_GB2312" w:cs="仿宋_GB2312"/>
          <w:color w:val="000000"/>
          <w:sz w:val="32"/>
          <w:szCs w:val="32"/>
        </w:rPr>
        <w:t>财政对其他社会保险基金的补助</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rPr>
        <w:t>：反映财政对其他社会保险基金的补助支出；</w:t>
      </w:r>
      <w:r>
        <w:rPr>
          <w:rFonts w:hint="eastAsia" w:ascii="仿宋_GB2312" w:hAnsi="仿宋_GB2312" w:eastAsia="仿宋_GB2312" w:cs="仿宋_GB2312"/>
          <w:color w:val="000000"/>
          <w:sz w:val="32"/>
          <w:szCs w:val="32"/>
          <w:highlight w:val="none"/>
          <w:lang w:eastAsia="zh-CN"/>
        </w:rPr>
        <w:t>死亡（款）</w:t>
      </w:r>
      <w:r>
        <w:rPr>
          <w:rFonts w:hint="eastAsia" w:ascii="仿宋_GB2312" w:hAnsi="仿宋_GB2312" w:eastAsia="仿宋_GB2312" w:cs="仿宋_GB2312"/>
          <w:color w:val="000000"/>
          <w:sz w:val="32"/>
          <w:szCs w:val="32"/>
          <w:highlight w:val="none"/>
        </w:rPr>
        <w:t>死亡抚恤金</w:t>
      </w:r>
      <w:r>
        <w:rPr>
          <w:rFonts w:hint="eastAsia" w:ascii="仿宋_GB2312" w:hAnsi="仿宋_GB2312" w:eastAsia="仿宋_GB2312" w:cs="仿宋_GB2312"/>
          <w:color w:val="000000"/>
          <w:sz w:val="32"/>
          <w:szCs w:val="32"/>
          <w:highlight w:val="none"/>
          <w:lang w:eastAsia="zh-CN"/>
        </w:rPr>
        <w:t>（项）</w:t>
      </w:r>
      <w:r>
        <w:rPr>
          <w:rFonts w:hint="eastAsia" w:ascii="仿宋_GB2312" w:hAnsi="仿宋_GB2312" w:eastAsia="仿宋_GB2312" w:cs="仿宋_GB2312"/>
          <w:color w:val="000000"/>
          <w:sz w:val="32"/>
          <w:szCs w:val="32"/>
          <w:highlight w:val="none"/>
        </w:rPr>
        <w:t>：反映按规定用于烈士和牺牲、病故人员家属的一次性和定期抚恤金以及丧葬补助费；</w:t>
      </w:r>
      <w:r>
        <w:rPr>
          <w:rFonts w:hint="eastAsia" w:ascii="仿宋_GB2312" w:hAnsi="仿宋_GB2312" w:eastAsia="仿宋_GB2312" w:cs="仿宋_GB2312"/>
          <w:color w:val="000000"/>
          <w:sz w:val="32"/>
          <w:szCs w:val="32"/>
          <w:highlight w:val="none"/>
          <w:lang w:eastAsia="zh-CN"/>
        </w:rPr>
        <w:t>其他生活救助（款）</w:t>
      </w:r>
      <w:r>
        <w:rPr>
          <w:rFonts w:hint="eastAsia" w:ascii="仿宋_GB2312" w:hAnsi="仿宋_GB2312" w:eastAsia="仿宋_GB2312" w:cs="仿宋_GB2312"/>
          <w:color w:val="000000"/>
          <w:sz w:val="32"/>
          <w:szCs w:val="32"/>
          <w:highlight w:val="none"/>
        </w:rPr>
        <w:t>其他农村生活救助</w:t>
      </w:r>
      <w:r>
        <w:rPr>
          <w:rFonts w:hint="eastAsia" w:ascii="仿宋_GB2312" w:hAnsi="仿宋_GB2312" w:eastAsia="仿宋_GB2312" w:cs="仿宋_GB2312"/>
          <w:color w:val="000000"/>
          <w:sz w:val="32"/>
          <w:szCs w:val="32"/>
          <w:highlight w:val="none"/>
          <w:lang w:eastAsia="zh-CN"/>
        </w:rPr>
        <w:t>（项）</w:t>
      </w:r>
      <w:r>
        <w:rPr>
          <w:rFonts w:hint="eastAsia" w:ascii="仿宋_GB2312" w:hAnsi="仿宋_GB2312" w:eastAsia="仿宋_GB2312" w:cs="仿宋_GB2312"/>
          <w:color w:val="000000"/>
          <w:sz w:val="32"/>
          <w:szCs w:val="32"/>
          <w:highlight w:val="none"/>
        </w:rPr>
        <w:t>：反映除最低生活保障、临时救助、特困人员供养、自然灾害生活救助外，用于农村生活困难居民生活救助的其他支出。</w:t>
      </w:r>
    </w:p>
    <w:p>
      <w:pPr>
        <w:ind w:firstLine="640" w:firstLineChars="200"/>
        <w:rPr>
          <w:rFonts w:ascii="仿宋_GB2312" w:eastAsia="仿宋_GB2312"/>
          <w:color w:val="000000"/>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color w:val="000000"/>
          <w:sz w:val="32"/>
          <w:szCs w:val="32"/>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城乡社区（类）</w:t>
      </w:r>
      <w:r>
        <w:rPr>
          <w:rFonts w:hint="eastAsia" w:ascii="仿宋_GB2312" w:hAnsi="仿宋_GB2312" w:eastAsia="仿宋_GB2312" w:cs="仿宋_GB2312"/>
          <w:color w:val="000000"/>
          <w:sz w:val="32"/>
          <w:szCs w:val="32"/>
          <w:lang w:eastAsia="zh-CN"/>
        </w:rPr>
        <w:t>城乡社区管理事务</w:t>
      </w:r>
      <w:r>
        <w:rPr>
          <w:rFonts w:hint="eastAsia" w:ascii="仿宋_GB2312" w:eastAsia="仿宋_GB2312"/>
          <w:sz w:val="32"/>
          <w:szCs w:val="32"/>
        </w:rPr>
        <w:t>（款）</w:t>
      </w:r>
      <w:r>
        <w:rPr>
          <w:rFonts w:hint="eastAsia" w:ascii="仿宋_GB2312" w:eastAsia="仿宋_GB2312"/>
          <w:sz w:val="32"/>
          <w:szCs w:val="32"/>
          <w:lang w:eastAsia="zh-CN"/>
        </w:rPr>
        <w:t>其他</w:t>
      </w:r>
      <w:r>
        <w:rPr>
          <w:rFonts w:hint="eastAsia" w:ascii="仿宋_GB2312" w:hAnsi="仿宋_GB2312" w:eastAsia="仿宋_GB2312" w:cs="仿宋_GB2312"/>
          <w:color w:val="000000"/>
          <w:sz w:val="32"/>
          <w:szCs w:val="32"/>
          <w:lang w:eastAsia="zh-CN"/>
        </w:rPr>
        <w:t>城乡社区管理事务</w:t>
      </w:r>
      <w:r>
        <w:rPr>
          <w:rFonts w:hint="eastAsia" w:ascii="仿宋_GB2312" w:eastAsia="仿宋_GB2312"/>
          <w:sz w:val="32"/>
          <w:szCs w:val="32"/>
        </w:rPr>
        <w:t>（项）：</w:t>
      </w:r>
      <w:r>
        <w:rPr>
          <w:rFonts w:hint="eastAsia" w:ascii="仿宋_GB2312" w:hAnsi="仿宋_GB2312" w:eastAsia="仿宋_GB2312" w:cs="仿宋_GB2312"/>
          <w:color w:val="000000"/>
          <w:sz w:val="32"/>
          <w:szCs w:val="32"/>
          <w:lang w:eastAsia="zh-CN"/>
        </w:rPr>
        <w:t>反映城乡社区管理事务支出；城乡社区规划与管理（款）城乡社区规划与管理（项）：反映城乡社区、防灾减灾、历史名城规划制定与管理等方面的支出；城乡社区公共设施（款）城乡社区公共设施（项）：反映城乡社区道路、桥涵、燃气、供暖、公共交通（含轮渡、轻轨、地铁）、道路照明等公共设施建设维护与管理方面的支出；城乡社区环境卫生（款）城乡社区环境卫生（项）：反映城乡社区道路清扫、垃圾清运与处理、公厕建设与维护、园林绿化等方面的支出；建设市场管理与监督：反映各类建筑工程强制性和推荐性标准及规范的制定与修改、建筑工程招标等市场管理、建设工程质量与安全监督等方面的支出；城乡社区环境卫生（款）其他城乡社区支出（项）：反映除上述项目以外其他用于城乡社区方面的支出。</w:t>
      </w:r>
    </w:p>
    <w:p>
      <w:pPr>
        <w:ind w:firstLine="640" w:firstLineChars="200"/>
        <w:rPr>
          <w:rFonts w:hint="eastAsia" w:ascii="仿宋_GB2312" w:hAnsi="仿宋_GB2312" w:eastAsia="仿宋_GB2312" w:cs="仿宋_GB2312"/>
          <w:color w:val="000000"/>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农林水（类）</w:t>
      </w:r>
      <w:r>
        <w:rPr>
          <w:rFonts w:hint="eastAsia" w:ascii="仿宋_GB2312" w:eastAsia="仿宋_GB2312"/>
          <w:sz w:val="32"/>
          <w:szCs w:val="32"/>
          <w:lang w:eastAsia="zh-CN"/>
        </w:rPr>
        <w:t>农业农村</w:t>
      </w:r>
      <w:r>
        <w:rPr>
          <w:rFonts w:hint="eastAsia" w:ascii="仿宋_GB2312" w:eastAsia="仿宋_GB2312"/>
          <w:sz w:val="32"/>
          <w:szCs w:val="32"/>
        </w:rPr>
        <w:t>（款）</w:t>
      </w:r>
      <w:r>
        <w:rPr>
          <w:rFonts w:hint="eastAsia" w:ascii="仿宋_GB2312" w:eastAsia="仿宋_GB2312"/>
          <w:sz w:val="32"/>
          <w:szCs w:val="32"/>
          <w:lang w:eastAsia="zh-CN"/>
        </w:rPr>
        <w:t>其他农业农村支出</w:t>
      </w:r>
      <w:r>
        <w:rPr>
          <w:rFonts w:hint="eastAsia" w:ascii="仿宋_GB2312" w:eastAsia="仿宋_GB2312"/>
          <w:sz w:val="32"/>
          <w:szCs w:val="32"/>
        </w:rPr>
        <w:t>（项）：</w:t>
      </w:r>
      <w:r>
        <w:rPr>
          <w:rFonts w:hint="eastAsia" w:ascii="仿宋_GB2312" w:hAnsi="仿宋_GB2312" w:eastAsia="仿宋_GB2312" w:cs="仿宋_GB2312"/>
          <w:color w:val="000000"/>
          <w:sz w:val="32"/>
          <w:szCs w:val="32"/>
        </w:rPr>
        <w:t>反映</w:t>
      </w:r>
      <w:r>
        <w:rPr>
          <w:rFonts w:hint="eastAsia" w:ascii="仿宋_GB2312" w:hAnsi="仿宋_GB2312" w:eastAsia="仿宋_GB2312" w:cs="仿宋_GB2312"/>
          <w:color w:val="000000"/>
          <w:sz w:val="32"/>
          <w:szCs w:val="32"/>
          <w:lang w:eastAsia="zh-CN"/>
        </w:rPr>
        <w:t>用于农业农村方面其他支出如厕所革命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水利（款）</w:t>
      </w:r>
      <w:r>
        <w:rPr>
          <w:rFonts w:hint="eastAsia" w:ascii="仿宋_GB2312" w:hAnsi="仿宋_GB2312" w:eastAsia="仿宋_GB2312" w:cs="仿宋_GB2312"/>
          <w:color w:val="000000"/>
          <w:sz w:val="32"/>
          <w:szCs w:val="32"/>
        </w:rPr>
        <w:t>农</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水利支出</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rPr>
        <w:t>：反映国家对农田水利和打井、集雨设施、节水灌溉等水利设施的补助，小型水库除险补助以及排灌站、小水电站补助等；其他水利支出</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rPr>
        <w:t>：反映其他用于水利方面的支出；</w:t>
      </w:r>
      <w:r>
        <w:rPr>
          <w:rFonts w:hint="eastAsia" w:ascii="仿宋_GB2312" w:hAnsi="仿宋_GB2312" w:eastAsia="仿宋_GB2312" w:cs="仿宋_GB2312"/>
          <w:color w:val="000000"/>
          <w:sz w:val="32"/>
          <w:szCs w:val="32"/>
          <w:lang w:eastAsia="zh-CN"/>
        </w:rPr>
        <w:t>巩固脱贫衔接乡村振兴（款）</w:t>
      </w:r>
      <w:r>
        <w:rPr>
          <w:rFonts w:hint="eastAsia" w:ascii="仿宋_GB2312" w:hAnsi="仿宋_GB2312" w:eastAsia="仿宋_GB2312" w:cs="仿宋_GB2312"/>
          <w:color w:val="000000"/>
          <w:sz w:val="32"/>
          <w:szCs w:val="32"/>
        </w:rPr>
        <w:t>对村级一事一议的补助支出</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rPr>
        <w:t>：反映农村税费改革后对村级公益事业建设一事一议的补助支出；农村综合改革示范试点补助</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rPr>
        <w:t>：反映各级财政对农村综合改革示范试点、新型农业社会化服务体系建设等补助支出。</w:t>
      </w:r>
    </w:p>
    <w:p>
      <w:pPr>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7"/>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7"/>
          <w:rFonts w:hint="eastAsia" w:ascii="黑体" w:hAnsi="黑体" w:eastAsia="黑体"/>
          <w:b w:val="0"/>
        </w:rPr>
        <w:t>四部分 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hint="eastAsia" w:ascii="方正小标宋简体" w:hAnsi="宋体" w:eastAsia="方正小标宋简体"/>
          <w:kern w:val="0"/>
          <w:sz w:val="40"/>
          <w:szCs w:val="44"/>
          <w:lang w:eastAsia="zh-CN"/>
        </w:rPr>
      </w:pPr>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eastAsia="zh-CN"/>
        </w:rPr>
        <w:t>攀枝花市西区格里坪镇人民政府</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adjustRightInd w:val="0"/>
        <w:snapToGrid w:val="0"/>
        <w:spacing w:line="560" w:lineRule="exact"/>
        <w:ind w:firstLine="640" w:firstLineChars="200"/>
        <w:rPr>
          <w:lang w:val="zh-CN"/>
        </w:rPr>
      </w:pPr>
      <w:r>
        <w:rPr>
          <w:rFonts w:hint="eastAsia" w:ascii="仿宋_GB2312" w:hAnsi="仿宋" w:eastAsia="仿宋_GB2312"/>
          <w:sz w:val="32"/>
          <w:szCs w:val="32"/>
        </w:rPr>
        <w:t>机构组成情况：</w:t>
      </w:r>
      <w:r>
        <w:rPr>
          <w:rFonts w:hint="eastAsia" w:ascii="仿宋_GB2312" w:hAnsi="仿宋_GB2312" w:eastAsia="仿宋_GB2312" w:cs="仿宋_GB2312"/>
          <w:sz w:val="32"/>
          <w:szCs w:val="32"/>
        </w:rPr>
        <w:t>根据三定方案，</w:t>
      </w:r>
      <w:r>
        <w:rPr>
          <w:rFonts w:hint="eastAsia" w:ascii="仿宋_GB2312" w:hAnsi="仿宋_GB2312" w:eastAsia="仿宋_GB2312" w:cs="仿宋_GB2312"/>
          <w:color w:val="000000"/>
          <w:sz w:val="32"/>
          <w:szCs w:val="32"/>
        </w:rPr>
        <w:t xml:space="preserve">格里坪镇设置 8 个党政综合办事机构，5个公益一类事业单位。 </w:t>
      </w:r>
    </w:p>
    <w:p>
      <w:pPr>
        <w:widowControl/>
        <w:numPr>
          <w:ilvl w:val="0"/>
          <w:numId w:val="0"/>
        </w:numPr>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宋体" w:eastAsia="仿宋_GB2312" w:cs="宋体"/>
          <w:kern w:val="0"/>
          <w:sz w:val="32"/>
          <w:szCs w:val="32"/>
          <w:shd w:val="clear" w:color="auto" w:fill="FFFFFF"/>
          <w:lang w:val="zh-CN"/>
        </w:rPr>
        <w:t>（二）机构职能。</w:t>
      </w:r>
    </w:p>
    <w:p>
      <w:pPr>
        <w:widowControl/>
        <w:numPr>
          <w:ilvl w:val="0"/>
          <w:numId w:val="0"/>
        </w:numPr>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8 个党政综合办事机构</w:t>
      </w:r>
      <w:r>
        <w:rPr>
          <w:rFonts w:hint="eastAsia" w:ascii="仿宋_GB2312" w:hAnsi="仿宋_GB2312" w:eastAsia="仿宋_GB2312" w:cs="仿宋_GB2312"/>
          <w:color w:val="000000"/>
          <w:kern w:val="0"/>
          <w:sz w:val="32"/>
          <w:szCs w:val="32"/>
          <w:lang w:eastAsia="zh-CN" w:bidi="ar"/>
        </w:rPr>
        <w:t>：</w:t>
      </w:r>
    </w:p>
    <w:p>
      <w:pPr>
        <w:widowControl/>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党政办公室（挂人大办公室牌子）。主要承担党委、人大、政府等日常事务；负责组织人事、文秘档案、信息调研、财务审计、机要保密及行政后勤、综合协调等工作；承担考核奖惩及职称评聘等工作；负责检查督促其他各综合办事机构完成下达的任务。 </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党建办公室（挂党群工作部牌子）。主要负责基层党的建设，制定并实施基层组织建设规划，指导基层党组织党建工作；承担意识形态、纪检监察、组织人事、宣传统战、新时代文明实践等工作；指导工会、共青团、妇联、关心下一代等群团工作。 </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3、经济发展办公室（挂农村经营管理办公室牌子）。 </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贯彻执行党和国家有关农村经济的方针政策和法律法规，主要负责产业规划发展、商贸服务业发展、统计、招商引资等工作。 </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社会事务办公室（挂行政审批办公室、卫生健康办公室牌子）。主要承担指导推进公共事务和综合管理等职责；负责教育、卫生健康、武装民政、退役军人事务、民族宗教、就业创业、扶贫等工作；承担公益事业和社会服务事业相关工作；根据法定职能或受委托承担辖区内行政审批、证照办理、政策咨询、劳动就业、社会保障、劳动关系调整、科技信息服务等事项；负责便民服务办事窗口的日常管理与运行保障，指导辖区内村、社区便民服务站点建设。 </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综合行政执法办公室（挂综合行政执法队、生态环境保护办公室牌子）。主要负责下放到镇一级的综合执法职责，统筹管理综合行政执法队，统筹协调区级部门派驻在镇的管理执法力量；做好综合执法综合协调、监督考评工作；牵头查处辖区内违反行政法规的案件；负责城市管理、河（湖）长制、农村自办宴席管理、乡村道路安全管理、打击私挖盗采等工作；统筹辖区内生态文明建设等工作。</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6、应急管理办公室（挂安全生产监督管理办公室牌子）。负责大数据分析以及各类应急管理等职责；组织、指导、协调镇域范围内安全生产工作，负责镇安委会日常工作，负责全镇的应急处置相关工作；负责地质灾害防治工作。 </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7、财政所。贯彻执行各项财经纪律、法规和制度；负责编报年度乡镇财政收支预算、决算并组织预算执行；协助税务机关和非税收入执收部门征缴财政收入，协助有关机构代收代缴各类社会保障资金；负责项目建设资金的监督管理；负责管理镇国有资产和政府性债权债务；指导、监督镇行政事业单位财务管理；接受委托代管村级财务、债权债务和集体资产；负责镇财务信息公开工作。 </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社会治理办公室（挂矛盾纠纷多元化解协调中心牌子）。主要承担基层社会治安综合防控体系建设和社会治理综合信息平台运行的管理保障，负责基层治理信息收集、分析研判、分流交办、调度指挥、反馈督办、绩效评估等工作；主要承担社会治安综合治理、平安建设、信访维稳、法制宣传教育、多元化解、司法调解、法律援助、外来人口管理以及综治工作平台建设运行和日常管理协调工作。</w:t>
      </w:r>
    </w:p>
    <w:p>
      <w:pPr>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5个公益一类事业单位</w:t>
      </w:r>
      <w:r>
        <w:rPr>
          <w:rFonts w:hint="eastAsia" w:ascii="仿宋_GB2312" w:hAnsi="仿宋_GB2312" w:eastAsia="仿宋_GB2312" w:cs="仿宋_GB2312"/>
          <w:color w:val="000000"/>
          <w:sz w:val="32"/>
          <w:szCs w:val="32"/>
          <w:lang w:eastAsia="zh-CN"/>
        </w:rPr>
        <w:t>：</w:t>
      </w:r>
    </w:p>
    <w:p>
      <w:pPr>
        <w:widowControl/>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lang w:bidi="ar"/>
        </w:rPr>
        <w:t xml:space="preserve">1、格里坪镇便民服务中心（挂人力资源和社会保障服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lang w:bidi="ar"/>
        </w:rPr>
        <w:t>务所牌子）。</w:t>
      </w:r>
      <w:r>
        <w:rPr>
          <w:rFonts w:hint="eastAsia" w:ascii="仿宋_GB2312" w:hAnsi="仿宋_GB2312" w:eastAsia="仿宋_GB2312" w:cs="仿宋_GB2312"/>
          <w:color w:val="000000"/>
          <w:kern w:val="0"/>
          <w:sz w:val="32"/>
          <w:szCs w:val="32"/>
          <w:lang w:bidi="ar"/>
        </w:rPr>
        <w:t>主要负责受（办）理与群众和服务对象密切相关的政务审批服务、公共服务、便民服务事项；负责政务公开的事务性工作；负责就业创业、社会保险、医疗保险、民政救助、劳动争议调解、农民工服务保障等服务性工作。</w:t>
      </w:r>
    </w:p>
    <w:p>
      <w:pPr>
        <w:widowControl/>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lang w:bidi="ar"/>
        </w:rPr>
        <w:t xml:space="preserve">2、格里坪镇农业农村服务中心（挂畜牧兽医站、农产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lang w:bidi="ar"/>
        </w:rPr>
        <w:t>品质量安全服务站、林业工作站、乡村振兴工作中心牌子）。</w:t>
      </w:r>
      <w:r>
        <w:rPr>
          <w:rFonts w:hint="eastAsia" w:ascii="仿宋_GB2312" w:hAnsi="仿宋_GB2312" w:eastAsia="仿宋_GB2312" w:cs="仿宋_GB2312"/>
          <w:color w:val="000000"/>
          <w:kern w:val="0"/>
          <w:sz w:val="32"/>
          <w:szCs w:val="32"/>
          <w:lang w:bidi="ar"/>
        </w:rPr>
        <w:t xml:space="preserve">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主要负责农林牧副渔业生产、农村土地承包管理、农民负担监督管理、农村经营管理等事务性工作；负责农业、林业、水利、农业机械、水产等基层农业技术推广，农作物病虫害监测与防治、护林防火、防汛抗旱、农田水利建设、农产品质量安全监测、动物防疫、畜牧兽医等服务性和事务性工作；负责乡村振兴相关事务性工作，扶持和壮大村级集体经济。</w:t>
      </w:r>
    </w:p>
    <w:p>
      <w:pPr>
        <w:widowControl/>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lang w:bidi="ar"/>
        </w:rPr>
        <w:t xml:space="preserve">3、格里坪镇村镇建设服务中心（挂项目协调服务中心、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lang w:bidi="ar"/>
        </w:rPr>
        <w:t>农村公路交通服务站牌子）。</w:t>
      </w:r>
      <w:r>
        <w:rPr>
          <w:rFonts w:hint="eastAsia" w:ascii="仿宋_GB2312" w:hAnsi="仿宋_GB2312" w:eastAsia="仿宋_GB2312" w:cs="仿宋_GB2312"/>
          <w:color w:val="000000"/>
          <w:kern w:val="0"/>
          <w:sz w:val="32"/>
          <w:szCs w:val="32"/>
          <w:lang w:bidi="ar"/>
        </w:rPr>
        <w:t>主要负责村镇规划建设服务工作；集镇基础设施、公共设施的建设维护；建筑工程质量安全日常检查；负责农村公路交通建设、管理等相关事务性工作；协助开展农村土地征地拆迁的安置和协调相关工作；负责镇容村貌、环境卫生、园林绿化的建设实施和维护等工作承办环境保护的技术服务工作。</w:t>
      </w:r>
    </w:p>
    <w:p>
      <w:pPr>
        <w:widowControl/>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lang w:bidi="ar"/>
        </w:rPr>
        <w:t xml:space="preserve">4、格里坪镇党群服务中心（挂退役军人服务站牌子）。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主要负责党建、党群等事务性工作；具体负责指导和组织下级党组织开展党组织建设、党务培训、发展党员，指导、办理入党申请，党组织关系转接、党费收缴、民主评议党员等党务服务；指导下级党组织开展“三会一课”、主题党日、远程教育、微党课、党内激励关怀帮扶等工作；指党员志愿服务队伍、群众性志愿队伍等开展服务群众的活动；指导基层党组织培养后备人才；联系指导群团组织开展工作。负责退役军人事务和双拥工作；配合有关部门开展辖区内军队转业干部和复退军人的服务及思想教育工作；协助相关部门做好辖区内征兵、国防教育宣传和国防潜力调查及民兵整组工作。</w:t>
      </w:r>
    </w:p>
    <w:p>
      <w:pPr>
        <w:adjustRightInd w:val="0"/>
        <w:snapToGrid w:val="0"/>
        <w:spacing w:line="560" w:lineRule="exact"/>
        <w:ind w:firstLine="640" w:firstLineChars="200"/>
        <w:rPr>
          <w:rFonts w:ascii="仿宋_GB2312" w:hAnsi="宋体" w:eastAsia="仿宋_GB2312" w:cs="宋体"/>
          <w:kern w:val="0"/>
          <w:sz w:val="32"/>
          <w:szCs w:val="32"/>
          <w:shd w:val="clear" w:color="auto" w:fill="FFFFFF"/>
          <w:lang w:val="zh-CN"/>
        </w:rPr>
      </w:pPr>
      <w:r>
        <w:rPr>
          <w:rFonts w:hint="eastAsia" w:ascii="仿宋_GB2312" w:hAnsi="仿宋_GB2312" w:eastAsia="仿宋_GB2312" w:cs="仿宋_GB2312"/>
          <w:bCs/>
          <w:color w:val="000000"/>
          <w:kern w:val="0"/>
          <w:sz w:val="32"/>
          <w:szCs w:val="32"/>
          <w:lang w:bidi="ar"/>
        </w:rPr>
        <w:t>格里坪镇宣传文化旅游服务中心（挂宣传文化站牌子）。</w:t>
      </w:r>
      <w:r>
        <w:rPr>
          <w:rFonts w:hint="eastAsia" w:ascii="仿宋_GB2312" w:hAnsi="仿宋_GB2312" w:eastAsia="仿宋_GB2312" w:cs="仿宋_GB2312"/>
          <w:color w:val="000000"/>
          <w:kern w:val="0"/>
          <w:sz w:val="32"/>
          <w:szCs w:val="32"/>
          <w:lang w:bidi="ar"/>
        </w:rPr>
        <w:t>主要负责宣传、文化、旅游、广播影视、文艺演出、群众体育、科技推广、科普培训等事务性和服务性工作。</w:t>
      </w:r>
    </w:p>
    <w:p>
      <w:pPr>
        <w:widowControl/>
        <w:numPr>
          <w:ilvl w:val="0"/>
          <w:numId w:val="6"/>
        </w:numPr>
        <w:ind w:firstLine="640" w:firstLineChars="200"/>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人员概况。</w:t>
      </w:r>
    </w:p>
    <w:p>
      <w:pPr>
        <w:widowControl/>
        <w:numPr>
          <w:ilvl w:val="0"/>
          <w:numId w:val="0"/>
        </w:numPr>
        <w:ind w:firstLine="640" w:firstLineChars="200"/>
        <w:jc w:val="left"/>
        <w:rPr>
          <w:rFonts w:ascii="仿宋_GB2312" w:hAnsi="宋体" w:eastAsia="仿宋_GB2312" w:cs="宋体"/>
          <w:kern w:val="0"/>
          <w:sz w:val="32"/>
          <w:szCs w:val="32"/>
          <w:shd w:val="clear" w:color="auto" w:fill="FFFFFF"/>
          <w:lang w:val="zh-CN"/>
        </w:rPr>
      </w:pPr>
      <w:r>
        <w:rPr>
          <w:rFonts w:hint="eastAsia" w:ascii="仿宋_GB2312" w:hAnsi="仿宋" w:eastAsia="仿宋_GB2312"/>
          <w:sz w:val="32"/>
          <w:szCs w:val="32"/>
        </w:rPr>
        <w:t>人员情况：</w:t>
      </w:r>
      <w:r>
        <w:rPr>
          <w:rFonts w:hint="eastAsia" w:ascii="仿宋_GB2312" w:hAnsi="仿宋_GB2312" w:eastAsia="仿宋_GB2312" w:cs="仿宋_GB2312"/>
          <w:color w:val="000000"/>
          <w:kern w:val="0"/>
          <w:sz w:val="32"/>
          <w:szCs w:val="32"/>
          <w:lang w:bidi="ar"/>
        </w:rPr>
        <w:t>格里坪镇机关行政编制 19名，现有人员21名，事业编制31名，现有人员2</w:t>
      </w:r>
      <w:r>
        <w:rPr>
          <w:rFonts w:hint="eastAsia" w:ascii="仿宋_GB2312" w:hAnsi="仿宋_GB2312" w:eastAsia="仿宋_GB2312" w:cs="仿宋_GB2312"/>
          <w:color w:val="000000"/>
          <w:kern w:val="0"/>
          <w:sz w:val="32"/>
          <w:szCs w:val="32"/>
          <w:lang w:val="en-US" w:eastAsia="zh-CN" w:bidi="ar"/>
        </w:rPr>
        <w:t>8</w:t>
      </w:r>
      <w:r>
        <w:rPr>
          <w:rFonts w:hint="eastAsia" w:ascii="仿宋_GB2312" w:hAnsi="仿宋_GB2312" w:eastAsia="仿宋_GB2312" w:cs="仿宋_GB2312"/>
          <w:color w:val="000000"/>
          <w:kern w:val="0"/>
          <w:sz w:val="32"/>
          <w:szCs w:val="32"/>
          <w:lang w:bidi="ar"/>
        </w:rPr>
        <w:t>名，</w:t>
      </w:r>
      <w:r>
        <w:rPr>
          <w:rFonts w:hint="eastAsia" w:ascii="仿宋_GB2312" w:hAnsi="仿宋" w:eastAsia="仿宋_GB2312"/>
          <w:sz w:val="32"/>
          <w:szCs w:val="32"/>
        </w:rPr>
        <w:t>聘用人员编制35名，现有35名，</w:t>
      </w:r>
      <w:r>
        <w:rPr>
          <w:rFonts w:hint="eastAsia" w:ascii="仿宋_GB2312" w:hAnsi="仿宋" w:eastAsia="仿宋_GB2312"/>
          <w:color w:val="000000"/>
          <w:sz w:val="32"/>
          <w:szCs w:val="32"/>
        </w:rPr>
        <w:t>社区干部28人，共有在职人员11</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名，</w:t>
      </w:r>
      <w:r>
        <w:rPr>
          <w:rFonts w:hint="eastAsia" w:ascii="仿宋_GB2312" w:hAnsi="仿宋" w:eastAsia="仿宋_GB2312"/>
          <w:sz w:val="32"/>
          <w:szCs w:val="32"/>
        </w:rPr>
        <w:t>退休人员20人。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ind w:firstLine="640" w:firstLineChars="200"/>
        <w:rPr>
          <w:lang w:val="zh-CN"/>
        </w:rPr>
      </w:pPr>
      <w:r>
        <w:rPr>
          <w:rFonts w:hint="eastAsia" w:ascii="仿宋_GB2312" w:hAnsi="仿宋_GB2312" w:eastAsia="仿宋_GB2312" w:cs="仿宋_GB2312"/>
          <w:sz w:val="32"/>
          <w:szCs w:val="32"/>
        </w:rPr>
        <w:t>格里坪镇2021年实现财政总收入4253.15万元，其中：一般公共预算财政拨款收入3731.63万元、政府性基金预算财政拨款收入520.08万元、其他收入1.45万元。加上上年结转913.84万元，当年可支配收入合计5167万元。</w:t>
      </w:r>
    </w:p>
    <w:p>
      <w:pPr>
        <w:widowControl/>
        <w:numPr>
          <w:ilvl w:val="0"/>
          <w:numId w:val="7"/>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widowControl/>
        <w:numPr>
          <w:ilvl w:val="0"/>
          <w:numId w:val="0"/>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仿宋_GB2312" w:eastAsia="仿宋_GB2312" w:cs="仿宋_GB2312"/>
          <w:sz w:val="32"/>
          <w:szCs w:val="32"/>
        </w:rPr>
        <w:t>格里坪镇2021年支出5167万元，其中：基本支出1387万元、项目支出3780万元，年终结转和结余0万元。</w:t>
      </w:r>
      <w:r>
        <w:rPr>
          <w:rFonts w:hint="eastAsia" w:ascii="仿宋_GB2312" w:hAnsi="仿宋_GB2312" w:eastAsia="仿宋_GB2312" w:cs="仿宋_GB2312"/>
          <w:sz w:val="32"/>
          <w:szCs w:val="32"/>
          <w:lang w:val="en-US" w:eastAsia="zh-CN"/>
        </w:rPr>
        <w:t xml:space="preserve">  </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zh-CN"/>
        </w:rPr>
        <w:t>为进一步提升绩效评价工作的质量，我单位成立了以</w:t>
      </w:r>
      <w:r>
        <w:rPr>
          <w:rFonts w:hint="eastAsia" w:ascii="仿宋_GB2312" w:hAnsi="仿宋_GB2312" w:eastAsia="仿宋_GB2312" w:cs="仿宋_GB2312"/>
          <w:sz w:val="32"/>
          <w:szCs w:val="32"/>
          <w:highlight w:val="none"/>
        </w:rPr>
        <w:t>办公室</w:t>
      </w:r>
      <w:r>
        <w:rPr>
          <w:rFonts w:hint="eastAsia" w:ascii="仿宋_GB2312" w:hAnsi="仿宋_GB2312" w:eastAsia="仿宋_GB2312" w:cs="仿宋_GB2312"/>
          <w:color w:val="000000"/>
          <w:kern w:val="0"/>
          <w:sz w:val="32"/>
          <w:szCs w:val="32"/>
          <w:highlight w:val="none"/>
          <w:shd w:val="clear" w:color="auto" w:fill="FFFFFF"/>
          <w:lang w:val="zh-CN"/>
        </w:rPr>
        <w:t>为组长，各科室负责人为成员的绩效评价领导小组，明确岗位职责和分工任务，为开展绩效评价提供了组织保障。制定评价指标体系，从目标设定、预算配置、预算执行、预算管理、资产管理、责任履行、履职效益等指标进行评价。评价组在开展评价工作时，要确保工作的独立性、公正性、规范性和严谨性，确保评价报告数据真实，并能如实反映存在的问题，评价结果真实可信,能够进行有效运用。</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80" w:lineRule="exact"/>
        <w:ind w:firstLine="660" w:firstLineChars="200"/>
        <w:contextualSpacing/>
        <w:jc w:val="left"/>
        <w:rPr>
          <w:rFonts w:hint="eastAsia" w:ascii="仿宋_GB2312" w:hAnsi="仿宋_GB2312" w:eastAsia="仿宋_GB2312" w:cs="仿宋_GB2312"/>
          <w:sz w:val="33"/>
          <w:szCs w:val="33"/>
          <w:shd w:val="clear" w:color="auto" w:fill="FFFFFF"/>
        </w:rPr>
      </w:pPr>
      <w:r>
        <w:rPr>
          <w:rFonts w:hint="eastAsia" w:ascii="仿宋_GB2312" w:hAnsi="仿宋_GB2312" w:eastAsia="仿宋_GB2312" w:cs="仿宋_GB2312"/>
          <w:color w:val="333333"/>
          <w:sz w:val="33"/>
          <w:szCs w:val="33"/>
          <w:shd w:val="clear" w:color="auto" w:fill="FFFFFF"/>
        </w:rPr>
        <w:t xml:space="preserve">  我单位于2021年9月按照《关于开展 2021 年度事中绩效监控工作的通知》（</w:t>
      </w:r>
      <w:r>
        <w:rPr>
          <w:rStyle w:val="33"/>
          <w:rFonts w:hint="default"/>
        </w:rPr>
        <w:t xml:space="preserve">攀西财〔 </w:t>
      </w:r>
      <w:r>
        <w:rPr>
          <w:rStyle w:val="34"/>
          <w:rFonts w:hint="eastAsia" w:ascii="仿宋_GB2312" w:eastAsia="仿宋_GB2312"/>
        </w:rPr>
        <w:t>2021</w:t>
      </w:r>
      <w:r>
        <w:rPr>
          <w:rStyle w:val="33"/>
          <w:rFonts w:hint="default"/>
        </w:rPr>
        <w:t xml:space="preserve">〕 </w:t>
      </w:r>
      <w:r>
        <w:rPr>
          <w:rStyle w:val="34"/>
          <w:rFonts w:hint="eastAsia" w:ascii="仿宋_GB2312" w:eastAsia="仿宋_GB2312"/>
        </w:rPr>
        <w:t xml:space="preserve">153 </w:t>
      </w:r>
      <w:r>
        <w:rPr>
          <w:rStyle w:val="33"/>
          <w:rFonts w:hint="default"/>
        </w:rPr>
        <w:t>号</w:t>
      </w:r>
      <w:r>
        <w:rPr>
          <w:rFonts w:hint="eastAsia" w:ascii="仿宋_GB2312" w:hAnsi="仿宋_GB2312" w:eastAsia="仿宋_GB2312" w:cs="仿宋_GB2312"/>
          <w:color w:val="333333"/>
          <w:sz w:val="33"/>
          <w:szCs w:val="33"/>
          <w:shd w:val="clear" w:color="auto" w:fill="FFFFFF"/>
        </w:rPr>
        <w:t>）要求开展了绩效运行监控工作，填制《预算项目绩效运行监控分析表》、《部门预算事中绩效监控分析表》，</w:t>
      </w:r>
      <w:r>
        <w:rPr>
          <w:rFonts w:hint="eastAsia" w:ascii="仿宋_GB2312" w:hAnsi="仿宋_GB2312" w:eastAsia="仿宋_GB2312" w:cs="仿宋_GB2312"/>
          <w:sz w:val="33"/>
          <w:szCs w:val="33"/>
          <w:shd w:val="clear" w:color="auto" w:fill="FFFFFF"/>
        </w:rPr>
        <w:t>进一步优化了财政资源配置、发挥财政资金使用效益</w:t>
      </w:r>
      <w:r>
        <w:rPr>
          <w:rFonts w:hint="eastAsia" w:ascii="仿宋_GB2312" w:hAnsi="仿宋_GB2312" w:eastAsia="仿宋_GB2312" w:cs="仿宋_GB2312"/>
          <w:color w:val="000000"/>
          <w:kern w:val="0"/>
          <w:sz w:val="32"/>
          <w:szCs w:val="32"/>
          <w:highlight w:val="none"/>
          <w:shd w:val="clear" w:color="auto" w:fill="FFFFFF"/>
          <w:lang w:val="zh-CN"/>
        </w:rPr>
        <w:t>，做到绩效目标、绩效评价、绩效监控等公开内容完整性及时性，提高预算的透明度，切实保障了群众的知情权、参与权和监督权。</w:t>
      </w:r>
    </w:p>
    <w:p>
      <w:pPr>
        <w:widowControl/>
        <w:numPr>
          <w:ilvl w:val="0"/>
          <w:numId w:val="8"/>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snapToGrid w:val="0"/>
        <w:spacing w:line="353" w:lineRule="auto"/>
        <w:ind w:firstLine="640" w:firstLineChars="200"/>
        <w:jc w:val="left"/>
        <w:rPr>
          <w:rFonts w:ascii="仿宋_GB2312" w:hAnsi="宋体" w:eastAsia="仿宋_GB2312" w:cs="宋体"/>
          <w:kern w:val="0"/>
          <w:sz w:val="32"/>
          <w:szCs w:val="32"/>
          <w:shd w:val="clear" w:color="auto" w:fill="FFFFFF"/>
        </w:rPr>
      </w:pPr>
      <w:r>
        <w:rPr>
          <w:rFonts w:hint="eastAsia" w:ascii="仿宋_GB2312" w:eastAsia="仿宋_GB2312"/>
          <w:sz w:val="32"/>
          <w:szCs w:val="32"/>
        </w:rPr>
        <w:t>通过自评，进一步提高了我单位的绩效管理水平，更加认识到绩效管理对部门综合管理提升的重要性，自评结果将用于以后年度编制部门预算的重要参考和日常管理的标靶，汲取经验，改进工作，让工作与绩效目标匹配，让成果与工作推进互动。我们将适时公开公示绩效目标和绩效成果，主动接受社会监督。</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numPr>
          <w:ilvl w:val="0"/>
          <w:numId w:val="0"/>
        </w:numPr>
        <w:spacing w:line="353" w:lineRule="auto"/>
        <w:ind w:firstLine="640" w:firstLineChars="200"/>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widowControl/>
        <w:numPr>
          <w:ilvl w:val="0"/>
          <w:numId w:val="0"/>
        </w:numPr>
        <w:adjustRightInd w:val="0"/>
        <w:snapToGrid w:val="0"/>
        <w:spacing w:line="576" w:lineRule="exact"/>
        <w:ind w:leftChars="200"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格里坪镇认真做好年度财政资金的预算编制工作，按照政府采购目录及采购限额标准编制政府采购预算，做到应编尽编。在资金使用和管理方面，进一步强化资金统筹，优化资金支出结构，明确开支范围，细化资金用途，确保部门职责任务顺利完成。全年基本支出保证了机关各部门的正常运行和日常工作的正常开展，达到预期绩效目标。</w:t>
      </w:r>
    </w:p>
    <w:p>
      <w:pPr>
        <w:widowControl/>
        <w:numPr>
          <w:ilvl w:val="0"/>
          <w:numId w:val="0"/>
        </w:numPr>
        <w:adjustRightInd w:val="0"/>
        <w:snapToGrid w:val="0"/>
        <w:spacing w:line="576" w:lineRule="exact"/>
        <w:ind w:leftChars="200" w:firstLine="320" w:firstLineChars="1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pStyle w:val="2"/>
        <w:numPr>
          <w:ilvl w:val="0"/>
          <w:numId w:val="0"/>
        </w:numPr>
        <w:ind w:leftChars="200"/>
        <w:rPr>
          <w:lang w:val="zh-CN"/>
        </w:rPr>
      </w:pPr>
      <w:r>
        <w:rPr>
          <w:rFonts w:hint="eastAsia"/>
          <w:lang w:val="zh-CN"/>
        </w:rPr>
        <w:t>无。</w:t>
      </w:r>
    </w:p>
    <w:p>
      <w:pPr>
        <w:widowControl/>
        <w:numPr>
          <w:ilvl w:val="0"/>
          <w:numId w:val="7"/>
        </w:numPr>
        <w:adjustRightInd w:val="0"/>
        <w:snapToGrid w:val="0"/>
        <w:spacing w:line="576" w:lineRule="exact"/>
        <w:ind w:left="0" w:leftChars="0"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改进建议。</w:t>
      </w:r>
    </w:p>
    <w:p>
      <w:pPr>
        <w:pStyle w:val="2"/>
        <w:numPr>
          <w:ilvl w:val="0"/>
          <w:numId w:val="0"/>
        </w:numPr>
        <w:ind w:leftChars="200"/>
        <w:rPr>
          <w:lang w:val="zh-CN"/>
        </w:rPr>
      </w:pPr>
      <w:r>
        <w:rPr>
          <w:rFonts w:hint="eastAsia"/>
          <w:lang w:val="zh-CN"/>
        </w:rPr>
        <w:t>无。</w:t>
      </w:r>
    </w:p>
    <w:p>
      <w:pPr>
        <w:pStyle w:val="2"/>
        <w:spacing w:before="72"/>
        <w:rPr>
          <w:rFonts w:hint="eastAsia" w:hAnsi="宋体" w:cs="宋体"/>
          <w:sz w:val="32"/>
          <w:szCs w:val="32"/>
          <w:shd w:val="clear" w:color="auto" w:fill="FFFFFF"/>
          <w:lang w:val="zh-CN"/>
        </w:rPr>
      </w:pPr>
    </w:p>
    <w:p>
      <w:pPr>
        <w:pStyle w:val="2"/>
        <w:spacing w:before="72"/>
        <w:rPr>
          <w:rFonts w:hint="eastAsia" w:hAnsi="宋体" w:cs="宋体"/>
          <w:sz w:val="32"/>
          <w:szCs w:val="32"/>
          <w:shd w:val="clear" w:color="auto" w:fill="FFFFFF"/>
          <w:lang w:val="zh-CN"/>
        </w:rPr>
      </w:pPr>
    </w:p>
    <w:p>
      <w:pPr>
        <w:pStyle w:val="2"/>
        <w:spacing w:before="72"/>
        <w:rPr>
          <w:rFonts w:hint="eastAsia" w:hAnsi="宋体" w:cs="宋体"/>
          <w:sz w:val="32"/>
          <w:szCs w:val="32"/>
          <w:shd w:val="clear" w:color="auto" w:fill="FFFFFF"/>
          <w:lang w:val="zh-CN"/>
        </w:rPr>
      </w:pPr>
    </w:p>
    <w:p>
      <w:pPr>
        <w:pStyle w:val="2"/>
        <w:spacing w:before="72"/>
        <w:rPr>
          <w:rFonts w:hint="eastAsia" w:hAnsi="宋体" w:cs="宋体"/>
          <w:sz w:val="32"/>
          <w:szCs w:val="32"/>
          <w:shd w:val="clear" w:color="auto" w:fill="FFFFFF"/>
          <w:lang w:val="zh-CN"/>
        </w:rPr>
      </w:pPr>
    </w:p>
    <w:p>
      <w:pPr>
        <w:pStyle w:val="2"/>
        <w:spacing w:before="72"/>
        <w:rPr>
          <w:rFonts w:hint="eastAsia" w:hAnsi="宋体" w:cs="宋体"/>
          <w:sz w:val="32"/>
          <w:szCs w:val="32"/>
          <w:shd w:val="clear" w:color="auto" w:fill="FFFFFF"/>
          <w:lang w:val="zh-CN"/>
        </w:rPr>
      </w:pPr>
    </w:p>
    <w:p>
      <w:pPr>
        <w:pStyle w:val="2"/>
        <w:spacing w:before="72"/>
        <w:rPr>
          <w:rFonts w:hint="eastAsia" w:hAnsi="宋体" w:cs="宋体"/>
          <w:sz w:val="32"/>
          <w:szCs w:val="32"/>
          <w:shd w:val="clear" w:color="auto" w:fill="FFFFFF"/>
          <w:lang w:val="zh-CN"/>
        </w:rPr>
      </w:pPr>
    </w:p>
    <w:p>
      <w:pPr>
        <w:pStyle w:val="2"/>
        <w:spacing w:before="72"/>
        <w:rPr>
          <w:rFonts w:hint="eastAsia" w:hAnsi="宋体" w:cs="宋体"/>
          <w:sz w:val="32"/>
          <w:szCs w:val="32"/>
          <w:shd w:val="clear" w:color="auto" w:fill="FFFFFF"/>
          <w:lang w:val="zh-CN"/>
        </w:rPr>
      </w:pPr>
    </w:p>
    <w:p>
      <w:pPr>
        <w:pStyle w:val="2"/>
        <w:spacing w:before="72"/>
        <w:rPr>
          <w:rFonts w:hint="eastAsia" w:hAnsi="宋体" w:cs="宋体"/>
          <w:sz w:val="32"/>
          <w:szCs w:val="32"/>
          <w:shd w:val="clear" w:color="auto" w:fill="FFFFFF"/>
          <w:lang w:val="zh-CN"/>
        </w:rPr>
      </w:pPr>
    </w:p>
    <w:p>
      <w:pPr>
        <w:pStyle w:val="2"/>
        <w:spacing w:before="72"/>
        <w:ind w:firstLine="640" w:firstLineChars="200"/>
        <w:rPr>
          <w:rFonts w:hint="eastAsia" w:hAnsi="宋体" w:cs="宋体"/>
          <w:sz w:val="32"/>
          <w:szCs w:val="32"/>
          <w:shd w:val="clear" w:color="auto" w:fill="FFFFFF"/>
          <w:lang w:val="zh-CN"/>
        </w:rPr>
      </w:pPr>
      <w:r>
        <w:rPr>
          <w:rFonts w:hint="eastAsia" w:hAnsi="宋体" w:cs="宋体"/>
          <w:sz w:val="32"/>
          <w:szCs w:val="32"/>
          <w:shd w:val="clear" w:color="auto" w:fill="FFFFFF"/>
          <w:lang w:val="zh-CN"/>
        </w:rPr>
        <w:t>附件</w:t>
      </w:r>
    </w:p>
    <w:p>
      <w:pPr>
        <w:spacing w:line="600" w:lineRule="exact"/>
        <w:ind w:firstLine="800" w:firstLineChars="200"/>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专项预算项目支出绩效自评报告范本</w:t>
      </w:r>
    </w:p>
    <w:p>
      <w:pPr>
        <w:spacing w:line="600" w:lineRule="exact"/>
        <w:ind w:firstLine="640" w:firstLineChars="200"/>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hint="eastAsia" w:ascii="Times New Roman" w:hAnsi="Times New Roman" w:eastAsia="仿宋_GB2312" w:cs="Times New Roman"/>
          <w:kern w:val="0"/>
          <w:sz w:val="32"/>
          <w:szCs w:val="32"/>
        </w:rPr>
        <w:t>镇敬老院运行经费</w:t>
      </w:r>
      <w:r>
        <w:rPr>
          <w:rFonts w:hint="eastAsia" w:ascii="仿宋_GB2312" w:hAnsi="宋体" w:eastAsia="仿宋_GB2312"/>
          <w:sz w:val="32"/>
          <w:szCs w:val="32"/>
          <w:lang w:val="zh-CN"/>
        </w:rPr>
        <w:t>）</w:t>
      </w:r>
    </w:p>
    <w:p>
      <w:pPr>
        <w:adjustRightInd w:val="0"/>
        <w:snapToGrid w:val="0"/>
        <w:spacing w:line="600"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353"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spacing w:line="353"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镇敬老院运行经费项目由格里坪镇社会事务办公室具体实施，该科室</w:t>
      </w:r>
      <w:r>
        <w:rPr>
          <w:rFonts w:hint="eastAsia" w:ascii="Times New Roman" w:hAnsi="Times New Roman" w:eastAsia="仿宋_GB2312" w:cs="Times New Roman"/>
          <w:sz w:val="32"/>
          <w:szCs w:val="32"/>
        </w:rPr>
        <w:t>主要承担指导推进公共事务和综合管理等职责；负责教育、卫生健康、武装民政、退役军人事务、民族宗教、就业创业、扶贫等工作；承担公益事业和社会服务事业相关工作；根据法定职能或受委托承担辖区内行政审批、证照办理、政策咨询、劳动就业、社会保障、劳动关系调整、科技信息服务等事项；负责便民服务办事窗口的日常管理与运行保障，指导辖区内村、社区便民服务站点建设</w:t>
      </w:r>
      <w:r>
        <w:rPr>
          <w:rFonts w:hint="eastAsia" w:ascii="Times New Roman" w:hAnsi="Times New Roman" w:eastAsia="仿宋_GB2312" w:cs="Times New Roman"/>
          <w:sz w:val="32"/>
          <w:szCs w:val="32"/>
          <w:lang w:eastAsia="zh-CN"/>
        </w:rPr>
        <w:t>。</w:t>
      </w:r>
    </w:p>
    <w:p>
      <w:pPr>
        <w:numPr>
          <w:ilvl w:val="0"/>
          <w:numId w:val="9"/>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numPr>
          <w:ilvl w:val="0"/>
          <w:numId w:val="0"/>
        </w:numPr>
        <w:spacing w:line="353" w:lineRule="auto"/>
        <w:ind w:firstLine="640" w:firstLineChars="200"/>
        <w:rPr>
          <w:lang w:val="zh-CN"/>
        </w:rPr>
      </w:pPr>
      <w:r>
        <w:rPr>
          <w:rFonts w:hint="eastAsia" w:ascii="Times New Roman" w:hAnsi="Times New Roman" w:eastAsia="仿宋_GB2312" w:cs="Times New Roman"/>
          <w:sz w:val="32"/>
          <w:szCs w:val="32"/>
          <w:lang w:eastAsia="zh-CN"/>
        </w:rPr>
        <w:t>镇敬老院运行经费已按照规定的程序申请设立，所提交的文件、材料都符合相关规定，事前已经过必要的可行性研究、风险评价、集体决策等讨论规范立项。</w:t>
      </w:r>
    </w:p>
    <w:p>
      <w:pPr>
        <w:numPr>
          <w:ilvl w:val="0"/>
          <w:numId w:val="9"/>
        </w:numPr>
        <w:spacing w:line="353" w:lineRule="auto"/>
        <w:ind w:left="0" w:leftChars="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numPr>
          <w:ilvl w:val="0"/>
          <w:numId w:val="0"/>
        </w:numPr>
        <w:spacing w:line="353" w:lineRule="auto"/>
        <w:ind w:firstLine="640" w:firstLineChars="200"/>
        <w:rPr>
          <w:rFonts w:ascii="仿宋_GB2312" w:hAnsi="宋体" w:eastAsia="仿宋_GB2312"/>
          <w:sz w:val="32"/>
          <w:szCs w:val="32"/>
          <w:lang w:val="zh-CN"/>
        </w:rPr>
      </w:pPr>
      <w:r>
        <w:rPr>
          <w:rFonts w:hint="eastAsia" w:ascii="Times New Roman" w:hAnsi="Times New Roman" w:eastAsia="仿宋_GB2312" w:cs="Times New Roman"/>
          <w:sz w:val="32"/>
          <w:szCs w:val="32"/>
        </w:rPr>
        <w:t>为贯彻落实农村敬老院运转经费及管理人员经费项目，实现足额、准确发放的目标要求，由我单位</w:t>
      </w:r>
      <w:r>
        <w:rPr>
          <w:rFonts w:hint="eastAsia" w:ascii="Times New Roman" w:hAnsi="Times New Roman" w:eastAsia="仿宋_GB2312" w:cs="Times New Roman"/>
          <w:sz w:val="32"/>
          <w:szCs w:val="32"/>
          <w:lang w:eastAsia="zh-CN"/>
        </w:rPr>
        <w:t>社会事务办公室</w:t>
      </w:r>
      <w:r>
        <w:rPr>
          <w:rFonts w:hint="eastAsia" w:ascii="Times New Roman" w:hAnsi="Times New Roman" w:eastAsia="仿宋_GB2312" w:cs="Times New Roman"/>
          <w:sz w:val="32"/>
          <w:szCs w:val="32"/>
        </w:rPr>
        <w:t>负责此项目，财政安排农村敬老院运转经费及管理人员经费专项资金</w:t>
      </w:r>
      <w:r>
        <w:rPr>
          <w:rFonts w:hint="eastAsia"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万元。</w:t>
      </w:r>
    </w:p>
    <w:p>
      <w:pPr>
        <w:numPr>
          <w:ilvl w:val="0"/>
          <w:numId w:val="9"/>
        </w:numPr>
        <w:spacing w:line="353" w:lineRule="auto"/>
        <w:ind w:left="0" w:leftChars="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numPr>
          <w:ilvl w:val="0"/>
          <w:numId w:val="0"/>
        </w:numPr>
        <w:spacing w:line="353" w:lineRule="auto"/>
        <w:ind w:firstLine="640" w:firstLineChars="200"/>
        <w:rPr>
          <w:rFonts w:ascii="仿宋_GB2312" w:hAnsi="宋体" w:eastAsia="仿宋_GB2312"/>
          <w:sz w:val="32"/>
          <w:szCs w:val="32"/>
          <w:lang w:val="zh-CN"/>
        </w:rPr>
      </w:pPr>
      <w:r>
        <w:rPr>
          <w:rFonts w:hint="eastAsia" w:ascii="Times New Roman" w:hAnsi="Times New Roman" w:eastAsia="仿宋_GB2312" w:cs="Times New Roman"/>
          <w:sz w:val="32"/>
          <w:szCs w:val="32"/>
        </w:rPr>
        <w:t>为落实农村敬老院运转经费及管理人员经费发放资金计划，</w:t>
      </w:r>
      <w:r>
        <w:rPr>
          <w:rFonts w:hint="eastAsia" w:ascii="仿宋_GB2312" w:hAnsi="仿宋_GB2312" w:eastAsia="仿宋_GB2312" w:cs="仿宋_GB2312"/>
          <w:bCs/>
          <w:sz w:val="32"/>
          <w:szCs w:val="32"/>
          <w:lang w:eastAsia="zh-CN"/>
        </w:rPr>
        <w:t>确保镇敬老院正常有序运行，保障集中供养的15名五保户老人正常生活就医，保障4名敬老院工作人员工资和敬老院日常运转。</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353"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spacing w:line="353" w:lineRule="auto"/>
        <w:ind w:firstLine="640" w:firstLineChars="200"/>
        <w:rPr>
          <w:rFonts w:ascii="仿宋_GB2312" w:hAnsi="宋体" w:eastAsia="仿宋_GB2312"/>
          <w:sz w:val="32"/>
          <w:szCs w:val="32"/>
          <w:lang w:val="zh-CN"/>
        </w:rPr>
      </w:pPr>
      <w:r>
        <w:rPr>
          <w:rFonts w:hint="eastAsia" w:ascii="Times New Roman" w:hAnsi="Times New Roman" w:eastAsia="仿宋_GB2312" w:cs="Times New Roman"/>
          <w:sz w:val="32"/>
          <w:szCs w:val="32"/>
          <w:lang w:eastAsia="zh-CN"/>
        </w:rPr>
        <w:t>镇敬老院运行经费项目主要负责五保供养对象的管理与服务工作，并在吃、穿、住、医等方面给予五保人员生活照顾和物质帮助。</w:t>
      </w:r>
    </w:p>
    <w:p>
      <w:pPr>
        <w:numPr>
          <w:ilvl w:val="0"/>
          <w:numId w:val="10"/>
        </w:num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ascii="仿宋_GB2312" w:hAnsi="宋体" w:eastAsia="仿宋_GB2312"/>
          <w:sz w:val="32"/>
          <w:szCs w:val="32"/>
          <w:lang w:val="zh-CN"/>
        </w:rPr>
      </w:pPr>
      <w:r>
        <w:rPr>
          <w:rFonts w:hint="eastAsia" w:ascii="Times New Roman" w:hAnsi="Times New Roman" w:eastAsia="仿宋_GB2312" w:cs="Times New Roman"/>
          <w:sz w:val="32"/>
          <w:szCs w:val="32"/>
          <w:lang w:eastAsia="zh-CN"/>
        </w:rPr>
        <w:t>镇敬老院运行经费项目的绩效目标是通过项目的实施，保障农村五保供养对象的正常生活，促进农村社会保障制度的发展，维系社会稳定，建设全面小康社会。</w:t>
      </w:r>
    </w:p>
    <w:p>
      <w:pPr>
        <w:numPr>
          <w:ilvl w:val="0"/>
          <w:numId w:val="10"/>
        </w:numPr>
        <w:spacing w:line="353" w:lineRule="auto"/>
        <w:ind w:left="0" w:leftChars="0"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分析评价申报内容是否与实际相符，申报目标是否合理可行。</w:t>
      </w:r>
    </w:p>
    <w:p>
      <w:pPr>
        <w:numPr>
          <w:ilvl w:val="0"/>
          <w:numId w:val="0"/>
        </w:numPr>
        <w:spacing w:line="353" w:lineRule="auto"/>
        <w:ind w:firstLine="640" w:firstLineChars="200"/>
        <w:rPr>
          <w:rFonts w:ascii="仿宋_GB2312" w:hAnsi="宋体" w:eastAsia="仿宋_GB2312"/>
          <w:sz w:val="32"/>
          <w:szCs w:val="32"/>
          <w:lang w:val="zh-CN"/>
        </w:rPr>
      </w:pPr>
      <w:r>
        <w:rPr>
          <w:rFonts w:hint="eastAsia" w:ascii="Times New Roman" w:hAnsi="Times New Roman" w:eastAsia="仿宋_GB2312" w:cs="Times New Roman"/>
          <w:sz w:val="32"/>
          <w:szCs w:val="32"/>
          <w:lang w:eastAsia="zh-CN"/>
        </w:rPr>
        <w:t>镇敬老院运行经费项目经分析评价申报内容与实际情况相符，申报目标合理可行。</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numPr>
          <w:ilvl w:val="0"/>
          <w:numId w:val="0"/>
        </w:numPr>
        <w:spacing w:line="353" w:lineRule="auto"/>
        <w:ind w:firstLine="640" w:firstLineChars="200"/>
        <w:jc w:val="both"/>
        <w:rPr>
          <w:rFonts w:hint="eastAsia"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numPr>
          <w:ilvl w:val="0"/>
          <w:numId w:val="0"/>
        </w:numPr>
        <w:spacing w:line="353" w:lineRule="auto"/>
        <w:ind w:firstLine="643"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镇敬老院运行经费项目绩效评分表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15"/>
        <w:gridCol w:w="1155"/>
        <w:gridCol w:w="1185"/>
        <w:gridCol w:w="2205"/>
        <w:gridCol w:w="124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186" w:type="dxa"/>
            <w:gridSpan w:val="6"/>
          </w:tcPr>
          <w:p>
            <w:pPr>
              <w:tabs>
                <w:tab w:val="left" w:pos="2813"/>
              </w:tabs>
              <w:spacing w:line="353" w:lineRule="auto"/>
              <w:rPr>
                <w:rFonts w:hint="eastAsia" w:ascii="Times New Roman" w:hAnsi="Times New Roman" w:eastAsia="仿宋_GB2312" w:cs="Times New Roman"/>
                <w:b/>
                <w:bCs/>
                <w:sz w:val="32"/>
                <w:szCs w:val="32"/>
                <w:vertAlign w:val="baseline"/>
                <w:lang w:eastAsia="zh-CN"/>
              </w:rPr>
            </w:pPr>
            <w:r>
              <w:rPr>
                <w:rFonts w:hint="eastAsia" w:ascii="Times New Roman" w:hAnsi="Times New Roman" w:eastAsia="仿宋_GB2312" w:cs="Times New Roman"/>
                <w:b/>
                <w:bCs/>
                <w:sz w:val="32"/>
                <w:szCs w:val="32"/>
                <w:vertAlign w:val="baseline"/>
                <w:lang w:eastAsia="zh-CN"/>
              </w:rPr>
              <w:t>评级指标</w:t>
            </w:r>
          </w:p>
        </w:tc>
        <w:tc>
          <w:tcPr>
            <w:tcW w:w="825" w:type="dxa"/>
            <w:vMerge w:val="restart"/>
          </w:tcPr>
          <w:p>
            <w:pPr>
              <w:bidi w:val="0"/>
              <w:jc w:val="center"/>
              <w:rPr>
                <w:b/>
                <w:bCs/>
                <w:lang w:val="en-US" w:eastAsia="zh-CN"/>
              </w:rPr>
            </w:pPr>
            <w:r>
              <w:rPr>
                <w:rFonts w:hint="eastAsia"/>
                <w:b/>
                <w:bCs/>
                <w:sz w:val="24"/>
                <w:szCs w:val="24"/>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96" w:type="dxa"/>
            <w:gridSpan w:val="2"/>
          </w:tcPr>
          <w:p>
            <w:pPr>
              <w:spacing w:line="353" w:lineRule="auto"/>
              <w:jc w:val="center"/>
              <w:rPr>
                <w:rFonts w:hint="eastAsia" w:ascii="Times New Roman" w:hAnsi="Times New Roman" w:eastAsia="仿宋_GB2312" w:cs="Times New Roman"/>
                <w:b/>
                <w:bCs/>
                <w:sz w:val="32"/>
                <w:szCs w:val="32"/>
                <w:vertAlign w:val="baseline"/>
                <w:lang w:eastAsia="zh-CN"/>
              </w:rPr>
            </w:pPr>
            <w:r>
              <w:rPr>
                <w:rFonts w:hint="eastAsia" w:ascii="Times New Roman" w:hAnsi="Times New Roman" w:eastAsia="仿宋_GB2312" w:cs="Times New Roman"/>
                <w:b/>
                <w:bCs/>
                <w:sz w:val="32"/>
                <w:szCs w:val="32"/>
                <w:vertAlign w:val="baseline"/>
                <w:lang w:eastAsia="zh-CN"/>
              </w:rPr>
              <w:t>一级指标</w:t>
            </w:r>
          </w:p>
        </w:tc>
        <w:tc>
          <w:tcPr>
            <w:tcW w:w="2340" w:type="dxa"/>
            <w:gridSpan w:val="2"/>
          </w:tcPr>
          <w:p>
            <w:pPr>
              <w:spacing w:line="353" w:lineRule="auto"/>
              <w:jc w:val="center"/>
              <w:rPr>
                <w:rFonts w:hint="eastAsia" w:ascii="Times New Roman" w:hAnsi="Times New Roman" w:eastAsia="仿宋_GB2312" w:cs="Times New Roman"/>
                <w:b/>
                <w:bCs/>
                <w:sz w:val="32"/>
                <w:szCs w:val="32"/>
                <w:vertAlign w:val="baseline"/>
                <w:lang w:eastAsia="zh-CN"/>
              </w:rPr>
            </w:pPr>
            <w:r>
              <w:rPr>
                <w:rFonts w:hint="eastAsia" w:ascii="Times New Roman" w:hAnsi="Times New Roman" w:eastAsia="仿宋_GB2312" w:cs="Times New Roman"/>
                <w:b/>
                <w:bCs/>
                <w:sz w:val="32"/>
                <w:szCs w:val="32"/>
                <w:vertAlign w:val="baseline"/>
                <w:lang w:eastAsia="zh-CN"/>
              </w:rPr>
              <w:t>二级指标</w:t>
            </w:r>
          </w:p>
        </w:tc>
        <w:tc>
          <w:tcPr>
            <w:tcW w:w="3450" w:type="dxa"/>
            <w:gridSpan w:val="2"/>
          </w:tcPr>
          <w:p>
            <w:pPr>
              <w:spacing w:line="353" w:lineRule="auto"/>
              <w:jc w:val="center"/>
              <w:rPr>
                <w:rFonts w:hint="eastAsia" w:ascii="Times New Roman" w:hAnsi="Times New Roman" w:eastAsia="仿宋_GB2312" w:cs="Times New Roman"/>
                <w:b/>
                <w:bCs/>
                <w:sz w:val="32"/>
                <w:szCs w:val="32"/>
                <w:vertAlign w:val="baseline"/>
                <w:lang w:eastAsia="zh-CN"/>
              </w:rPr>
            </w:pPr>
            <w:r>
              <w:rPr>
                <w:rFonts w:hint="eastAsia" w:ascii="Times New Roman" w:hAnsi="Times New Roman" w:eastAsia="仿宋_GB2312" w:cs="Times New Roman"/>
                <w:b/>
                <w:bCs/>
                <w:sz w:val="32"/>
                <w:szCs w:val="32"/>
                <w:vertAlign w:val="baseline"/>
                <w:lang w:eastAsia="zh-CN"/>
              </w:rPr>
              <w:t>三级指标</w:t>
            </w:r>
          </w:p>
        </w:tc>
        <w:tc>
          <w:tcPr>
            <w:tcW w:w="825" w:type="dxa"/>
            <w:vMerge w:val="continue"/>
          </w:tcPr>
          <w:p>
            <w:pPr>
              <w:spacing w:line="353" w:lineRule="auto"/>
              <w:rPr>
                <w:rFonts w:ascii="Times New Roman" w:hAnsi="Times New Roman" w:eastAsia="仿宋_GB2312" w:cs="Times New Roman"/>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pPr>
              <w:spacing w:line="353" w:lineRule="auto"/>
              <w:rPr>
                <w:rFonts w:hint="eastAsia" w:ascii="Times New Roman" w:hAnsi="Times New Roman" w:eastAsia="仿宋_GB2312" w:cs="Times New Roman"/>
                <w:b/>
                <w:bCs/>
                <w:sz w:val="24"/>
                <w:szCs w:val="24"/>
                <w:vertAlign w:val="baseline"/>
                <w:lang w:eastAsia="zh-CN"/>
              </w:rPr>
            </w:pPr>
            <w:r>
              <w:rPr>
                <w:rFonts w:hint="eastAsia" w:ascii="Times New Roman" w:hAnsi="Times New Roman" w:eastAsia="仿宋_GB2312" w:cs="Times New Roman"/>
                <w:b/>
                <w:bCs/>
                <w:sz w:val="24"/>
                <w:szCs w:val="24"/>
                <w:vertAlign w:val="baseline"/>
                <w:lang w:eastAsia="zh-CN"/>
              </w:rPr>
              <w:t>名称</w:t>
            </w:r>
          </w:p>
        </w:tc>
        <w:tc>
          <w:tcPr>
            <w:tcW w:w="1215" w:type="dxa"/>
          </w:tcPr>
          <w:p>
            <w:pPr>
              <w:spacing w:line="353" w:lineRule="auto"/>
              <w:rPr>
                <w:rFonts w:hint="eastAsia" w:ascii="Times New Roman" w:hAnsi="Times New Roman" w:eastAsia="仿宋_GB2312" w:cs="Times New Roman"/>
                <w:b/>
                <w:bCs/>
                <w:sz w:val="24"/>
                <w:szCs w:val="24"/>
                <w:vertAlign w:val="baseline"/>
                <w:lang w:eastAsia="zh-CN"/>
              </w:rPr>
            </w:pPr>
            <w:r>
              <w:rPr>
                <w:rFonts w:hint="eastAsia" w:ascii="Times New Roman" w:hAnsi="Times New Roman" w:eastAsia="仿宋_GB2312" w:cs="Times New Roman"/>
                <w:b/>
                <w:bCs/>
                <w:sz w:val="24"/>
                <w:szCs w:val="24"/>
                <w:vertAlign w:val="baseline"/>
                <w:lang w:eastAsia="zh-CN"/>
              </w:rPr>
              <w:t>权重（</w:t>
            </w:r>
            <w:r>
              <w:rPr>
                <w:rFonts w:hint="eastAsia" w:ascii="Times New Roman" w:hAnsi="Times New Roman" w:eastAsia="仿宋_GB2312" w:cs="Times New Roman"/>
                <w:b/>
                <w:bCs/>
                <w:sz w:val="24"/>
                <w:szCs w:val="24"/>
                <w:vertAlign w:val="baseline"/>
                <w:lang w:val="en-US" w:eastAsia="zh-CN"/>
              </w:rPr>
              <w:t>%</w:t>
            </w:r>
            <w:r>
              <w:rPr>
                <w:rFonts w:hint="eastAsia" w:ascii="Times New Roman" w:hAnsi="Times New Roman" w:eastAsia="仿宋_GB2312" w:cs="Times New Roman"/>
                <w:b/>
                <w:bCs/>
                <w:sz w:val="24"/>
                <w:szCs w:val="24"/>
                <w:vertAlign w:val="baseline"/>
                <w:lang w:eastAsia="zh-CN"/>
              </w:rPr>
              <w:t>）</w:t>
            </w:r>
          </w:p>
        </w:tc>
        <w:tc>
          <w:tcPr>
            <w:tcW w:w="1155" w:type="dxa"/>
            <w:vAlign w:val="top"/>
          </w:tcPr>
          <w:p>
            <w:pPr>
              <w:spacing w:line="353" w:lineRule="auto"/>
              <w:rPr>
                <w:rFonts w:ascii="Times New Roman" w:hAnsi="Times New Roman" w:eastAsia="仿宋_GB2312" w:cs="Times New Roman"/>
                <w:b/>
                <w:bCs/>
                <w:sz w:val="24"/>
                <w:szCs w:val="24"/>
                <w:vertAlign w:val="baseline"/>
              </w:rPr>
            </w:pPr>
            <w:r>
              <w:rPr>
                <w:rFonts w:hint="eastAsia" w:ascii="Times New Roman" w:hAnsi="Times New Roman" w:eastAsia="仿宋_GB2312" w:cs="Times New Roman"/>
                <w:b/>
                <w:bCs/>
                <w:sz w:val="24"/>
                <w:szCs w:val="24"/>
                <w:vertAlign w:val="baseline"/>
                <w:lang w:eastAsia="zh-CN"/>
              </w:rPr>
              <w:t>名称</w:t>
            </w:r>
          </w:p>
        </w:tc>
        <w:tc>
          <w:tcPr>
            <w:tcW w:w="1185" w:type="dxa"/>
            <w:vAlign w:val="top"/>
          </w:tcPr>
          <w:p>
            <w:pPr>
              <w:spacing w:line="353" w:lineRule="auto"/>
              <w:rPr>
                <w:rFonts w:ascii="Times New Roman" w:hAnsi="Times New Roman" w:eastAsia="仿宋_GB2312" w:cs="Times New Roman"/>
                <w:b/>
                <w:bCs/>
                <w:sz w:val="24"/>
                <w:szCs w:val="24"/>
                <w:vertAlign w:val="baseline"/>
              </w:rPr>
            </w:pPr>
            <w:r>
              <w:rPr>
                <w:rFonts w:hint="eastAsia" w:ascii="Times New Roman" w:hAnsi="Times New Roman" w:eastAsia="仿宋_GB2312" w:cs="Times New Roman"/>
                <w:b/>
                <w:bCs/>
                <w:sz w:val="24"/>
                <w:szCs w:val="24"/>
                <w:vertAlign w:val="baseline"/>
                <w:lang w:eastAsia="zh-CN"/>
              </w:rPr>
              <w:t>权重（</w:t>
            </w:r>
            <w:r>
              <w:rPr>
                <w:rFonts w:hint="eastAsia" w:ascii="Times New Roman" w:hAnsi="Times New Roman" w:eastAsia="仿宋_GB2312" w:cs="Times New Roman"/>
                <w:b/>
                <w:bCs/>
                <w:sz w:val="24"/>
                <w:szCs w:val="24"/>
                <w:vertAlign w:val="baseline"/>
                <w:lang w:val="en-US" w:eastAsia="zh-CN"/>
              </w:rPr>
              <w:t>%</w:t>
            </w:r>
            <w:r>
              <w:rPr>
                <w:rFonts w:hint="eastAsia" w:ascii="Times New Roman" w:hAnsi="Times New Roman" w:eastAsia="仿宋_GB2312" w:cs="Times New Roman"/>
                <w:b/>
                <w:bCs/>
                <w:sz w:val="24"/>
                <w:szCs w:val="24"/>
                <w:vertAlign w:val="baseline"/>
                <w:lang w:eastAsia="zh-CN"/>
              </w:rPr>
              <w:t>）</w:t>
            </w:r>
          </w:p>
        </w:tc>
        <w:tc>
          <w:tcPr>
            <w:tcW w:w="2205" w:type="dxa"/>
            <w:vAlign w:val="top"/>
          </w:tcPr>
          <w:p>
            <w:pPr>
              <w:spacing w:line="353" w:lineRule="auto"/>
              <w:rPr>
                <w:rFonts w:ascii="Times New Roman" w:hAnsi="Times New Roman" w:eastAsia="仿宋_GB2312" w:cs="Times New Roman"/>
                <w:b/>
                <w:bCs/>
                <w:sz w:val="24"/>
                <w:szCs w:val="24"/>
                <w:vertAlign w:val="baseline"/>
              </w:rPr>
            </w:pPr>
            <w:r>
              <w:rPr>
                <w:rFonts w:hint="eastAsia" w:ascii="Times New Roman" w:hAnsi="Times New Roman" w:eastAsia="仿宋_GB2312" w:cs="Times New Roman"/>
                <w:b/>
                <w:bCs/>
                <w:sz w:val="24"/>
                <w:szCs w:val="24"/>
                <w:vertAlign w:val="baseline"/>
                <w:lang w:eastAsia="zh-CN"/>
              </w:rPr>
              <w:t>名称</w:t>
            </w:r>
          </w:p>
        </w:tc>
        <w:tc>
          <w:tcPr>
            <w:tcW w:w="1245" w:type="dxa"/>
            <w:vAlign w:val="top"/>
          </w:tcPr>
          <w:p>
            <w:pPr>
              <w:spacing w:line="353" w:lineRule="auto"/>
              <w:rPr>
                <w:rFonts w:ascii="Times New Roman" w:hAnsi="Times New Roman" w:eastAsia="仿宋_GB2312" w:cs="Times New Roman"/>
                <w:b/>
                <w:bCs/>
                <w:sz w:val="24"/>
                <w:szCs w:val="24"/>
                <w:vertAlign w:val="baseline"/>
              </w:rPr>
            </w:pPr>
            <w:r>
              <w:rPr>
                <w:rFonts w:hint="eastAsia" w:ascii="Times New Roman" w:hAnsi="Times New Roman" w:eastAsia="仿宋_GB2312" w:cs="Times New Roman"/>
                <w:b/>
                <w:bCs/>
                <w:sz w:val="24"/>
                <w:szCs w:val="24"/>
                <w:vertAlign w:val="baseline"/>
                <w:lang w:eastAsia="zh-CN"/>
              </w:rPr>
              <w:t>权重（</w:t>
            </w:r>
            <w:r>
              <w:rPr>
                <w:rFonts w:hint="eastAsia" w:ascii="Times New Roman" w:hAnsi="Times New Roman" w:eastAsia="仿宋_GB2312" w:cs="Times New Roman"/>
                <w:b/>
                <w:bCs/>
                <w:sz w:val="24"/>
                <w:szCs w:val="24"/>
                <w:vertAlign w:val="baseline"/>
                <w:lang w:val="en-US" w:eastAsia="zh-CN"/>
              </w:rPr>
              <w:t>%</w:t>
            </w:r>
            <w:r>
              <w:rPr>
                <w:rFonts w:hint="eastAsia" w:ascii="Times New Roman" w:hAnsi="Times New Roman" w:eastAsia="仿宋_GB2312" w:cs="Times New Roman"/>
                <w:b/>
                <w:bCs/>
                <w:sz w:val="24"/>
                <w:szCs w:val="24"/>
                <w:vertAlign w:val="baseline"/>
                <w:lang w:eastAsia="zh-CN"/>
              </w:rPr>
              <w:t>）</w:t>
            </w:r>
          </w:p>
        </w:tc>
        <w:tc>
          <w:tcPr>
            <w:tcW w:w="825" w:type="dxa"/>
            <w:vMerge w:val="continue"/>
          </w:tcPr>
          <w:p>
            <w:pPr>
              <w:spacing w:line="353" w:lineRule="auto"/>
              <w:rPr>
                <w:rFonts w:ascii="Times New Roman" w:hAnsi="Times New Roman" w:eastAsia="仿宋_GB2312" w:cs="Times New Roman"/>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restart"/>
          </w:tcPr>
          <w:p>
            <w:pPr>
              <w:spacing w:line="720"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绩效目标</w:t>
            </w:r>
          </w:p>
        </w:tc>
        <w:tc>
          <w:tcPr>
            <w:tcW w:w="1215" w:type="dxa"/>
            <w:vMerge w:val="restart"/>
          </w:tcPr>
          <w:p>
            <w:pPr>
              <w:spacing w:line="240"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20</w:t>
            </w:r>
          </w:p>
        </w:tc>
        <w:tc>
          <w:tcPr>
            <w:tcW w:w="1155" w:type="dxa"/>
            <w:vMerge w:val="restart"/>
          </w:tcPr>
          <w:p>
            <w:pPr>
              <w:spacing w:line="240"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目标设置</w:t>
            </w:r>
          </w:p>
        </w:tc>
        <w:tc>
          <w:tcPr>
            <w:tcW w:w="1185" w:type="dxa"/>
            <w:vMerge w:val="restart"/>
          </w:tcPr>
          <w:p>
            <w:pPr>
              <w:spacing w:line="353"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15</w:t>
            </w: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完整性</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240" w:lineRule="auto"/>
              <w:jc w:val="center"/>
              <w:rPr>
                <w:rFonts w:ascii="Times New Roman" w:hAnsi="Times New Roman" w:eastAsia="仿宋_GB2312" w:cs="Times New Roman"/>
                <w:sz w:val="21"/>
                <w:szCs w:val="21"/>
                <w:vertAlign w:val="baseline"/>
              </w:rPr>
            </w:pPr>
          </w:p>
        </w:tc>
        <w:tc>
          <w:tcPr>
            <w:tcW w:w="1215" w:type="dxa"/>
            <w:vMerge w:val="continue"/>
          </w:tcPr>
          <w:p>
            <w:pPr>
              <w:spacing w:line="240" w:lineRule="auto"/>
              <w:jc w:val="center"/>
              <w:rPr>
                <w:rFonts w:ascii="Times New Roman" w:hAnsi="Times New Roman" w:eastAsia="仿宋_GB2312" w:cs="Times New Roman"/>
                <w:sz w:val="21"/>
                <w:szCs w:val="21"/>
                <w:vertAlign w:val="baseline"/>
              </w:rPr>
            </w:pPr>
          </w:p>
        </w:tc>
        <w:tc>
          <w:tcPr>
            <w:tcW w:w="1155" w:type="dxa"/>
            <w:vMerge w:val="continue"/>
          </w:tcPr>
          <w:p>
            <w:pPr>
              <w:spacing w:line="240" w:lineRule="auto"/>
              <w:jc w:val="center"/>
              <w:rPr>
                <w:rFonts w:ascii="Times New Roman" w:hAnsi="Times New Roman" w:eastAsia="仿宋_GB2312" w:cs="Times New Roman"/>
                <w:sz w:val="21"/>
                <w:szCs w:val="21"/>
                <w:vertAlign w:val="baseline"/>
              </w:rPr>
            </w:pPr>
          </w:p>
        </w:tc>
        <w:tc>
          <w:tcPr>
            <w:tcW w:w="1185" w:type="dxa"/>
            <w:vMerge w:val="continue"/>
          </w:tcPr>
          <w:p>
            <w:pPr>
              <w:spacing w:line="353" w:lineRule="auto"/>
              <w:jc w:val="center"/>
              <w:rPr>
                <w:rFonts w:ascii="Times New Roman" w:hAnsi="Times New Roman" w:eastAsia="仿宋_GB2312" w:cs="Times New Roman"/>
                <w:sz w:val="21"/>
                <w:szCs w:val="21"/>
                <w:vertAlign w:val="baseline"/>
              </w:rPr>
            </w:pP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科学性</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240" w:lineRule="auto"/>
              <w:jc w:val="center"/>
              <w:rPr>
                <w:rFonts w:ascii="Times New Roman" w:hAnsi="Times New Roman" w:eastAsia="仿宋_GB2312" w:cs="Times New Roman"/>
                <w:sz w:val="21"/>
                <w:szCs w:val="21"/>
                <w:vertAlign w:val="baseline"/>
              </w:rPr>
            </w:pPr>
          </w:p>
        </w:tc>
        <w:tc>
          <w:tcPr>
            <w:tcW w:w="1215" w:type="dxa"/>
            <w:vMerge w:val="continue"/>
          </w:tcPr>
          <w:p>
            <w:pPr>
              <w:spacing w:line="240" w:lineRule="auto"/>
              <w:jc w:val="center"/>
              <w:rPr>
                <w:rFonts w:ascii="Times New Roman" w:hAnsi="Times New Roman" w:eastAsia="仿宋_GB2312" w:cs="Times New Roman"/>
                <w:sz w:val="21"/>
                <w:szCs w:val="21"/>
                <w:vertAlign w:val="baseline"/>
              </w:rPr>
            </w:pPr>
          </w:p>
        </w:tc>
        <w:tc>
          <w:tcPr>
            <w:tcW w:w="1155" w:type="dxa"/>
            <w:vMerge w:val="continue"/>
          </w:tcPr>
          <w:p>
            <w:pPr>
              <w:spacing w:line="240" w:lineRule="auto"/>
              <w:jc w:val="center"/>
              <w:rPr>
                <w:rFonts w:ascii="Times New Roman" w:hAnsi="Times New Roman" w:eastAsia="仿宋_GB2312" w:cs="Times New Roman"/>
                <w:sz w:val="21"/>
                <w:szCs w:val="21"/>
                <w:vertAlign w:val="baseline"/>
              </w:rPr>
            </w:pPr>
          </w:p>
        </w:tc>
        <w:tc>
          <w:tcPr>
            <w:tcW w:w="1185" w:type="dxa"/>
            <w:vMerge w:val="continue"/>
          </w:tcPr>
          <w:p>
            <w:pPr>
              <w:spacing w:line="353" w:lineRule="auto"/>
              <w:jc w:val="center"/>
              <w:rPr>
                <w:rFonts w:ascii="Times New Roman" w:hAnsi="Times New Roman" w:eastAsia="仿宋_GB2312" w:cs="Times New Roman"/>
                <w:sz w:val="21"/>
                <w:szCs w:val="21"/>
                <w:vertAlign w:val="baseline"/>
              </w:rPr>
            </w:pP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可衡量性</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240" w:lineRule="auto"/>
              <w:jc w:val="center"/>
              <w:rPr>
                <w:rFonts w:ascii="Times New Roman" w:hAnsi="Times New Roman" w:eastAsia="仿宋_GB2312" w:cs="Times New Roman"/>
                <w:sz w:val="21"/>
                <w:szCs w:val="21"/>
                <w:vertAlign w:val="baseline"/>
              </w:rPr>
            </w:pPr>
          </w:p>
        </w:tc>
        <w:tc>
          <w:tcPr>
            <w:tcW w:w="1215" w:type="dxa"/>
            <w:vMerge w:val="continue"/>
          </w:tcPr>
          <w:p>
            <w:pPr>
              <w:spacing w:line="240" w:lineRule="auto"/>
              <w:jc w:val="center"/>
              <w:rPr>
                <w:rFonts w:ascii="Times New Roman" w:hAnsi="Times New Roman" w:eastAsia="仿宋_GB2312" w:cs="Times New Roman"/>
                <w:sz w:val="21"/>
                <w:szCs w:val="21"/>
                <w:vertAlign w:val="baseline"/>
              </w:rPr>
            </w:pPr>
          </w:p>
        </w:tc>
        <w:tc>
          <w:tcPr>
            <w:tcW w:w="1155" w:type="dxa"/>
            <w:vMerge w:val="restart"/>
          </w:tcPr>
          <w:p>
            <w:pPr>
              <w:spacing w:line="240"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量化指标</w:t>
            </w:r>
          </w:p>
        </w:tc>
        <w:tc>
          <w:tcPr>
            <w:tcW w:w="1185" w:type="dxa"/>
            <w:vMerge w:val="restart"/>
          </w:tcPr>
          <w:p>
            <w:pPr>
              <w:spacing w:line="240"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预期产出指标</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353" w:lineRule="auto"/>
              <w:jc w:val="center"/>
              <w:rPr>
                <w:rFonts w:ascii="Times New Roman" w:hAnsi="Times New Roman" w:eastAsia="仿宋_GB2312" w:cs="Times New Roman"/>
                <w:sz w:val="21"/>
                <w:szCs w:val="21"/>
                <w:vertAlign w:val="baseline"/>
              </w:rPr>
            </w:pPr>
          </w:p>
        </w:tc>
        <w:tc>
          <w:tcPr>
            <w:tcW w:w="1215" w:type="dxa"/>
            <w:vMerge w:val="continue"/>
          </w:tcPr>
          <w:p>
            <w:pPr>
              <w:spacing w:line="353" w:lineRule="auto"/>
              <w:jc w:val="center"/>
              <w:rPr>
                <w:rFonts w:ascii="Times New Roman" w:hAnsi="Times New Roman" w:eastAsia="仿宋_GB2312" w:cs="Times New Roman"/>
                <w:sz w:val="21"/>
                <w:szCs w:val="21"/>
                <w:vertAlign w:val="baseline"/>
              </w:rPr>
            </w:pPr>
          </w:p>
        </w:tc>
        <w:tc>
          <w:tcPr>
            <w:tcW w:w="1155" w:type="dxa"/>
            <w:vMerge w:val="continue"/>
          </w:tcPr>
          <w:p>
            <w:pPr>
              <w:spacing w:line="353" w:lineRule="auto"/>
              <w:jc w:val="center"/>
              <w:rPr>
                <w:rFonts w:ascii="Times New Roman" w:hAnsi="Times New Roman" w:eastAsia="仿宋_GB2312" w:cs="Times New Roman"/>
                <w:sz w:val="21"/>
                <w:szCs w:val="21"/>
                <w:vertAlign w:val="baseline"/>
              </w:rPr>
            </w:pPr>
          </w:p>
        </w:tc>
        <w:tc>
          <w:tcPr>
            <w:tcW w:w="1185" w:type="dxa"/>
            <w:vMerge w:val="continue"/>
          </w:tcPr>
          <w:p>
            <w:pPr>
              <w:spacing w:line="353" w:lineRule="auto"/>
              <w:jc w:val="center"/>
              <w:rPr>
                <w:rFonts w:ascii="Times New Roman" w:hAnsi="Times New Roman" w:eastAsia="仿宋_GB2312" w:cs="Times New Roman"/>
                <w:sz w:val="21"/>
                <w:szCs w:val="21"/>
                <w:vertAlign w:val="baseline"/>
              </w:rPr>
            </w:pP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预期效果指标</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restart"/>
          </w:tcPr>
          <w:p>
            <w:pPr>
              <w:spacing w:line="240" w:lineRule="auto"/>
              <w:jc w:val="center"/>
              <w:rPr>
                <w:sz w:val="18"/>
                <w:szCs w:val="18"/>
                <w:lang w:val="en-US" w:eastAsia="zh-CN"/>
              </w:rPr>
            </w:pPr>
            <w:r>
              <w:rPr>
                <w:rFonts w:hint="eastAsia" w:ascii="Times New Roman" w:hAnsi="Times New Roman" w:eastAsia="仿宋_GB2312" w:cs="Times New Roman"/>
                <w:sz w:val="21"/>
                <w:szCs w:val="21"/>
                <w:vertAlign w:val="baseline"/>
                <w:lang w:eastAsia="zh-CN"/>
              </w:rPr>
              <w:t>绩效监控</w:t>
            </w:r>
          </w:p>
        </w:tc>
        <w:tc>
          <w:tcPr>
            <w:tcW w:w="1215" w:type="dxa"/>
            <w:vMerge w:val="restart"/>
          </w:tcPr>
          <w:p>
            <w:pPr>
              <w:spacing w:line="240"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30</w:t>
            </w:r>
          </w:p>
        </w:tc>
        <w:tc>
          <w:tcPr>
            <w:tcW w:w="1155" w:type="dxa"/>
            <w:vMerge w:val="restart"/>
          </w:tcPr>
          <w:p>
            <w:pPr>
              <w:spacing w:line="240"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资金管理</w:t>
            </w:r>
          </w:p>
        </w:tc>
        <w:tc>
          <w:tcPr>
            <w:tcW w:w="1185" w:type="dxa"/>
            <w:vMerge w:val="restart"/>
          </w:tcPr>
          <w:p>
            <w:pPr>
              <w:spacing w:line="240"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18</w:t>
            </w: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资金分配</w:t>
            </w:r>
          </w:p>
        </w:tc>
        <w:tc>
          <w:tcPr>
            <w:tcW w:w="1245" w:type="dxa"/>
          </w:tcPr>
          <w:p>
            <w:pPr>
              <w:spacing w:line="353"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353" w:lineRule="auto"/>
              <w:jc w:val="center"/>
              <w:rPr>
                <w:rFonts w:ascii="Times New Roman" w:hAnsi="Times New Roman" w:eastAsia="仿宋_GB2312" w:cs="Times New Roman"/>
                <w:sz w:val="18"/>
                <w:szCs w:val="18"/>
                <w:vertAlign w:val="baseline"/>
              </w:rPr>
            </w:pPr>
          </w:p>
        </w:tc>
        <w:tc>
          <w:tcPr>
            <w:tcW w:w="1215" w:type="dxa"/>
            <w:vMerge w:val="continue"/>
          </w:tcPr>
          <w:p>
            <w:pPr>
              <w:spacing w:line="353" w:lineRule="auto"/>
              <w:jc w:val="center"/>
              <w:rPr>
                <w:rFonts w:ascii="Times New Roman" w:hAnsi="Times New Roman" w:eastAsia="仿宋_GB2312" w:cs="Times New Roman"/>
                <w:sz w:val="21"/>
                <w:szCs w:val="21"/>
                <w:vertAlign w:val="baseline"/>
              </w:rPr>
            </w:pPr>
          </w:p>
        </w:tc>
        <w:tc>
          <w:tcPr>
            <w:tcW w:w="1155" w:type="dxa"/>
            <w:vMerge w:val="continue"/>
          </w:tcPr>
          <w:p>
            <w:pPr>
              <w:spacing w:line="240" w:lineRule="auto"/>
              <w:jc w:val="center"/>
              <w:rPr>
                <w:rFonts w:ascii="Times New Roman" w:hAnsi="Times New Roman" w:eastAsia="仿宋_GB2312" w:cs="Times New Roman"/>
                <w:sz w:val="21"/>
                <w:szCs w:val="21"/>
                <w:vertAlign w:val="baseline"/>
              </w:rPr>
            </w:pPr>
          </w:p>
        </w:tc>
        <w:tc>
          <w:tcPr>
            <w:tcW w:w="1185" w:type="dxa"/>
            <w:vMerge w:val="continue"/>
          </w:tcPr>
          <w:p>
            <w:pPr>
              <w:spacing w:line="353" w:lineRule="auto"/>
              <w:jc w:val="center"/>
              <w:rPr>
                <w:rFonts w:ascii="Times New Roman" w:hAnsi="Times New Roman" w:eastAsia="仿宋_GB2312" w:cs="Times New Roman"/>
                <w:sz w:val="21"/>
                <w:szCs w:val="21"/>
                <w:vertAlign w:val="baseline"/>
              </w:rPr>
            </w:pP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资金到位</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353" w:lineRule="auto"/>
              <w:jc w:val="center"/>
              <w:rPr>
                <w:rFonts w:ascii="Times New Roman" w:hAnsi="Times New Roman" w:eastAsia="仿宋_GB2312" w:cs="Times New Roman"/>
                <w:sz w:val="18"/>
                <w:szCs w:val="18"/>
                <w:vertAlign w:val="baseline"/>
              </w:rPr>
            </w:pPr>
          </w:p>
        </w:tc>
        <w:tc>
          <w:tcPr>
            <w:tcW w:w="1215" w:type="dxa"/>
            <w:vMerge w:val="continue"/>
          </w:tcPr>
          <w:p>
            <w:pPr>
              <w:spacing w:line="353" w:lineRule="auto"/>
              <w:jc w:val="center"/>
              <w:rPr>
                <w:rFonts w:ascii="Times New Roman" w:hAnsi="Times New Roman" w:eastAsia="仿宋_GB2312" w:cs="Times New Roman"/>
                <w:sz w:val="21"/>
                <w:szCs w:val="21"/>
                <w:vertAlign w:val="baseline"/>
              </w:rPr>
            </w:pPr>
          </w:p>
        </w:tc>
        <w:tc>
          <w:tcPr>
            <w:tcW w:w="1155" w:type="dxa"/>
            <w:vMerge w:val="continue"/>
          </w:tcPr>
          <w:p>
            <w:pPr>
              <w:spacing w:line="240" w:lineRule="auto"/>
              <w:jc w:val="center"/>
              <w:rPr>
                <w:rFonts w:ascii="Times New Roman" w:hAnsi="Times New Roman" w:eastAsia="仿宋_GB2312" w:cs="Times New Roman"/>
                <w:sz w:val="21"/>
                <w:szCs w:val="21"/>
                <w:vertAlign w:val="baseline"/>
              </w:rPr>
            </w:pPr>
          </w:p>
        </w:tc>
        <w:tc>
          <w:tcPr>
            <w:tcW w:w="1185" w:type="dxa"/>
            <w:vMerge w:val="continue"/>
          </w:tcPr>
          <w:p>
            <w:pPr>
              <w:spacing w:line="353" w:lineRule="auto"/>
              <w:jc w:val="center"/>
              <w:rPr>
                <w:rFonts w:ascii="Times New Roman" w:hAnsi="Times New Roman" w:eastAsia="仿宋_GB2312" w:cs="Times New Roman"/>
                <w:sz w:val="21"/>
                <w:szCs w:val="21"/>
                <w:vertAlign w:val="baseline"/>
              </w:rPr>
            </w:pP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资金支付</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353" w:lineRule="auto"/>
              <w:jc w:val="center"/>
              <w:rPr>
                <w:rFonts w:ascii="Times New Roman" w:hAnsi="Times New Roman" w:eastAsia="仿宋_GB2312" w:cs="Times New Roman"/>
                <w:sz w:val="18"/>
                <w:szCs w:val="18"/>
                <w:vertAlign w:val="baseline"/>
              </w:rPr>
            </w:pPr>
          </w:p>
        </w:tc>
        <w:tc>
          <w:tcPr>
            <w:tcW w:w="1215" w:type="dxa"/>
            <w:vMerge w:val="continue"/>
          </w:tcPr>
          <w:p>
            <w:pPr>
              <w:spacing w:line="353" w:lineRule="auto"/>
              <w:jc w:val="center"/>
              <w:rPr>
                <w:rFonts w:ascii="Times New Roman" w:hAnsi="Times New Roman" w:eastAsia="仿宋_GB2312" w:cs="Times New Roman"/>
                <w:sz w:val="21"/>
                <w:szCs w:val="21"/>
                <w:vertAlign w:val="baseline"/>
              </w:rPr>
            </w:pPr>
          </w:p>
        </w:tc>
        <w:tc>
          <w:tcPr>
            <w:tcW w:w="1155" w:type="dxa"/>
            <w:vMerge w:val="continue"/>
          </w:tcPr>
          <w:p>
            <w:pPr>
              <w:spacing w:line="240" w:lineRule="auto"/>
              <w:jc w:val="center"/>
              <w:rPr>
                <w:rFonts w:ascii="Times New Roman" w:hAnsi="Times New Roman" w:eastAsia="仿宋_GB2312" w:cs="Times New Roman"/>
                <w:sz w:val="21"/>
                <w:szCs w:val="21"/>
                <w:vertAlign w:val="baseline"/>
              </w:rPr>
            </w:pPr>
          </w:p>
        </w:tc>
        <w:tc>
          <w:tcPr>
            <w:tcW w:w="1185" w:type="dxa"/>
            <w:vMerge w:val="continue"/>
          </w:tcPr>
          <w:p>
            <w:pPr>
              <w:spacing w:line="353" w:lineRule="auto"/>
              <w:jc w:val="center"/>
              <w:rPr>
                <w:rFonts w:ascii="Times New Roman" w:hAnsi="Times New Roman" w:eastAsia="仿宋_GB2312" w:cs="Times New Roman"/>
                <w:sz w:val="21"/>
                <w:szCs w:val="21"/>
                <w:vertAlign w:val="baseline"/>
              </w:rPr>
            </w:pP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支出规范性</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1" w:type="dxa"/>
            <w:vMerge w:val="continue"/>
          </w:tcPr>
          <w:p>
            <w:pPr>
              <w:spacing w:line="353" w:lineRule="auto"/>
              <w:jc w:val="center"/>
              <w:rPr>
                <w:rFonts w:ascii="Times New Roman" w:hAnsi="Times New Roman" w:eastAsia="仿宋_GB2312" w:cs="Times New Roman"/>
                <w:sz w:val="18"/>
                <w:szCs w:val="18"/>
                <w:vertAlign w:val="baseline"/>
              </w:rPr>
            </w:pPr>
          </w:p>
        </w:tc>
        <w:tc>
          <w:tcPr>
            <w:tcW w:w="1215" w:type="dxa"/>
            <w:vMerge w:val="continue"/>
          </w:tcPr>
          <w:p>
            <w:pPr>
              <w:spacing w:line="353" w:lineRule="auto"/>
              <w:jc w:val="center"/>
              <w:rPr>
                <w:rFonts w:ascii="Times New Roman" w:hAnsi="Times New Roman" w:eastAsia="仿宋_GB2312" w:cs="Times New Roman"/>
                <w:sz w:val="21"/>
                <w:szCs w:val="21"/>
                <w:vertAlign w:val="baseline"/>
              </w:rPr>
            </w:pPr>
          </w:p>
        </w:tc>
        <w:tc>
          <w:tcPr>
            <w:tcW w:w="1155" w:type="dxa"/>
            <w:vMerge w:val="restart"/>
          </w:tcPr>
          <w:p>
            <w:pPr>
              <w:spacing w:line="240"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事项管理</w:t>
            </w:r>
          </w:p>
        </w:tc>
        <w:tc>
          <w:tcPr>
            <w:tcW w:w="1185" w:type="dxa"/>
            <w:vMerge w:val="restart"/>
          </w:tcPr>
          <w:p>
            <w:pPr>
              <w:spacing w:line="240"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12</w:t>
            </w: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实施程序</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8</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353" w:lineRule="auto"/>
              <w:jc w:val="center"/>
              <w:rPr>
                <w:rFonts w:ascii="Times New Roman" w:hAnsi="Times New Roman" w:eastAsia="仿宋_GB2312" w:cs="Times New Roman"/>
                <w:sz w:val="18"/>
                <w:szCs w:val="18"/>
                <w:vertAlign w:val="baseline"/>
              </w:rPr>
            </w:pPr>
          </w:p>
        </w:tc>
        <w:tc>
          <w:tcPr>
            <w:tcW w:w="1215" w:type="dxa"/>
            <w:vMerge w:val="continue"/>
          </w:tcPr>
          <w:p>
            <w:pPr>
              <w:spacing w:line="353" w:lineRule="auto"/>
              <w:jc w:val="center"/>
              <w:rPr>
                <w:rFonts w:ascii="Times New Roman" w:hAnsi="Times New Roman" w:eastAsia="仿宋_GB2312" w:cs="Times New Roman"/>
                <w:sz w:val="21"/>
                <w:szCs w:val="21"/>
                <w:vertAlign w:val="baseline"/>
              </w:rPr>
            </w:pPr>
          </w:p>
        </w:tc>
        <w:tc>
          <w:tcPr>
            <w:tcW w:w="1155" w:type="dxa"/>
            <w:vMerge w:val="continue"/>
          </w:tcPr>
          <w:p>
            <w:pPr>
              <w:spacing w:line="353" w:lineRule="auto"/>
              <w:jc w:val="center"/>
              <w:rPr>
                <w:rFonts w:ascii="Times New Roman" w:hAnsi="Times New Roman" w:eastAsia="仿宋_GB2312" w:cs="Times New Roman"/>
                <w:sz w:val="21"/>
                <w:szCs w:val="21"/>
                <w:vertAlign w:val="baseline"/>
              </w:rPr>
            </w:pPr>
          </w:p>
        </w:tc>
        <w:tc>
          <w:tcPr>
            <w:tcW w:w="1185" w:type="dxa"/>
            <w:vMerge w:val="continue"/>
          </w:tcPr>
          <w:p>
            <w:pPr>
              <w:spacing w:line="353" w:lineRule="auto"/>
              <w:jc w:val="center"/>
              <w:rPr>
                <w:rFonts w:ascii="Times New Roman" w:hAnsi="Times New Roman" w:eastAsia="仿宋_GB2312" w:cs="Times New Roman"/>
                <w:sz w:val="21"/>
                <w:szCs w:val="21"/>
                <w:vertAlign w:val="baseline"/>
              </w:rPr>
            </w:pP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管理情况</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restart"/>
          </w:tcPr>
          <w:p>
            <w:pPr>
              <w:spacing w:line="240"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绩效结果</w:t>
            </w:r>
          </w:p>
        </w:tc>
        <w:tc>
          <w:tcPr>
            <w:tcW w:w="1215" w:type="dxa"/>
            <w:vMerge w:val="restart"/>
          </w:tcPr>
          <w:p>
            <w:pPr>
              <w:spacing w:line="240"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50</w:t>
            </w:r>
          </w:p>
        </w:tc>
        <w:tc>
          <w:tcPr>
            <w:tcW w:w="115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经济性</w:t>
            </w:r>
          </w:p>
        </w:tc>
        <w:tc>
          <w:tcPr>
            <w:tcW w:w="118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预算（成本）控制</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81" w:type="dxa"/>
            <w:vMerge w:val="continue"/>
          </w:tcPr>
          <w:p>
            <w:pPr>
              <w:spacing w:line="353" w:lineRule="auto"/>
              <w:jc w:val="center"/>
              <w:rPr>
                <w:rFonts w:ascii="Times New Roman" w:hAnsi="Times New Roman" w:eastAsia="仿宋_GB2312" w:cs="Times New Roman"/>
                <w:sz w:val="21"/>
                <w:szCs w:val="21"/>
                <w:vertAlign w:val="baseline"/>
              </w:rPr>
            </w:pPr>
          </w:p>
        </w:tc>
        <w:tc>
          <w:tcPr>
            <w:tcW w:w="1215" w:type="dxa"/>
            <w:vMerge w:val="continue"/>
          </w:tcPr>
          <w:p>
            <w:pPr>
              <w:spacing w:line="353" w:lineRule="auto"/>
              <w:jc w:val="center"/>
              <w:rPr>
                <w:rFonts w:ascii="Times New Roman" w:hAnsi="Times New Roman" w:eastAsia="仿宋_GB2312" w:cs="Times New Roman"/>
                <w:sz w:val="21"/>
                <w:szCs w:val="21"/>
                <w:vertAlign w:val="baseline"/>
              </w:rPr>
            </w:pPr>
          </w:p>
        </w:tc>
        <w:tc>
          <w:tcPr>
            <w:tcW w:w="115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效果性</w:t>
            </w:r>
          </w:p>
        </w:tc>
        <w:tc>
          <w:tcPr>
            <w:tcW w:w="1185" w:type="dxa"/>
          </w:tcPr>
          <w:p>
            <w:pPr>
              <w:spacing w:line="353"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w:t>
            </w: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完成进度及质量</w:t>
            </w:r>
          </w:p>
        </w:tc>
        <w:tc>
          <w:tcPr>
            <w:tcW w:w="1245" w:type="dxa"/>
          </w:tcPr>
          <w:p>
            <w:pPr>
              <w:spacing w:line="353"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w:t>
            </w:r>
          </w:p>
        </w:tc>
        <w:tc>
          <w:tcPr>
            <w:tcW w:w="825" w:type="dxa"/>
          </w:tcPr>
          <w:p>
            <w:pPr>
              <w:spacing w:line="353"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353" w:lineRule="auto"/>
              <w:jc w:val="center"/>
              <w:rPr>
                <w:rFonts w:ascii="Times New Roman" w:hAnsi="Times New Roman" w:eastAsia="仿宋_GB2312" w:cs="Times New Roman"/>
                <w:sz w:val="21"/>
                <w:szCs w:val="21"/>
                <w:vertAlign w:val="baseline"/>
              </w:rPr>
            </w:pPr>
          </w:p>
        </w:tc>
        <w:tc>
          <w:tcPr>
            <w:tcW w:w="1215" w:type="dxa"/>
            <w:vMerge w:val="continue"/>
          </w:tcPr>
          <w:p>
            <w:pPr>
              <w:spacing w:line="353" w:lineRule="auto"/>
              <w:jc w:val="center"/>
              <w:rPr>
                <w:rFonts w:ascii="Times New Roman" w:hAnsi="Times New Roman" w:eastAsia="仿宋_GB2312" w:cs="Times New Roman"/>
                <w:sz w:val="21"/>
                <w:szCs w:val="21"/>
                <w:vertAlign w:val="baseline"/>
              </w:rPr>
            </w:pPr>
          </w:p>
        </w:tc>
        <w:tc>
          <w:tcPr>
            <w:tcW w:w="1155" w:type="dxa"/>
            <w:vMerge w:val="restart"/>
          </w:tcPr>
          <w:p>
            <w:pPr>
              <w:spacing w:line="240"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效率性</w:t>
            </w:r>
          </w:p>
        </w:tc>
        <w:tc>
          <w:tcPr>
            <w:tcW w:w="1185" w:type="dxa"/>
            <w:vMerge w:val="restart"/>
          </w:tcPr>
          <w:p>
            <w:pPr>
              <w:spacing w:line="240"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30</w:t>
            </w: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社会经济效益</w:t>
            </w:r>
          </w:p>
        </w:tc>
        <w:tc>
          <w:tcPr>
            <w:tcW w:w="1245" w:type="dxa"/>
          </w:tcPr>
          <w:p>
            <w:pPr>
              <w:spacing w:line="353"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25</w:t>
            </w:r>
          </w:p>
        </w:tc>
        <w:tc>
          <w:tcPr>
            <w:tcW w:w="825" w:type="dxa"/>
          </w:tcPr>
          <w:p>
            <w:pPr>
              <w:spacing w:line="353" w:lineRule="auto"/>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353" w:lineRule="auto"/>
              <w:jc w:val="center"/>
              <w:rPr>
                <w:rFonts w:ascii="Times New Roman" w:hAnsi="Times New Roman" w:eastAsia="仿宋_GB2312" w:cs="Times New Roman"/>
                <w:sz w:val="21"/>
                <w:szCs w:val="21"/>
                <w:vertAlign w:val="baseline"/>
              </w:rPr>
            </w:pPr>
          </w:p>
        </w:tc>
        <w:tc>
          <w:tcPr>
            <w:tcW w:w="1215" w:type="dxa"/>
            <w:vMerge w:val="continue"/>
          </w:tcPr>
          <w:p>
            <w:pPr>
              <w:spacing w:line="353" w:lineRule="auto"/>
              <w:jc w:val="center"/>
              <w:rPr>
                <w:rFonts w:ascii="Times New Roman" w:hAnsi="Times New Roman" w:eastAsia="仿宋_GB2312" w:cs="Times New Roman"/>
                <w:sz w:val="21"/>
                <w:szCs w:val="21"/>
                <w:vertAlign w:val="baseline"/>
              </w:rPr>
            </w:pPr>
          </w:p>
        </w:tc>
        <w:tc>
          <w:tcPr>
            <w:tcW w:w="1155" w:type="dxa"/>
            <w:vMerge w:val="continue"/>
          </w:tcPr>
          <w:p>
            <w:pPr>
              <w:spacing w:line="353" w:lineRule="auto"/>
              <w:jc w:val="center"/>
              <w:rPr>
                <w:rFonts w:ascii="Times New Roman" w:hAnsi="Times New Roman" w:eastAsia="仿宋_GB2312" w:cs="Times New Roman"/>
                <w:sz w:val="21"/>
                <w:szCs w:val="21"/>
                <w:vertAlign w:val="baseline"/>
              </w:rPr>
            </w:pPr>
          </w:p>
        </w:tc>
        <w:tc>
          <w:tcPr>
            <w:tcW w:w="1185" w:type="dxa"/>
            <w:vMerge w:val="continue"/>
          </w:tcPr>
          <w:p>
            <w:pPr>
              <w:spacing w:line="353" w:lineRule="auto"/>
              <w:jc w:val="center"/>
              <w:rPr>
                <w:rFonts w:ascii="Times New Roman" w:hAnsi="Times New Roman" w:eastAsia="仿宋_GB2312" w:cs="Times New Roman"/>
                <w:sz w:val="21"/>
                <w:szCs w:val="21"/>
                <w:vertAlign w:val="baseline"/>
              </w:rPr>
            </w:pP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可持续发展</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Pr>
          <w:p>
            <w:pPr>
              <w:spacing w:line="353" w:lineRule="auto"/>
              <w:jc w:val="center"/>
              <w:rPr>
                <w:rFonts w:ascii="Times New Roman" w:hAnsi="Times New Roman" w:eastAsia="仿宋_GB2312" w:cs="Times New Roman"/>
                <w:sz w:val="21"/>
                <w:szCs w:val="21"/>
                <w:vertAlign w:val="baseline"/>
              </w:rPr>
            </w:pPr>
          </w:p>
        </w:tc>
        <w:tc>
          <w:tcPr>
            <w:tcW w:w="1215" w:type="dxa"/>
            <w:vMerge w:val="continue"/>
          </w:tcPr>
          <w:p>
            <w:pPr>
              <w:spacing w:line="353" w:lineRule="auto"/>
              <w:jc w:val="center"/>
              <w:rPr>
                <w:rFonts w:ascii="Times New Roman" w:hAnsi="Times New Roman" w:eastAsia="仿宋_GB2312" w:cs="Times New Roman"/>
                <w:sz w:val="21"/>
                <w:szCs w:val="21"/>
                <w:vertAlign w:val="baseline"/>
              </w:rPr>
            </w:pPr>
          </w:p>
        </w:tc>
        <w:tc>
          <w:tcPr>
            <w:tcW w:w="115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公平性</w:t>
            </w:r>
          </w:p>
        </w:tc>
        <w:tc>
          <w:tcPr>
            <w:tcW w:w="118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2205" w:type="dxa"/>
          </w:tcPr>
          <w:p>
            <w:pPr>
              <w:spacing w:line="353" w:lineRule="auto"/>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群众满意度</w:t>
            </w:r>
          </w:p>
        </w:tc>
        <w:tc>
          <w:tcPr>
            <w:tcW w:w="124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825" w:type="dxa"/>
          </w:tcPr>
          <w:p>
            <w:pPr>
              <w:spacing w:line="353" w:lineRule="auto"/>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r>
    </w:tbl>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left="638" w:leftChars="304"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镇敬老院运行经费项目预算资金为</w:t>
      </w:r>
      <w:r>
        <w:rPr>
          <w:rFonts w:hint="eastAsia" w:ascii="Times New Roman" w:hAnsi="Times New Roman" w:eastAsia="仿宋_GB2312" w:cs="Times New Roman"/>
          <w:sz w:val="32"/>
          <w:szCs w:val="32"/>
          <w:lang w:val="en-US" w:eastAsia="zh-CN"/>
        </w:rPr>
        <w:t>35万元，其中2021年年初申报预算资金35万元，财政下达批复资金35万元，全部为区级财政资金，截止到2021年12月31日，项目资金已全部支付。</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spacing w:line="353" w:lineRule="auto"/>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1．资金计划。</w:t>
      </w:r>
    </w:p>
    <w:p>
      <w:pPr>
        <w:spacing w:line="353"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镇敬老院运行经费项目全部为区级财政资金，无其他资金来源渠道。</w:t>
      </w:r>
    </w:p>
    <w:p>
      <w:pPr>
        <w:numPr>
          <w:ilvl w:val="0"/>
          <w:numId w:val="11"/>
        </w:numPr>
        <w:spacing w:line="353" w:lineRule="auto"/>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资金到位。</w:t>
      </w:r>
    </w:p>
    <w:p>
      <w:pPr>
        <w:numPr>
          <w:ilvl w:val="0"/>
          <w:numId w:val="0"/>
        </w:num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级财政安排的</w:t>
      </w:r>
      <w:r>
        <w:rPr>
          <w:rFonts w:hint="eastAsia" w:ascii="Times New Roman" w:hAnsi="Times New Roman" w:eastAsia="仿宋_GB2312" w:cs="Times New Roman"/>
          <w:sz w:val="32"/>
          <w:szCs w:val="32"/>
          <w:lang w:val="en-US" w:eastAsia="zh-CN"/>
        </w:rPr>
        <w:t>35万</w:t>
      </w:r>
      <w:r>
        <w:rPr>
          <w:rFonts w:hint="default" w:ascii="Times New Roman" w:hAnsi="Times New Roman" w:eastAsia="仿宋_GB2312" w:cs="Times New Roman"/>
          <w:sz w:val="32"/>
          <w:szCs w:val="32"/>
        </w:rPr>
        <w:t>元敬老院</w:t>
      </w:r>
      <w:r>
        <w:rPr>
          <w:rFonts w:hint="eastAsia" w:ascii="Times New Roman" w:hAnsi="Times New Roman" w:eastAsia="仿宋_GB2312" w:cs="Times New Roman"/>
          <w:sz w:val="32"/>
          <w:szCs w:val="32"/>
          <w:lang w:eastAsia="zh-CN"/>
        </w:rPr>
        <w:t>生活运行</w:t>
      </w:r>
      <w:r>
        <w:rPr>
          <w:rFonts w:hint="default" w:ascii="Times New Roman" w:hAnsi="Times New Roman" w:eastAsia="仿宋_GB2312" w:cs="Times New Roman"/>
          <w:sz w:val="32"/>
          <w:szCs w:val="32"/>
        </w:rPr>
        <w:t>经费</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受</w:t>
      </w:r>
      <w:r>
        <w:rPr>
          <w:rFonts w:hint="default" w:ascii="Times New Roman" w:hAnsi="Times New Roman" w:eastAsia="仿宋_GB2312" w:cs="Times New Roman"/>
          <w:sz w:val="32"/>
          <w:szCs w:val="32"/>
        </w:rPr>
        <w:t>各级</w:t>
      </w:r>
      <w:r>
        <w:rPr>
          <w:rFonts w:hint="eastAsia"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rPr>
        <w:t>高度重视，</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按时完成项目年度预算绩效目标。从项目的经济性和效率性来看，项目支出都控制在预算内，基本未超出预算范围，较好地控制了成本，在最大程度上实现了建设项目的经济效益和社会效益。从项目的可持续发展性来看，很大程度上改善了当地的集中供养服务水平，农村敬老院的服务质量和管理水平，特困救助供养对象满意度进一步提升。</w:t>
      </w:r>
    </w:p>
    <w:p>
      <w:pPr>
        <w:numPr>
          <w:ilvl w:val="0"/>
          <w:numId w:val="11"/>
        </w:numPr>
        <w:spacing w:line="353" w:lineRule="auto"/>
        <w:ind w:left="0" w:leftChars="0"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资金使用。</w:t>
      </w:r>
    </w:p>
    <w:p>
      <w:pPr>
        <w:numPr>
          <w:ilvl w:val="0"/>
          <w:numId w:val="0"/>
        </w:num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镇敬老院运行经费项目</w:t>
      </w:r>
      <w:r>
        <w:rPr>
          <w:rFonts w:hint="eastAsia" w:ascii="Times New Roman" w:hAnsi="Times New Roman" w:eastAsia="仿宋_GB2312" w:cs="Times New Roman"/>
          <w:sz w:val="32"/>
          <w:szCs w:val="32"/>
        </w:rPr>
        <w:t>在专项资金的分配、使用和管理等方面都严格实行专款专用</w:t>
      </w:r>
      <w:r>
        <w:rPr>
          <w:rFonts w:hint="eastAsia" w:ascii="Times New Roman" w:hAnsi="Times New Roman" w:eastAsia="仿宋_GB2312" w:cs="Times New Roman"/>
          <w:sz w:val="32"/>
          <w:szCs w:val="32"/>
          <w:lang w:eastAsia="zh-CN"/>
        </w:rPr>
        <w:t>，并</w:t>
      </w:r>
      <w:r>
        <w:rPr>
          <w:rFonts w:hint="eastAsia"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规章制度</w:t>
      </w:r>
      <w:r>
        <w:rPr>
          <w:rFonts w:hint="eastAsia" w:ascii="Times New Roman" w:hAnsi="Times New Roman" w:eastAsia="仿宋_GB2312" w:cs="Times New Roman"/>
          <w:sz w:val="32"/>
          <w:szCs w:val="32"/>
        </w:rPr>
        <w:t>执行，加强项目规范化管理，保障项目的有效实施。项目落实情况良好，能</w:t>
      </w:r>
      <w:r>
        <w:rPr>
          <w:rFonts w:hint="eastAsia" w:ascii="Times New Roman" w:hAnsi="Times New Roman" w:eastAsia="仿宋_GB2312" w:cs="Times New Roman"/>
          <w:sz w:val="32"/>
          <w:szCs w:val="32"/>
          <w:lang w:eastAsia="zh-CN"/>
        </w:rPr>
        <w:t>较好的</w:t>
      </w:r>
      <w:r>
        <w:rPr>
          <w:rFonts w:hint="eastAsia" w:ascii="Times New Roman" w:hAnsi="Times New Roman" w:eastAsia="仿宋_GB2312" w:cs="Times New Roman"/>
          <w:sz w:val="32"/>
          <w:szCs w:val="32"/>
        </w:rPr>
        <w:t>完成项目指标。</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353" w:lineRule="auto"/>
        <w:ind w:firstLine="640" w:firstLineChars="200"/>
        <w:rPr>
          <w:rFonts w:ascii="仿宋_GB2312" w:hAnsi="宋体" w:eastAsia="仿宋_GB2312"/>
          <w:sz w:val="32"/>
          <w:szCs w:val="32"/>
          <w:lang w:val="zh-CN"/>
        </w:rPr>
      </w:pPr>
      <w:r>
        <w:rPr>
          <w:rFonts w:hint="eastAsia" w:ascii="Times New Roman" w:hAnsi="Times New Roman" w:eastAsia="仿宋_GB2312" w:cs="Times New Roman"/>
          <w:sz w:val="32"/>
          <w:szCs w:val="32"/>
          <w:lang w:eastAsia="zh-CN"/>
        </w:rPr>
        <w:t>镇敬老院运行经费项目按要求</w:t>
      </w:r>
      <w:r>
        <w:rPr>
          <w:rFonts w:ascii="Times New Roman" w:hAnsi="Times New Roman" w:eastAsia="仿宋_GB2312" w:cs="Times New Roman"/>
          <w:sz w:val="32"/>
          <w:szCs w:val="32"/>
        </w:rPr>
        <w:t>严格执行财务管理制度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专项资金的分配、使用和管理等方面都严格实行专款专用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账务处理及时，会计核算规范</w:t>
      </w:r>
      <w:r>
        <w:rPr>
          <w:rFonts w:hint="eastAsia" w:ascii="Times New Roman" w:hAnsi="Times New Roman" w:eastAsia="仿宋_GB2312" w:cs="Times New Roman"/>
          <w:sz w:val="32"/>
          <w:szCs w:val="32"/>
          <w:lang w:eastAsia="zh-CN"/>
        </w:rPr>
        <w:t>。</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numPr>
          <w:ilvl w:val="0"/>
          <w:numId w:val="0"/>
        </w:numPr>
        <w:adjustRightInd w:val="0"/>
        <w:snapToGrid w:val="0"/>
        <w:spacing w:line="600" w:lineRule="exact"/>
        <w:ind w:firstLine="640" w:firstLineChars="200"/>
        <w:rPr>
          <w:rFonts w:ascii="楷体_GB2312" w:hAnsi="宋体" w:eastAsia="楷体_GB2312"/>
          <w:b/>
          <w:sz w:val="32"/>
          <w:szCs w:val="32"/>
          <w:lang w:val="zh-CN"/>
        </w:rPr>
      </w:pPr>
      <w:r>
        <w:rPr>
          <w:rFonts w:hint="eastAsia" w:ascii="仿宋" w:hAnsi="仿宋" w:eastAsia="仿宋" w:cs="仿宋"/>
          <w:sz w:val="32"/>
          <w:szCs w:val="32"/>
          <w:lang w:val="en-US" w:eastAsia="zh-CN"/>
        </w:rPr>
        <w:t>敬</w:t>
      </w:r>
      <w:r>
        <w:rPr>
          <w:rFonts w:hint="eastAsia" w:ascii="Times New Roman" w:hAnsi="Times New Roman" w:eastAsia="仿宋_GB2312" w:cs="Times New Roman"/>
          <w:sz w:val="32"/>
          <w:szCs w:val="32"/>
          <w:lang w:val="en-US" w:eastAsia="zh-CN"/>
        </w:rPr>
        <w:t>老院是各级政府投资兴建，重点为农村特困供养对象，特别是为特困人员中的失能和半失能人员提供基本生活、照料护理、文化娱乐、精神慰藉等人性化、规范化服务的集中供养场所。本项目资金为区级财政资金，</w:t>
      </w:r>
      <w:r>
        <w:rPr>
          <w:rFonts w:ascii="仿宋_GB2312" w:hAnsi="宋体" w:eastAsia="仿宋_GB2312" w:cs="仿宋_GB2312"/>
          <w:i w:val="0"/>
          <w:iCs w:val="0"/>
          <w:caps w:val="0"/>
          <w:color w:val="444444"/>
          <w:spacing w:val="0"/>
          <w:sz w:val="32"/>
          <w:szCs w:val="32"/>
          <w:shd w:val="clear" w:fill="FFFFFF"/>
        </w:rPr>
        <w:t>属经常性项目支出</w:t>
      </w:r>
      <w:r>
        <w:rPr>
          <w:rFonts w:hint="eastAsia" w:ascii="仿宋_GB2312" w:hAnsi="宋体" w:eastAsia="仿宋_GB2312" w:cs="仿宋_GB2312"/>
          <w:i w:val="0"/>
          <w:iCs w:val="0"/>
          <w:caps w:val="0"/>
          <w:color w:val="444444"/>
          <w:spacing w:val="0"/>
          <w:sz w:val="32"/>
          <w:szCs w:val="32"/>
          <w:shd w:val="clear" w:fill="FFFFFF"/>
          <w:lang w:eastAsia="zh-CN"/>
        </w:rPr>
        <w:t>。</w:t>
      </w:r>
    </w:p>
    <w:p>
      <w:pPr>
        <w:numPr>
          <w:ilvl w:val="0"/>
          <w:numId w:val="12"/>
        </w:numPr>
        <w:spacing w:line="353" w:lineRule="auto"/>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numPr>
          <w:ilvl w:val="0"/>
          <w:numId w:val="0"/>
        </w:numPr>
        <w:spacing w:line="353" w:lineRule="auto"/>
        <w:ind w:firstLine="640" w:firstLineChars="200"/>
        <w:rPr>
          <w:rFonts w:ascii="仿宋_GB2312" w:hAnsi="宋体" w:eastAsia="仿宋_GB2312"/>
          <w:sz w:val="32"/>
          <w:szCs w:val="32"/>
          <w:lang w:val="zh-CN"/>
        </w:rPr>
      </w:pPr>
      <w:r>
        <w:rPr>
          <w:rFonts w:hint="eastAsia" w:ascii="Times New Roman" w:hAnsi="Times New Roman" w:eastAsia="仿宋_GB2312" w:cs="Times New Roman"/>
          <w:sz w:val="32"/>
          <w:szCs w:val="32"/>
        </w:rPr>
        <w:t>为进一步推进农村敬老院</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管理工作，</w:t>
      </w:r>
      <w:r>
        <w:rPr>
          <w:rFonts w:hint="eastAsia" w:ascii="Times New Roman" w:hAnsi="Times New Roman" w:eastAsia="仿宋_GB2312" w:cs="Times New Roman"/>
          <w:sz w:val="32"/>
          <w:szCs w:val="32"/>
          <w:lang w:eastAsia="zh-CN"/>
        </w:rPr>
        <w:t>格里坪镇严格</w:t>
      </w:r>
      <w:r>
        <w:rPr>
          <w:rFonts w:hint="eastAsia" w:ascii="Times New Roman" w:hAnsi="Times New Roman" w:eastAsia="仿宋_GB2312" w:cs="Times New Roman"/>
          <w:sz w:val="32"/>
          <w:szCs w:val="32"/>
        </w:rPr>
        <w:t>按照《农村五保供养工作条例》（国务院令第456号）、《四川省&lt;农村五保供养工作条例&gt;实施办法》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《四川省社会福利机构管理办法》（省政府令第148号）规定</w:t>
      </w:r>
      <w:r>
        <w:rPr>
          <w:rFonts w:hint="eastAsia" w:ascii="Times New Roman" w:hAnsi="Times New Roman" w:eastAsia="仿宋_GB2312" w:cs="Times New Roman"/>
          <w:sz w:val="32"/>
          <w:szCs w:val="32"/>
          <w:lang w:eastAsia="zh-CN"/>
        </w:rPr>
        <w:t>实施。</w:t>
      </w:r>
    </w:p>
    <w:p>
      <w:pPr>
        <w:numPr>
          <w:ilvl w:val="0"/>
          <w:numId w:val="12"/>
        </w:numPr>
        <w:spacing w:line="353" w:lineRule="auto"/>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numPr>
          <w:ilvl w:val="0"/>
          <w:numId w:val="0"/>
        </w:numPr>
        <w:spacing w:line="353"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该项目资金为区级财政资金，格里坪镇严格按照财务管理制度以及有关专项资金管理办法的规定支付，符合项目预算批复规定的用途，未发现存在截留、挤占、挪用、虚列支出等情况。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353"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格里坪镇</w:t>
      </w:r>
      <w:r>
        <w:rPr>
          <w:rFonts w:hint="eastAsia" w:ascii="Times New Roman" w:hAnsi="Times New Roman" w:eastAsia="仿宋_GB2312" w:cs="Times New Roman"/>
          <w:sz w:val="32"/>
          <w:szCs w:val="32"/>
        </w:rPr>
        <w:t>认真贯彻农村敬老院运转经费及管理人员经费工作规划，</w:t>
      </w:r>
      <w:r>
        <w:rPr>
          <w:rFonts w:hint="eastAsia" w:ascii="Times New Roman" w:hAnsi="Times New Roman" w:eastAsia="仿宋_GB2312" w:cs="Times New Roman"/>
          <w:sz w:val="32"/>
          <w:szCs w:val="32"/>
          <w:lang w:eastAsia="zh-CN"/>
        </w:rPr>
        <w:t>将镇敬老院</w:t>
      </w:r>
      <w:r>
        <w:rPr>
          <w:rFonts w:hint="eastAsia" w:ascii="Times New Roman" w:hAnsi="Times New Roman" w:eastAsia="仿宋_GB2312" w:cs="Times New Roman"/>
          <w:sz w:val="32"/>
          <w:szCs w:val="32"/>
        </w:rPr>
        <w:t>专项资金设立以下目标：</w:t>
      </w:r>
    </w:p>
    <w:p>
      <w:pPr>
        <w:adjustRightInd w:val="0"/>
        <w:snapToGrid w:val="0"/>
        <w:spacing w:line="353" w:lineRule="auto"/>
        <w:ind w:firstLine="480" w:firstLineChars="15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数量指标：</w:t>
      </w:r>
      <w:r>
        <w:rPr>
          <w:rFonts w:hint="eastAsia" w:ascii="Times New Roman" w:hAnsi="Times New Roman" w:eastAsia="仿宋_GB2312" w:cs="Times New Roman"/>
          <w:sz w:val="32"/>
          <w:szCs w:val="32"/>
          <w:lang w:eastAsia="zh-CN"/>
        </w:rPr>
        <w:t>保障</w:t>
      </w:r>
      <w:r>
        <w:rPr>
          <w:rFonts w:hint="eastAsia" w:ascii="仿宋_GB2312" w:hAnsi="仿宋_GB2312" w:eastAsia="仿宋_GB2312" w:cs="仿宋_GB2312"/>
          <w:bCs/>
          <w:sz w:val="32"/>
          <w:szCs w:val="32"/>
          <w:lang w:eastAsia="zh-CN"/>
        </w:rPr>
        <w:t>15名五保户老人正常生活就医及4名敬老院工作人工资和敬老院日常运转。</w:t>
      </w:r>
      <w:r>
        <w:rPr>
          <w:rFonts w:hint="eastAsia" w:ascii="Times New Roman" w:hAnsi="Times New Roman" w:eastAsia="仿宋_GB2312" w:cs="Times New Roman"/>
          <w:sz w:val="32"/>
          <w:szCs w:val="32"/>
        </w:rPr>
        <w:t>2.质量指标：解决突出问题，提高特困人员生活质量。3.时效指标：</w:t>
      </w:r>
      <w:r>
        <w:rPr>
          <w:rFonts w:hint="eastAsia" w:ascii="Times New Roman" w:hAnsi="Times New Roman" w:eastAsia="仿宋_GB2312" w:cs="Times New Roman"/>
          <w:sz w:val="32"/>
          <w:szCs w:val="32"/>
          <w:lang w:val="en-US" w:eastAsia="zh-CN"/>
        </w:rPr>
        <w:t>2021年全年。</w:t>
      </w:r>
      <w:r>
        <w:rPr>
          <w:rFonts w:hint="eastAsia" w:ascii="Times New Roman" w:hAnsi="Times New Roman" w:eastAsia="仿宋_GB2312" w:cs="Times New Roman"/>
          <w:sz w:val="32"/>
          <w:szCs w:val="32"/>
        </w:rPr>
        <w:t>4.成本指标：满足敬老院正常运转及</w:t>
      </w:r>
      <w:r>
        <w:rPr>
          <w:rFonts w:hint="eastAsia"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rPr>
        <w:t>人员工资待遇，切实保障特困人员基本生活。</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353"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济效益指标：解决敬老院经费及管理人员工资问题、满足敬老院正常运转及服务人员工资待遇，切实保障特困人员基本生活；社会效益指标：解决城乡特困人员突出问题、满足城乡特困人员基本需求为目标，切实保障特困人员基本生活。</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确保敬老院运行经费项目的顺利实施，格里坪镇已建立健全本部门的项目管理制度，管理制度主要包括项目立项与审核管理制度、概算预算管理规定、项目资金控制管理规定、等方面的内容。目前格里坪镇敬老院已配置基本生活设施，配备必要的膳食制作、医疗保健、文体娱乐、办公管理等设备，保障农村五保户供养对象的正常生活，促进农村社会保障制度的发展。</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353" w:lineRule="auto"/>
        <w:ind w:firstLine="640" w:firstLineChars="200"/>
        <w:rPr>
          <w:rFonts w:ascii="仿宋_GB2312" w:hAnsi="宋体" w:eastAsia="仿宋_GB2312" w:cs="仿宋_GB2312"/>
          <w:i w:val="0"/>
          <w:iCs w:val="0"/>
          <w:caps w:val="0"/>
          <w:color w:val="auto"/>
          <w:spacing w:val="0"/>
          <w:sz w:val="32"/>
          <w:szCs w:val="32"/>
          <w:shd w:val="clear" w:fill="FFFFFF"/>
        </w:rPr>
      </w:pPr>
      <w:r>
        <w:rPr>
          <w:rFonts w:hint="eastAsia" w:ascii="仿宋_GB2312" w:hAnsi="宋体" w:eastAsia="仿宋_GB2312" w:cs="仿宋_GB2312"/>
          <w:b w:val="0"/>
          <w:bCs w:val="0"/>
          <w:i w:val="0"/>
          <w:iCs w:val="0"/>
          <w:caps w:val="0"/>
          <w:color w:val="auto"/>
          <w:spacing w:val="0"/>
          <w:sz w:val="32"/>
          <w:szCs w:val="32"/>
          <w:shd w:val="clear" w:fill="FFFFFF"/>
          <w:lang w:eastAsia="zh-CN"/>
        </w:rPr>
        <w:t>格里坪镇</w:t>
      </w:r>
      <w:r>
        <w:rPr>
          <w:rFonts w:ascii="仿宋_GB2312" w:hAnsi="宋体" w:eastAsia="仿宋_GB2312" w:cs="仿宋_GB2312"/>
          <w:b w:val="0"/>
          <w:bCs w:val="0"/>
          <w:i w:val="0"/>
          <w:iCs w:val="0"/>
          <w:caps w:val="0"/>
          <w:color w:val="auto"/>
          <w:spacing w:val="0"/>
          <w:sz w:val="32"/>
          <w:szCs w:val="32"/>
          <w:shd w:val="clear" w:fill="FFFFFF"/>
        </w:rPr>
        <w:t>敬老院存在规模小，建设年代久远，管理和运行维护的资金严重不足等突出问题</w:t>
      </w:r>
      <w:r>
        <w:rPr>
          <w:rFonts w:ascii="仿宋_GB2312" w:hAnsi="宋体" w:eastAsia="仿宋_GB2312" w:cs="仿宋_GB2312"/>
          <w:i w:val="0"/>
          <w:iCs w:val="0"/>
          <w:caps w:val="0"/>
          <w:color w:val="auto"/>
          <w:spacing w:val="0"/>
          <w:sz w:val="32"/>
          <w:szCs w:val="32"/>
          <w:shd w:val="clear" w:fill="FFFFFF"/>
        </w:rPr>
        <w:t>。</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353" w:lineRule="auto"/>
        <w:ind w:firstLine="640" w:firstLineChars="200"/>
        <w:rPr>
          <w:rFonts w:hint="eastAsia" w:ascii="仿宋_GB2312" w:hAnsi="宋体" w:eastAsia="仿宋_GB2312" w:cs="仿宋_GB2312"/>
          <w:i w:val="0"/>
          <w:iCs w:val="0"/>
          <w:caps w:val="0"/>
          <w:color w:val="auto"/>
          <w:spacing w:val="0"/>
          <w:sz w:val="32"/>
          <w:szCs w:val="32"/>
          <w:shd w:val="clear" w:fill="FFFFFF"/>
          <w:lang w:eastAsia="zh-CN"/>
        </w:rPr>
      </w:pPr>
      <w:r>
        <w:rPr>
          <w:rFonts w:hint="eastAsia" w:ascii="仿宋_GB2312" w:hAnsi="宋体" w:eastAsia="仿宋_GB2312" w:cs="仿宋_GB2312"/>
          <w:i w:val="0"/>
          <w:iCs w:val="0"/>
          <w:caps w:val="0"/>
          <w:color w:val="auto"/>
          <w:spacing w:val="0"/>
          <w:sz w:val="32"/>
          <w:szCs w:val="32"/>
          <w:shd w:val="clear" w:fill="FFFFFF"/>
          <w:lang w:eastAsia="zh-CN"/>
        </w:rPr>
        <w:t>加快资金下拨，确保资金不滞留，</w:t>
      </w:r>
      <w:r>
        <w:rPr>
          <w:rFonts w:ascii="仿宋_GB2312" w:hAnsi="宋体" w:eastAsia="仿宋_GB2312" w:cs="仿宋_GB2312"/>
          <w:i w:val="0"/>
          <w:iCs w:val="0"/>
          <w:caps w:val="0"/>
          <w:color w:val="auto"/>
          <w:spacing w:val="0"/>
          <w:sz w:val="32"/>
          <w:szCs w:val="32"/>
          <w:shd w:val="clear" w:fill="FFFFFF"/>
        </w:rPr>
        <w:t>足额安排敬老院管理工作经费。同时加强敬老院内部管理，进一步提高服务质量。</w:t>
      </w:r>
    </w:p>
    <w:p>
      <w:pPr>
        <w:rPr>
          <w:rFonts w:hint="eastAsia" w:ascii="仿宋_GB2312" w:hAnsi="宋体" w:eastAsia="仿宋_GB2312"/>
          <w:sz w:val="32"/>
          <w:szCs w:val="32"/>
          <w:lang w:val="zh-CN"/>
        </w:rPr>
      </w:pPr>
    </w:p>
    <w:p>
      <w:pPr>
        <w:pStyle w:val="11"/>
        <w:rPr>
          <w:rFonts w:hint="eastAsia" w:ascii="仿宋_GB2312" w:hAnsi="宋体" w:eastAsia="仿宋_GB2312"/>
          <w:sz w:val="32"/>
          <w:szCs w:val="32"/>
          <w:lang w:val="zh-CN"/>
        </w:rPr>
      </w:pPr>
    </w:p>
    <w:p>
      <w:pPr>
        <w:rPr>
          <w:rFonts w:hint="eastAsia" w:ascii="仿宋_GB2312" w:hAnsi="宋体" w:eastAsia="仿宋_GB2312"/>
          <w:sz w:val="32"/>
          <w:szCs w:val="32"/>
          <w:lang w:val="zh-CN"/>
        </w:rPr>
      </w:pPr>
    </w:p>
    <w:p>
      <w:pPr>
        <w:pStyle w:val="11"/>
        <w:rPr>
          <w:rFonts w:hint="eastAsia" w:ascii="仿宋_GB2312" w:hAnsi="宋体" w:eastAsia="仿宋_GB2312"/>
          <w:sz w:val="32"/>
          <w:szCs w:val="32"/>
          <w:lang w:val="zh-CN"/>
        </w:rPr>
      </w:pPr>
    </w:p>
    <w:p>
      <w:pPr>
        <w:rPr>
          <w:rFonts w:hint="eastAsia"/>
          <w:lang w:val="zh-CN"/>
        </w:rPr>
      </w:pPr>
    </w:p>
    <w:p>
      <w:pPr>
        <w:pStyle w:val="11"/>
        <w:rPr>
          <w:rFonts w:hint="eastAsia"/>
          <w:lang w:val="zh-CN"/>
        </w:rPr>
      </w:pPr>
    </w:p>
    <w:p>
      <w:pPr>
        <w:rPr>
          <w:rFonts w:hint="eastAsia"/>
          <w:lang w:val="zh-CN"/>
        </w:rPr>
      </w:pPr>
    </w:p>
    <w:p>
      <w:pPr>
        <w:pStyle w:val="11"/>
        <w:rPr>
          <w:rFonts w:hint="eastAsia"/>
          <w:lang w:val="zh-CN"/>
        </w:rPr>
      </w:pPr>
    </w:p>
    <w:p>
      <w:pPr>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2"/>
        <w:rPr>
          <w:rFonts w:hint="eastAsia"/>
          <w:lang w:val="zh-CN"/>
        </w:rPr>
      </w:pPr>
    </w:p>
    <w:p>
      <w:pPr>
        <w:pStyle w:val="11"/>
        <w:ind w:left="0" w:leftChars="0" w:firstLine="0" w:firstLineChars="0"/>
        <w:rPr>
          <w:rFonts w:hint="eastAsia"/>
          <w:lang w:val="zh-CN"/>
        </w:rPr>
      </w:pP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099"/>
        <w:gridCol w:w="1110"/>
        <w:gridCol w:w="1425"/>
        <w:gridCol w:w="1755"/>
        <w:gridCol w:w="1777"/>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156001</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攀枝花市西区格里坪镇人民政府</w:t>
            </w:r>
          </w:p>
        </w:tc>
      </w:tr>
      <w:tr>
        <w:tblPrEx>
          <w:tblCellMar>
            <w:top w:w="0" w:type="dxa"/>
            <w:left w:w="108" w:type="dxa"/>
            <w:bottom w:w="0" w:type="dxa"/>
            <w:right w:w="108" w:type="dxa"/>
          </w:tblCellMar>
        </w:tblPrEx>
        <w:trPr>
          <w:gridAfter w:val="1"/>
          <w:wAfter w:w="236" w:type="dxa"/>
          <w:trHeight w:val="341" w:hRule="atLeast"/>
        </w:trPr>
        <w:tc>
          <w:tcPr>
            <w:tcW w:w="22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35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35</w:t>
            </w:r>
          </w:p>
        </w:tc>
      </w:tr>
      <w:tr>
        <w:tblPrEx>
          <w:tblCellMar>
            <w:top w:w="0" w:type="dxa"/>
            <w:left w:w="108" w:type="dxa"/>
            <w:bottom w:w="0" w:type="dxa"/>
            <w:right w:w="108" w:type="dxa"/>
          </w:tblCellMar>
        </w:tblPrEx>
        <w:trPr>
          <w:gridAfter w:val="1"/>
          <w:wAfter w:w="236" w:type="dxa"/>
          <w:trHeight w:val="555" w:hRule="atLeast"/>
        </w:trPr>
        <w:tc>
          <w:tcPr>
            <w:tcW w:w="22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80" w:firstLineChars="200"/>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ind w:firstLine="480" w:firstLineChars="200"/>
              <w:jc w:val="left"/>
              <w:textAlignment w:val="center"/>
              <w:rPr>
                <w:rFonts w:ascii="宋体" w:hAnsi="宋体" w:cs="宋体"/>
                <w:sz w:val="24"/>
              </w:rPr>
            </w:pPr>
            <w:r>
              <w:rPr>
                <w:rFonts w:hint="eastAsia" w:ascii="宋体" w:hAnsi="宋体" w:cs="宋体"/>
                <w:kern w:val="0"/>
                <w:sz w:val="24"/>
              </w:rPr>
              <w:t>财政拨款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35</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80" w:firstLineChars="200"/>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ind w:firstLine="480" w:firstLineChars="200"/>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35</w:t>
            </w:r>
          </w:p>
        </w:tc>
      </w:tr>
      <w:tr>
        <w:tblPrEx>
          <w:tblCellMar>
            <w:top w:w="0" w:type="dxa"/>
            <w:left w:w="108" w:type="dxa"/>
            <w:bottom w:w="0" w:type="dxa"/>
            <w:right w:w="108" w:type="dxa"/>
          </w:tblCellMar>
        </w:tblPrEx>
        <w:trPr>
          <w:gridAfter w:val="1"/>
          <w:wAfter w:w="236" w:type="dxa"/>
          <w:trHeight w:val="341" w:hRule="atLeast"/>
        </w:trPr>
        <w:tc>
          <w:tcPr>
            <w:tcW w:w="22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80" w:firstLineChars="200"/>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ind w:firstLine="480" w:firstLineChars="200"/>
              <w:jc w:val="center"/>
              <w:textAlignment w:val="center"/>
              <w:rPr>
                <w:rFonts w:ascii="宋体" w:hAnsi="宋体" w:cs="宋体"/>
                <w:sz w:val="24"/>
              </w:rPr>
            </w:pPr>
            <w:r>
              <w:rPr>
                <w:rFonts w:hint="eastAsia" w:ascii="宋体" w:hAnsi="宋体" w:cs="宋体"/>
                <w:kern w:val="0"/>
                <w:sz w:val="24"/>
              </w:rPr>
              <w:t>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满足敬老院正常运转及服务人员工资待遇，切实保障特困人员基本生活。</w:t>
            </w:r>
          </w:p>
        </w:tc>
        <w:tc>
          <w:tcPr>
            <w:tcW w:w="418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已满足敬老院正常运转及服务人员工资待遇，切实保障特困人员基本生活，提高了敬老院的生活质量和服务质量，提升了对象满意度。</w:t>
            </w:r>
          </w:p>
        </w:tc>
      </w:tr>
      <w:tr>
        <w:tblPrEx>
          <w:tblCellMar>
            <w:top w:w="0" w:type="dxa"/>
            <w:left w:w="108" w:type="dxa"/>
            <w:bottom w:w="0" w:type="dxa"/>
            <w:right w:w="108" w:type="dxa"/>
          </w:tblCellMar>
        </w:tblPrEx>
        <w:trPr>
          <w:gridAfter w:val="1"/>
          <w:wAfter w:w="236" w:type="dxa"/>
          <w:trHeight w:val="693" w:hRule="atLeast"/>
        </w:trPr>
        <w:tc>
          <w:tcPr>
            <w:tcW w:w="109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1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ind w:firstLine="560" w:firstLineChars="200"/>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ind w:firstLine="560" w:firstLineChars="200"/>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560" w:firstLineChars="200"/>
              <w:jc w:val="lef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ind w:firstLine="560" w:firstLineChars="200"/>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560" w:firstLineChars="200"/>
              <w:jc w:val="lef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ind w:firstLine="560" w:firstLineChars="200"/>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09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560" w:firstLineChars="200"/>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ind w:firstLine="560" w:firstLineChars="200"/>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数量指标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集中供养人员生活费</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五保户人员15人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已保障15人</w:t>
            </w:r>
          </w:p>
        </w:tc>
      </w:tr>
      <w:tr>
        <w:tblPrEx>
          <w:tblCellMar>
            <w:top w:w="0" w:type="dxa"/>
            <w:left w:w="108" w:type="dxa"/>
            <w:bottom w:w="0" w:type="dxa"/>
            <w:right w:w="108" w:type="dxa"/>
          </w:tblCellMar>
        </w:tblPrEx>
        <w:trPr>
          <w:gridAfter w:val="1"/>
          <w:wAfter w:w="236" w:type="dxa"/>
          <w:trHeight w:val="415" w:hRule="atLeast"/>
        </w:trPr>
        <w:tc>
          <w:tcPr>
            <w:tcW w:w="109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质量指标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确保敬老院正常有序运行</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保障老人们的生活就医条件，维持敬老院正常运转。</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认真履行敬老院相关职能职责，确保老人有安定的生活</w:t>
            </w:r>
          </w:p>
        </w:tc>
      </w:tr>
      <w:tr>
        <w:tblPrEx>
          <w:tblCellMar>
            <w:top w:w="0" w:type="dxa"/>
            <w:left w:w="108" w:type="dxa"/>
            <w:bottom w:w="0" w:type="dxa"/>
            <w:right w:w="108" w:type="dxa"/>
          </w:tblCellMar>
        </w:tblPrEx>
        <w:trPr>
          <w:gridAfter w:val="1"/>
          <w:wAfter w:w="236" w:type="dxa"/>
          <w:trHeight w:val="415" w:hRule="atLeast"/>
        </w:trPr>
        <w:tc>
          <w:tcPr>
            <w:tcW w:w="109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时效指标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按照工作计划</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2021年12月31日之前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2021年12月31日之前</w:t>
            </w:r>
          </w:p>
        </w:tc>
      </w:tr>
      <w:tr>
        <w:tblPrEx>
          <w:tblCellMar>
            <w:top w:w="0" w:type="dxa"/>
            <w:left w:w="108" w:type="dxa"/>
            <w:bottom w:w="0" w:type="dxa"/>
            <w:right w:w="108" w:type="dxa"/>
          </w:tblCellMar>
        </w:tblPrEx>
        <w:trPr>
          <w:gridAfter w:val="1"/>
          <w:wAfter w:w="236" w:type="dxa"/>
          <w:trHeight w:val="480" w:hRule="atLeast"/>
        </w:trPr>
        <w:tc>
          <w:tcPr>
            <w:tcW w:w="109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成本指标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控制成本额</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共计需要</w:t>
            </w:r>
            <w:r>
              <w:rPr>
                <w:rFonts w:hint="eastAsia" w:ascii="仿宋_GB2312" w:hAnsi="仿宋_GB2312" w:eastAsia="仿宋_GB2312" w:cs="仿宋_GB2312"/>
                <w:sz w:val="24"/>
                <w:szCs w:val="24"/>
                <w:lang w:val="en-US" w:eastAsia="zh-CN"/>
              </w:rPr>
              <w:t>35万元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已支付</w:t>
            </w:r>
            <w:r>
              <w:rPr>
                <w:rFonts w:hint="eastAsia" w:ascii="仿宋_GB2312" w:hAnsi="仿宋_GB2312" w:eastAsia="仿宋_GB2312" w:cs="仿宋_GB2312"/>
                <w:sz w:val="24"/>
                <w:szCs w:val="24"/>
                <w:lang w:val="en-US" w:eastAsia="zh-CN"/>
              </w:rPr>
              <w:t>35万元</w:t>
            </w:r>
          </w:p>
        </w:tc>
      </w:tr>
      <w:tr>
        <w:tblPrEx>
          <w:tblCellMar>
            <w:top w:w="0" w:type="dxa"/>
            <w:left w:w="108" w:type="dxa"/>
            <w:bottom w:w="0" w:type="dxa"/>
            <w:right w:w="108" w:type="dxa"/>
          </w:tblCellMar>
        </w:tblPrEx>
        <w:trPr>
          <w:gridAfter w:val="1"/>
          <w:wAfter w:w="236" w:type="dxa"/>
          <w:trHeight w:val="480" w:hRule="atLeast"/>
        </w:trPr>
        <w:tc>
          <w:tcPr>
            <w:tcW w:w="109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经济效益指标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解决敬老院运行经费及管理人员工资问题</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解决敬老院运行经费及管理人员工资问题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提高人民生活水平</w:t>
            </w:r>
          </w:p>
        </w:tc>
      </w:tr>
      <w:tr>
        <w:tblPrEx>
          <w:tblCellMar>
            <w:top w:w="0" w:type="dxa"/>
            <w:left w:w="108" w:type="dxa"/>
            <w:bottom w:w="0" w:type="dxa"/>
            <w:right w:w="108" w:type="dxa"/>
          </w:tblCellMar>
        </w:tblPrEx>
        <w:trPr>
          <w:gridAfter w:val="1"/>
          <w:wAfter w:w="236" w:type="dxa"/>
          <w:trHeight w:val="480" w:hRule="atLeast"/>
        </w:trPr>
        <w:tc>
          <w:tcPr>
            <w:tcW w:w="109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社会效益指标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解决城乡特困人员突出问题</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满足城乡特困人员基本需求</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切实保障特困人员基本生活</w:t>
            </w:r>
          </w:p>
        </w:tc>
      </w:tr>
      <w:tr>
        <w:tblPrEx>
          <w:tblCellMar>
            <w:top w:w="0" w:type="dxa"/>
            <w:left w:w="108" w:type="dxa"/>
            <w:bottom w:w="0" w:type="dxa"/>
            <w:right w:w="108" w:type="dxa"/>
          </w:tblCellMar>
        </w:tblPrEx>
        <w:trPr>
          <w:gridAfter w:val="1"/>
          <w:wAfter w:w="236" w:type="dxa"/>
          <w:trHeight w:val="577" w:hRule="atLeast"/>
        </w:trPr>
        <w:tc>
          <w:tcPr>
            <w:tcW w:w="109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23" w:leftChars="87" w:hanging="240" w:hangingChars="100"/>
              <w:jc w:val="left"/>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生态效益指标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665" w:hRule="atLeast"/>
        </w:trPr>
        <w:tc>
          <w:tcPr>
            <w:tcW w:w="1099"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可持续影响指标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p>
        </w:tc>
      </w:tr>
      <w:tr>
        <w:tblPrEx>
          <w:tblCellMar>
            <w:top w:w="0" w:type="dxa"/>
            <w:left w:w="108" w:type="dxa"/>
            <w:bottom w:w="0" w:type="dxa"/>
            <w:right w:w="108" w:type="dxa"/>
          </w:tblCellMar>
        </w:tblPrEx>
        <w:trPr>
          <w:gridAfter w:val="1"/>
          <w:wAfter w:w="236" w:type="dxa"/>
          <w:trHeight w:val="530" w:hRule="atLeast"/>
        </w:trPr>
        <w:tc>
          <w:tcPr>
            <w:tcW w:w="1099"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firstLine="480" w:firstLineChars="200"/>
              <w:jc w:val="center"/>
              <w:textAlignment w:val="bottom"/>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满意度</w:t>
            </w:r>
          </w:p>
          <w:p>
            <w:pPr>
              <w:widowControl/>
              <w:spacing w:line="320" w:lineRule="exact"/>
              <w:ind w:firstLine="480" w:firstLineChars="20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群众满意度</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抽样调查达到基本满意及以上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sz w:val="24"/>
                <w:szCs w:val="24"/>
              </w:rPr>
              <w:t>≥95%</w:t>
            </w:r>
          </w:p>
        </w:tc>
      </w:tr>
    </w:tbl>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jc w:val="left"/>
        <w:rPr>
          <w:rStyle w:val="27"/>
          <w:rFonts w:ascii="黑体" w:hAnsi="黑体" w:eastAsia="黑体"/>
          <w:b w:val="0"/>
        </w:rPr>
      </w:pP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27"/>
          <w:rFonts w:hint="eastAsia" w:ascii="黑体" w:hAnsi="黑体" w:eastAsia="黑体"/>
          <w:b w:val="0"/>
        </w:rPr>
        <w:t>五部分 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28"/>
          <w:rFonts w:hint="eastAsia" w:ascii="仿宋" w:hAnsi="仿宋" w:eastAsia="仿宋"/>
          <w:b w:val="0"/>
          <w:bCs w:val="0"/>
        </w:rPr>
        <w:t>入决算表</w:t>
      </w:r>
      <w:bookmarkEnd w:id="61"/>
    </w:p>
    <w:p>
      <w:pPr>
        <w:pStyle w:val="4"/>
        <w:rPr>
          <w:rFonts w:ascii="仿宋" w:hAnsi="仿宋" w:eastAsia="仿宋"/>
        </w:rPr>
      </w:pPr>
      <w:bookmarkStart w:id="62"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63"/>
    </w:p>
    <w:p>
      <w:pPr>
        <w:pStyle w:val="4"/>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28"/>
          <w:rFonts w:hint="eastAsia" w:ascii="仿宋" w:hAnsi="仿宋" w:eastAsia="仿宋"/>
          <w:b w:val="0"/>
          <w:bCs w:val="0"/>
        </w:rPr>
        <w:t>十、</w:t>
      </w:r>
      <w:r>
        <w:rPr>
          <w:rFonts w:hint="eastAsia" w:ascii="仿宋" w:hAnsi="仿宋" w:eastAsia="仿宋"/>
          <w:b w:val="0"/>
        </w:rPr>
        <w:t>一</w:t>
      </w:r>
      <w:r>
        <w:rPr>
          <w:rStyle w:val="28"/>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28"/>
          <w:rFonts w:hint="eastAsia" w:ascii="仿宋" w:hAnsi="仿宋" w:eastAsia="仿宋"/>
          <w:b w:val="0"/>
          <w:bCs w:val="0"/>
        </w:rPr>
        <w:t>十一、</w:t>
      </w:r>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28"/>
          <w:rFonts w:hint="eastAsia" w:ascii="仿宋" w:hAnsi="仿宋" w:eastAsia="仿宋"/>
          <w:b w:val="0"/>
          <w:bCs w:val="0"/>
        </w:rPr>
        <w:t>十二、</w:t>
      </w:r>
      <w:r>
        <w:rPr>
          <w:rFonts w:hint="eastAsia" w:ascii="仿宋" w:hAnsi="仿宋" w:eastAsia="仿宋"/>
          <w:b w:val="0"/>
        </w:rPr>
        <w:t>政</w:t>
      </w:r>
      <w:r>
        <w:rPr>
          <w:rStyle w:val="28"/>
          <w:rFonts w:hint="eastAsia" w:ascii="仿宋" w:hAnsi="仿宋" w:eastAsia="仿宋"/>
          <w:b w:val="0"/>
          <w:bCs w:val="0"/>
        </w:rPr>
        <w:t>府性基金预算财政拨款“三公”经费支出决算表</w:t>
      </w:r>
      <w:bookmarkEnd w:id="71"/>
    </w:p>
    <w:p>
      <w:pPr>
        <w:pStyle w:val="4"/>
        <w:rPr>
          <w:rStyle w:val="28"/>
          <w:rFonts w:ascii="仿宋" w:hAnsi="仿宋" w:eastAsia="仿宋"/>
          <w:b w:val="0"/>
          <w:bCs w:val="0"/>
        </w:rPr>
      </w:pPr>
      <w:bookmarkStart w:id="72" w:name="_Toc15396631"/>
      <w:r>
        <w:rPr>
          <w:rStyle w:val="28"/>
          <w:rFonts w:hint="eastAsia" w:ascii="仿宋" w:hAnsi="仿宋" w:eastAsia="仿宋"/>
          <w:b w:val="0"/>
          <w:bCs w:val="0"/>
        </w:rPr>
        <w:t>十三、</w:t>
      </w:r>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72"/>
    </w:p>
    <w:p>
      <w:pPr>
        <w:rPr>
          <w:rFonts w:eastAsia="仿宋"/>
        </w:rPr>
      </w:pPr>
      <w:r>
        <w:rPr>
          <w:rStyle w:val="28"/>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Roman">
    <w:altName w:val="Times New Roman"/>
    <w:panose1 w:val="00000000000000000000"/>
    <w:charset w:val="00"/>
    <w:family w:val="roman"/>
    <w:pitch w:val="default"/>
    <w:sig w:usb0="00000000" w:usb1="00000000" w:usb2="00000000" w:usb3="00000000" w:csb0="0000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A998B"/>
    <w:multiLevelType w:val="singleLevel"/>
    <w:tmpl w:val="A89A998B"/>
    <w:lvl w:ilvl="0" w:tentative="0">
      <w:start w:val="1"/>
      <w:numFmt w:val="decimal"/>
      <w:lvlText w:val="%1."/>
      <w:lvlJc w:val="left"/>
      <w:pPr>
        <w:tabs>
          <w:tab w:val="left" w:pos="312"/>
        </w:tabs>
      </w:pPr>
    </w:lvl>
  </w:abstractNum>
  <w:abstractNum w:abstractNumId="1">
    <w:nsid w:val="C858741F"/>
    <w:multiLevelType w:val="singleLevel"/>
    <w:tmpl w:val="C858741F"/>
    <w:lvl w:ilvl="0" w:tentative="0">
      <w:start w:val="2"/>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984B3B9"/>
    <w:multiLevelType w:val="singleLevel"/>
    <w:tmpl w:val="D984B3B9"/>
    <w:lvl w:ilvl="0" w:tentative="0">
      <w:start w:val="2"/>
      <w:numFmt w:val="decimal"/>
      <w:suff w:val="nothing"/>
      <w:lvlText w:val="%1．"/>
      <w:lvlJc w:val="left"/>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FC220144"/>
    <w:multiLevelType w:val="singleLevel"/>
    <w:tmpl w:val="FC220144"/>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3133942"/>
    <w:multiLevelType w:val="singleLevel"/>
    <w:tmpl w:val="23133942"/>
    <w:lvl w:ilvl="0" w:tentative="0">
      <w:start w:val="3"/>
      <w:numFmt w:val="chineseCounting"/>
      <w:suff w:val="nothing"/>
      <w:lvlText w:val="（%1）"/>
      <w:lvlJc w:val="left"/>
      <w:rPr>
        <w:rFonts w:hint="eastAsia"/>
      </w:rPr>
    </w:lvl>
  </w:abstractNum>
  <w:abstractNum w:abstractNumId="8">
    <w:nsid w:val="3C5A0C57"/>
    <w:multiLevelType w:val="singleLevel"/>
    <w:tmpl w:val="3C5A0C57"/>
    <w:lvl w:ilvl="0" w:tentative="0">
      <w:start w:val="1"/>
      <w:numFmt w:val="chineseCounting"/>
      <w:suff w:val="nothing"/>
      <w:lvlText w:val="（%1）"/>
      <w:lvlJc w:val="left"/>
      <w:rPr>
        <w:rFonts w:hint="eastAsia"/>
      </w:rPr>
    </w:lvl>
  </w:abstractNum>
  <w:abstractNum w:abstractNumId="9">
    <w:nsid w:val="3E794925"/>
    <w:multiLevelType w:val="singleLevel"/>
    <w:tmpl w:val="3E794925"/>
    <w:lvl w:ilvl="0" w:tentative="0">
      <w:start w:val="3"/>
      <w:numFmt w:val="chineseCounting"/>
      <w:suff w:val="nothing"/>
      <w:lvlText w:val="（%1）"/>
      <w:lvlJc w:val="left"/>
      <w:rPr>
        <w:rFonts w:hint="eastAsia"/>
      </w:rPr>
    </w:lvl>
  </w:abstractNum>
  <w:abstractNum w:abstractNumId="10">
    <w:nsid w:val="6C54AC24"/>
    <w:multiLevelType w:val="singleLevel"/>
    <w:tmpl w:val="6C54AC24"/>
    <w:lvl w:ilvl="0" w:tentative="0">
      <w:start w:val="2"/>
      <w:numFmt w:val="chineseCounting"/>
      <w:suff w:val="nothing"/>
      <w:lvlText w:val="（%1）"/>
      <w:lvlJc w:val="left"/>
      <w:rPr>
        <w:rFonts w:hint="eastAsia"/>
      </w:rPr>
    </w:lvl>
  </w:abstractNum>
  <w:abstractNum w:abstractNumId="11">
    <w:nsid w:val="7BA79A40"/>
    <w:multiLevelType w:val="singleLevel"/>
    <w:tmpl w:val="7BA79A40"/>
    <w:lvl w:ilvl="0" w:tentative="0">
      <w:start w:val="2"/>
      <w:numFmt w:val="decimal"/>
      <w:suff w:val="nothing"/>
      <w:lvlText w:val="%1．"/>
      <w:lvlJc w:val="left"/>
    </w:lvl>
  </w:abstractNum>
  <w:num w:numId="1">
    <w:abstractNumId w:val="6"/>
  </w:num>
  <w:num w:numId="2">
    <w:abstractNumId w:val="0"/>
  </w:num>
  <w:num w:numId="3">
    <w:abstractNumId w:val="8"/>
  </w:num>
  <w:num w:numId="4">
    <w:abstractNumId w:val="2"/>
  </w:num>
  <w:num w:numId="5">
    <w:abstractNumId w:val="4"/>
  </w:num>
  <w:num w:numId="6">
    <w:abstractNumId w:val="7"/>
  </w:num>
  <w:num w:numId="7">
    <w:abstractNumId w:val="10"/>
  </w:num>
  <w:num w:numId="8">
    <w:abstractNumId w:val="9"/>
  </w:num>
  <w:num w:numId="9">
    <w:abstractNumId w:val="1"/>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mFiN2FmMWMxZjdkMWY5NGIyNWYwYTdiMzIyM2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E740F"/>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24362A"/>
    <w:rsid w:val="028317BC"/>
    <w:rsid w:val="052B2F21"/>
    <w:rsid w:val="05E530D0"/>
    <w:rsid w:val="066E0107"/>
    <w:rsid w:val="067C6FD8"/>
    <w:rsid w:val="07996F6E"/>
    <w:rsid w:val="0A2032A3"/>
    <w:rsid w:val="0A892BC4"/>
    <w:rsid w:val="0B9F75DE"/>
    <w:rsid w:val="0BC419DA"/>
    <w:rsid w:val="0C122745"/>
    <w:rsid w:val="0D186481"/>
    <w:rsid w:val="0F2033CB"/>
    <w:rsid w:val="0FBC6539"/>
    <w:rsid w:val="101860EC"/>
    <w:rsid w:val="10C055FF"/>
    <w:rsid w:val="118107EC"/>
    <w:rsid w:val="13D50BC4"/>
    <w:rsid w:val="148F7029"/>
    <w:rsid w:val="14D7277E"/>
    <w:rsid w:val="16BB723D"/>
    <w:rsid w:val="19BD63E6"/>
    <w:rsid w:val="1BE8440E"/>
    <w:rsid w:val="1D155CEE"/>
    <w:rsid w:val="1D3544E5"/>
    <w:rsid w:val="1EEE7042"/>
    <w:rsid w:val="1F5F4A93"/>
    <w:rsid w:val="215A276C"/>
    <w:rsid w:val="21BA320B"/>
    <w:rsid w:val="23860B96"/>
    <w:rsid w:val="23977CA8"/>
    <w:rsid w:val="240371BF"/>
    <w:rsid w:val="26EF7DFB"/>
    <w:rsid w:val="283B4AD6"/>
    <w:rsid w:val="29FD04D3"/>
    <w:rsid w:val="2C8A61B5"/>
    <w:rsid w:val="2DF04E50"/>
    <w:rsid w:val="2EB060C2"/>
    <w:rsid w:val="2EFA558F"/>
    <w:rsid w:val="2F7323EC"/>
    <w:rsid w:val="30FA1876"/>
    <w:rsid w:val="319F7F4E"/>
    <w:rsid w:val="31A32FDD"/>
    <w:rsid w:val="36AA5135"/>
    <w:rsid w:val="37E16F03"/>
    <w:rsid w:val="38DB1F8D"/>
    <w:rsid w:val="39C173D5"/>
    <w:rsid w:val="3A424E91"/>
    <w:rsid w:val="3D98207C"/>
    <w:rsid w:val="3E6D3BDA"/>
    <w:rsid w:val="3F2226C4"/>
    <w:rsid w:val="3FB62E0C"/>
    <w:rsid w:val="444430DC"/>
    <w:rsid w:val="44E268DA"/>
    <w:rsid w:val="453E18DA"/>
    <w:rsid w:val="481D7ECC"/>
    <w:rsid w:val="4A627F82"/>
    <w:rsid w:val="4AE20F59"/>
    <w:rsid w:val="4B4F25DA"/>
    <w:rsid w:val="4BE068DB"/>
    <w:rsid w:val="4D577224"/>
    <w:rsid w:val="4E143B1F"/>
    <w:rsid w:val="4EAB630A"/>
    <w:rsid w:val="4ECE2238"/>
    <w:rsid w:val="501871CB"/>
    <w:rsid w:val="523F7AE4"/>
    <w:rsid w:val="53B611D5"/>
    <w:rsid w:val="559D089E"/>
    <w:rsid w:val="59547072"/>
    <w:rsid w:val="597D4C6F"/>
    <w:rsid w:val="59FD7B5D"/>
    <w:rsid w:val="5A865DA5"/>
    <w:rsid w:val="5AF92295"/>
    <w:rsid w:val="5CD71FC4"/>
    <w:rsid w:val="5FB23198"/>
    <w:rsid w:val="60CE5DB0"/>
    <w:rsid w:val="615A3AE7"/>
    <w:rsid w:val="61F950AE"/>
    <w:rsid w:val="62D022B3"/>
    <w:rsid w:val="62FB68FE"/>
    <w:rsid w:val="64B4350F"/>
    <w:rsid w:val="68D51CA5"/>
    <w:rsid w:val="690E58E3"/>
    <w:rsid w:val="692C60A3"/>
    <w:rsid w:val="69DF4B8A"/>
    <w:rsid w:val="6A5E47A7"/>
    <w:rsid w:val="6C3D028D"/>
    <w:rsid w:val="6C4A05C8"/>
    <w:rsid w:val="6CA77FD9"/>
    <w:rsid w:val="6E274D51"/>
    <w:rsid w:val="6E7E3605"/>
    <w:rsid w:val="6EBF31DC"/>
    <w:rsid w:val="6FF5CC65"/>
    <w:rsid w:val="715C0E4B"/>
    <w:rsid w:val="72734D90"/>
    <w:rsid w:val="73AD73D5"/>
    <w:rsid w:val="73B6EB34"/>
    <w:rsid w:val="73ED4347"/>
    <w:rsid w:val="765E234D"/>
    <w:rsid w:val="767174B1"/>
    <w:rsid w:val="76C53359"/>
    <w:rsid w:val="790E548B"/>
    <w:rsid w:val="79EE5BA4"/>
    <w:rsid w:val="7A4A42A1"/>
    <w:rsid w:val="7A894339"/>
    <w:rsid w:val="7CB52E8A"/>
    <w:rsid w:val="7EEF11D3"/>
    <w:rsid w:val="7FA30C79"/>
    <w:rsid w:val="7FC96657"/>
    <w:rsid w:val="7FF8479F"/>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unhideWhenUsed/>
    <w:qFormat/>
    <w:uiPriority w:val="0"/>
    <w:pPr>
      <w:ind w:left="200" w:leftChars="200" w:hanging="200" w:hangingChars="200"/>
    </w:p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7"/>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style01"/>
    <w:basedOn w:val="16"/>
    <w:qFormat/>
    <w:uiPriority w:val="0"/>
    <w:rPr>
      <w:rFonts w:hint="eastAsia" w:ascii="仿宋_GB2312" w:eastAsia="仿宋_GB2312"/>
      <w:color w:val="000000"/>
      <w:sz w:val="32"/>
      <w:szCs w:val="32"/>
    </w:rPr>
  </w:style>
  <w:style w:type="character" w:customStyle="1" w:styleId="34">
    <w:name w:val="fontstyle21"/>
    <w:basedOn w:val="16"/>
    <w:qFormat/>
    <w:uiPriority w:val="0"/>
    <w:rPr>
      <w:rFonts w:hint="default" w:ascii="Times-Roman" w:hAnsi="Times-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收入支出决算总体情况</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本年收入</c:v>
                </c:pt>
                <c:pt idx="1">
                  <c:v>本年支出</c:v>
                </c:pt>
              </c:strCache>
            </c:strRef>
          </c:cat>
          <c:val>
            <c:numRef>
              <c:f>Sheet1!$B$2:$B$3</c:f>
              <c:numCache>
                <c:formatCode>General</c:formatCode>
                <c:ptCount val="2"/>
                <c:pt idx="0">
                  <c:v>8563.57</c:v>
                </c:pt>
                <c:pt idx="1">
                  <c:v>8563.57</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本年收入</c:v>
                </c:pt>
                <c:pt idx="1">
                  <c:v>本年支出</c:v>
                </c:pt>
              </c:strCache>
            </c:strRef>
          </c:cat>
          <c:val>
            <c:numRef>
              <c:f>Sheet1!$C$2:$C$3</c:f>
              <c:numCache>
                <c:formatCode>General</c:formatCode>
                <c:ptCount val="2"/>
                <c:pt idx="0">
                  <c:v>5167</c:v>
                </c:pt>
                <c:pt idx="1">
                  <c:v>5167</c:v>
                </c:pt>
              </c:numCache>
            </c:numRef>
          </c:val>
        </c:ser>
        <c:dLbls>
          <c:showLegendKey val="0"/>
          <c:showVal val="1"/>
          <c:showCatName val="0"/>
          <c:showSerName val="0"/>
          <c:showPercent val="0"/>
          <c:showBubbleSize val="0"/>
        </c:dLbls>
        <c:gapWidth val="150"/>
        <c:overlap val="0"/>
        <c:axId val="382004394"/>
        <c:axId val="213732346"/>
      </c:barChart>
      <c:catAx>
        <c:axId val="3820043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732346"/>
        <c:crosses val="autoZero"/>
        <c:auto val="1"/>
        <c:lblAlgn val="ctr"/>
        <c:lblOffset val="100"/>
        <c:noMultiLvlLbl val="0"/>
      </c:catAx>
      <c:valAx>
        <c:axId val="2137323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00439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lumMod val="7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8</a:t>
                    </a:r>
                    <a:r>
                      <a:rPr lang="en-US" altLang="zh-CN"/>
                      <a:t>7.74</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0186621730808806"/>
                  <c:y val="0.13769901779182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a:t>
                    </a:r>
                    <a:r>
                      <a:rPr lang="en-US" altLang="zh-CN"/>
                      <a:t>.23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513566907877567"/>
                  <c:y val="0.007784090466032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a:t>
                    </a:r>
                    <a:r>
                      <a:rPr lang="en-US" altLang="zh-CN"/>
                      <a:t>.03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Sheet1!$D$10:$D$12</c:f>
              <c:strCache>
                <c:ptCount val="3"/>
                <c:pt idx="0">
                  <c:v>一般公共预算财政拨款收入</c:v>
                </c:pt>
                <c:pt idx="1">
                  <c:v>政府性基金财政拨款收入</c:v>
                </c:pt>
                <c:pt idx="2">
                  <c:v>其他收入</c:v>
                </c:pt>
              </c:strCache>
            </c:strRef>
          </c:cat>
          <c:val>
            <c:numRef>
              <c:f>Sheet1!$E$10:$E$12</c:f>
              <c:numCache>
                <c:formatCode>General</c:formatCode>
                <c:ptCount val="3"/>
                <c:pt idx="0">
                  <c:v>3731.63</c:v>
                </c:pt>
                <c:pt idx="1">
                  <c:v>520.08</c:v>
                </c:pt>
                <c:pt idx="2">
                  <c:v>1.45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lumMod val="7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6.84</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73</a:t>
                    </a:r>
                    <a:r>
                      <a:rPr lang="en-US" altLang="zh-CN"/>
                      <a:t>.16</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基本支出</c:v>
                </c:pt>
                <c:pt idx="1">
                  <c:v>项目支出</c:v>
                </c:pt>
              </c:strCache>
            </c:strRef>
          </c:cat>
          <c:val>
            <c:numRef>
              <c:f>Sheet1!$B$1:$B$2</c:f>
              <c:numCache>
                <c:formatCode>General</c:formatCode>
                <c:ptCount val="2"/>
                <c:pt idx="0">
                  <c:v>1387</c:v>
                </c:pt>
                <c:pt idx="1">
                  <c:v>3779.99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lumMod val="7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收、支总计</c:v>
                </c:pt>
              </c:strCache>
            </c:strRef>
          </c:cat>
          <c:val>
            <c:numRef>
              <c:f>Sheet1!$B$2</c:f>
              <c:numCache>
                <c:formatCode>General</c:formatCode>
                <c:ptCount val="1"/>
                <c:pt idx="0">
                  <c:v>8559.62</c:v>
                </c:pt>
              </c:numCache>
            </c:numRef>
          </c:val>
        </c:ser>
        <c:ser>
          <c:idx val="1"/>
          <c:order val="1"/>
          <c:tx>
            <c:strRef>
              <c:f>Sheet1!$A$3</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收、支总计</c:v>
                </c:pt>
              </c:strCache>
            </c:strRef>
          </c:cat>
          <c:val>
            <c:numRef>
              <c:f>Sheet1!$B$3</c:f>
              <c:numCache>
                <c:formatCode>General</c:formatCode>
                <c:ptCount val="1"/>
                <c:pt idx="0">
                  <c:v>5164.23</c:v>
                </c:pt>
              </c:numCache>
            </c:numRef>
          </c:val>
        </c:ser>
        <c:dLbls>
          <c:showLegendKey val="0"/>
          <c:showVal val="1"/>
          <c:showCatName val="0"/>
          <c:showSerName val="0"/>
          <c:showPercent val="0"/>
          <c:showBubbleSize val="0"/>
        </c:dLbls>
        <c:gapWidth val="150"/>
        <c:overlap val="0"/>
        <c:axId val="82405654"/>
        <c:axId val="33587387"/>
      </c:barChart>
      <c:catAx>
        <c:axId val="824056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87387"/>
        <c:crosses val="autoZero"/>
        <c:auto val="1"/>
        <c:lblAlgn val="ctr"/>
        <c:lblOffset val="100"/>
        <c:noMultiLvlLbl val="0"/>
      </c:catAx>
      <c:valAx>
        <c:axId val="335873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40565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lumMod val="7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一般公共预算财政拨款支出决算总体情况</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4505.01</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4383.14</c:v>
                </c:pt>
              </c:numCache>
            </c:numRef>
          </c:val>
        </c:ser>
        <c:dLbls>
          <c:showLegendKey val="0"/>
          <c:showVal val="1"/>
          <c:showCatName val="0"/>
          <c:showSerName val="0"/>
          <c:showPercent val="0"/>
          <c:showBubbleSize val="0"/>
        </c:dLbls>
        <c:gapWidth val="150"/>
        <c:overlap val="0"/>
        <c:axId val="378180462"/>
        <c:axId val="412129328"/>
      </c:barChart>
      <c:catAx>
        <c:axId val="3781804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29328"/>
        <c:crosses val="autoZero"/>
        <c:auto val="1"/>
        <c:lblAlgn val="ctr"/>
        <c:lblOffset val="100"/>
        <c:noMultiLvlLbl val="0"/>
      </c:catAx>
      <c:valAx>
        <c:axId val="41212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818046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lumMod val="7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16</a:t>
                    </a:r>
                    <a:r>
                      <a:rPr lang="en-US" altLang="zh-CN"/>
                      <a:t>.38</a:t>
                    </a:r>
                    <a:r>
                      <a:t>%</a:t>
                    </a:r>
                  </a:p>
                </c:rich>
              </c:tx>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a:t>
                    </a:r>
                    <a:r>
                      <a:rPr lang="en-US" altLang="zh-CN"/>
                      <a:t>5.63</a:t>
                    </a:r>
                    <a:r>
                      <a:t>%</a:t>
                    </a:r>
                  </a:p>
                </c:rich>
              </c:tx>
              <c:dLblPos val="inEnd"/>
              <c:showLegendKey val="0"/>
              <c:showVal val="0"/>
              <c:showCatName val="0"/>
              <c:showSerName val="0"/>
              <c:showPercent val="1"/>
              <c:showBubbleSize val="0"/>
              <c:separator>
</c:separator>
              <c:extLst>
                <c:ext xmlns:c15="http://schemas.microsoft.com/office/drawing/2012/chart" uri="{CE6537A1-D6FC-4f65-9D91-7224C49458BB}"/>
              </c:extLst>
            </c:dLbl>
            <c:dLbl>
              <c:idx val="2"/>
              <c:layout>
                <c:manualLayout>
                  <c:x val="0.0358519021733161"/>
                  <c:y val="0.054064643088718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a:t>
                    </a:r>
                    <a:r>
                      <a:rPr lang="en-US" altLang="zh-CN"/>
                      <a:t>.15</a:t>
                    </a:r>
                    <a:r>
                      <a:t>%</a:t>
                    </a:r>
                  </a:p>
                </c:rich>
              </c:tx>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dLbl>
              <c:idx val="3"/>
              <c:layout>
                <c:manualLayout>
                  <c:x val="-0.0179329208262176"/>
                  <c:y val="0.01373730932778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.46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192307394219754"/>
                  <c:y val="-0.020780246141992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0.99</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220168536919251"/>
                  <c:y val="-0.05371877615507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139938902496505"/>
                  <c:y val="-0.01969554877342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a:t>
                    </a:r>
                    <a:r>
                      <a:rPr lang="en-US" altLang="zh-CN"/>
                      <a:t>.31</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672913751092795"/>
                  <c:y val="0.012151253259777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1.52</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Sheet1!$A$1:$A$8</c:f>
              <c:strCache>
                <c:ptCount val="8"/>
                <c:pt idx="0">
                  <c:v>一般公共服务支出</c:v>
                </c:pt>
                <c:pt idx="1">
                  <c:v>教育支出</c:v>
                </c:pt>
                <c:pt idx="2">
                  <c:v>文化旅游体育与传媒支出</c:v>
                </c:pt>
                <c:pt idx="3">
                  <c:v>社会保障和就业支出</c:v>
                </c:pt>
                <c:pt idx="4">
                  <c:v>卫生健康支出</c:v>
                </c:pt>
                <c:pt idx="5">
                  <c:v>城乡社区支出</c:v>
                </c:pt>
                <c:pt idx="6">
                  <c:v>农林水支出</c:v>
                </c:pt>
                <c:pt idx="7">
                  <c:v>住房保障支出</c:v>
                </c:pt>
              </c:strCache>
            </c:strRef>
          </c:cat>
          <c:val>
            <c:numRef>
              <c:f>Sheet1!$B$1:$B$8</c:f>
              <c:numCache>
                <c:formatCode>General</c:formatCode>
                <c:ptCount val="8"/>
                <c:pt idx="0">
                  <c:v>717.84</c:v>
                </c:pt>
                <c:pt idx="1">
                  <c:v>2000</c:v>
                </c:pt>
                <c:pt idx="2">
                  <c:v>6.44</c:v>
                </c:pt>
                <c:pt idx="3">
                  <c:v>107.65</c:v>
                </c:pt>
                <c:pt idx="4">
                  <c:v>43.36</c:v>
                </c:pt>
                <c:pt idx="5">
                  <c:v>68.39</c:v>
                </c:pt>
                <c:pt idx="6">
                  <c:v>1372.25</c:v>
                </c:pt>
                <c:pt idx="7">
                  <c:v>67.22</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lumMod val="7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经费财政拨款支出情况</a:t>
            </a:r>
            <a:endParaRPr altLang="en-US"/>
          </a:p>
        </c:rich>
      </c:tx>
      <c:layout>
        <c:manualLayout>
          <c:xMode val="edge"/>
          <c:yMode val="edge"/>
          <c:x val="0.211900425015179"/>
          <c:y val="0.0097529258777633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Sheet1!$A$1:$B$1</c:f>
              <c:strCache>
                <c:ptCount val="2"/>
                <c:pt idx="0">
                  <c:v>公务用车购置及运行维护费支出</c:v>
                </c:pt>
                <c:pt idx="1">
                  <c:v>公务接待费支出</c:v>
                </c:pt>
              </c:strCache>
            </c:strRef>
          </c:cat>
          <c:val>
            <c:numRef>
              <c:f>Sheet1!$A$2:$B$2</c:f>
              <c:numCache>
                <c:formatCode>General</c:formatCode>
                <c:ptCount val="2"/>
                <c:pt idx="0">
                  <c:v>15</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lumMod val="75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41</Pages>
  <Words>15525</Words>
  <Characters>17169</Characters>
  <Lines>57</Lines>
  <Paragraphs>16</Paragraphs>
  <TotalTime>99</TotalTime>
  <ScaleCrop>false</ScaleCrop>
  <LinksUpToDate>false</LinksUpToDate>
  <CharactersWithSpaces>17240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罗艺</cp:lastModifiedBy>
  <cp:lastPrinted>2022-10-08T07:06:00Z</cp:lastPrinted>
  <dcterms:modified xsi:type="dcterms:W3CDTF">2023-10-08T03:32:14Z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B1509FE0C3DB4B4794C9C504D86513F1_13</vt:lpwstr>
  </property>
</Properties>
</file>