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597"/>
      <w:bookmarkStart w:id="3" w:name="_Toc15396475"/>
      <w:bookmarkStart w:id="4" w:name="_Toc15377425"/>
      <w:bookmarkStart w:id="5"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194"/>
      <w:bookmarkStart w:id="8" w:name="_Toc15396598"/>
      <w:bookmarkStart w:id="9" w:name="_Toc15378442"/>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攀枝花市西区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信访局决算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公开时间：2022年10月10日</w:t>
      </w:r>
    </w:p>
    <w:p/>
    <w:p>
      <w:pPr>
        <w:pStyle w:val="10"/>
        <w:adjustRightInd w:val="0"/>
        <w:snapToGrid w:val="0"/>
        <w:spacing w:before="0" w:line="440" w:lineRule="exact"/>
        <w:jc w:val="left"/>
        <w:rPr>
          <w:rFonts w:cstheme="minorBidi"/>
          <w:sz w:val="24"/>
          <w:szCs w:val="24"/>
        </w:rPr>
      </w:pPr>
      <w:r>
        <w:rPr>
          <w:rFonts w:hint="eastAsia"/>
          <w:sz w:val="24"/>
        </w:rPr>
        <w:t>第一部分单位概况</w:t>
      </w:r>
      <w:r>
        <w:tab/>
      </w:r>
      <w:r>
        <w:rPr>
          <w:rFonts w:hint="eastAsia" w:ascii="Times New Roman" w:hAnsi="Times New Roman" w:eastAsia="宋体"/>
          <w:sz w:val="21"/>
          <w:szCs w:val="24"/>
        </w:rPr>
        <w:t>4</w:t>
      </w:r>
    </w:p>
    <w:p>
      <w:pPr>
        <w:pStyle w:val="11"/>
        <w:adjustRightInd w:val="0"/>
        <w:snapToGrid w:val="0"/>
        <w:spacing w:line="440" w:lineRule="exact"/>
        <w:jc w:val="left"/>
        <w:rPr>
          <w:sz w:val="24"/>
        </w:rPr>
      </w:pPr>
      <w:r>
        <w:rPr>
          <w:rFonts w:hint="eastAsia"/>
          <w:sz w:val="24"/>
        </w:rPr>
        <w:t>一、职能简介</w:t>
      </w:r>
      <w:r>
        <w:tab/>
      </w:r>
      <w:r>
        <w:rPr>
          <w:rFonts w:hint="eastAsia"/>
        </w:rPr>
        <w:t>4</w:t>
      </w:r>
    </w:p>
    <w:p>
      <w:pPr>
        <w:pStyle w:val="11"/>
        <w:adjustRightInd w:val="0"/>
        <w:snapToGrid w:val="0"/>
        <w:spacing w:line="440" w:lineRule="exact"/>
        <w:jc w:val="left"/>
        <w:rPr>
          <w:rFonts w:hint="eastAsia"/>
          <w:sz w:val="24"/>
        </w:rPr>
      </w:pPr>
      <w:r>
        <w:rPr>
          <w:rFonts w:hint="eastAsia" w:asciiTheme="minorEastAsia" w:hAnsiTheme="minorEastAsia" w:eastAsiaTheme="minorEastAsia" w:cstheme="minorEastAsia"/>
          <w:sz w:val="24"/>
        </w:rPr>
        <w:t>二、</w:t>
      </w:r>
      <w:r>
        <w:rPr>
          <w:rFonts w:hint="eastAsia"/>
          <w:sz w:val="24"/>
        </w:rPr>
        <w:t>2021年重点工作完成情况</w:t>
      </w:r>
      <w:r>
        <w:rPr>
          <w:rFonts w:hint="eastAsia"/>
          <w:sz w:val="24"/>
        </w:rPr>
        <w:tab/>
      </w:r>
      <w:r>
        <w:rPr>
          <w:rFonts w:hint="eastAsia"/>
          <w:sz w:val="24"/>
        </w:rPr>
        <w:t>5</w:t>
      </w:r>
    </w:p>
    <w:p>
      <w:pPr>
        <w:pStyle w:val="11"/>
        <w:adjustRightInd w:val="0"/>
        <w:snapToGrid w:val="0"/>
        <w:spacing w:line="440" w:lineRule="exact"/>
        <w:jc w:val="left"/>
        <w:rPr>
          <w:rFonts w:hint="eastAsia" w:eastAsia="宋体"/>
          <w:sz w:val="24"/>
          <w:lang w:val="en-US" w:eastAsia="zh-CN"/>
        </w:rPr>
      </w:pPr>
      <w:r>
        <w:rPr>
          <w:rFonts w:hint="eastAsia"/>
          <w:sz w:val="24"/>
          <w:lang w:val="en-US" w:eastAsia="zh-CN"/>
        </w:rPr>
        <w:t>三、机构设置情况</w:t>
      </w:r>
      <w:r>
        <w:rPr>
          <w:rFonts w:hint="eastAsia"/>
          <w:sz w:val="24"/>
        </w:rPr>
        <w:tab/>
      </w:r>
      <w:r>
        <w:rPr>
          <w:rFonts w:hint="eastAsia"/>
          <w:sz w:val="24"/>
          <w:lang w:val="en-US" w:eastAsia="zh-CN"/>
        </w:rPr>
        <w:t>7</w:t>
      </w:r>
    </w:p>
    <w:p>
      <w:pPr>
        <w:pStyle w:val="10"/>
        <w:adjustRightInd w:val="0"/>
        <w:snapToGrid w:val="0"/>
        <w:spacing w:before="0" w:line="440" w:lineRule="exact"/>
        <w:jc w:val="left"/>
        <w:rPr>
          <w:rFonts w:hint="eastAsia" w:eastAsia="仿宋"/>
          <w:sz w:val="24"/>
          <w:szCs w:val="24"/>
          <w:lang w:eastAsia="zh-CN"/>
        </w:rPr>
      </w:pPr>
      <w:r>
        <w:rPr>
          <w:rFonts w:hint="eastAsia"/>
          <w:sz w:val="24"/>
        </w:rPr>
        <w:t>第二部分 2021年度单位决算情况说明</w:t>
      </w:r>
      <w:r>
        <w:tab/>
      </w:r>
      <w:r>
        <w:rPr>
          <w:rFonts w:hint="eastAsia" w:ascii="Times New Roman" w:hAnsi="Times New Roman" w:eastAsia="宋体"/>
          <w:sz w:val="21"/>
          <w:szCs w:val="24"/>
          <w:lang w:val="en-US" w:eastAsia="zh-CN"/>
        </w:rPr>
        <w:t>8</w:t>
      </w:r>
    </w:p>
    <w:p>
      <w:pPr>
        <w:pStyle w:val="11"/>
        <w:adjustRightInd w:val="0"/>
        <w:snapToGrid w:val="0"/>
        <w:spacing w:line="440" w:lineRule="exact"/>
        <w:jc w:val="left"/>
        <w:rPr>
          <w:rFonts w:hint="eastAsia" w:ascii="仿宋" w:hAnsi="仿宋" w:eastAsia="宋体" w:cstheme="minorBidi"/>
          <w:sz w:val="24"/>
          <w:lang w:eastAsia="zh-CN"/>
        </w:rPr>
      </w:pPr>
      <w:r>
        <w:rPr>
          <w:rFonts w:hint="eastAsia"/>
          <w:sz w:val="24"/>
        </w:rPr>
        <w:t>一、收入支出决算总体情况说明</w:t>
      </w:r>
      <w:r>
        <w:tab/>
      </w:r>
      <w:r>
        <w:rPr>
          <w:rFonts w:hint="eastAsia"/>
          <w:lang w:val="en-US" w:eastAsia="zh-CN"/>
        </w:rPr>
        <w:t>8</w:t>
      </w:r>
    </w:p>
    <w:p>
      <w:pPr>
        <w:pStyle w:val="11"/>
        <w:adjustRightInd w:val="0"/>
        <w:snapToGrid w:val="0"/>
        <w:spacing w:line="440" w:lineRule="exact"/>
        <w:jc w:val="left"/>
        <w:rPr>
          <w:rFonts w:ascii="仿宋" w:hAnsi="仿宋" w:cstheme="minorBidi"/>
          <w:sz w:val="24"/>
        </w:rPr>
      </w:pPr>
      <w:r>
        <w:rPr>
          <w:rFonts w:hint="eastAsia"/>
          <w:sz w:val="24"/>
        </w:rPr>
        <w:t>二、收入决算情况说明</w:t>
      </w:r>
      <w:r>
        <w:tab/>
      </w:r>
      <w:r>
        <w:rPr>
          <w:rFonts w:hint="eastAsia"/>
        </w:rPr>
        <w:t>8</w:t>
      </w:r>
    </w:p>
    <w:p>
      <w:pPr>
        <w:pStyle w:val="11"/>
        <w:adjustRightInd w:val="0"/>
        <w:snapToGrid w:val="0"/>
        <w:spacing w:line="440" w:lineRule="exact"/>
        <w:jc w:val="left"/>
        <w:rPr>
          <w:rFonts w:hint="eastAsia" w:ascii="仿宋" w:hAnsi="仿宋" w:eastAsia="宋体" w:cstheme="minorBidi"/>
          <w:sz w:val="24"/>
          <w:lang w:eastAsia="zh-CN"/>
        </w:rPr>
      </w:pPr>
      <w:r>
        <w:rPr>
          <w:rFonts w:hint="eastAsia"/>
          <w:sz w:val="24"/>
        </w:rPr>
        <w:t>三、支出决算情况说明</w:t>
      </w:r>
      <w:r>
        <w:tab/>
      </w:r>
      <w:r>
        <w:rPr>
          <w:rFonts w:hint="eastAsia"/>
          <w:lang w:val="en-US" w:eastAsia="zh-CN"/>
        </w:rPr>
        <w:t>9</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w:t>
      </w:r>
      <w:r>
        <w:tab/>
      </w:r>
      <w:r>
        <w:rPr>
          <w:rFonts w:hint="eastAsia"/>
        </w:rPr>
        <w:t>9</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10</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tab/>
      </w:r>
      <w:r>
        <w:rPr>
          <w:rFonts w:hint="eastAsia"/>
        </w:rPr>
        <w:t>12</w:t>
      </w:r>
    </w:p>
    <w:p>
      <w:pPr>
        <w:pStyle w:val="11"/>
        <w:adjustRightInd w:val="0"/>
        <w:snapToGrid w:val="0"/>
        <w:spacing w:line="440" w:lineRule="exact"/>
        <w:jc w:val="left"/>
        <w:rPr>
          <w:rFonts w:ascii="仿宋" w:hAnsi="仿宋" w:cstheme="minorBidi"/>
          <w:sz w:val="24"/>
        </w:rPr>
      </w:pPr>
      <w:r>
        <w:rPr>
          <w:rFonts w:hint="eastAsia"/>
          <w:sz w:val="24"/>
        </w:rPr>
        <w:t>七、“三公”经费财政拨款支出决算情况说明</w:t>
      </w:r>
      <w:r>
        <w:tab/>
      </w:r>
      <w:r>
        <w:rPr>
          <w:rFonts w:hint="eastAsia"/>
        </w:rPr>
        <w:t>12</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w:t>
      </w:r>
      <w:r>
        <w:tab/>
      </w:r>
      <w:r>
        <w:rPr>
          <w:rFonts w:hint="eastAsia"/>
        </w:rPr>
        <w:t>14</w:t>
      </w:r>
    </w:p>
    <w:p>
      <w:pPr>
        <w:pStyle w:val="11"/>
        <w:adjustRightInd w:val="0"/>
        <w:snapToGrid w:val="0"/>
        <w:spacing w:line="440" w:lineRule="exact"/>
        <w:jc w:val="left"/>
        <w:rPr>
          <w:sz w:val="24"/>
        </w:rPr>
      </w:pPr>
      <w:r>
        <w:rPr>
          <w:rFonts w:hint="eastAsia"/>
          <w:sz w:val="24"/>
        </w:rPr>
        <w:t>九、国有资本经营预算支出决算情况说明</w:t>
      </w:r>
      <w:r>
        <w:tab/>
      </w:r>
      <w:r>
        <w:rPr>
          <w:rFonts w:hint="eastAsia"/>
        </w:rPr>
        <w:t>14</w:t>
      </w:r>
    </w:p>
    <w:p>
      <w:pPr>
        <w:pStyle w:val="11"/>
        <w:adjustRightInd w:val="0"/>
        <w:snapToGrid w:val="0"/>
        <w:spacing w:line="440" w:lineRule="exact"/>
        <w:jc w:val="left"/>
        <w:rPr>
          <w:sz w:val="24"/>
        </w:rPr>
      </w:pPr>
      <w:r>
        <w:rPr>
          <w:rFonts w:hint="eastAsia"/>
          <w:sz w:val="24"/>
        </w:rPr>
        <w:t>十、其他重要事项的情况说明</w:t>
      </w:r>
      <w:r>
        <w:tab/>
      </w:r>
      <w:r>
        <w:rPr>
          <w:rFonts w:hint="eastAsia"/>
        </w:rPr>
        <w:t>14</w:t>
      </w:r>
    </w:p>
    <w:p>
      <w:pPr>
        <w:pStyle w:val="10"/>
        <w:adjustRightInd w:val="0"/>
        <w:snapToGrid w:val="0"/>
        <w:spacing w:before="0" w:line="440" w:lineRule="exact"/>
        <w:jc w:val="left"/>
        <w:rPr>
          <w:rFonts w:hint="eastAsia" w:ascii="Times New Roman" w:hAnsi="Times New Roman" w:eastAsia="宋体"/>
          <w:sz w:val="21"/>
          <w:szCs w:val="24"/>
          <w:lang w:val="en-US" w:eastAsia="zh-CN"/>
        </w:rPr>
      </w:pPr>
      <w:r>
        <w:rPr>
          <w:rFonts w:hint="eastAsia"/>
          <w:sz w:val="24"/>
        </w:rPr>
        <w:t>第三部分名词解释</w:t>
      </w:r>
      <w:r>
        <w:tab/>
      </w:r>
      <w:r>
        <w:rPr>
          <w:rFonts w:hint="eastAsia" w:ascii="Times New Roman" w:hAnsi="Times New Roman" w:eastAsia="宋体"/>
          <w:sz w:val="21"/>
          <w:szCs w:val="24"/>
        </w:rPr>
        <w:t>1</w:t>
      </w:r>
      <w:r>
        <w:rPr>
          <w:rFonts w:hint="eastAsia" w:ascii="Times New Roman" w:hAnsi="Times New Roman" w:eastAsia="宋体"/>
          <w:sz w:val="21"/>
          <w:szCs w:val="24"/>
          <w:lang w:val="en-US" w:eastAsia="zh-CN"/>
        </w:rPr>
        <w:t>5</w:t>
      </w:r>
    </w:p>
    <w:p>
      <w:pPr>
        <w:pStyle w:val="10"/>
        <w:adjustRightInd w:val="0"/>
        <w:snapToGrid w:val="0"/>
        <w:spacing w:before="0" w:line="440" w:lineRule="exact"/>
        <w:jc w:val="left"/>
        <w:rPr>
          <w:rFonts w:hint="eastAsia" w:ascii="Times New Roman" w:hAnsi="Times New Roman" w:eastAsia="宋体"/>
          <w:sz w:val="21"/>
          <w:szCs w:val="24"/>
          <w:lang w:eastAsia="zh-CN"/>
        </w:rPr>
      </w:pPr>
      <w:r>
        <w:rPr>
          <w:rFonts w:hint="eastAsia"/>
          <w:sz w:val="24"/>
        </w:rPr>
        <w:t>第四部分附件</w:t>
      </w:r>
      <w:r>
        <w:tab/>
      </w:r>
      <w:r>
        <w:rPr>
          <w:rFonts w:hint="eastAsia" w:ascii="Times New Roman" w:hAnsi="Times New Roman" w:eastAsia="宋体"/>
          <w:sz w:val="21"/>
          <w:szCs w:val="24"/>
        </w:rPr>
        <w:t>1</w:t>
      </w:r>
      <w:r>
        <w:rPr>
          <w:rFonts w:hint="eastAsia" w:ascii="Times New Roman" w:hAnsi="Times New Roman" w:eastAsia="宋体"/>
          <w:sz w:val="21"/>
          <w:szCs w:val="24"/>
          <w:lang w:val="en-US" w:eastAsia="zh-CN"/>
        </w:rPr>
        <w:t>8</w:t>
      </w:r>
    </w:p>
    <w:p>
      <w:pPr>
        <w:pStyle w:val="10"/>
        <w:adjustRightInd w:val="0"/>
        <w:snapToGrid w:val="0"/>
        <w:spacing w:before="0" w:line="440" w:lineRule="exact"/>
        <w:jc w:val="left"/>
        <w:rPr>
          <w:rFonts w:hint="eastAsia" w:ascii="Times New Roman" w:hAnsi="Times New Roman" w:eastAsia="宋体"/>
          <w:sz w:val="21"/>
          <w:szCs w:val="24"/>
          <w:lang w:eastAsia="zh-CN"/>
        </w:rPr>
      </w:pPr>
      <w:r>
        <w:rPr>
          <w:rFonts w:hint="eastAsia"/>
          <w:sz w:val="24"/>
        </w:rPr>
        <w:t>第五部分附表</w:t>
      </w:r>
      <w:r>
        <w:tab/>
      </w:r>
      <w:r>
        <w:rPr>
          <w:rFonts w:hint="eastAsia" w:ascii="Times New Roman" w:hAnsi="Times New Roman" w:eastAsia="宋体"/>
          <w:sz w:val="21"/>
          <w:szCs w:val="24"/>
        </w:rPr>
        <w:t>2</w:t>
      </w:r>
      <w:r>
        <w:rPr>
          <w:rFonts w:hint="eastAsia" w:ascii="Times New Roman" w:hAnsi="Times New Roman" w:eastAsia="宋体"/>
          <w:sz w:val="21"/>
          <w:szCs w:val="24"/>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一、收入支出决算总表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二、收入决算表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三、支出决算表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四、财政拨款收入支出决算总表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五、财政拨款支出决算明细表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六、一般公共预算财政拨款支出决算表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七、一般公共预算财政拨款支出决算明细表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八、一般公共预算财政拨款基本支出决算表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九、一般公共预算财政拨款项目支出决算表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十、一般公共预算财政拨款“三公”经费支出决算表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十一、政府性基金预算财政拨款收入支出决算表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十二、政府性基金预算财政拨款“三公”经费支出决算表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十三、国有资本经营预算财政拨款收入支出决算表</w:t>
      </w:r>
      <w:r>
        <w:tab/>
      </w:r>
      <w:r>
        <w:rPr>
          <w:rFonts w:hint="eastAsia"/>
        </w:rPr>
        <w:t>2</w:t>
      </w:r>
      <w:r>
        <w:rPr>
          <w:rFonts w:hint="eastAsia"/>
          <w:lang w:val="en-US" w:eastAsia="zh-CN"/>
        </w:rPr>
        <w:t>3</w:t>
      </w:r>
    </w:p>
    <w:p>
      <w:pPr>
        <w:pStyle w:val="11"/>
        <w:adjustRightInd w:val="0"/>
        <w:snapToGrid w:val="0"/>
        <w:spacing w:line="440" w:lineRule="exact"/>
        <w:jc w:val="left"/>
        <w:rPr>
          <w:rFonts w:hint="eastAsia" w:eastAsia="宋体"/>
          <w:sz w:val="24"/>
          <w:lang w:eastAsia="zh-CN"/>
        </w:rPr>
      </w:pPr>
      <w:r>
        <w:rPr>
          <w:rFonts w:hint="eastAsia"/>
          <w:sz w:val="24"/>
        </w:rPr>
        <w:t>十四、国有资本经营预算财政拨款支出决算表</w:t>
      </w:r>
      <w:r>
        <w:tab/>
      </w:r>
      <w:r>
        <w:rPr>
          <w:rFonts w:hint="eastAsia"/>
        </w:rPr>
        <w:t>2</w:t>
      </w:r>
      <w:r>
        <w:rPr>
          <w:rFonts w:hint="eastAsia"/>
          <w:lang w:val="en-US" w:eastAsia="zh-CN"/>
        </w:rPr>
        <w:t>3</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ind w:firstLine="640" w:firstLineChars="200"/>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一、职能简介</w:t>
      </w:r>
    </w:p>
    <w:p>
      <w:pPr>
        <w:autoSpaceDE w:val="0"/>
        <w:autoSpaceDN w:val="0"/>
        <w:adjustRightInd w:val="0"/>
        <w:ind w:firstLine="640" w:firstLineChars="200"/>
        <w:jc w:val="left"/>
        <w:rPr>
          <w:rFonts w:ascii="仿宋_GB2312" w:hAnsi="仿宋" w:eastAsia="仿宋_GB2312"/>
          <w:sz w:val="32"/>
          <w:szCs w:val="32"/>
        </w:rPr>
      </w:pPr>
      <w:r>
        <w:rPr>
          <w:rFonts w:hint="eastAsia" w:ascii="仿宋_GB2312" w:hAnsi="仿宋" w:eastAsia="仿宋_GB2312"/>
          <w:sz w:val="32"/>
          <w:szCs w:val="32"/>
        </w:rPr>
        <w:t>1.贯彻执行党和国家关于信访工作的方针、政策、法律、法规以及各级党委、政府的决策部署；提出改进和加强信访工作的建议；负责本系统、本部门依法行政工作。</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2.负责向区委、区政府反映来信来电来访中提出的重要建议、意见和问题，综合研判信访信息，开展调查研究，提出制定修改完善有关政策法规的建议。</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3.指导全区信访工作，督促检查镇、街道和区级各部门（单位）的信访工作，并总结推广信访工作经验，牵头完成信访工作宣传和信息发布。</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4.负责处理区内外群众、境外人士、法人及其他组织通过信访渠道给区委、区政府及领导同志涉及本辖区权限内的来信来电，接待来访。</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5.承担处理群众进京赴省到市、区集体上访和非接待场所上访的责任。</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6.承担上级批示交办信访事项，向镇、街道及区级各部门（单位）转办、交办信访事项，督促检查重要信访事项的处理和落实。</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7.制定信访信息汇集分析机制，指导全区信访信息化建设和应用。</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8.承担区信访工作联席会议、区政府信访事项复查复核委员会日常工作，监督落实有关事项。</w:t>
      </w:r>
    </w:p>
    <w:p>
      <w:pPr>
        <w:autoSpaceDE w:val="0"/>
        <w:autoSpaceDN w:val="0"/>
        <w:adjustRightInd w:val="0"/>
        <w:jc w:val="left"/>
        <w:rPr>
          <w:rFonts w:ascii="仿宋_GB2312" w:hAnsi="仿宋" w:eastAsia="仿宋_GB2312"/>
          <w:sz w:val="32"/>
          <w:szCs w:val="32"/>
        </w:rPr>
      </w:pPr>
      <w:r>
        <w:rPr>
          <w:rFonts w:hint="eastAsia" w:ascii="仿宋_GB2312" w:hAnsi="仿宋" w:eastAsia="仿宋_GB2312"/>
          <w:sz w:val="32"/>
          <w:szCs w:val="32"/>
        </w:rPr>
        <w:t>9.负责职责范围内的安全生产和职业健康、生态环境保护、审批服务便民化工作。</w:t>
      </w:r>
    </w:p>
    <w:p>
      <w:pPr>
        <w:pStyle w:val="2"/>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仿宋"/>
          <w:sz w:val="32"/>
          <w:szCs w:val="32"/>
        </w:rPr>
        <w:t>10.完成区委和区政府交办的其他任务。</w:t>
      </w:r>
    </w:p>
    <w:p>
      <w:pPr>
        <w:pStyle w:val="4"/>
        <w:ind w:firstLine="640" w:firstLineChars="200"/>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bookmarkStart w:id="16" w:name="_Toc15396602"/>
      <w:bookmarkStart w:id="17" w:name="_Toc15377204"/>
    </w:p>
    <w:p>
      <w:pPr>
        <w:pStyle w:val="4"/>
        <w:spacing w:before="0" w:after="0" w:line="240" w:lineRule="auto"/>
        <w:ind w:firstLine="643" w:firstLineChars="200"/>
        <w:rPr>
          <w:rFonts w:eastAsia="楷体_GB2312"/>
        </w:rPr>
      </w:pPr>
      <w:r>
        <w:rPr>
          <w:rFonts w:hint="eastAsia" w:eastAsia="楷体_GB2312"/>
        </w:rPr>
        <w:t>1. 坚持多方联动，扎实推进专项治理。</w:t>
      </w:r>
    </w:p>
    <w:p>
      <w:pPr>
        <w:spacing w:line="560" w:lineRule="exact"/>
        <w:ind w:firstLine="640"/>
        <w:rPr>
          <w:rFonts w:eastAsia="仿宋_GB2312"/>
          <w:sz w:val="32"/>
          <w:szCs w:val="32"/>
        </w:rPr>
      </w:pPr>
      <w:r>
        <w:rPr>
          <w:rFonts w:hint="eastAsia" w:eastAsia="仿宋_GB2312"/>
          <w:sz w:val="32"/>
          <w:szCs w:val="32"/>
        </w:rPr>
        <w:t>集中开展治理重复信访、化解信访积案专项工作是中央对信访工作的一项重要部署。西区共收到中央、省、市信访工作联席会议交办重复信访案件主办责任</w:t>
      </w:r>
      <w:r>
        <w:rPr>
          <w:rFonts w:eastAsia="仿宋_GB2312"/>
          <w:sz w:val="32"/>
          <w:szCs w:val="32"/>
        </w:rPr>
        <w:t>16</w:t>
      </w:r>
      <w:r>
        <w:rPr>
          <w:rFonts w:hint="eastAsia" w:eastAsia="仿宋_GB2312"/>
          <w:sz w:val="32"/>
          <w:szCs w:val="32"/>
        </w:rPr>
        <w:t>件（其中中央交办</w:t>
      </w:r>
      <w:r>
        <w:rPr>
          <w:rFonts w:eastAsia="仿宋_GB2312"/>
          <w:sz w:val="32"/>
          <w:szCs w:val="32"/>
        </w:rPr>
        <w:t>13</w:t>
      </w:r>
      <w:r>
        <w:rPr>
          <w:rFonts w:hint="eastAsia" w:eastAsia="仿宋_GB2312"/>
          <w:sz w:val="32"/>
          <w:szCs w:val="32"/>
        </w:rPr>
        <w:t>件、省级交办</w:t>
      </w:r>
      <w:r>
        <w:rPr>
          <w:rFonts w:eastAsia="仿宋_GB2312"/>
          <w:sz w:val="32"/>
          <w:szCs w:val="32"/>
        </w:rPr>
        <w:t>3</w:t>
      </w:r>
      <w:r>
        <w:rPr>
          <w:rFonts w:hint="eastAsia" w:eastAsia="仿宋_GB2312"/>
          <w:sz w:val="32"/>
          <w:szCs w:val="32"/>
        </w:rPr>
        <w:t>件），分别需在</w:t>
      </w:r>
      <w:r>
        <w:rPr>
          <w:rFonts w:eastAsia="仿宋_GB2312"/>
          <w:sz w:val="32"/>
          <w:szCs w:val="32"/>
        </w:rPr>
        <w:t>2021</w:t>
      </w:r>
      <w:r>
        <w:rPr>
          <w:rFonts w:hint="eastAsia" w:eastAsia="仿宋_GB2312"/>
          <w:sz w:val="32"/>
          <w:szCs w:val="32"/>
        </w:rPr>
        <w:t>年的</w:t>
      </w:r>
      <w:r>
        <w:rPr>
          <w:rFonts w:eastAsia="仿宋_GB2312"/>
          <w:sz w:val="32"/>
          <w:szCs w:val="32"/>
        </w:rPr>
        <w:t>3</w:t>
      </w:r>
      <w:r>
        <w:rPr>
          <w:rFonts w:hint="eastAsia" w:eastAsia="仿宋_GB2312"/>
          <w:sz w:val="32"/>
          <w:szCs w:val="32"/>
        </w:rPr>
        <w:t>月、</w:t>
      </w:r>
      <w:r>
        <w:rPr>
          <w:rFonts w:eastAsia="仿宋_GB2312"/>
          <w:sz w:val="32"/>
          <w:szCs w:val="32"/>
        </w:rPr>
        <w:t>6</w:t>
      </w:r>
      <w:r>
        <w:rPr>
          <w:rFonts w:hint="eastAsia" w:eastAsia="仿宋_GB2312"/>
          <w:sz w:val="32"/>
          <w:szCs w:val="32"/>
        </w:rPr>
        <w:t>月、</w:t>
      </w:r>
      <w:r>
        <w:rPr>
          <w:rFonts w:eastAsia="仿宋_GB2312"/>
          <w:sz w:val="32"/>
          <w:szCs w:val="32"/>
        </w:rPr>
        <w:t>9</w:t>
      </w:r>
      <w:r>
        <w:rPr>
          <w:rFonts w:hint="eastAsia" w:eastAsia="仿宋_GB2312"/>
          <w:sz w:val="32"/>
          <w:szCs w:val="32"/>
        </w:rPr>
        <w:t>月底前化解总量的</w:t>
      </w:r>
      <w:r>
        <w:rPr>
          <w:rFonts w:eastAsia="仿宋_GB2312"/>
          <w:sz w:val="32"/>
          <w:szCs w:val="32"/>
        </w:rPr>
        <w:t>50%</w:t>
      </w:r>
      <w:r>
        <w:rPr>
          <w:rFonts w:hint="eastAsia" w:eastAsia="仿宋_GB2312"/>
          <w:sz w:val="32"/>
          <w:szCs w:val="32"/>
        </w:rPr>
        <w:t>、</w:t>
      </w:r>
      <w:r>
        <w:rPr>
          <w:rFonts w:eastAsia="仿宋_GB2312"/>
          <w:sz w:val="32"/>
          <w:szCs w:val="32"/>
        </w:rPr>
        <w:t>80%</w:t>
      </w:r>
      <w:r>
        <w:rPr>
          <w:rFonts w:hint="eastAsia" w:eastAsia="仿宋_GB2312"/>
          <w:sz w:val="32"/>
          <w:szCs w:val="32"/>
        </w:rPr>
        <w:t>和</w:t>
      </w:r>
      <w:r>
        <w:rPr>
          <w:rFonts w:eastAsia="仿宋_GB2312"/>
          <w:sz w:val="32"/>
          <w:szCs w:val="32"/>
        </w:rPr>
        <w:t>100%</w:t>
      </w:r>
      <w:r>
        <w:rPr>
          <w:rFonts w:hint="eastAsia" w:eastAsia="仿宋_GB2312"/>
          <w:sz w:val="32"/>
          <w:szCs w:val="32"/>
        </w:rPr>
        <w:t>。区委区政府高度重视专项治理工作，多次进行了安排部署，西区按照集中推进、先易后难、一案一策的原则，充分运用会商研判、定期督办等措施，通过讲法、讲情、讲理相结合的方式，分类开展群众工作，尽最大努力化解信访积案。目前，</w:t>
      </w:r>
      <w:r>
        <w:rPr>
          <w:rFonts w:eastAsia="仿宋_GB2312"/>
          <w:sz w:val="32"/>
          <w:szCs w:val="32"/>
        </w:rPr>
        <w:t>16</w:t>
      </w:r>
      <w:r>
        <w:rPr>
          <w:rFonts w:hint="eastAsia" w:eastAsia="仿宋_GB2312"/>
          <w:sz w:val="32"/>
          <w:szCs w:val="32"/>
        </w:rPr>
        <w:t>件重复信访案件已全部化解办结。涉事主办责任为攀煤（集团）公司1件，办结后再次进京重复访，被国家信访局按照属地进行督办，西区已按照“三到位一处理”原则对其进行依法打击，全面完成“16+1”的目标任务。</w:t>
      </w:r>
    </w:p>
    <w:p>
      <w:pPr>
        <w:adjustRightInd w:val="0"/>
        <w:snapToGrid w:val="0"/>
        <w:spacing w:line="560" w:lineRule="exact"/>
        <w:ind w:firstLine="643" w:firstLineChars="200"/>
        <w:rPr>
          <w:rFonts w:eastAsia="楷体_GB2312"/>
          <w:b/>
          <w:bCs/>
          <w:sz w:val="32"/>
          <w:szCs w:val="32"/>
        </w:rPr>
      </w:pPr>
      <w:r>
        <w:rPr>
          <w:rFonts w:hint="eastAsia" w:eastAsia="楷体_GB2312"/>
          <w:b/>
          <w:bCs/>
          <w:sz w:val="32"/>
          <w:szCs w:val="32"/>
        </w:rPr>
        <w:t>2. 坚持高位推动，大力提升信访“三率”。</w:t>
      </w:r>
    </w:p>
    <w:p>
      <w:pPr>
        <w:spacing w:line="560" w:lineRule="exact"/>
        <w:ind w:firstLine="640"/>
        <w:rPr>
          <w:rFonts w:eastAsia="仿宋_GB2312"/>
          <w:sz w:val="32"/>
          <w:szCs w:val="32"/>
        </w:rPr>
      </w:pPr>
      <w:r>
        <w:rPr>
          <w:rFonts w:hint="eastAsia" w:eastAsia="仿宋_GB2312"/>
          <w:sz w:val="32"/>
          <w:szCs w:val="32"/>
        </w:rPr>
        <w:t>信访</w:t>
      </w:r>
      <w:r>
        <w:rPr>
          <w:rFonts w:eastAsia="仿宋_GB2312"/>
          <w:sz w:val="32"/>
          <w:szCs w:val="32"/>
        </w:rPr>
        <w:t>“</w:t>
      </w:r>
      <w:r>
        <w:rPr>
          <w:rFonts w:hint="eastAsia" w:eastAsia="仿宋_GB2312"/>
          <w:sz w:val="32"/>
          <w:szCs w:val="32"/>
        </w:rPr>
        <w:t>三率</w:t>
      </w:r>
      <w:r>
        <w:rPr>
          <w:rFonts w:eastAsia="仿宋_GB2312"/>
          <w:sz w:val="32"/>
          <w:szCs w:val="32"/>
        </w:rPr>
        <w:t>”</w:t>
      </w:r>
      <w:r>
        <w:rPr>
          <w:rFonts w:hint="eastAsia" w:eastAsia="仿宋_GB2312"/>
          <w:sz w:val="32"/>
          <w:szCs w:val="32"/>
        </w:rPr>
        <w:t>（及时受理率、按期办结率、群众满意率）历来是各级信访工作考核的重中之重（占比达</w:t>
      </w:r>
      <w:r>
        <w:rPr>
          <w:rFonts w:eastAsia="仿宋_GB2312"/>
          <w:sz w:val="32"/>
          <w:szCs w:val="32"/>
        </w:rPr>
        <w:t>50%</w:t>
      </w:r>
      <w:r>
        <w:rPr>
          <w:rFonts w:hint="eastAsia" w:eastAsia="仿宋_GB2312"/>
          <w:sz w:val="32"/>
          <w:szCs w:val="32"/>
        </w:rPr>
        <w:t>）。自今年</w:t>
      </w:r>
      <w:r>
        <w:rPr>
          <w:rFonts w:eastAsia="仿宋_GB2312"/>
          <w:sz w:val="32"/>
          <w:szCs w:val="32"/>
        </w:rPr>
        <w:t>3</w:t>
      </w:r>
      <w:r>
        <w:rPr>
          <w:rFonts w:hint="eastAsia" w:eastAsia="仿宋_GB2312"/>
          <w:sz w:val="32"/>
          <w:szCs w:val="32"/>
        </w:rPr>
        <w:t>月以来，棚改问题频繁呈上行趋势，国家信访局交办纳入</w:t>
      </w:r>
      <w:r>
        <w:rPr>
          <w:rFonts w:eastAsia="仿宋_GB2312"/>
          <w:sz w:val="32"/>
          <w:szCs w:val="32"/>
        </w:rPr>
        <w:t>“</w:t>
      </w:r>
      <w:r>
        <w:rPr>
          <w:rFonts w:hint="eastAsia" w:eastAsia="仿宋_GB2312"/>
          <w:sz w:val="32"/>
          <w:szCs w:val="32"/>
        </w:rPr>
        <w:t>满意度</w:t>
      </w:r>
      <w:r>
        <w:rPr>
          <w:rFonts w:eastAsia="仿宋_GB2312"/>
          <w:sz w:val="32"/>
          <w:szCs w:val="32"/>
        </w:rPr>
        <w:t>”</w:t>
      </w:r>
      <w:r>
        <w:rPr>
          <w:rFonts w:hint="eastAsia" w:eastAsia="仿宋_GB2312"/>
          <w:sz w:val="32"/>
          <w:szCs w:val="32"/>
        </w:rPr>
        <w:t>评价信访件数量陡增，仅四川广厦建材公司部分职工反映棚改公房清退信访件就高达</w:t>
      </w:r>
      <w:r>
        <w:rPr>
          <w:rFonts w:eastAsia="仿宋_GB2312"/>
          <w:sz w:val="32"/>
          <w:szCs w:val="32"/>
        </w:rPr>
        <w:t>89</w:t>
      </w:r>
      <w:r>
        <w:rPr>
          <w:rFonts w:hint="eastAsia" w:eastAsia="仿宋_GB2312"/>
          <w:sz w:val="32"/>
          <w:szCs w:val="32"/>
        </w:rPr>
        <w:t>件。</w:t>
      </w:r>
      <w:r>
        <w:rPr>
          <w:rFonts w:eastAsia="仿宋_GB2312"/>
          <w:sz w:val="32"/>
          <w:szCs w:val="32"/>
        </w:rPr>
        <w:t>4</w:t>
      </w:r>
      <w:r>
        <w:rPr>
          <w:rFonts w:hint="eastAsia" w:eastAsia="仿宋_GB2312"/>
          <w:sz w:val="32"/>
          <w:szCs w:val="32"/>
        </w:rPr>
        <w:t>月</w:t>
      </w:r>
      <w:r>
        <w:rPr>
          <w:rFonts w:eastAsia="仿宋_GB2312"/>
          <w:sz w:val="32"/>
          <w:szCs w:val="32"/>
        </w:rPr>
        <w:t>14</w:t>
      </w:r>
      <w:r>
        <w:rPr>
          <w:rFonts w:hint="eastAsia" w:eastAsia="仿宋_GB2312"/>
          <w:sz w:val="32"/>
          <w:szCs w:val="32"/>
        </w:rPr>
        <w:t>日上午，昱冰书记亲自带队赴市信访局对接该项工作，同时，区信访局在加强基础业务规范化建设的同时，进一步加强工作统筹，先后组织开展能力培训、现场指导</w:t>
      </w:r>
      <w:r>
        <w:rPr>
          <w:rFonts w:eastAsia="仿宋_GB2312"/>
          <w:sz w:val="32"/>
          <w:szCs w:val="32"/>
        </w:rPr>
        <w:t>6</w:t>
      </w:r>
      <w:r>
        <w:rPr>
          <w:rFonts w:hint="eastAsia" w:eastAsia="仿宋_GB2312"/>
          <w:sz w:val="32"/>
          <w:szCs w:val="32"/>
        </w:rPr>
        <w:t>次，赴省汇报工作</w:t>
      </w:r>
      <w:r>
        <w:rPr>
          <w:rFonts w:eastAsia="仿宋_GB2312"/>
          <w:sz w:val="32"/>
          <w:szCs w:val="32"/>
        </w:rPr>
        <w:t>1</w:t>
      </w:r>
      <w:r>
        <w:rPr>
          <w:rFonts w:hint="eastAsia" w:eastAsia="仿宋_GB2312"/>
          <w:sz w:val="32"/>
          <w:szCs w:val="32"/>
        </w:rPr>
        <w:t>次，到市对接</w:t>
      </w:r>
      <w:r>
        <w:rPr>
          <w:rFonts w:eastAsia="仿宋_GB2312"/>
          <w:sz w:val="32"/>
          <w:szCs w:val="32"/>
        </w:rPr>
        <w:t>20</w:t>
      </w:r>
      <w:r>
        <w:rPr>
          <w:rFonts w:hint="eastAsia" w:eastAsia="仿宋_GB2312"/>
          <w:sz w:val="32"/>
          <w:szCs w:val="32"/>
        </w:rPr>
        <w:t>余次。截至</w:t>
      </w:r>
      <w:r>
        <w:rPr>
          <w:rFonts w:eastAsia="仿宋_GB2312"/>
          <w:sz w:val="32"/>
          <w:szCs w:val="32"/>
        </w:rPr>
        <w:t>6</w:t>
      </w:r>
      <w:r>
        <w:rPr>
          <w:rFonts w:hint="eastAsia" w:eastAsia="仿宋_GB2312"/>
          <w:sz w:val="32"/>
          <w:szCs w:val="32"/>
        </w:rPr>
        <w:t>月</w:t>
      </w:r>
      <w:r>
        <w:rPr>
          <w:rFonts w:eastAsia="仿宋_GB2312"/>
          <w:sz w:val="32"/>
          <w:szCs w:val="32"/>
        </w:rPr>
        <w:t>30</w:t>
      </w:r>
      <w:r>
        <w:rPr>
          <w:rFonts w:hint="eastAsia" w:eastAsia="仿宋_GB2312"/>
          <w:sz w:val="32"/>
          <w:szCs w:val="32"/>
        </w:rPr>
        <w:t>日，</w:t>
      </w:r>
      <w:r>
        <w:rPr>
          <w:rFonts w:eastAsia="仿宋_GB2312"/>
          <w:sz w:val="32"/>
          <w:szCs w:val="32"/>
        </w:rPr>
        <w:t>92</w:t>
      </w:r>
      <w:r>
        <w:rPr>
          <w:rFonts w:hint="eastAsia" w:eastAsia="仿宋_GB2312"/>
          <w:sz w:val="32"/>
          <w:szCs w:val="32"/>
        </w:rPr>
        <w:t>件信访件（含广厦建材</w:t>
      </w:r>
      <w:r>
        <w:rPr>
          <w:rFonts w:eastAsia="仿宋_GB2312"/>
          <w:sz w:val="32"/>
          <w:szCs w:val="32"/>
        </w:rPr>
        <w:t>89</w:t>
      </w:r>
      <w:r>
        <w:rPr>
          <w:rFonts w:hint="eastAsia" w:eastAsia="仿宋_GB2312"/>
          <w:sz w:val="32"/>
          <w:szCs w:val="32"/>
        </w:rPr>
        <w:t>件，该批次信访满意度件均在规定时间达到</w:t>
      </w:r>
      <w:r>
        <w:rPr>
          <w:rFonts w:eastAsia="仿宋_GB2312"/>
          <w:sz w:val="32"/>
          <w:szCs w:val="32"/>
        </w:rPr>
        <w:t>3</w:t>
      </w:r>
      <w:r>
        <w:rPr>
          <w:rFonts w:hint="eastAsia" w:eastAsia="仿宋_GB2312"/>
          <w:sz w:val="32"/>
          <w:szCs w:val="32"/>
        </w:rPr>
        <w:t>个</w:t>
      </w:r>
      <w:r>
        <w:rPr>
          <w:rFonts w:eastAsia="仿宋_GB2312"/>
          <w:sz w:val="32"/>
          <w:szCs w:val="32"/>
        </w:rPr>
        <w:t>100%</w:t>
      </w:r>
      <w:r>
        <w:rPr>
          <w:rFonts w:hint="eastAsia" w:eastAsia="仿宋_GB2312"/>
          <w:sz w:val="32"/>
          <w:szCs w:val="32"/>
        </w:rPr>
        <w:t>，在较大程度上提升了全市三率，为争取我市全省排名靠前奠定了基础）完成满意度评价。1-10月西区信访“三率”为及时受理率</w:t>
      </w:r>
      <w:r>
        <w:rPr>
          <w:rFonts w:eastAsia="仿宋_GB2312"/>
          <w:sz w:val="32"/>
          <w:szCs w:val="32"/>
        </w:rPr>
        <w:t>100%</w:t>
      </w:r>
      <w:r>
        <w:rPr>
          <w:rFonts w:hint="eastAsia" w:eastAsia="仿宋_GB2312"/>
          <w:sz w:val="32"/>
          <w:szCs w:val="32"/>
        </w:rPr>
        <w:t>，按期答复率</w:t>
      </w:r>
      <w:r>
        <w:rPr>
          <w:rFonts w:eastAsia="仿宋_GB2312"/>
          <w:sz w:val="32"/>
          <w:szCs w:val="32"/>
        </w:rPr>
        <w:t>100%</w:t>
      </w:r>
      <w:r>
        <w:rPr>
          <w:rFonts w:hint="eastAsia" w:eastAsia="仿宋_GB2312"/>
          <w:sz w:val="32"/>
          <w:szCs w:val="32"/>
        </w:rPr>
        <w:t>，信访部门及责任单位满意率</w:t>
      </w:r>
      <w:r>
        <w:rPr>
          <w:rFonts w:eastAsia="仿宋_GB2312"/>
          <w:sz w:val="32"/>
          <w:szCs w:val="32"/>
        </w:rPr>
        <w:t xml:space="preserve"> 9</w:t>
      </w:r>
      <w:r>
        <w:rPr>
          <w:rFonts w:hint="eastAsia" w:eastAsia="仿宋_GB2312"/>
          <w:sz w:val="32"/>
          <w:szCs w:val="32"/>
        </w:rPr>
        <w:t>6</w:t>
      </w:r>
      <w:r>
        <w:rPr>
          <w:rFonts w:eastAsia="仿宋_GB2312"/>
          <w:sz w:val="32"/>
          <w:szCs w:val="32"/>
        </w:rPr>
        <w:t>.9</w:t>
      </w:r>
      <w:r>
        <w:rPr>
          <w:rFonts w:hint="eastAsia" w:eastAsia="仿宋_GB2312"/>
          <w:sz w:val="32"/>
          <w:szCs w:val="32"/>
        </w:rPr>
        <w:t>7</w:t>
      </w:r>
      <w:r>
        <w:rPr>
          <w:rFonts w:eastAsia="仿宋_GB2312"/>
          <w:sz w:val="32"/>
          <w:szCs w:val="32"/>
        </w:rPr>
        <w:t>%</w:t>
      </w:r>
      <w:r>
        <w:rPr>
          <w:rFonts w:hint="eastAsia" w:eastAsia="仿宋_GB2312"/>
          <w:sz w:val="32"/>
          <w:szCs w:val="32"/>
        </w:rPr>
        <w:t>。</w:t>
      </w:r>
    </w:p>
    <w:p>
      <w:pPr>
        <w:adjustRightInd w:val="0"/>
        <w:snapToGrid w:val="0"/>
        <w:spacing w:line="560" w:lineRule="exact"/>
        <w:ind w:firstLine="596"/>
        <w:rPr>
          <w:rFonts w:eastAsia="楷体_GB2312"/>
          <w:b/>
          <w:bCs/>
          <w:sz w:val="32"/>
          <w:szCs w:val="32"/>
        </w:rPr>
      </w:pPr>
      <w:r>
        <w:rPr>
          <w:rFonts w:hint="eastAsia" w:eastAsia="楷体_GB2312"/>
          <w:b/>
          <w:bCs/>
          <w:sz w:val="32"/>
          <w:szCs w:val="32"/>
        </w:rPr>
        <w:t>3. 坚持因势快动，及时回应群众环保举报。</w:t>
      </w:r>
    </w:p>
    <w:p>
      <w:pPr>
        <w:spacing w:line="560" w:lineRule="exact"/>
        <w:ind w:firstLine="640"/>
        <w:rPr>
          <w:rFonts w:ascii="仿宋_GB2312" w:eastAsia="仿宋_GB2312"/>
          <w:sz w:val="32"/>
          <w:szCs w:val="32"/>
        </w:rPr>
      </w:pPr>
      <w:r>
        <w:rPr>
          <w:rFonts w:hint="eastAsia" w:eastAsia="仿宋_GB2312"/>
          <w:sz w:val="32"/>
          <w:szCs w:val="32"/>
        </w:rPr>
        <w:t>坚持从四个“第一时间”入手，即：“第一时间接件、第一时间办件、第一时间督办、第一时间回访”，扎实办理第二轮省级环保督察和第二轮中央环保督察移交群众举报件的转办、审核、督办、报送等相关工作。进一步健全工作机制、明确工作要求。截至目前，共受理第二轮省级环保督察</w:t>
      </w:r>
      <w:r>
        <w:rPr>
          <w:rFonts w:eastAsia="仿宋_GB2312"/>
          <w:sz w:val="32"/>
          <w:szCs w:val="32"/>
        </w:rPr>
        <w:t>37</w:t>
      </w:r>
      <w:r>
        <w:rPr>
          <w:rFonts w:hint="eastAsia" w:eastAsia="仿宋_GB2312"/>
          <w:sz w:val="32"/>
          <w:szCs w:val="32"/>
        </w:rPr>
        <w:t>件信访案件，全部按期办结。共受理中央第五生态环境保护督察组转办西区信访案件12件，办结12件，协助仁和区办结1件，协助市经信局办理1件，办理及回访工作均按要求完成。信访工作贯穿</w:t>
      </w:r>
      <w:r>
        <w:rPr>
          <w:rFonts w:hint="eastAsia" w:ascii="仿宋_GB2312" w:hAnsi="宋体" w:eastAsia="仿宋_GB2312"/>
          <w:color w:val="000000"/>
          <w:sz w:val="32"/>
          <w:szCs w:val="32"/>
        </w:rPr>
        <w:t>“环境就是民生”的原则，建立长效机制，</w:t>
      </w:r>
      <w:r>
        <w:rPr>
          <w:rFonts w:hint="eastAsia" w:ascii="仿宋_GB2312" w:hAnsi="微软雅黑" w:eastAsia="仿宋_GB2312"/>
          <w:color w:val="333333"/>
          <w:sz w:val="32"/>
          <w:szCs w:val="32"/>
        </w:rPr>
        <w:t>长期有效抓好环保信访举报案件办理。</w:t>
      </w:r>
    </w:p>
    <w:p>
      <w:pPr>
        <w:adjustRightInd w:val="0"/>
        <w:snapToGrid w:val="0"/>
        <w:spacing w:line="560" w:lineRule="exact"/>
        <w:ind w:firstLine="596"/>
        <w:rPr>
          <w:rFonts w:eastAsia="楷体_GB2312"/>
          <w:b/>
          <w:bCs/>
          <w:sz w:val="32"/>
          <w:szCs w:val="32"/>
        </w:rPr>
      </w:pPr>
      <w:r>
        <w:rPr>
          <w:rFonts w:hint="eastAsia" w:eastAsia="楷体_GB2312"/>
          <w:b/>
          <w:bCs/>
          <w:sz w:val="32"/>
          <w:szCs w:val="32"/>
        </w:rPr>
        <w:t>4. 坚持谋定而动，全力确保社会稳定。</w:t>
      </w:r>
    </w:p>
    <w:p>
      <w:pPr>
        <w:spacing w:line="560" w:lineRule="exact"/>
        <w:ind w:firstLine="643"/>
        <w:rPr>
          <w:rFonts w:hint="eastAsia" w:eastAsia="仿宋_GB2312"/>
          <w:sz w:val="32"/>
          <w:szCs w:val="32"/>
        </w:rPr>
      </w:pPr>
      <w:r>
        <w:rPr>
          <w:rFonts w:hint="eastAsia" w:ascii="仿宋_GB2312" w:hAnsi="仿宋_GB2312" w:eastAsia="仿宋_GB2312" w:cs="仿宋_GB2312"/>
          <w:b/>
          <w:bCs/>
          <w:sz w:val="32"/>
          <w:szCs w:val="32"/>
        </w:rPr>
        <w:t>一是全力以赴做好建党</w:t>
      </w:r>
      <w:r>
        <w:rPr>
          <w:rFonts w:eastAsia="仿宋_GB2312"/>
          <w:sz w:val="32"/>
          <w:szCs w:val="32"/>
        </w:rPr>
        <w:t>100</w:t>
      </w:r>
      <w:r>
        <w:rPr>
          <w:rFonts w:hint="eastAsia" w:ascii="仿宋_GB2312" w:hAnsi="仿宋_GB2312" w:eastAsia="仿宋_GB2312" w:cs="仿宋_GB2312"/>
          <w:b/>
          <w:bCs/>
          <w:sz w:val="32"/>
          <w:szCs w:val="32"/>
        </w:rPr>
        <w:t>周年信访安保工作。</w:t>
      </w:r>
      <w:r>
        <w:rPr>
          <w:rFonts w:hint="eastAsia" w:ascii="仿宋_GB2312" w:hAnsi="仿宋_GB2312" w:eastAsia="仿宋_GB2312" w:cs="仿宋_GB2312"/>
          <w:sz w:val="32"/>
          <w:szCs w:val="32"/>
        </w:rPr>
        <w:t>全面加强领</w:t>
      </w:r>
      <w:r>
        <w:rPr>
          <w:rFonts w:hint="eastAsia" w:eastAsia="仿宋_GB2312"/>
          <w:sz w:val="32"/>
          <w:szCs w:val="32"/>
        </w:rPr>
        <w:t>导干部接访下访工作，安排</w:t>
      </w:r>
      <w:r>
        <w:rPr>
          <w:rFonts w:eastAsia="仿宋_GB2312"/>
          <w:sz w:val="32"/>
          <w:szCs w:val="32"/>
        </w:rPr>
        <w:t>21</w:t>
      </w:r>
      <w:r>
        <w:rPr>
          <w:rFonts w:hint="eastAsia" w:eastAsia="仿宋_GB2312"/>
          <w:sz w:val="32"/>
          <w:szCs w:val="32"/>
        </w:rPr>
        <w:t>名区级领导定点接访，进一步做好重点群体和重点人员的稳控，逐一落实东盟投资群体、新都汇群体、棚改群体等15个重点群体和金瑞山、黄群、曹兴义、叶桂琼、邓代玉等13个重点人员的包案领导和责任部门，对摸排出的</w:t>
      </w:r>
      <w:r>
        <w:rPr>
          <w:rFonts w:eastAsia="仿宋_GB2312"/>
          <w:sz w:val="32"/>
          <w:szCs w:val="32"/>
        </w:rPr>
        <w:t>21</w:t>
      </w:r>
      <w:r>
        <w:rPr>
          <w:rFonts w:hint="eastAsia" w:eastAsia="仿宋_GB2312"/>
          <w:sz w:val="32"/>
          <w:szCs w:val="32"/>
        </w:rPr>
        <w:t>条不稳定因素分别落实稳控主体，坚决确保了庆祝活动期间不发生非访、集访、漏管失控以及群体性事件。</w:t>
      </w:r>
      <w:r>
        <w:rPr>
          <w:rFonts w:hint="eastAsia" w:ascii="仿宋_GB2312" w:hAnsi="仿宋_GB2312" w:eastAsia="仿宋_GB2312" w:cs="仿宋_GB2312"/>
          <w:b/>
          <w:bCs/>
          <w:sz w:val="32"/>
          <w:szCs w:val="32"/>
        </w:rPr>
        <w:t>二是全力以赴做好重点时段稳控。</w:t>
      </w:r>
      <w:r>
        <w:rPr>
          <w:rFonts w:hint="eastAsia" w:ascii="仿宋_GB2312" w:hAnsi="仿宋_GB2312" w:eastAsia="仿宋_GB2312" w:cs="仿宋_GB2312"/>
          <w:sz w:val="32"/>
          <w:szCs w:val="32"/>
        </w:rPr>
        <w:t>紧盯康养论谈、各级“两会”、市区第十一次党代会等重要时段，进一步强化敏感时期与常态稳定相结合的工作机制，按照“责任+清单”，全面落实责任单位和领导包案。1-10月，累计接待群众来</w:t>
      </w:r>
      <w:r>
        <w:rPr>
          <w:rFonts w:hint="eastAsia" w:eastAsia="仿宋_GB2312"/>
          <w:sz w:val="32"/>
          <w:szCs w:val="32"/>
        </w:rPr>
        <w:t>访506批次2240人次。区级领导接访、下访</w:t>
      </w:r>
      <w:r>
        <w:rPr>
          <w:rFonts w:eastAsia="仿宋_GB2312"/>
          <w:sz w:val="32"/>
          <w:szCs w:val="32"/>
        </w:rPr>
        <w:t>3</w:t>
      </w:r>
      <w:r>
        <w:rPr>
          <w:rFonts w:hint="eastAsia" w:eastAsia="仿宋_GB2312"/>
          <w:sz w:val="32"/>
          <w:szCs w:val="32"/>
        </w:rPr>
        <w:t>8批次104人次，化解初信初访问题121个，通过“网、电、信、访”回应群众问题503个。</w:t>
      </w:r>
    </w:p>
    <w:p>
      <w:pPr>
        <w:spacing w:line="353" w:lineRule="auto"/>
        <w:ind w:firstLine="640" w:firstLineChars="200"/>
        <w:rPr>
          <w:rFonts w:ascii="Times New Roman" w:hAnsi="Times New Roman" w:eastAsia="黑体" w:cs="Times New Roman"/>
          <w:color w:val="000000"/>
          <w:sz w:val="32"/>
          <w:szCs w:val="32"/>
        </w:rPr>
      </w:pPr>
      <w:r>
        <w:rPr>
          <w:rFonts w:hint="eastAsia" w:eastAsia="黑体" w:cs="Times New Roman"/>
          <w:color w:val="000000"/>
          <w:sz w:val="32"/>
          <w:szCs w:val="32"/>
          <w:lang w:eastAsia="zh-CN"/>
        </w:rPr>
        <w:t>三</w:t>
      </w:r>
      <w:r>
        <w:rPr>
          <w:rFonts w:ascii="Times New Roman" w:hAnsi="Times New Roman" w:eastAsia="黑体" w:cs="Times New Roman"/>
          <w:color w:val="000000"/>
          <w:sz w:val="32"/>
          <w:szCs w:val="32"/>
        </w:rPr>
        <w:t>、机构设置情况</w:t>
      </w:r>
    </w:p>
    <w:p>
      <w:pPr>
        <w:spacing w:line="353" w:lineRule="auto"/>
        <w:ind w:firstLine="640" w:firstLineChars="200"/>
        <w:rPr>
          <w:rFonts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西区信访局</w:t>
      </w:r>
      <w:bookmarkStart w:id="65" w:name="_GoBack"/>
      <w:bookmarkEnd w:id="65"/>
      <w:r>
        <w:rPr>
          <w:rFonts w:ascii="Times New Roman" w:hAnsi="Times New Roman" w:eastAsia="仿宋_GB2312" w:cs="Times New Roman"/>
          <w:color w:val="000000"/>
          <w:sz w:val="32"/>
          <w:szCs w:val="32"/>
        </w:rPr>
        <w:t>内设股室</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个，下属二级单位</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rPr>
        <w:t>个，其中行政单位</w:t>
      </w:r>
      <w:r>
        <w:rPr>
          <w:rFonts w:hint="eastAsia" w:ascii="Times New Roman" w:hAnsi="Times New Roman" w:eastAsia="仿宋_GB2312" w:cs="Times New Roman"/>
          <w:color w:val="000000"/>
          <w:sz w:val="32"/>
          <w:szCs w:val="32"/>
          <w:highlight w:val="none"/>
          <w:lang w:val="en-US" w:eastAsia="zh-CN"/>
        </w:rPr>
        <w:t>1</w:t>
      </w:r>
      <w:r>
        <w:rPr>
          <w:rFonts w:ascii="Times New Roman" w:hAnsi="Times New Roman" w:eastAsia="仿宋_GB2312" w:cs="Times New Roman"/>
          <w:color w:val="000000"/>
          <w:sz w:val="32"/>
          <w:szCs w:val="32"/>
          <w:highlight w:val="none"/>
        </w:rPr>
        <w:t>个</w:t>
      </w:r>
      <w:r>
        <w:rPr>
          <w:rFonts w:hint="eastAsia" w:ascii="Times New Roman" w:hAnsi="Times New Roman" w:eastAsia="仿宋_GB2312" w:cs="Times New Roman"/>
          <w:color w:val="000000"/>
          <w:sz w:val="32"/>
          <w:szCs w:val="32"/>
          <w:highlight w:val="none"/>
          <w:lang w:eastAsia="zh-CN"/>
        </w:rPr>
        <w:t>：攀枝花市西区信访局</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参照公务员法管理的事业单位</w:t>
      </w:r>
      <w:r>
        <w:rPr>
          <w:rFonts w:hint="eastAsia" w:ascii="Times New Roman" w:hAnsi="Times New Roman" w:eastAsia="仿宋_GB2312" w:cs="Times New Roman"/>
          <w:bCs/>
          <w:color w:val="000000"/>
          <w:sz w:val="32"/>
          <w:szCs w:val="32"/>
          <w:highlight w:val="none"/>
          <w:lang w:eastAsia="zh-CN"/>
        </w:rPr>
        <w:t>无</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其他事业单位</w:t>
      </w:r>
      <w:r>
        <w:rPr>
          <w:rFonts w:hint="eastAsia" w:ascii="Times New Roman" w:hAnsi="Times New Roman" w:eastAsia="仿宋_GB2312" w:cs="Times New Roman"/>
          <w:color w:val="000000"/>
          <w:sz w:val="32"/>
          <w:szCs w:val="32"/>
          <w:highlight w:val="none"/>
          <w:lang w:val="en-US" w:eastAsia="zh-CN"/>
        </w:rPr>
        <w:t>1</w:t>
      </w:r>
      <w:r>
        <w:rPr>
          <w:rFonts w:ascii="Times New Roman" w:hAnsi="Times New Roman" w:eastAsia="仿宋_GB2312" w:cs="Times New Roman"/>
          <w:color w:val="000000"/>
          <w:sz w:val="32"/>
          <w:szCs w:val="32"/>
          <w:highlight w:val="none"/>
        </w:rPr>
        <w:t>个</w:t>
      </w:r>
      <w:r>
        <w:rPr>
          <w:rFonts w:hint="eastAsia" w:ascii="Times New Roman" w:hAnsi="Times New Roman" w:eastAsia="仿宋_GB2312" w:cs="Times New Roman"/>
          <w:color w:val="000000"/>
          <w:sz w:val="32"/>
          <w:szCs w:val="32"/>
          <w:highlight w:val="none"/>
          <w:lang w:eastAsia="zh-CN"/>
        </w:rPr>
        <w:t>：攀枝花市西区群众工作中心</w:t>
      </w:r>
      <w:r>
        <w:rPr>
          <w:rFonts w:ascii="Times New Roman" w:hAnsi="Times New Roman" w:eastAsia="仿宋_GB2312" w:cs="Times New Roman"/>
          <w:color w:val="000000"/>
          <w:sz w:val="32"/>
          <w:szCs w:val="32"/>
          <w:highlight w:val="none"/>
        </w:rPr>
        <w:t>。</w:t>
      </w:r>
    </w:p>
    <w:p>
      <w:pPr>
        <w:pStyle w:val="2"/>
      </w:pPr>
    </w:p>
    <w:p>
      <w:pPr>
        <w:pStyle w:val="2"/>
        <w:spacing w:before="93"/>
      </w:pPr>
    </w:p>
    <w:p>
      <w:pPr>
        <w:pStyle w:val="3"/>
        <w:ind w:right="440"/>
        <w:jc w:val="center"/>
        <w:rPr>
          <w:rStyle w:val="25"/>
          <w:rFonts w:ascii="黑体" w:hAnsi="黑体" w:eastAsia="黑体"/>
          <w:b w:val="0"/>
          <w:bCs/>
        </w:rPr>
      </w:pPr>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
      <w:pPr>
        <w:pStyle w:val="24"/>
        <w:numPr>
          <w:ilvl w:val="0"/>
          <w:numId w:val="1"/>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_GB2312"/>
          <w:sz w:val="32"/>
          <w:szCs w:val="32"/>
        </w:rPr>
      </w:pPr>
      <w:r>
        <w:rPr>
          <w:rFonts w:hint="eastAsia" w:ascii="仿宋" w:hAnsi="仿宋" w:eastAsia="仿宋"/>
          <w:sz w:val="32"/>
          <w:szCs w:val="32"/>
        </w:rPr>
        <w:t>2021年度收、支总计213.61万元。与2020年相比，收、支总计各增加13.99万元，增长7</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人员经费增加，收、支总计随之增加。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rPr>
          <w:sz w:val="32"/>
          <w:szCs w:val="32"/>
        </w:rPr>
      </w:pPr>
      <w:r>
        <w:drawing>
          <wp:inline distT="0" distB="0" distL="114300" distR="114300">
            <wp:extent cx="4937760" cy="2206625"/>
            <wp:effectExtent l="0" t="0" r="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937760" cy="2206625"/>
                    </a:xfrm>
                    <a:prstGeom prst="rect">
                      <a:avLst/>
                    </a:prstGeom>
                    <a:noFill/>
                    <a:ln>
                      <a:noFill/>
                    </a:ln>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21年本年收入合计213.36万元，其中：一般公共预算财政拨款收入197.34万元，占92</w:t>
      </w:r>
      <w:r>
        <w:rPr>
          <w:rFonts w:ascii="仿宋" w:hAnsi="仿宋" w:eastAsia="仿宋"/>
          <w:sz w:val="32"/>
          <w:szCs w:val="32"/>
        </w:rPr>
        <w:t>%</w:t>
      </w:r>
      <w:r>
        <w:rPr>
          <w:rFonts w:hint="eastAsia" w:ascii="仿宋" w:hAnsi="仿宋" w:eastAsia="仿宋"/>
          <w:sz w:val="32"/>
          <w:szCs w:val="32"/>
        </w:rPr>
        <w:t>；政府性基金预算财政拨款收入16万元，占8</w:t>
      </w:r>
      <w:r>
        <w:rPr>
          <w:rFonts w:ascii="仿宋" w:hAnsi="仿宋" w:eastAsia="仿宋"/>
          <w:sz w:val="32"/>
          <w:szCs w:val="32"/>
        </w:rPr>
        <w:t>%</w:t>
      </w:r>
      <w:r>
        <w:rPr>
          <w:rFonts w:hint="eastAsia" w:ascii="仿宋" w:hAnsi="仿宋" w:eastAsia="仿宋"/>
          <w:sz w:val="32"/>
          <w:szCs w:val="32"/>
        </w:rPr>
        <w:t>；其他收入0.02万元，占0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
        <w:spacing w:before="93"/>
        <w:rPr>
          <w:sz w:val="32"/>
          <w:szCs w:val="32"/>
        </w:rPr>
      </w:pPr>
      <w:r>
        <w:drawing>
          <wp:inline distT="0" distB="0" distL="114300" distR="114300">
            <wp:extent cx="4956175" cy="2218690"/>
            <wp:effectExtent l="0" t="0" r="12065" b="635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4956175" cy="2218690"/>
                    </a:xfrm>
                    <a:prstGeom prst="rect">
                      <a:avLst/>
                    </a:prstGeom>
                    <a:noFill/>
                    <a:ln>
                      <a:noFill/>
                    </a:ln>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21年本年支出合计213.47万元，其中：基本支出155.65万元，占73</w:t>
      </w:r>
      <w:r>
        <w:rPr>
          <w:rFonts w:ascii="仿宋" w:hAnsi="仿宋" w:eastAsia="仿宋"/>
          <w:sz w:val="32"/>
          <w:szCs w:val="32"/>
        </w:rPr>
        <w:t>%</w:t>
      </w:r>
      <w:r>
        <w:rPr>
          <w:rFonts w:hint="eastAsia" w:ascii="仿宋" w:hAnsi="仿宋" w:eastAsia="仿宋"/>
          <w:sz w:val="32"/>
          <w:szCs w:val="32"/>
        </w:rPr>
        <w:t>；项目支出57.82万元，占27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spacing w:before="93"/>
        <w:rPr>
          <w:sz w:val="32"/>
          <w:szCs w:val="32"/>
        </w:rPr>
      </w:pPr>
      <w:r>
        <w:drawing>
          <wp:inline distT="0" distB="0" distL="114300" distR="114300">
            <wp:extent cx="4937760" cy="2218690"/>
            <wp:effectExtent l="0" t="0" r="0"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4937760" cy="2218690"/>
                    </a:xfrm>
                    <a:prstGeom prst="rect">
                      <a:avLst/>
                    </a:prstGeom>
                    <a:noFill/>
                    <a:ln>
                      <a:noFill/>
                    </a:ln>
                  </pic:spPr>
                </pic:pic>
              </a:graphicData>
            </a:graphic>
          </wp:inline>
        </w:drawing>
      </w: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21年财政拨款收、支总计213.57万元。与</w:t>
      </w:r>
      <w:r>
        <w:rPr>
          <w:rFonts w:ascii="仿宋" w:hAnsi="仿宋" w:eastAsia="仿宋"/>
          <w:sz w:val="32"/>
          <w:szCs w:val="32"/>
        </w:rPr>
        <w:t>20</w:t>
      </w:r>
      <w:r>
        <w:rPr>
          <w:rFonts w:hint="eastAsia" w:ascii="仿宋" w:hAnsi="仿宋" w:eastAsia="仿宋"/>
          <w:sz w:val="32"/>
          <w:szCs w:val="32"/>
        </w:rPr>
        <w:t>20年相比，财政拨款收、支总计各增加14万元，增长7</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人员经费增加，</w:t>
      </w:r>
      <w:r>
        <w:rPr>
          <w:rFonts w:hint="eastAsia" w:ascii="仿宋" w:hAnsi="仿宋" w:eastAsia="仿宋"/>
          <w:sz w:val="32"/>
          <w:szCs w:val="32"/>
        </w:rPr>
        <w:t>财政拨款</w:t>
      </w:r>
      <w:r>
        <w:rPr>
          <w:rFonts w:hint="eastAsia" w:ascii="仿宋_GB2312" w:hAnsi="仿宋" w:eastAsia="仿宋_GB2312"/>
          <w:sz w:val="32"/>
          <w:szCs w:val="32"/>
        </w:rPr>
        <w:t>收、支总计随之增加。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pStyle w:val="2"/>
        <w:spacing w:before="93"/>
        <w:rPr>
          <w:rFonts w:ascii="仿宋" w:hAnsi="仿宋" w:eastAsia="仿宋"/>
          <w:b/>
          <w:sz w:val="32"/>
          <w:szCs w:val="32"/>
        </w:rPr>
      </w:pPr>
      <w:r>
        <w:drawing>
          <wp:inline distT="0" distB="0" distL="114300" distR="114300">
            <wp:extent cx="4937760" cy="2206625"/>
            <wp:effectExtent l="0" t="0" r="0" b="317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4937760" cy="2206625"/>
                    </a:xfrm>
                    <a:prstGeom prst="rect">
                      <a:avLst/>
                    </a:prstGeom>
                    <a:noFill/>
                    <a:ln>
                      <a:noFill/>
                    </a:ln>
                  </pic:spPr>
                </pic:pic>
              </a:graphicData>
            </a:graphic>
          </wp:inline>
        </w:drawing>
      </w: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21年一般公共预算财政拨款支出197.45万元，占本年支出合计的93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20年相比，一般公共预算财政拨款支出减少1.89万元，下降1</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项目经费减少，</w:t>
      </w:r>
      <w:r>
        <w:rPr>
          <w:rFonts w:hint="eastAsia" w:ascii="仿宋" w:hAnsi="仿宋" w:eastAsia="仿宋"/>
          <w:sz w:val="32"/>
          <w:szCs w:val="32"/>
        </w:rPr>
        <w:t>一般公共预算财政拨款</w:t>
      </w:r>
      <w:r>
        <w:rPr>
          <w:rFonts w:hint="eastAsia" w:ascii="仿宋_GB2312" w:hAnsi="仿宋" w:eastAsia="仿宋_GB2312"/>
          <w:sz w:val="32"/>
          <w:szCs w:val="32"/>
        </w:rPr>
        <w:t>支出随之减少。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rPr>
          <w:rFonts w:ascii="仿宋" w:hAnsi="仿宋" w:eastAsia="仿宋"/>
          <w:sz w:val="32"/>
          <w:szCs w:val="32"/>
        </w:rPr>
      </w:pPr>
      <w:r>
        <w:drawing>
          <wp:inline distT="0" distB="0" distL="114300" distR="114300">
            <wp:extent cx="4968240" cy="224345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968240" cy="224345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21年一般公共预算财政拨款支出197.45万元，主要用于以下方面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支出158.84万元，占81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支出18.24万元，占9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支出8.36万元，占4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支出12.01万元，占6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pPr>
      <w:r>
        <w:drawing>
          <wp:inline distT="0" distB="0" distL="114300" distR="114300">
            <wp:extent cx="4944110" cy="2206625"/>
            <wp:effectExtent l="0" t="0" r="8890" b="317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stretch>
                      <a:fillRect/>
                    </a:stretch>
                  </pic:blipFill>
                  <pic:spPr>
                    <a:xfrm>
                      <a:off x="0" y="0"/>
                      <a:ext cx="4944110" cy="220662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2021年一般公共预算支出决算数为</w:t>
      </w:r>
      <w:r>
        <w:rPr>
          <w:rFonts w:hint="eastAsia" w:ascii="仿宋" w:hAnsi="仿宋" w:eastAsia="仿宋"/>
          <w:sz w:val="32"/>
          <w:szCs w:val="32"/>
        </w:rPr>
        <w:t>197.45万元，</w:t>
      </w:r>
      <w:r>
        <w:rPr>
          <w:rStyle w:val="14"/>
          <w:rFonts w:hint="eastAsia" w:ascii="仿宋" w:hAnsi="仿宋" w:eastAsia="仿宋"/>
          <w:bCs/>
          <w:sz w:val="32"/>
          <w:szCs w:val="32"/>
        </w:rPr>
        <w:t>完成预算100.37</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color w:val="000000"/>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w:t>
      </w:r>
      <w:r>
        <w:rPr>
          <w:rStyle w:val="14"/>
          <w:rFonts w:hint="eastAsia" w:ascii="仿宋" w:hAnsi="仿宋" w:eastAsia="仿宋"/>
          <w:bCs/>
          <w:color w:val="000000"/>
          <w:sz w:val="32"/>
          <w:szCs w:val="32"/>
        </w:rPr>
        <w:t>政府办公厅（室）及相关机构事务（款）行政运行（项）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支出决算为65.78万元，完成预算100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color w:val="000000"/>
          <w:sz w:val="32"/>
          <w:szCs w:val="32"/>
        </w:rPr>
        <w:t>信访事务（</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支出决算为41.82万元，完成预算100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color w:val="000000"/>
          <w:sz w:val="32"/>
          <w:szCs w:val="32"/>
        </w:rPr>
        <w:t>事业运行（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支出决算为51.24万元，完成预算100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_GB2312" w:hAnsi="仿宋" w:eastAsia="仿宋_GB2312"/>
          <w:b w:val="0"/>
          <w:bCs/>
          <w:color w:val="000000"/>
          <w:sz w:val="32"/>
          <w:szCs w:val="32"/>
        </w:rPr>
      </w:pPr>
      <w:r>
        <w:rPr>
          <w:rStyle w:val="14"/>
          <w:rFonts w:hint="eastAsia" w:ascii="仿宋_GB2312" w:hAnsi="仿宋" w:eastAsia="仿宋_GB2312"/>
          <w:bCs/>
          <w:color w:val="000000"/>
          <w:sz w:val="32"/>
          <w:szCs w:val="32"/>
        </w:rPr>
        <w:t>2.社会保障和就业支出（类）行政事业单位养老支出（款）行政单位离退休（项）:</w:t>
      </w:r>
      <w:r>
        <w:rPr>
          <w:rStyle w:val="14"/>
          <w:rFonts w:hint="eastAsia" w:ascii="仿宋_GB2312" w:hAnsi="仿宋" w:eastAsia="仿宋_GB2312"/>
          <w:b w:val="0"/>
          <w:bCs/>
          <w:color w:val="000000"/>
          <w:sz w:val="32"/>
          <w:szCs w:val="32"/>
        </w:rPr>
        <w:t xml:space="preserve"> 支出决算为3.83万元，完成预算100%；</w:t>
      </w:r>
      <w:r>
        <w:rPr>
          <w:rStyle w:val="14"/>
          <w:rFonts w:hint="eastAsia" w:ascii="仿宋_GB2312" w:hAnsi="仿宋" w:eastAsia="仿宋_GB2312"/>
          <w:bCs/>
          <w:color w:val="000000"/>
          <w:sz w:val="32"/>
          <w:szCs w:val="32"/>
        </w:rPr>
        <w:t>机关事业单位基本养老保险缴费支出（项）:</w:t>
      </w:r>
      <w:r>
        <w:rPr>
          <w:rStyle w:val="14"/>
          <w:rFonts w:hint="eastAsia" w:ascii="仿宋_GB2312" w:hAnsi="仿宋" w:eastAsia="仿宋_GB2312"/>
          <w:b w:val="0"/>
          <w:bCs/>
          <w:color w:val="000000"/>
          <w:sz w:val="32"/>
          <w:szCs w:val="32"/>
        </w:rPr>
        <w:t xml:space="preserve"> 支出决算为9.49万元，完成预算100%。</w:t>
      </w:r>
      <w:r>
        <w:rPr>
          <w:rStyle w:val="14"/>
          <w:rFonts w:hint="eastAsia" w:ascii="仿宋_GB2312" w:hAnsi="仿宋" w:eastAsia="仿宋_GB2312" w:cstheme="minorBidi"/>
          <w:bCs/>
          <w:color w:val="000000"/>
          <w:sz w:val="32"/>
          <w:szCs w:val="32"/>
        </w:rPr>
        <w:t>机关事业单位职业年金缴费支出</w:t>
      </w:r>
      <w:r>
        <w:rPr>
          <w:rStyle w:val="14"/>
          <w:rFonts w:hint="eastAsia" w:ascii="仿宋_GB2312" w:hAnsi="仿宋" w:eastAsia="仿宋_GB2312"/>
          <w:bCs/>
          <w:color w:val="000000"/>
          <w:sz w:val="32"/>
          <w:szCs w:val="32"/>
        </w:rPr>
        <w:t>（项）:</w:t>
      </w:r>
      <w:r>
        <w:rPr>
          <w:rStyle w:val="14"/>
          <w:rFonts w:hint="eastAsia" w:ascii="仿宋_GB2312" w:hAnsi="仿宋" w:eastAsia="仿宋_GB2312"/>
          <w:b w:val="0"/>
          <w:bCs/>
          <w:color w:val="000000"/>
          <w:sz w:val="32"/>
          <w:szCs w:val="32"/>
        </w:rPr>
        <w:t xml:space="preserve"> 支出决算为4.92万元，完成预算100%。</w:t>
      </w:r>
    </w:p>
    <w:p>
      <w:pPr>
        <w:spacing w:line="600" w:lineRule="exact"/>
        <w:ind w:firstLine="643" w:firstLineChars="200"/>
        <w:rPr>
          <w:rStyle w:val="14"/>
          <w:rFonts w:ascii="仿宋_GB2312" w:hAnsi="仿宋" w:eastAsia="仿宋_GB2312"/>
          <w:b w:val="0"/>
          <w:bCs/>
          <w:color w:val="000000"/>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Fonts w:hint="eastAsia" w:ascii="仿宋_GB2312" w:hAnsi="仿宋" w:eastAsia="仿宋_GB2312"/>
          <w:b/>
          <w:bCs/>
          <w:color w:val="000000"/>
          <w:sz w:val="32"/>
          <w:szCs w:val="32"/>
        </w:rPr>
        <w:t>卫生健康支出</w:t>
      </w:r>
      <w:r>
        <w:rPr>
          <w:rStyle w:val="14"/>
          <w:rFonts w:hint="eastAsia" w:ascii="仿宋_GB2312" w:hAnsi="仿宋" w:eastAsia="仿宋_GB2312"/>
          <w:bCs/>
          <w:color w:val="000000"/>
          <w:sz w:val="32"/>
          <w:szCs w:val="32"/>
        </w:rPr>
        <w:t>（类）行政事业单位医疗（款）行政单位医疗（项）:</w:t>
      </w:r>
      <w:r>
        <w:rPr>
          <w:rStyle w:val="14"/>
          <w:rFonts w:hint="eastAsia" w:ascii="仿宋_GB2312" w:hAnsi="仿宋" w:eastAsia="仿宋_GB2312"/>
          <w:b w:val="0"/>
          <w:bCs/>
          <w:color w:val="000000"/>
          <w:sz w:val="32"/>
          <w:szCs w:val="32"/>
        </w:rPr>
        <w:t>支出决算为3.43万元，完成预算100%；</w:t>
      </w:r>
      <w:r>
        <w:rPr>
          <w:rStyle w:val="14"/>
          <w:rFonts w:hint="eastAsia" w:ascii="仿宋_GB2312" w:hAnsi="仿宋" w:eastAsia="仿宋_GB2312"/>
          <w:bCs/>
          <w:color w:val="000000"/>
          <w:sz w:val="32"/>
          <w:szCs w:val="32"/>
        </w:rPr>
        <w:t>事业单位医疗（项）:</w:t>
      </w:r>
      <w:r>
        <w:rPr>
          <w:rStyle w:val="14"/>
          <w:rFonts w:hint="eastAsia" w:ascii="仿宋_GB2312" w:hAnsi="仿宋" w:eastAsia="仿宋_GB2312"/>
          <w:b w:val="0"/>
          <w:bCs/>
          <w:color w:val="000000"/>
          <w:sz w:val="32"/>
          <w:szCs w:val="32"/>
        </w:rPr>
        <w:t>支出决算为3.88万元，完成预算100%；</w:t>
      </w:r>
      <w:r>
        <w:rPr>
          <w:rStyle w:val="14"/>
          <w:rFonts w:hint="eastAsia" w:ascii="仿宋_GB2312" w:hAnsi="仿宋" w:eastAsia="仿宋_GB2312"/>
          <w:color w:val="000000"/>
          <w:sz w:val="32"/>
          <w:szCs w:val="32"/>
        </w:rPr>
        <w:t>公务员医疗补助</w:t>
      </w:r>
      <w:r>
        <w:rPr>
          <w:rStyle w:val="14"/>
          <w:rFonts w:hint="eastAsia" w:ascii="仿宋_GB2312" w:hAnsi="仿宋" w:eastAsia="仿宋_GB2312"/>
          <w:bCs/>
          <w:color w:val="000000"/>
          <w:sz w:val="32"/>
          <w:szCs w:val="32"/>
        </w:rPr>
        <w:t>（项）:</w:t>
      </w:r>
      <w:r>
        <w:rPr>
          <w:rStyle w:val="14"/>
          <w:rFonts w:hint="eastAsia" w:ascii="仿宋_GB2312" w:hAnsi="仿宋" w:eastAsia="仿宋_GB2312"/>
          <w:b w:val="0"/>
          <w:bCs/>
          <w:color w:val="000000"/>
          <w:sz w:val="32"/>
          <w:szCs w:val="32"/>
        </w:rPr>
        <w:t>支出决算为1.05万元，完成预算100%。</w:t>
      </w:r>
    </w:p>
    <w:p>
      <w:pPr>
        <w:spacing w:line="600" w:lineRule="exact"/>
        <w:ind w:firstLine="643" w:firstLineChars="200"/>
        <w:rPr>
          <w:rFonts w:ascii="仿宋" w:hAnsi="仿宋" w:eastAsia="仿宋"/>
          <w:sz w:val="32"/>
          <w:szCs w:val="32"/>
        </w:rPr>
      </w:pPr>
      <w:r>
        <w:rPr>
          <w:rStyle w:val="14"/>
          <w:rFonts w:hint="eastAsia" w:ascii="仿宋" w:hAnsi="仿宋" w:eastAsia="仿宋" w:cstheme="minorBidi"/>
          <w:bCs/>
          <w:sz w:val="32"/>
          <w:szCs w:val="32"/>
        </w:rPr>
        <w:t>4</w:t>
      </w:r>
      <w:r>
        <w:rPr>
          <w:rFonts w:hint="eastAsia" w:ascii="仿宋" w:hAnsi="仿宋" w:eastAsia="仿宋"/>
          <w:sz w:val="32"/>
          <w:szCs w:val="32"/>
        </w:rPr>
        <w:t>.</w:t>
      </w:r>
      <w:r>
        <w:rPr>
          <w:rStyle w:val="14"/>
          <w:rFonts w:hint="eastAsia" w:ascii="仿宋_GB2312" w:hAnsi="仿宋" w:eastAsia="仿宋_GB2312"/>
          <w:bCs/>
          <w:color w:val="000000"/>
          <w:sz w:val="32"/>
          <w:szCs w:val="32"/>
        </w:rPr>
        <w:t>住房保障支出（类）住房改革支出（款）住房公积金（项）:</w:t>
      </w:r>
      <w:r>
        <w:rPr>
          <w:rStyle w:val="14"/>
          <w:rFonts w:hint="eastAsia" w:ascii="仿宋_GB2312" w:hAnsi="仿宋" w:eastAsia="仿宋_GB2312"/>
          <w:b w:val="0"/>
          <w:bCs/>
          <w:color w:val="000000"/>
          <w:sz w:val="32"/>
          <w:szCs w:val="32"/>
        </w:rPr>
        <w:t>支出决算为12.01万元，完成预算100%。</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21年一般公共预算财政拨款基本支出155.63万元，其中：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142.37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13.26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方正仿宋_GBK"/>
          <w:sz w:val="32"/>
          <w:szCs w:val="32"/>
        </w:rPr>
      </w:pPr>
      <w:r>
        <w:rPr>
          <w:rFonts w:ascii="仿宋" w:hAnsi="仿宋" w:eastAsia="仿宋"/>
          <w:sz w:val="32"/>
          <w:szCs w:val="32"/>
        </w:rPr>
        <w:t>20</w:t>
      </w:r>
      <w:r>
        <w:rPr>
          <w:rFonts w:hint="eastAsia" w:ascii="仿宋" w:hAnsi="仿宋" w:eastAsia="仿宋"/>
          <w:sz w:val="32"/>
          <w:szCs w:val="32"/>
        </w:rPr>
        <w:t>21年“三公”经费财政拨款0.13万元，支出决算为0.06万元，完成预算46</w:t>
      </w:r>
      <w:r>
        <w:rPr>
          <w:rFonts w:ascii="仿宋" w:hAnsi="仿宋" w:eastAsia="仿宋"/>
          <w:sz w:val="32"/>
          <w:szCs w:val="32"/>
        </w:rPr>
        <w:t>%</w:t>
      </w:r>
      <w:r>
        <w:rPr>
          <w:rFonts w:hint="eastAsia" w:ascii="仿宋" w:hAnsi="仿宋" w:eastAsia="仿宋"/>
          <w:sz w:val="32"/>
          <w:szCs w:val="32"/>
        </w:rPr>
        <w:t>。</w:t>
      </w:r>
      <w:r>
        <w:rPr>
          <w:rFonts w:eastAsia="方正仿宋_GBK"/>
          <w:sz w:val="33"/>
          <w:szCs w:val="33"/>
        </w:rPr>
        <w:t>决算数小于预算数的主要原因是</w:t>
      </w:r>
      <w:r>
        <w:rPr>
          <w:rFonts w:hint="eastAsia" w:eastAsia="方正仿宋_GBK"/>
          <w:sz w:val="33"/>
          <w:szCs w:val="33"/>
        </w:rPr>
        <w:t>公务接待减少。</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；公务接待费支出决算0.06万元，占100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pStyle w:val="2"/>
        <w:spacing w:before="93"/>
        <w:rPr>
          <w:rFonts w:ascii="仿宋" w:hAnsi="仿宋" w:eastAsia="仿宋"/>
          <w:sz w:val="32"/>
          <w:szCs w:val="32"/>
        </w:rPr>
      </w:pPr>
      <w:r>
        <w:drawing>
          <wp:inline distT="0" distB="0" distL="114300" distR="114300">
            <wp:extent cx="4852670" cy="222504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852670" cy="2225040"/>
                    </a:xfrm>
                    <a:prstGeom prst="rect">
                      <a:avLst/>
                    </a:prstGeom>
                    <a:noFill/>
                    <a:ln>
                      <a:noFill/>
                    </a:ln>
                  </pic:spPr>
                </pic:pic>
              </a:graphicData>
            </a:graphic>
          </wp:inline>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r>
        <w:rPr>
          <w:rFonts w:hint="eastAsia" w:ascii="仿宋_GB2312" w:hAnsi="仿宋" w:eastAsia="仿宋_GB2312"/>
          <w:color w:val="000000"/>
          <w:sz w:val="32"/>
          <w:szCs w:val="32"/>
        </w:rPr>
        <w:t>因公出国（境）支出决算与2020年一样为0万元。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hAnsi="仿宋" w:eastAsia="仿宋_GB2312"/>
          <w:color w:val="000000"/>
          <w:sz w:val="32"/>
          <w:szCs w:val="32"/>
        </w:rPr>
        <w:t>与2020年一样为0万元</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pStyle w:val="2"/>
        <w:spacing w:before="93"/>
        <w:ind w:firstLine="643" w:firstLineChars="200"/>
      </w:pPr>
      <w:r>
        <w:rPr>
          <w:rFonts w:hint="eastAsia"/>
          <w:b/>
          <w:color w:val="000000"/>
          <w:sz w:val="32"/>
          <w:szCs w:val="32"/>
        </w:rPr>
        <w:t>公务用车运行维护费支出</w:t>
      </w:r>
      <w:r>
        <w:rPr>
          <w:rFonts w:hint="eastAsia"/>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6"/>
          <w:szCs w:val="36"/>
        </w:rPr>
        <w:t>0.06</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20年减少0.07万元，下降54</w:t>
      </w:r>
      <w:r>
        <w:rPr>
          <w:rFonts w:ascii="仿宋_GB2312" w:eastAsia="仿宋_GB2312"/>
          <w:color w:val="000000"/>
          <w:sz w:val="32"/>
          <w:szCs w:val="32"/>
        </w:rPr>
        <w:t>%</w:t>
      </w:r>
      <w:r>
        <w:rPr>
          <w:rFonts w:hint="eastAsia" w:ascii="仿宋_GB2312" w:eastAsia="仿宋_GB2312"/>
          <w:color w:val="000000"/>
          <w:sz w:val="32"/>
          <w:szCs w:val="32"/>
        </w:rPr>
        <w:t>。主要原因是严格控制接待范围、接待人次、接待标准。其中：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0.06</w:t>
      </w:r>
      <w:r>
        <w:rPr>
          <w:rFonts w:hint="eastAsia" w:ascii="仿宋_GB2312" w:eastAsia="仿宋_GB2312"/>
          <w:color w:val="000000"/>
          <w:sz w:val="32"/>
          <w:szCs w:val="32"/>
        </w:rPr>
        <w:t>万元，主要用于执行公务、开展业务活动开支的用餐费。国内公务接待1批次，5人次，共计支出0.06万元，具体内容包括：重点信访人员稳控工作支出0.06万元。</w:t>
      </w:r>
    </w:p>
    <w:p>
      <w:pPr>
        <w:spacing w:line="600" w:lineRule="exact"/>
        <w:ind w:firstLine="643" w:firstLineChars="200"/>
        <w:rPr>
          <w:rFonts w:ascii="仿宋_GB2312" w:eastAsia="仿宋_GB2312"/>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w:t>
      </w:r>
    </w:p>
    <w:p>
      <w:pPr>
        <w:spacing w:line="600" w:lineRule="exact"/>
        <w:ind w:firstLine="640"/>
        <w:outlineLvl w:val="1"/>
        <w:rPr>
          <w:rStyle w:val="26"/>
          <w:rFonts w:ascii="黑体" w:hAnsi="黑体" w:eastAsia="黑体"/>
        </w:rPr>
      </w:pPr>
      <w:bookmarkStart w:id="40" w:name="_Toc15377218"/>
      <w:bookmarkStart w:id="41"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21年政府性基金预算财政拨款支出16万元。</w:t>
      </w:r>
    </w:p>
    <w:p>
      <w:pPr>
        <w:numPr>
          <w:ilvl w:val="0"/>
          <w:numId w:val="2"/>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攀枝花市西区信访局</w:t>
      </w:r>
      <w:r>
        <w:rPr>
          <w:rFonts w:hint="eastAsia" w:ascii="仿宋_GB2312" w:eastAsia="仿宋_GB2312"/>
          <w:sz w:val="32"/>
          <w:szCs w:val="32"/>
        </w:rPr>
        <w:t>机关运行经费支出13.26万元，比</w:t>
      </w:r>
      <w:r>
        <w:rPr>
          <w:rFonts w:ascii="仿宋_GB2312" w:eastAsia="仿宋_GB2312"/>
          <w:sz w:val="32"/>
          <w:szCs w:val="32"/>
        </w:rPr>
        <w:t>20</w:t>
      </w:r>
      <w:r>
        <w:rPr>
          <w:rFonts w:hint="eastAsia" w:ascii="仿宋_GB2312" w:eastAsia="仿宋_GB2312"/>
          <w:sz w:val="32"/>
          <w:szCs w:val="32"/>
        </w:rPr>
        <w:t>20年增加5.27万元，增长66</w:t>
      </w:r>
      <w:r>
        <w:rPr>
          <w:rFonts w:ascii="仿宋_GB2312" w:eastAsia="仿宋_GB2312"/>
          <w:sz w:val="32"/>
          <w:szCs w:val="32"/>
        </w:rPr>
        <w:t>%</w:t>
      </w:r>
      <w:r>
        <w:rPr>
          <w:rFonts w:hint="eastAsia" w:ascii="仿宋_GB2312" w:eastAsia="仿宋_GB2312"/>
          <w:sz w:val="32"/>
          <w:szCs w:val="32"/>
        </w:rPr>
        <w:t>。主要原因是因</w:t>
      </w:r>
      <w:r>
        <w:rPr>
          <w:rFonts w:hint="eastAsia" w:ascii="仿宋_GB2312" w:hAnsi="仿宋" w:eastAsia="仿宋_GB2312"/>
          <w:sz w:val="32"/>
          <w:szCs w:val="32"/>
        </w:rPr>
        <w:t>工作需要，办公费、差旅费、培训费等支出有所增加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攀枝花市西区信访局没有发生</w:t>
      </w:r>
      <w:r>
        <w:rPr>
          <w:rFonts w:hint="eastAsia" w:ascii="仿宋_GB2312" w:eastAsia="仿宋_GB2312"/>
          <w:sz w:val="32"/>
          <w:szCs w:val="32"/>
        </w:rPr>
        <w:t>政府采购支出。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攀枝花市西区信访局</w:t>
      </w:r>
      <w:r>
        <w:rPr>
          <w:rFonts w:hint="eastAsia" w:ascii="仿宋_GB2312" w:eastAsia="仿宋_GB2312"/>
          <w:sz w:val="32"/>
          <w:szCs w:val="32"/>
        </w:rPr>
        <w:t>没有公务车辆,也没有单价</w:t>
      </w:r>
      <w:r>
        <w:rPr>
          <w:rFonts w:ascii="仿宋_GB2312" w:eastAsia="仿宋_GB2312"/>
          <w:sz w:val="32"/>
          <w:szCs w:val="32"/>
        </w:rPr>
        <w:t>50</w:t>
      </w:r>
      <w:r>
        <w:rPr>
          <w:rFonts w:hint="eastAsia" w:ascii="仿宋_GB2312" w:eastAsia="仿宋_GB2312"/>
          <w:sz w:val="32"/>
          <w:szCs w:val="32"/>
        </w:rPr>
        <w:t>万元以上通用设备和单价100万元以上专用设备。</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保安费用等6个项目开展了预算事前绩效评估，对6个项目编制了绩效目标，预算执行过程中，选取6个项目开展绩效监控，年终执行完毕后，对6个项目开展了绩效自评，2021年特定目标类部门预算项目绩效目标自评表见附件（第四部分）。</w:t>
      </w:r>
    </w:p>
    <w:p>
      <w:pPr>
        <w:widowControl/>
        <w:jc w:val="left"/>
        <w:rPr>
          <w:rFonts w:ascii="仿宋_GB2312" w:eastAsia="仿宋_GB2312"/>
          <w:b/>
          <w:sz w:val="32"/>
          <w:szCs w:val="32"/>
        </w:rPr>
      </w:pPr>
    </w:p>
    <w:p>
      <w:pPr>
        <w:numPr>
          <w:ilvl w:val="0"/>
          <w:numId w:val="3"/>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color w:val="C00000"/>
          <w:sz w:val="32"/>
          <w:szCs w:val="32"/>
        </w:rPr>
        <w:t>2.</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 w:hAnsi="仿宋" w:eastAsia="仿宋"/>
          <w:color w:val="000000"/>
          <w:sz w:val="32"/>
          <w:szCs w:val="32"/>
        </w:rPr>
        <w:t>一般公共服务支出（类）政府办公厅（室）及相关机构事务（款）行政运行（项）：反映行政单位（包括实行公务员管理的事业单位）的基本支出；信访事务（项）：反映各级政府用于接待群众来信来访方面的支出；事业运行（项）：反映事业单位的基本支出，不包括行政单位（包括实行公务员管理的事业单位）后勤服务中心、医务室等附属事业单位。</w:t>
      </w:r>
    </w:p>
    <w:p>
      <w:pPr>
        <w:spacing w:line="600" w:lineRule="exact"/>
        <w:ind w:firstLine="640" w:firstLineChars="200"/>
        <w:rPr>
          <w:rFonts w:ascii="仿宋" w:hAnsi="仿宋" w:eastAsia="仿宋"/>
          <w:color w:val="000000"/>
          <w:sz w:val="32"/>
          <w:szCs w:val="32"/>
        </w:rPr>
      </w:pPr>
      <w:r>
        <w:rPr>
          <w:rFonts w:hint="eastAsia" w:ascii="仿宋_GB2312" w:eastAsia="仿宋_GB2312"/>
          <w:color w:val="000000"/>
          <w:sz w:val="32"/>
          <w:szCs w:val="32"/>
        </w:rPr>
        <w:t>6.社会保障和就业支出（类）行政事业单位养老支出（款）</w:t>
      </w:r>
      <w:r>
        <w:rPr>
          <w:rFonts w:hint="eastAsia" w:ascii="仿宋" w:hAnsi="仿宋" w:eastAsia="仿宋"/>
          <w:color w:val="000000"/>
          <w:sz w:val="32"/>
          <w:szCs w:val="32"/>
        </w:rPr>
        <w:t>行政单位离退休（项）：反映行政单位（包括实行公务员管理的事业单位）开支的离退休经费；</w:t>
      </w:r>
      <w:r>
        <w:rPr>
          <w:rFonts w:hint="eastAsia" w:ascii="仿宋_GB2312" w:eastAsia="仿宋_GB2312"/>
          <w:color w:val="000000"/>
          <w:sz w:val="32"/>
          <w:szCs w:val="32"/>
        </w:rPr>
        <w:t>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p>
    <w:p>
      <w:pPr>
        <w:ind w:firstLine="640" w:firstLineChars="200"/>
        <w:rPr>
          <w:rFonts w:ascii="仿宋_GB2312" w:eastAsia="仿宋_GB2312"/>
          <w:color w:val="000000"/>
          <w:sz w:val="32"/>
          <w:szCs w:val="32"/>
        </w:rPr>
      </w:pPr>
      <w:r>
        <w:rPr>
          <w:rFonts w:hint="eastAsia" w:ascii="仿宋" w:hAnsi="仿宋" w:eastAsia="仿宋"/>
          <w:color w:val="000000"/>
          <w:sz w:val="32"/>
          <w:szCs w:val="32"/>
        </w:rPr>
        <w:t>8.城乡社区支出（类）国有土地使用权出让收入及对应专项债务收入安排的支出（款）土地开发支出（项）：反映新疆生产建设兵团和地方政府用于前期土地开发性支出以及与前期土地开发相关的费用等支出。</w:t>
      </w:r>
      <w:r>
        <w:rPr>
          <w:rFonts w:hint="eastAsia" w:ascii="仿宋_GB2312" w:eastAsia="仿宋_GB2312"/>
          <w:color w:val="000000"/>
          <w:sz w:val="32"/>
          <w:szCs w:val="32"/>
        </w:rPr>
        <w:tab/>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sz w:val="44"/>
          <w:szCs w:val="44"/>
        </w:rPr>
      </w:pPr>
      <w:bookmarkStart w:id="51" w:name="_Toc15396614"/>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51"/>
    </w:p>
    <w:p>
      <w:pPr>
        <w:pStyle w:val="12"/>
        <w:widowControl/>
        <w:ind w:firstLine="1928" w:firstLineChars="600"/>
        <w:textAlignment w:val="center"/>
        <w:rPr>
          <w:rFonts w:ascii="Helvetica" w:hAnsi="Helvetica" w:eastAsia="Helvetica" w:cs="Helvetica"/>
          <w:color w:val="000000"/>
          <w:sz w:val="21"/>
          <w:szCs w:val="21"/>
        </w:rPr>
      </w:pPr>
      <w:bookmarkStart w:id="52" w:name="_Toc15396619"/>
      <w:r>
        <w:rPr>
          <w:rStyle w:val="14"/>
          <w:rFonts w:hint="eastAsia" w:ascii="宋体" w:hAnsi="宋体" w:cs="宋体"/>
          <w:color w:val="000000"/>
          <w:sz w:val="32"/>
          <w:szCs w:val="32"/>
        </w:rPr>
        <w:t>2021年部门预算项目绩效目标自评</w:t>
      </w:r>
    </w:p>
    <w:tbl>
      <w:tblPr>
        <w:tblStyle w:val="16"/>
        <w:tblW w:w="9810" w:type="dxa"/>
        <w:tblInd w:w="135" w:type="dxa"/>
        <w:tblLayout w:type="fixed"/>
        <w:tblCellMar>
          <w:top w:w="15" w:type="dxa"/>
          <w:left w:w="15" w:type="dxa"/>
          <w:bottom w:w="15" w:type="dxa"/>
          <w:right w:w="15" w:type="dxa"/>
        </w:tblCellMar>
      </w:tblPr>
      <w:tblGrid>
        <w:gridCol w:w="1680"/>
        <w:gridCol w:w="1110"/>
        <w:gridCol w:w="1590"/>
        <w:gridCol w:w="1560"/>
        <w:gridCol w:w="1740"/>
        <w:gridCol w:w="1890"/>
        <w:gridCol w:w="240"/>
      </w:tblGrid>
      <w:tr>
        <w:tblPrEx>
          <w:tblLayout w:type="fixed"/>
          <w:tblCellMar>
            <w:top w:w="15" w:type="dxa"/>
            <w:left w:w="15" w:type="dxa"/>
            <w:bottom w:w="15" w:type="dxa"/>
            <w:right w:w="15" w:type="dxa"/>
          </w:tblCellMar>
        </w:tblPrEx>
        <w:trPr>
          <w:trHeight w:val="675" w:hRule="atLeast"/>
        </w:trPr>
        <w:tc>
          <w:tcPr>
            <w:tcW w:w="9570" w:type="dxa"/>
            <w:gridSpan w:val="6"/>
            <w:tcBorders>
              <w:top w:val="nil"/>
              <w:left w:val="nil"/>
              <w:bottom w:val="nil"/>
              <w:right w:val="nil"/>
            </w:tcBorders>
            <w:tcMar>
              <w:top w:w="0" w:type="dxa"/>
              <w:left w:w="108" w:type="dxa"/>
              <w:bottom w:w="0" w:type="dxa"/>
              <w:right w:w="108" w:type="dxa"/>
            </w:tcMar>
            <w:vAlign w:val="center"/>
          </w:tcPr>
          <w:p>
            <w:pPr>
              <w:pStyle w:val="12"/>
              <w:widowControl/>
              <w:spacing w:before="93" w:beforeAutospacing="0"/>
              <w:ind w:firstLine="3694"/>
            </w:pPr>
            <w:r>
              <w:rPr>
                <w:rStyle w:val="14"/>
                <w:rFonts w:hint="eastAsia" w:ascii="仿宋_GB2312" w:hAnsi="仿宋_GB2312" w:eastAsia="仿宋_GB2312" w:cs="仿宋_GB2312"/>
                <w:color w:val="000000"/>
                <w:sz w:val="32"/>
                <w:szCs w:val="32"/>
              </w:rPr>
              <w:t>保安费用</w:t>
            </w:r>
          </w:p>
        </w:tc>
        <w:tc>
          <w:tcPr>
            <w:tcW w:w="240" w:type="dxa"/>
            <w:tcBorders>
              <w:top w:val="nil"/>
              <w:left w:val="nil"/>
              <w:bottom w:val="nil"/>
              <w:right w:val="nil"/>
            </w:tcBorders>
            <w:tcMar>
              <w:top w:w="0" w:type="dxa"/>
              <w:left w:w="108" w:type="dxa"/>
              <w:bottom w:w="0" w:type="dxa"/>
              <w:right w:w="108" w:type="dxa"/>
            </w:tcMar>
            <w:vAlign w:val="center"/>
          </w:tcPr>
          <w:p>
            <w:pPr>
              <w:pStyle w:val="12"/>
              <w:widowControl/>
              <w:jc w:val="center"/>
              <w:textAlignment w:val="center"/>
            </w:pPr>
          </w:p>
        </w:tc>
      </w:tr>
      <w:tr>
        <w:tblPrEx>
          <w:tblLayout w:type="fixed"/>
          <w:tblCellMar>
            <w:top w:w="15" w:type="dxa"/>
            <w:left w:w="15" w:type="dxa"/>
            <w:bottom w:w="15" w:type="dxa"/>
            <w:right w:w="15" w:type="dxa"/>
          </w:tblCellMar>
        </w:tblPrEx>
        <w:trPr>
          <w:trHeight w:val="255" w:hRule="atLeast"/>
        </w:trPr>
        <w:tc>
          <w:tcPr>
            <w:tcW w:w="279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主管部门及代码</w:t>
            </w:r>
          </w:p>
        </w:tc>
        <w:tc>
          <w:tcPr>
            <w:tcW w:w="315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攀枝花市西区信访局</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实施单位</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区信访局</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345" w:hRule="atLeast"/>
        </w:trPr>
        <w:tc>
          <w:tcPr>
            <w:tcW w:w="2790" w:type="dxa"/>
            <w:gridSpan w:val="2"/>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项目预算</w:t>
            </w:r>
            <w:r>
              <w:rPr>
                <w:rFonts w:ascii="Helvetica" w:hAnsi="Helvetica" w:eastAsia="Helvetica" w:cs="Helvetica"/>
                <w:color w:val="000000"/>
                <w:sz w:val="21"/>
                <w:szCs w:val="21"/>
              </w:rPr>
              <w:br w:type="textWrapping"/>
            </w:r>
            <w:r>
              <w:rPr>
                <w:rFonts w:hint="eastAsia" w:ascii="宋体" w:hAnsi="宋体" w:cs="宋体"/>
                <w:color w:val="000000"/>
              </w:rPr>
              <w:t>执行情况</w:t>
            </w:r>
            <w:r>
              <w:rPr>
                <w:rFonts w:ascii="Helvetica" w:hAnsi="Helvetica" w:eastAsia="Helvetica" w:cs="Helvetica"/>
                <w:color w:val="000000"/>
                <w:sz w:val="21"/>
                <w:szCs w:val="21"/>
              </w:rPr>
              <w:br w:type="textWrapping"/>
            </w:r>
            <w:r>
              <w:rPr>
                <w:rFonts w:hint="eastAsia" w:ascii="宋体" w:hAnsi="宋体" w:cs="宋体"/>
                <w:color w:val="000000"/>
              </w:rPr>
              <w:t>（万元）</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预算数：</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8</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执行数：</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8</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55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8</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8</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34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210" w:hRule="atLeast"/>
        </w:trPr>
        <w:tc>
          <w:tcPr>
            <w:tcW w:w="1680"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年度总体目标</w:t>
            </w:r>
          </w:p>
          <w:p>
            <w:pPr>
              <w:pStyle w:val="12"/>
              <w:widowControl/>
              <w:spacing w:line="320" w:lineRule="atLeast"/>
              <w:jc w:val="center"/>
              <w:textAlignment w:val="center"/>
            </w:pPr>
            <w:r>
              <w:rPr>
                <w:rFonts w:hint="eastAsia" w:ascii="宋体" w:hAnsi="宋体" w:cs="宋体"/>
                <w:color w:val="000000"/>
              </w:rPr>
              <w:t>完成情况</w:t>
            </w: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预期目标</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目标实际完成情况</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90" w:hRule="atLeast"/>
        </w:trPr>
        <w:tc>
          <w:tcPr>
            <w:tcW w:w="1680"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tcPr>
          <w:p>
            <w:pPr>
              <w:pStyle w:val="12"/>
              <w:widowControl/>
              <w:jc w:val="center"/>
              <w:textAlignment w:val="center"/>
            </w:pPr>
            <w:r>
              <w:rPr>
                <w:rFonts w:hint="eastAsia" w:ascii="仿宋_GB2312" w:hAnsi="仿宋_GB2312" w:eastAsia="仿宋_GB2312" w:cs="仿宋_GB2312"/>
                <w:color w:val="000000"/>
                <w:sz w:val="18"/>
                <w:szCs w:val="18"/>
              </w:rPr>
              <w:t>保障本年度内两名保安人员的经费，确保信访安保工作质量。</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tcPr>
          <w:p>
            <w:pPr>
              <w:pStyle w:val="12"/>
              <w:widowControl/>
              <w:jc w:val="center"/>
              <w:textAlignment w:val="center"/>
            </w:pPr>
            <w:r>
              <w:rPr>
                <w:rFonts w:hint="eastAsia" w:ascii="仿宋_GB2312" w:hAnsi="仿宋_GB2312" w:eastAsia="仿宋_GB2312" w:cs="仿宋_GB2312"/>
                <w:color w:val="000000"/>
                <w:sz w:val="18"/>
                <w:szCs w:val="18"/>
              </w:rPr>
              <w:t>完成</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690" w:hRule="atLeast"/>
        </w:trPr>
        <w:tc>
          <w:tcPr>
            <w:tcW w:w="1680" w:type="dxa"/>
            <w:vMerge w:val="restart"/>
            <w:tcBorders>
              <w:top w:val="nil"/>
              <w:left w:val="single" w:color="000000" w:sz="8" w:space="0"/>
              <w:bottom w:val="nil"/>
              <w:right w:val="single" w:color="000000" w:sz="8" w:space="0"/>
            </w:tcBorders>
            <w:tcMar>
              <w:top w:w="0" w:type="dxa"/>
              <w:left w:w="108" w:type="dxa"/>
              <w:bottom w:w="0" w:type="dxa"/>
              <w:right w:w="108" w:type="dxa"/>
            </w:tcMar>
            <w:vAlign w:val="center"/>
          </w:tcPr>
          <w:p>
            <w:pPr>
              <w:pStyle w:val="12"/>
              <w:widowControl/>
              <w:spacing w:line="320" w:lineRule="atLeast"/>
              <w:jc w:val="center"/>
            </w:pPr>
            <w:r>
              <w:rPr>
                <w:rFonts w:hint="eastAsia" w:ascii="仿宋_GB2312" w:hAnsi="仿宋_GB2312" w:eastAsia="仿宋_GB2312" w:cs="仿宋_GB2312"/>
                <w:color w:val="000000"/>
                <w:sz w:val="28"/>
                <w:szCs w:val="28"/>
              </w:rPr>
              <w:t>年度绩效指标完成情况</w:t>
            </w: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一级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二级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三级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预期指标值</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实际完成指标值</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完成</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数量指标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保障全年保安的经费</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保障两名保安人员的经费</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质量指标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确保信访安保工作质量</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完成本年度内信访安保工作工作质量</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100%</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时效指标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完成年度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本年度</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成本指标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区级财政</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8</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8</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效益</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经济效益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社会效益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信访工作顺利开展</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保证全区信访工作顺利开展</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好</w:t>
            </w: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57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生态效益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可持续影响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240" w:type="dxa"/>
            <w:tcBorders>
              <w:top w:val="nil"/>
              <w:left w:val="nil"/>
              <w:bottom w:val="nil"/>
              <w:right w:val="nil"/>
            </w:tcBorders>
            <w:vAlign w:val="center"/>
          </w:tcPr>
          <w:p>
            <w:pPr>
              <w:pStyle w:val="12"/>
              <w:widowControl/>
            </w:pPr>
          </w:p>
        </w:tc>
      </w:tr>
      <w:tr>
        <w:tblPrEx>
          <w:tblLayout w:type="fixed"/>
          <w:tblCellMar>
            <w:top w:w="15" w:type="dxa"/>
            <w:left w:w="15" w:type="dxa"/>
            <w:bottom w:w="15" w:type="dxa"/>
            <w:right w:w="15" w:type="dxa"/>
          </w:tblCellMar>
        </w:tblPrEx>
        <w:trPr>
          <w:trHeight w:val="525"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rPr>
              <w:t>满意</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度指标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满意度</w:t>
            </w:r>
          </w:p>
          <w:p>
            <w:pPr>
              <w:pStyle w:val="12"/>
              <w:widowControl/>
              <w:spacing w:line="320" w:lineRule="atLeast"/>
              <w:jc w:val="center"/>
              <w:textAlignment w:val="bottom"/>
            </w:pPr>
            <w:r>
              <w:rPr>
                <w:rFonts w:hint="eastAsia" w:ascii="仿宋_GB2312" w:hAnsi="仿宋_GB2312" w:eastAsia="仿宋_GB2312" w:cs="仿宋_GB2312"/>
                <w:color w:val="000000"/>
                <w:sz w:val="21"/>
                <w:szCs w:val="21"/>
              </w:rPr>
              <w:t>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群众满意度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w:t>
            </w:r>
          </w:p>
        </w:tc>
        <w:tc>
          <w:tcPr>
            <w:tcW w:w="240" w:type="dxa"/>
            <w:tcBorders>
              <w:top w:val="nil"/>
              <w:left w:val="nil"/>
              <w:bottom w:val="nil"/>
              <w:right w:val="nil"/>
            </w:tcBorders>
            <w:vAlign w:val="center"/>
          </w:tcPr>
          <w:p>
            <w:pPr>
              <w:pStyle w:val="12"/>
              <w:widowControl/>
            </w:pPr>
          </w:p>
        </w:tc>
      </w:tr>
    </w:tbl>
    <w:p>
      <w:pPr>
        <w:pStyle w:val="12"/>
        <w:widowControl/>
        <w:spacing w:line="600" w:lineRule="atLeast"/>
        <w:jc w:val="center"/>
        <w:rPr>
          <w:rFonts w:ascii="Helvetica" w:hAnsi="Helvetica" w:eastAsia="Helvetica" w:cs="Helvetica"/>
          <w:color w:val="000000"/>
          <w:sz w:val="21"/>
          <w:szCs w:val="21"/>
        </w:rPr>
      </w:pPr>
    </w:p>
    <w:tbl>
      <w:tblPr>
        <w:tblStyle w:val="16"/>
        <w:tblW w:w="9570" w:type="dxa"/>
        <w:tblInd w:w="135" w:type="dxa"/>
        <w:tblLayout w:type="fixed"/>
        <w:tblCellMar>
          <w:top w:w="15" w:type="dxa"/>
          <w:left w:w="15" w:type="dxa"/>
          <w:bottom w:w="15" w:type="dxa"/>
          <w:right w:w="15" w:type="dxa"/>
        </w:tblCellMar>
      </w:tblPr>
      <w:tblGrid>
        <w:gridCol w:w="1680"/>
        <w:gridCol w:w="1110"/>
        <w:gridCol w:w="1590"/>
        <w:gridCol w:w="1560"/>
        <w:gridCol w:w="1740"/>
        <w:gridCol w:w="1890"/>
      </w:tblGrid>
      <w:tr>
        <w:tblPrEx>
          <w:tblLayout w:type="fixed"/>
          <w:tblCellMar>
            <w:top w:w="15" w:type="dxa"/>
            <w:left w:w="15" w:type="dxa"/>
            <w:bottom w:w="15" w:type="dxa"/>
            <w:right w:w="15" w:type="dxa"/>
          </w:tblCellMar>
        </w:tblPrEx>
        <w:trPr>
          <w:trHeight w:val="675" w:hRule="atLeast"/>
        </w:trPr>
        <w:tc>
          <w:tcPr>
            <w:tcW w:w="9570" w:type="dxa"/>
            <w:gridSpan w:val="6"/>
            <w:tcBorders>
              <w:top w:val="nil"/>
              <w:left w:val="nil"/>
              <w:bottom w:val="nil"/>
              <w:right w:val="nil"/>
            </w:tcBorders>
            <w:tcMar>
              <w:top w:w="0" w:type="dxa"/>
              <w:left w:w="108" w:type="dxa"/>
              <w:bottom w:w="0" w:type="dxa"/>
              <w:right w:w="108" w:type="dxa"/>
            </w:tcMar>
            <w:vAlign w:val="center"/>
          </w:tcPr>
          <w:p>
            <w:pPr>
              <w:pStyle w:val="12"/>
              <w:widowControl/>
              <w:spacing w:before="93" w:beforeAutospacing="0"/>
              <w:ind w:firstLine="3213" w:firstLineChars="1000"/>
            </w:pPr>
            <w:r>
              <w:rPr>
                <w:rStyle w:val="14"/>
                <w:rFonts w:hint="eastAsia" w:ascii="仿宋_GB2312" w:hAnsi="仿宋_GB2312" w:eastAsia="仿宋_GB2312" w:cs="仿宋_GB2312"/>
                <w:color w:val="000000"/>
                <w:sz w:val="32"/>
                <w:szCs w:val="32"/>
              </w:rPr>
              <w:t>接访费用</w:t>
            </w:r>
          </w:p>
        </w:tc>
      </w:tr>
      <w:tr>
        <w:tblPrEx>
          <w:tblLayout w:type="fixed"/>
          <w:tblCellMar>
            <w:top w:w="15" w:type="dxa"/>
            <w:left w:w="15" w:type="dxa"/>
            <w:bottom w:w="15" w:type="dxa"/>
            <w:right w:w="15" w:type="dxa"/>
          </w:tblCellMar>
        </w:tblPrEx>
        <w:trPr>
          <w:trHeight w:val="255" w:hRule="atLeast"/>
        </w:trPr>
        <w:tc>
          <w:tcPr>
            <w:tcW w:w="279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主管部门及代码</w:t>
            </w:r>
          </w:p>
        </w:tc>
        <w:tc>
          <w:tcPr>
            <w:tcW w:w="315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攀枝花市西区信访局</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实施单位</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区信访局</w:t>
            </w:r>
          </w:p>
        </w:tc>
      </w:tr>
      <w:tr>
        <w:tblPrEx>
          <w:tblLayout w:type="fixed"/>
          <w:tblCellMar>
            <w:top w:w="15" w:type="dxa"/>
            <w:left w:w="15" w:type="dxa"/>
            <w:bottom w:w="15" w:type="dxa"/>
            <w:right w:w="15" w:type="dxa"/>
          </w:tblCellMar>
        </w:tblPrEx>
        <w:trPr>
          <w:trHeight w:val="345" w:hRule="atLeast"/>
        </w:trPr>
        <w:tc>
          <w:tcPr>
            <w:tcW w:w="2790" w:type="dxa"/>
            <w:gridSpan w:val="2"/>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项目预算</w:t>
            </w:r>
            <w:r>
              <w:rPr>
                <w:rFonts w:ascii="Helvetica" w:hAnsi="Helvetica" w:eastAsia="Helvetica" w:cs="Helvetica"/>
                <w:color w:val="000000"/>
                <w:sz w:val="21"/>
                <w:szCs w:val="21"/>
              </w:rPr>
              <w:br w:type="textWrapping"/>
            </w:r>
            <w:r>
              <w:rPr>
                <w:rFonts w:hint="eastAsia" w:ascii="宋体" w:hAnsi="宋体" w:cs="宋体"/>
                <w:color w:val="000000"/>
              </w:rPr>
              <w:t>执行情况</w:t>
            </w:r>
            <w:r>
              <w:rPr>
                <w:rFonts w:ascii="Helvetica" w:hAnsi="Helvetica" w:eastAsia="Helvetica" w:cs="Helvetica"/>
                <w:color w:val="000000"/>
                <w:sz w:val="21"/>
                <w:szCs w:val="21"/>
              </w:rPr>
              <w:br w:type="textWrapping"/>
            </w:r>
            <w:r>
              <w:rPr>
                <w:rFonts w:hint="eastAsia" w:ascii="宋体" w:hAnsi="宋体" w:cs="宋体"/>
                <w:color w:val="000000"/>
              </w:rPr>
              <w:t>（万元）</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预算数：</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2</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执行数：</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2</w:t>
            </w:r>
          </w:p>
        </w:tc>
      </w:tr>
      <w:tr>
        <w:tblPrEx>
          <w:tblLayout w:type="fixed"/>
          <w:tblCellMar>
            <w:top w:w="15" w:type="dxa"/>
            <w:left w:w="15" w:type="dxa"/>
            <w:bottom w:w="15" w:type="dxa"/>
            <w:right w:w="15" w:type="dxa"/>
          </w:tblCellMar>
        </w:tblPrEx>
        <w:trPr>
          <w:trHeight w:val="55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2</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2</w:t>
            </w:r>
          </w:p>
        </w:tc>
      </w:tr>
      <w:tr>
        <w:tblPrEx>
          <w:tblLayout w:type="fixed"/>
          <w:tblCellMar>
            <w:top w:w="15" w:type="dxa"/>
            <w:left w:w="15" w:type="dxa"/>
            <w:bottom w:w="15" w:type="dxa"/>
            <w:right w:w="15" w:type="dxa"/>
          </w:tblCellMar>
        </w:tblPrEx>
        <w:trPr>
          <w:trHeight w:val="34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r>
      <w:tr>
        <w:tblPrEx>
          <w:tblLayout w:type="fixed"/>
          <w:tblCellMar>
            <w:top w:w="15" w:type="dxa"/>
            <w:left w:w="15" w:type="dxa"/>
            <w:bottom w:w="15" w:type="dxa"/>
            <w:right w:w="15" w:type="dxa"/>
          </w:tblCellMar>
        </w:tblPrEx>
        <w:trPr>
          <w:trHeight w:val="210" w:hRule="atLeast"/>
        </w:trPr>
        <w:tc>
          <w:tcPr>
            <w:tcW w:w="1680"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年度总体目标</w:t>
            </w:r>
          </w:p>
          <w:p>
            <w:pPr>
              <w:pStyle w:val="12"/>
              <w:widowControl/>
              <w:spacing w:line="320" w:lineRule="atLeast"/>
              <w:jc w:val="center"/>
              <w:textAlignment w:val="center"/>
            </w:pPr>
            <w:r>
              <w:rPr>
                <w:rFonts w:hint="eastAsia" w:ascii="宋体" w:hAnsi="宋体" w:cs="宋体"/>
                <w:color w:val="000000"/>
              </w:rPr>
              <w:t>完成情况</w:t>
            </w: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预期目标</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目标实际完成情况</w:t>
            </w:r>
          </w:p>
        </w:tc>
      </w:tr>
      <w:tr>
        <w:tblPrEx>
          <w:tblLayout w:type="fixed"/>
          <w:tblCellMar>
            <w:top w:w="15" w:type="dxa"/>
            <w:left w:w="15" w:type="dxa"/>
            <w:bottom w:w="15" w:type="dxa"/>
            <w:right w:w="15" w:type="dxa"/>
          </w:tblCellMar>
        </w:tblPrEx>
        <w:trPr>
          <w:trHeight w:val="615" w:hRule="atLeast"/>
        </w:trPr>
        <w:tc>
          <w:tcPr>
            <w:tcW w:w="1680"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tcPr>
          <w:p>
            <w:pPr>
              <w:pStyle w:val="12"/>
              <w:widowControl/>
              <w:jc w:val="center"/>
              <w:textAlignment w:val="center"/>
            </w:pPr>
            <w:r>
              <w:rPr>
                <w:rFonts w:hint="eastAsia" w:ascii="仿宋_GB2312" w:hAnsi="仿宋_GB2312" w:eastAsia="仿宋_GB2312" w:cs="仿宋_GB2312"/>
                <w:color w:val="000000"/>
                <w:sz w:val="18"/>
                <w:szCs w:val="18"/>
              </w:rPr>
              <w:t>本年度内不发生重大群体信访事项，全区无重大信访问题。</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完成</w:t>
            </w:r>
          </w:p>
        </w:tc>
      </w:tr>
      <w:tr>
        <w:tblPrEx>
          <w:tblLayout w:type="fixed"/>
          <w:tblCellMar>
            <w:top w:w="15" w:type="dxa"/>
            <w:left w:w="15" w:type="dxa"/>
            <w:bottom w:w="15" w:type="dxa"/>
            <w:right w:w="15" w:type="dxa"/>
          </w:tblCellMar>
        </w:tblPrEx>
        <w:trPr>
          <w:trHeight w:val="690" w:hRule="atLeast"/>
        </w:trPr>
        <w:tc>
          <w:tcPr>
            <w:tcW w:w="1680" w:type="dxa"/>
            <w:vMerge w:val="restart"/>
            <w:tcBorders>
              <w:top w:val="nil"/>
              <w:left w:val="single" w:color="000000" w:sz="8" w:space="0"/>
              <w:bottom w:val="nil"/>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仿宋_GB2312" w:hAnsi="仿宋_GB2312" w:eastAsia="仿宋_GB2312" w:cs="仿宋_GB2312"/>
                <w:color w:val="000000"/>
                <w:sz w:val="28"/>
                <w:szCs w:val="28"/>
              </w:rPr>
              <w:t>年度绩效指标完成情况</w:t>
            </w: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一级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二级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三级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预期指标值</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实际完成指标值</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完成</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数量指标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保障全年接待上访群众的经费</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保障全年来信、来访、来电、网上信访等经费</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完成</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质量指标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确保全年不因信访问题引发重大群体性事件。</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完成本年度内来信、来访、来电、网上信访等工作。</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65%</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时效指标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完成年度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本年度</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完成</w:t>
            </w: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成本指标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区级财政</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2</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1.29</w:t>
            </w: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效益</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经济效益指标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社会效益指标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保障本年度内不发生重大群体性事项</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年度内未发生重大群体性事项</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好</w:t>
            </w:r>
          </w:p>
        </w:tc>
      </w:tr>
      <w:tr>
        <w:tblPrEx>
          <w:tblLayout w:type="fixed"/>
          <w:tblCellMar>
            <w:top w:w="15" w:type="dxa"/>
            <w:left w:w="15" w:type="dxa"/>
            <w:bottom w:w="15" w:type="dxa"/>
            <w:right w:w="15" w:type="dxa"/>
          </w:tblCellMar>
        </w:tblPrEx>
        <w:trPr>
          <w:trHeight w:val="57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生态效益指标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18"/>
                <w:szCs w:val="18"/>
              </w:rPr>
              <w:t>可持续影响指标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pPr>
          </w:p>
        </w:tc>
      </w:tr>
      <w:tr>
        <w:tblPrEx>
          <w:tblLayout w:type="fixed"/>
          <w:tblCellMar>
            <w:top w:w="15" w:type="dxa"/>
            <w:left w:w="15" w:type="dxa"/>
            <w:bottom w:w="15" w:type="dxa"/>
            <w:right w:w="15" w:type="dxa"/>
          </w:tblCellMar>
        </w:tblPrEx>
        <w:trPr>
          <w:trHeight w:val="525"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rPr>
              <w:t>满意</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度指标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满意度</w:t>
            </w:r>
          </w:p>
          <w:p>
            <w:pPr>
              <w:pStyle w:val="12"/>
              <w:widowControl/>
              <w:spacing w:line="320" w:lineRule="atLeast"/>
              <w:jc w:val="center"/>
              <w:textAlignment w:val="bottom"/>
            </w:pPr>
            <w:r>
              <w:rPr>
                <w:rFonts w:hint="eastAsia" w:ascii="仿宋_GB2312" w:hAnsi="仿宋_GB2312" w:eastAsia="仿宋_GB2312" w:cs="仿宋_GB2312"/>
                <w:color w:val="000000"/>
                <w:sz w:val="21"/>
                <w:szCs w:val="21"/>
              </w:rPr>
              <w:t>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群众满意度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满意</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满意</w:t>
            </w:r>
          </w:p>
        </w:tc>
      </w:tr>
    </w:tbl>
    <w:p>
      <w:pPr>
        <w:pStyle w:val="12"/>
        <w:widowControl/>
        <w:ind w:firstLine="643"/>
        <w:rPr>
          <w:rFonts w:ascii="Helvetica" w:hAnsi="Helvetica" w:eastAsia="Helvetica" w:cs="Helvetica"/>
          <w:color w:val="000000"/>
          <w:sz w:val="21"/>
          <w:szCs w:val="21"/>
        </w:rPr>
      </w:pPr>
    </w:p>
    <w:tbl>
      <w:tblPr>
        <w:tblStyle w:val="16"/>
        <w:tblW w:w="9570" w:type="dxa"/>
        <w:tblInd w:w="135" w:type="dxa"/>
        <w:tblLayout w:type="fixed"/>
        <w:tblCellMar>
          <w:top w:w="15" w:type="dxa"/>
          <w:left w:w="15" w:type="dxa"/>
          <w:bottom w:w="15" w:type="dxa"/>
          <w:right w:w="15" w:type="dxa"/>
        </w:tblCellMar>
      </w:tblPr>
      <w:tblGrid>
        <w:gridCol w:w="1680"/>
        <w:gridCol w:w="1110"/>
        <w:gridCol w:w="1590"/>
        <w:gridCol w:w="1560"/>
        <w:gridCol w:w="1740"/>
        <w:gridCol w:w="1890"/>
      </w:tblGrid>
      <w:tr>
        <w:tblPrEx>
          <w:tblLayout w:type="fixed"/>
          <w:tblCellMar>
            <w:top w:w="15" w:type="dxa"/>
            <w:left w:w="15" w:type="dxa"/>
            <w:bottom w:w="15" w:type="dxa"/>
            <w:right w:w="15" w:type="dxa"/>
          </w:tblCellMar>
        </w:tblPrEx>
        <w:trPr>
          <w:trHeight w:val="675" w:hRule="atLeast"/>
        </w:trPr>
        <w:tc>
          <w:tcPr>
            <w:tcW w:w="9570" w:type="dxa"/>
            <w:gridSpan w:val="6"/>
            <w:tcBorders>
              <w:top w:val="nil"/>
              <w:left w:val="nil"/>
              <w:bottom w:val="nil"/>
              <w:right w:val="nil"/>
            </w:tcBorders>
            <w:tcMar>
              <w:top w:w="0" w:type="dxa"/>
              <w:left w:w="108" w:type="dxa"/>
              <w:bottom w:w="0" w:type="dxa"/>
              <w:right w:w="108" w:type="dxa"/>
            </w:tcMar>
            <w:vAlign w:val="center"/>
          </w:tcPr>
          <w:p>
            <w:pPr>
              <w:pStyle w:val="12"/>
              <w:widowControl/>
              <w:spacing w:before="93" w:beforeAutospacing="0"/>
              <w:ind w:firstLine="964"/>
            </w:pPr>
            <w:r>
              <w:rPr>
                <w:rFonts w:ascii="Helvetica" w:hAnsi="Helvetica" w:eastAsia="Helvetica" w:cs="Helvetica"/>
                <w:color w:val="000000"/>
                <w:sz w:val="21"/>
                <w:szCs w:val="21"/>
              </w:rPr>
              <w:t>                  </w:t>
            </w:r>
            <w:r>
              <w:rPr>
                <w:rStyle w:val="14"/>
                <w:rFonts w:hint="eastAsia" w:ascii="仿宋_GB2312" w:hAnsi="仿宋_GB2312" w:eastAsia="仿宋_GB2312" w:cs="仿宋_GB2312"/>
                <w:color w:val="000000"/>
                <w:sz w:val="32"/>
                <w:szCs w:val="32"/>
              </w:rPr>
              <w:t>矛盾化解和疑难信访问题专项资金</w:t>
            </w:r>
          </w:p>
        </w:tc>
      </w:tr>
      <w:tr>
        <w:tblPrEx>
          <w:tblLayout w:type="fixed"/>
          <w:tblCellMar>
            <w:top w:w="15" w:type="dxa"/>
            <w:left w:w="15" w:type="dxa"/>
            <w:bottom w:w="15" w:type="dxa"/>
            <w:right w:w="15" w:type="dxa"/>
          </w:tblCellMar>
        </w:tblPrEx>
        <w:trPr>
          <w:trHeight w:val="255" w:hRule="atLeast"/>
        </w:trPr>
        <w:tc>
          <w:tcPr>
            <w:tcW w:w="279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主管部门及代码</w:t>
            </w:r>
          </w:p>
        </w:tc>
        <w:tc>
          <w:tcPr>
            <w:tcW w:w="315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攀枝花市西区信访局</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实施单位</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区信访局</w:t>
            </w:r>
          </w:p>
        </w:tc>
      </w:tr>
      <w:tr>
        <w:tblPrEx>
          <w:tblLayout w:type="fixed"/>
          <w:tblCellMar>
            <w:top w:w="15" w:type="dxa"/>
            <w:left w:w="15" w:type="dxa"/>
            <w:bottom w:w="15" w:type="dxa"/>
            <w:right w:w="15" w:type="dxa"/>
          </w:tblCellMar>
        </w:tblPrEx>
        <w:trPr>
          <w:trHeight w:val="345" w:hRule="atLeast"/>
        </w:trPr>
        <w:tc>
          <w:tcPr>
            <w:tcW w:w="2790" w:type="dxa"/>
            <w:gridSpan w:val="2"/>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项目预算</w:t>
            </w:r>
            <w:r>
              <w:rPr>
                <w:rFonts w:ascii="Helvetica" w:hAnsi="Helvetica" w:eastAsia="Helvetica" w:cs="Helvetica"/>
                <w:color w:val="000000"/>
                <w:sz w:val="21"/>
                <w:szCs w:val="21"/>
              </w:rPr>
              <w:br w:type="textWrapping"/>
            </w:r>
            <w:r>
              <w:rPr>
                <w:rFonts w:hint="eastAsia" w:ascii="宋体" w:hAnsi="宋体" w:cs="宋体"/>
                <w:color w:val="000000"/>
              </w:rPr>
              <w:t>执行情况</w:t>
            </w:r>
            <w:r>
              <w:rPr>
                <w:rFonts w:ascii="Helvetica" w:hAnsi="Helvetica" w:eastAsia="Helvetica" w:cs="Helvetica"/>
                <w:color w:val="000000"/>
                <w:sz w:val="21"/>
                <w:szCs w:val="21"/>
              </w:rPr>
              <w:br w:type="textWrapping"/>
            </w:r>
            <w:r>
              <w:rPr>
                <w:rFonts w:hint="eastAsia" w:ascii="宋体" w:hAnsi="宋体" w:cs="宋体"/>
                <w:color w:val="000000"/>
              </w:rPr>
              <w:t>（万元）</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预算数：</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8</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执行数：</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8</w:t>
            </w:r>
          </w:p>
        </w:tc>
      </w:tr>
      <w:tr>
        <w:tblPrEx>
          <w:tblLayout w:type="fixed"/>
          <w:tblCellMar>
            <w:top w:w="15" w:type="dxa"/>
            <w:left w:w="15" w:type="dxa"/>
            <w:bottom w:w="15" w:type="dxa"/>
            <w:right w:w="15" w:type="dxa"/>
          </w:tblCellMar>
        </w:tblPrEx>
        <w:trPr>
          <w:trHeight w:val="55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8</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8</w:t>
            </w:r>
          </w:p>
        </w:tc>
      </w:tr>
      <w:tr>
        <w:tblPrEx>
          <w:tblLayout w:type="fixed"/>
          <w:tblCellMar>
            <w:top w:w="15" w:type="dxa"/>
            <w:left w:w="15" w:type="dxa"/>
            <w:bottom w:w="15" w:type="dxa"/>
            <w:right w:w="15" w:type="dxa"/>
          </w:tblCellMar>
        </w:tblPrEx>
        <w:trPr>
          <w:trHeight w:val="34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r>
      <w:tr>
        <w:tblPrEx>
          <w:tblLayout w:type="fixed"/>
          <w:tblCellMar>
            <w:top w:w="15" w:type="dxa"/>
            <w:left w:w="15" w:type="dxa"/>
            <w:bottom w:w="15" w:type="dxa"/>
            <w:right w:w="15" w:type="dxa"/>
          </w:tblCellMar>
        </w:tblPrEx>
        <w:trPr>
          <w:trHeight w:val="210" w:hRule="atLeast"/>
        </w:trPr>
        <w:tc>
          <w:tcPr>
            <w:tcW w:w="1680"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年度总体目标</w:t>
            </w:r>
          </w:p>
          <w:p>
            <w:pPr>
              <w:pStyle w:val="12"/>
              <w:widowControl/>
              <w:spacing w:line="320" w:lineRule="atLeast"/>
              <w:jc w:val="center"/>
              <w:textAlignment w:val="center"/>
            </w:pPr>
            <w:r>
              <w:rPr>
                <w:rFonts w:hint="eastAsia" w:ascii="宋体" w:hAnsi="宋体" w:cs="宋体"/>
                <w:color w:val="000000"/>
              </w:rPr>
              <w:t>完成情况</w:t>
            </w: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预期目标</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目标实际完成情况</w:t>
            </w:r>
          </w:p>
        </w:tc>
      </w:tr>
      <w:tr>
        <w:tblPrEx>
          <w:tblLayout w:type="fixed"/>
          <w:tblCellMar>
            <w:top w:w="15" w:type="dxa"/>
            <w:left w:w="15" w:type="dxa"/>
            <w:bottom w:w="15" w:type="dxa"/>
            <w:right w:w="15" w:type="dxa"/>
          </w:tblCellMar>
        </w:tblPrEx>
        <w:trPr>
          <w:trHeight w:val="795" w:hRule="atLeast"/>
        </w:trPr>
        <w:tc>
          <w:tcPr>
            <w:tcW w:w="1680"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tcPr>
          <w:p>
            <w:pPr>
              <w:pStyle w:val="12"/>
              <w:widowControl/>
              <w:jc w:val="center"/>
              <w:textAlignment w:val="center"/>
            </w:pPr>
            <w:r>
              <w:rPr>
                <w:rFonts w:hint="eastAsia" w:ascii="仿宋_GB2312" w:hAnsi="仿宋_GB2312" w:eastAsia="仿宋_GB2312" w:cs="仿宋_GB2312"/>
                <w:color w:val="000000"/>
                <w:sz w:val="18"/>
                <w:szCs w:val="18"/>
              </w:rPr>
              <w:t>解决全年特殊疑难信访问题，保障本年度确保无因特殊疑难信访问题引发的进京赴省缠访、闹访。</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完成</w:t>
            </w:r>
          </w:p>
        </w:tc>
      </w:tr>
      <w:tr>
        <w:tblPrEx>
          <w:tblLayout w:type="fixed"/>
          <w:tblCellMar>
            <w:top w:w="15" w:type="dxa"/>
            <w:left w:w="15" w:type="dxa"/>
            <w:bottom w:w="15" w:type="dxa"/>
            <w:right w:w="15" w:type="dxa"/>
          </w:tblCellMar>
        </w:tblPrEx>
        <w:trPr>
          <w:trHeight w:val="690" w:hRule="atLeast"/>
        </w:trPr>
        <w:tc>
          <w:tcPr>
            <w:tcW w:w="1680" w:type="dxa"/>
            <w:vMerge w:val="restart"/>
            <w:tcBorders>
              <w:top w:val="nil"/>
              <w:left w:val="single" w:color="000000" w:sz="8" w:space="0"/>
              <w:bottom w:val="nil"/>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仿宋_GB2312" w:hAnsi="仿宋_GB2312" w:eastAsia="仿宋_GB2312" w:cs="仿宋_GB2312"/>
                <w:color w:val="000000"/>
                <w:sz w:val="28"/>
                <w:szCs w:val="28"/>
              </w:rPr>
              <w:t>年度绩效指标完成情况</w:t>
            </w: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一级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二级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三级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预期指标值</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实际完成指标值</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完成</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数量指标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保障全年无因特殊疑难信访问题引发费缠访、闹访。</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保障无因特殊疑难信访问题引发费缠访、闹访。</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8"/>
                <w:szCs w:val="18"/>
              </w:rPr>
              <w:t>完成</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质量指标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本年度无因特殊疑难信访问题引发费缠访、闹访</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确保无因特殊疑难信访问题引发的进京赴省缠访、闹访。</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8"/>
                <w:szCs w:val="18"/>
              </w:rPr>
              <w:t>100%</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时效指标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完成年度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本年度</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w:t>
            </w: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成本指标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区级财政</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8</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8</w:t>
            </w: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效益</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经济效益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社会效益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促进社会稳定</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减少特殊疑难信访问题，增加群众满意率。</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8"/>
                <w:szCs w:val="18"/>
              </w:rPr>
              <w:t>好</w:t>
            </w:r>
          </w:p>
        </w:tc>
      </w:tr>
      <w:tr>
        <w:tblPrEx>
          <w:tblLayout w:type="fixed"/>
          <w:tblCellMar>
            <w:top w:w="15" w:type="dxa"/>
            <w:left w:w="15" w:type="dxa"/>
            <w:bottom w:w="15" w:type="dxa"/>
            <w:right w:w="15" w:type="dxa"/>
          </w:tblCellMar>
        </w:tblPrEx>
        <w:trPr>
          <w:trHeight w:val="57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生态效益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可持续影响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525"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rPr>
              <w:t>满意</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度指标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满意度</w:t>
            </w:r>
          </w:p>
          <w:p>
            <w:pPr>
              <w:pStyle w:val="12"/>
              <w:widowControl/>
              <w:spacing w:line="320" w:lineRule="atLeast"/>
              <w:jc w:val="center"/>
              <w:textAlignment w:val="bottom"/>
            </w:pPr>
            <w:r>
              <w:rPr>
                <w:rFonts w:hint="eastAsia" w:ascii="仿宋_GB2312" w:hAnsi="仿宋_GB2312" w:eastAsia="仿宋_GB2312" w:cs="仿宋_GB2312"/>
                <w:color w:val="000000"/>
                <w:sz w:val="21"/>
                <w:szCs w:val="21"/>
              </w:rPr>
              <w:t>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群众满意度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w:t>
            </w:r>
          </w:p>
        </w:tc>
      </w:tr>
    </w:tbl>
    <w:p>
      <w:pPr>
        <w:pStyle w:val="12"/>
        <w:widowControl/>
        <w:spacing w:line="600" w:lineRule="atLeast"/>
        <w:rPr>
          <w:rFonts w:ascii="Helvetica" w:hAnsi="Helvetica" w:eastAsia="Helvetica" w:cs="Helvetica"/>
          <w:color w:val="000000"/>
          <w:sz w:val="21"/>
          <w:szCs w:val="21"/>
        </w:rPr>
      </w:pPr>
    </w:p>
    <w:tbl>
      <w:tblPr>
        <w:tblStyle w:val="16"/>
        <w:tblW w:w="9570" w:type="dxa"/>
        <w:tblInd w:w="135" w:type="dxa"/>
        <w:tblLayout w:type="fixed"/>
        <w:tblCellMar>
          <w:top w:w="15" w:type="dxa"/>
          <w:left w:w="15" w:type="dxa"/>
          <w:bottom w:w="15" w:type="dxa"/>
          <w:right w:w="15" w:type="dxa"/>
        </w:tblCellMar>
      </w:tblPr>
      <w:tblGrid>
        <w:gridCol w:w="1680"/>
        <w:gridCol w:w="1110"/>
        <w:gridCol w:w="1590"/>
        <w:gridCol w:w="1560"/>
        <w:gridCol w:w="1740"/>
        <w:gridCol w:w="1890"/>
      </w:tblGrid>
      <w:tr>
        <w:tblPrEx>
          <w:tblLayout w:type="fixed"/>
          <w:tblCellMar>
            <w:top w:w="15" w:type="dxa"/>
            <w:left w:w="15" w:type="dxa"/>
            <w:bottom w:w="15" w:type="dxa"/>
            <w:right w:w="15" w:type="dxa"/>
          </w:tblCellMar>
        </w:tblPrEx>
        <w:trPr>
          <w:trHeight w:val="675" w:hRule="atLeast"/>
        </w:trPr>
        <w:tc>
          <w:tcPr>
            <w:tcW w:w="9570" w:type="dxa"/>
            <w:gridSpan w:val="6"/>
            <w:tcBorders>
              <w:top w:val="nil"/>
              <w:left w:val="nil"/>
              <w:bottom w:val="nil"/>
              <w:right w:val="nil"/>
            </w:tcBorders>
            <w:tcMar>
              <w:top w:w="0" w:type="dxa"/>
              <w:left w:w="108" w:type="dxa"/>
              <w:bottom w:w="0" w:type="dxa"/>
              <w:right w:w="108" w:type="dxa"/>
            </w:tcMar>
            <w:vAlign w:val="center"/>
          </w:tcPr>
          <w:p>
            <w:pPr>
              <w:pStyle w:val="12"/>
              <w:widowControl/>
              <w:spacing w:before="93" w:beforeAutospacing="0"/>
              <w:ind w:firstLine="3534" w:firstLineChars="1100"/>
            </w:pPr>
            <w:r>
              <w:rPr>
                <w:rStyle w:val="14"/>
                <w:rFonts w:hint="eastAsia" w:ascii="仿宋_GB2312" w:hAnsi="仿宋_GB2312" w:eastAsia="仿宋_GB2312" w:cs="仿宋_GB2312"/>
                <w:color w:val="000000"/>
                <w:sz w:val="32"/>
                <w:szCs w:val="32"/>
              </w:rPr>
              <w:t>驻京驻蓉费用</w:t>
            </w:r>
          </w:p>
        </w:tc>
      </w:tr>
      <w:tr>
        <w:tblPrEx>
          <w:tblLayout w:type="fixed"/>
          <w:tblCellMar>
            <w:top w:w="15" w:type="dxa"/>
            <w:left w:w="15" w:type="dxa"/>
            <w:bottom w:w="15" w:type="dxa"/>
            <w:right w:w="15" w:type="dxa"/>
          </w:tblCellMar>
        </w:tblPrEx>
        <w:trPr>
          <w:trHeight w:val="255" w:hRule="atLeast"/>
        </w:trPr>
        <w:tc>
          <w:tcPr>
            <w:tcW w:w="279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主管部门及代码</w:t>
            </w:r>
          </w:p>
        </w:tc>
        <w:tc>
          <w:tcPr>
            <w:tcW w:w="315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攀枝花市西区信访局</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实施单位</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区信访局</w:t>
            </w:r>
          </w:p>
        </w:tc>
      </w:tr>
      <w:tr>
        <w:tblPrEx>
          <w:tblLayout w:type="fixed"/>
          <w:tblCellMar>
            <w:top w:w="15" w:type="dxa"/>
            <w:left w:w="15" w:type="dxa"/>
            <w:bottom w:w="15" w:type="dxa"/>
            <w:right w:w="15" w:type="dxa"/>
          </w:tblCellMar>
        </w:tblPrEx>
        <w:trPr>
          <w:trHeight w:val="345" w:hRule="atLeast"/>
        </w:trPr>
        <w:tc>
          <w:tcPr>
            <w:tcW w:w="2790" w:type="dxa"/>
            <w:gridSpan w:val="2"/>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项目预算</w:t>
            </w:r>
            <w:r>
              <w:rPr>
                <w:rFonts w:ascii="Helvetica" w:hAnsi="Helvetica" w:eastAsia="Helvetica" w:cs="Helvetica"/>
                <w:color w:val="000000"/>
                <w:sz w:val="21"/>
                <w:szCs w:val="21"/>
              </w:rPr>
              <w:br w:type="textWrapping"/>
            </w:r>
            <w:r>
              <w:rPr>
                <w:rFonts w:hint="eastAsia" w:ascii="宋体" w:hAnsi="宋体" w:cs="宋体"/>
                <w:color w:val="000000"/>
              </w:rPr>
              <w:t>执行情况</w:t>
            </w:r>
            <w:r>
              <w:rPr>
                <w:rFonts w:ascii="Helvetica" w:hAnsi="Helvetica" w:eastAsia="Helvetica" w:cs="Helvetica"/>
                <w:color w:val="000000"/>
                <w:sz w:val="21"/>
                <w:szCs w:val="21"/>
              </w:rPr>
              <w:br w:type="textWrapping"/>
            </w:r>
            <w:r>
              <w:rPr>
                <w:rFonts w:hint="eastAsia" w:ascii="宋体" w:hAnsi="宋体" w:cs="宋体"/>
                <w:color w:val="000000"/>
              </w:rPr>
              <w:t>（万元）</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预算数：</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5</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执行数：</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5</w:t>
            </w:r>
          </w:p>
        </w:tc>
      </w:tr>
      <w:tr>
        <w:tblPrEx>
          <w:tblLayout w:type="fixed"/>
          <w:tblCellMar>
            <w:top w:w="15" w:type="dxa"/>
            <w:left w:w="15" w:type="dxa"/>
            <w:bottom w:w="15" w:type="dxa"/>
            <w:right w:w="15" w:type="dxa"/>
          </w:tblCellMar>
        </w:tblPrEx>
        <w:trPr>
          <w:trHeight w:val="55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5</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5</w:t>
            </w:r>
          </w:p>
        </w:tc>
      </w:tr>
      <w:tr>
        <w:tblPrEx>
          <w:tblLayout w:type="fixed"/>
          <w:tblCellMar>
            <w:top w:w="15" w:type="dxa"/>
            <w:left w:w="15" w:type="dxa"/>
            <w:bottom w:w="15" w:type="dxa"/>
            <w:right w:w="15" w:type="dxa"/>
          </w:tblCellMar>
        </w:tblPrEx>
        <w:trPr>
          <w:trHeight w:val="34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r>
      <w:tr>
        <w:tblPrEx>
          <w:tblLayout w:type="fixed"/>
          <w:tblCellMar>
            <w:top w:w="15" w:type="dxa"/>
            <w:left w:w="15" w:type="dxa"/>
            <w:bottom w:w="15" w:type="dxa"/>
            <w:right w:w="15" w:type="dxa"/>
          </w:tblCellMar>
        </w:tblPrEx>
        <w:trPr>
          <w:trHeight w:val="210" w:hRule="atLeast"/>
        </w:trPr>
        <w:tc>
          <w:tcPr>
            <w:tcW w:w="1680"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年度总体目标</w:t>
            </w:r>
          </w:p>
          <w:p>
            <w:pPr>
              <w:pStyle w:val="12"/>
              <w:widowControl/>
              <w:spacing w:line="320" w:lineRule="atLeast"/>
              <w:jc w:val="center"/>
              <w:textAlignment w:val="center"/>
            </w:pPr>
            <w:r>
              <w:rPr>
                <w:rFonts w:hint="eastAsia" w:ascii="宋体" w:hAnsi="宋体" w:cs="宋体"/>
                <w:color w:val="000000"/>
              </w:rPr>
              <w:t>完成情况</w:t>
            </w: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预期目标</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目标实际完成情况</w:t>
            </w:r>
          </w:p>
        </w:tc>
      </w:tr>
      <w:tr>
        <w:tblPrEx>
          <w:tblLayout w:type="fixed"/>
          <w:tblCellMar>
            <w:top w:w="15" w:type="dxa"/>
            <w:left w:w="15" w:type="dxa"/>
            <w:bottom w:w="15" w:type="dxa"/>
            <w:right w:w="15" w:type="dxa"/>
          </w:tblCellMar>
        </w:tblPrEx>
        <w:trPr>
          <w:trHeight w:val="795" w:hRule="atLeast"/>
        </w:trPr>
        <w:tc>
          <w:tcPr>
            <w:tcW w:w="1680"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tcPr>
          <w:p>
            <w:pPr>
              <w:pStyle w:val="12"/>
              <w:widowControl/>
              <w:textAlignment w:val="center"/>
            </w:pPr>
            <w:r>
              <w:rPr>
                <w:rFonts w:hint="eastAsia" w:ascii="宋体" w:hAnsi="宋体" w:cs="宋体"/>
                <w:color w:val="000000"/>
                <w:sz w:val="15"/>
                <w:szCs w:val="15"/>
              </w:rPr>
              <w:t>做好本年度内进京赴蓉劝返工作，确保年度内无因进京赴蓉发生滋事倒流事项，保障全区和谐稳定。</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做好本年度内进京赴蓉劝返工作，确保年度内无因进京赴蓉发生滋事倒流事项，保障全区和谐稳定。</w:t>
            </w:r>
          </w:p>
        </w:tc>
      </w:tr>
      <w:tr>
        <w:tblPrEx>
          <w:tblLayout w:type="fixed"/>
          <w:tblCellMar>
            <w:top w:w="15" w:type="dxa"/>
            <w:left w:w="15" w:type="dxa"/>
            <w:bottom w:w="15" w:type="dxa"/>
            <w:right w:w="15" w:type="dxa"/>
          </w:tblCellMar>
        </w:tblPrEx>
        <w:trPr>
          <w:trHeight w:val="690" w:hRule="atLeast"/>
        </w:trPr>
        <w:tc>
          <w:tcPr>
            <w:tcW w:w="1680" w:type="dxa"/>
            <w:vMerge w:val="restart"/>
            <w:tcBorders>
              <w:top w:val="nil"/>
              <w:left w:val="single" w:color="000000" w:sz="8" w:space="0"/>
              <w:bottom w:val="nil"/>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仿宋_GB2312" w:hAnsi="仿宋_GB2312" w:eastAsia="仿宋_GB2312" w:cs="仿宋_GB2312"/>
                <w:color w:val="000000"/>
                <w:sz w:val="28"/>
                <w:szCs w:val="28"/>
              </w:rPr>
              <w:t>年度绩效指标完成情况</w:t>
            </w: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一级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二级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三级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预期指标值</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实际完成指标值</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完成</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数量指标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本年度内进京赴蓉信访事项</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解决本年度内上访人员进京赴蓉滋事倒流。</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完成</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质量指标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确保年度内无滋事倒流情况</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确保年度内无因进京赴蓉发生滋事倒流事项。</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8"/>
                <w:szCs w:val="18"/>
              </w:rPr>
              <w:t>100%</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时效指标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完成年度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本年度</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w:t>
            </w: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成本指标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区级财政</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5</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5</w:t>
            </w: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效益</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经济效益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社会效益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保障全区和谐稳定</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做好进京赴蓉劝返工作。</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好</w:t>
            </w:r>
          </w:p>
        </w:tc>
      </w:tr>
      <w:tr>
        <w:tblPrEx>
          <w:tblLayout w:type="fixed"/>
          <w:tblCellMar>
            <w:top w:w="15" w:type="dxa"/>
            <w:left w:w="15" w:type="dxa"/>
            <w:bottom w:w="15" w:type="dxa"/>
            <w:right w:w="15" w:type="dxa"/>
          </w:tblCellMar>
        </w:tblPrEx>
        <w:trPr>
          <w:trHeight w:val="57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生态效益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可持续影响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525"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rPr>
              <w:t>满意</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度指标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满意度</w:t>
            </w:r>
          </w:p>
          <w:p>
            <w:pPr>
              <w:pStyle w:val="12"/>
              <w:widowControl/>
              <w:spacing w:line="320" w:lineRule="atLeast"/>
              <w:jc w:val="center"/>
              <w:textAlignment w:val="bottom"/>
            </w:pPr>
            <w:r>
              <w:rPr>
                <w:rFonts w:hint="eastAsia" w:ascii="仿宋_GB2312" w:hAnsi="仿宋_GB2312" w:eastAsia="仿宋_GB2312" w:cs="仿宋_GB2312"/>
                <w:color w:val="000000"/>
                <w:sz w:val="21"/>
                <w:szCs w:val="21"/>
              </w:rPr>
              <w:t>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群众满意度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w:t>
            </w:r>
          </w:p>
        </w:tc>
      </w:tr>
      <w:tr>
        <w:tblPrEx>
          <w:tblLayout w:type="fixed"/>
          <w:tblCellMar>
            <w:top w:w="15" w:type="dxa"/>
            <w:left w:w="15" w:type="dxa"/>
            <w:bottom w:w="15" w:type="dxa"/>
            <w:right w:w="15" w:type="dxa"/>
          </w:tblCellMar>
        </w:tblPrEx>
        <w:trPr>
          <w:trHeight w:val="675" w:hRule="atLeast"/>
        </w:trPr>
        <w:tc>
          <w:tcPr>
            <w:tcW w:w="9570" w:type="dxa"/>
            <w:gridSpan w:val="6"/>
            <w:tcBorders>
              <w:top w:val="nil"/>
              <w:left w:val="nil"/>
              <w:bottom w:val="nil"/>
              <w:right w:val="nil"/>
            </w:tcBorders>
            <w:tcMar>
              <w:top w:w="0" w:type="dxa"/>
              <w:left w:w="108" w:type="dxa"/>
              <w:bottom w:w="0" w:type="dxa"/>
              <w:right w:w="108" w:type="dxa"/>
            </w:tcMar>
            <w:vAlign w:val="center"/>
          </w:tcPr>
          <w:p>
            <w:pPr>
              <w:pStyle w:val="12"/>
              <w:widowControl/>
              <w:spacing w:line="572" w:lineRule="atLeast"/>
              <w:ind w:firstLine="1928" w:firstLineChars="600"/>
              <w:jc w:val="both"/>
              <w:rPr>
                <w:rStyle w:val="14"/>
                <w:rFonts w:ascii="宋体" w:hAnsi="宋体" w:cs="宋体"/>
                <w:color w:val="000000"/>
                <w:sz w:val="32"/>
                <w:szCs w:val="32"/>
              </w:rPr>
            </w:pPr>
          </w:p>
          <w:p>
            <w:pPr>
              <w:pStyle w:val="12"/>
              <w:widowControl/>
              <w:spacing w:line="572" w:lineRule="atLeast"/>
              <w:ind w:firstLine="1928" w:firstLineChars="600"/>
              <w:jc w:val="both"/>
            </w:pPr>
            <w:r>
              <w:rPr>
                <w:rStyle w:val="14"/>
                <w:rFonts w:hint="eastAsia" w:ascii="宋体" w:hAnsi="宋体" w:cs="宋体"/>
                <w:color w:val="000000"/>
                <w:sz w:val="32"/>
                <w:szCs w:val="32"/>
              </w:rPr>
              <w:t>解决特殊疑难信访问题中央补助资金</w:t>
            </w:r>
          </w:p>
        </w:tc>
      </w:tr>
      <w:tr>
        <w:tblPrEx>
          <w:tblLayout w:type="fixed"/>
          <w:tblCellMar>
            <w:top w:w="15" w:type="dxa"/>
            <w:left w:w="15" w:type="dxa"/>
            <w:bottom w:w="15" w:type="dxa"/>
            <w:right w:w="15" w:type="dxa"/>
          </w:tblCellMar>
        </w:tblPrEx>
        <w:trPr>
          <w:trHeight w:val="255" w:hRule="atLeast"/>
        </w:trPr>
        <w:tc>
          <w:tcPr>
            <w:tcW w:w="2790"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主管部门及代码</w:t>
            </w:r>
          </w:p>
        </w:tc>
        <w:tc>
          <w:tcPr>
            <w:tcW w:w="3150"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攀枝花市西区信访局</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实施单位</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区信访局</w:t>
            </w:r>
          </w:p>
        </w:tc>
      </w:tr>
      <w:tr>
        <w:tblPrEx>
          <w:tblLayout w:type="fixed"/>
          <w:tblCellMar>
            <w:top w:w="15" w:type="dxa"/>
            <w:left w:w="15" w:type="dxa"/>
            <w:bottom w:w="15" w:type="dxa"/>
            <w:right w:w="15" w:type="dxa"/>
          </w:tblCellMar>
        </w:tblPrEx>
        <w:trPr>
          <w:trHeight w:val="345" w:hRule="atLeast"/>
        </w:trPr>
        <w:tc>
          <w:tcPr>
            <w:tcW w:w="2790" w:type="dxa"/>
            <w:gridSpan w:val="2"/>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项目预算</w:t>
            </w:r>
            <w:r>
              <w:rPr>
                <w:rFonts w:ascii="Helvetica" w:hAnsi="Helvetica" w:eastAsia="Helvetica" w:cs="Helvetica"/>
                <w:color w:val="000000"/>
                <w:sz w:val="21"/>
                <w:szCs w:val="21"/>
              </w:rPr>
              <w:br w:type="textWrapping"/>
            </w:r>
            <w:r>
              <w:rPr>
                <w:rFonts w:hint="eastAsia" w:ascii="宋体" w:hAnsi="宋体" w:cs="宋体"/>
                <w:color w:val="000000"/>
              </w:rPr>
              <w:t>执行情况</w:t>
            </w:r>
            <w:r>
              <w:rPr>
                <w:rFonts w:ascii="Helvetica" w:hAnsi="Helvetica" w:eastAsia="Helvetica" w:cs="Helvetica"/>
                <w:color w:val="000000"/>
                <w:sz w:val="21"/>
                <w:szCs w:val="21"/>
              </w:rPr>
              <w:br w:type="textWrapping"/>
            </w:r>
            <w:r>
              <w:rPr>
                <w:rFonts w:hint="eastAsia" w:ascii="宋体" w:hAnsi="宋体" w:cs="宋体"/>
                <w:color w:val="000000"/>
              </w:rPr>
              <w:t>（万元）</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预算数：</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15</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 执行数：</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15</w:t>
            </w:r>
          </w:p>
        </w:tc>
      </w:tr>
      <w:tr>
        <w:tblPrEx>
          <w:tblLayout w:type="fixed"/>
          <w:tblCellMar>
            <w:top w:w="15" w:type="dxa"/>
            <w:left w:w="15" w:type="dxa"/>
            <w:bottom w:w="15" w:type="dxa"/>
            <w:right w:w="15" w:type="dxa"/>
          </w:tblCellMar>
        </w:tblPrEx>
        <w:trPr>
          <w:trHeight w:val="55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其中：</w:t>
            </w:r>
          </w:p>
          <w:p>
            <w:pPr>
              <w:pStyle w:val="12"/>
              <w:widowControl/>
              <w:spacing w:line="320" w:lineRule="atLeast"/>
              <w:jc w:val="center"/>
              <w:textAlignment w:val="bottom"/>
            </w:pPr>
            <w:r>
              <w:rPr>
                <w:rFonts w:hint="eastAsia" w:ascii="仿宋_GB2312" w:hAnsi="仿宋_GB2312" w:eastAsia="仿宋_GB2312" w:cs="仿宋_GB2312"/>
                <w:color w:val="000000"/>
              </w:rPr>
              <w:t>财政拨款</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0</w:t>
            </w:r>
          </w:p>
        </w:tc>
      </w:tr>
      <w:tr>
        <w:tblPrEx>
          <w:tblLayout w:type="fixed"/>
          <w:tblCellMar>
            <w:top w:w="15" w:type="dxa"/>
            <w:left w:w="15" w:type="dxa"/>
            <w:bottom w:w="15" w:type="dxa"/>
            <w:right w:w="15" w:type="dxa"/>
          </w:tblCellMar>
        </w:tblPrEx>
        <w:trPr>
          <w:trHeight w:val="345" w:hRule="atLeast"/>
        </w:trPr>
        <w:tc>
          <w:tcPr>
            <w:tcW w:w="2790" w:type="dxa"/>
            <w:gridSpan w:val="2"/>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15</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其他资金</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15</w:t>
            </w:r>
          </w:p>
        </w:tc>
      </w:tr>
      <w:tr>
        <w:tblPrEx>
          <w:tblLayout w:type="fixed"/>
          <w:tblCellMar>
            <w:top w:w="15" w:type="dxa"/>
            <w:left w:w="15" w:type="dxa"/>
            <w:bottom w:w="15" w:type="dxa"/>
            <w:right w:w="15" w:type="dxa"/>
          </w:tblCellMar>
        </w:tblPrEx>
        <w:trPr>
          <w:trHeight w:val="210" w:hRule="atLeast"/>
        </w:trPr>
        <w:tc>
          <w:tcPr>
            <w:tcW w:w="1680"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宋体" w:hAnsi="宋体" w:cs="宋体"/>
                <w:color w:val="000000"/>
              </w:rPr>
              <w:t>年度总体目标</w:t>
            </w:r>
          </w:p>
          <w:p>
            <w:pPr>
              <w:pStyle w:val="12"/>
              <w:widowControl/>
              <w:spacing w:line="320" w:lineRule="atLeast"/>
              <w:jc w:val="center"/>
              <w:textAlignment w:val="center"/>
            </w:pPr>
            <w:r>
              <w:rPr>
                <w:rFonts w:hint="eastAsia" w:ascii="宋体" w:hAnsi="宋体" w:cs="宋体"/>
                <w:color w:val="000000"/>
              </w:rPr>
              <w:t>完成情况</w:t>
            </w: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预期目标</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目标实际完成情况</w:t>
            </w:r>
          </w:p>
        </w:tc>
      </w:tr>
      <w:tr>
        <w:tblPrEx>
          <w:tblLayout w:type="fixed"/>
          <w:tblCellMar>
            <w:top w:w="15" w:type="dxa"/>
            <w:left w:w="15" w:type="dxa"/>
            <w:bottom w:w="15" w:type="dxa"/>
            <w:right w:w="15" w:type="dxa"/>
          </w:tblCellMar>
        </w:tblPrEx>
        <w:trPr>
          <w:trHeight w:val="795" w:hRule="atLeast"/>
        </w:trPr>
        <w:tc>
          <w:tcPr>
            <w:tcW w:w="1680" w:type="dxa"/>
            <w:vMerge w:val="continue"/>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4260" w:type="dxa"/>
            <w:gridSpan w:val="3"/>
            <w:tcBorders>
              <w:top w:val="nil"/>
              <w:left w:val="nil"/>
              <w:bottom w:val="single" w:color="000000" w:sz="8" w:space="0"/>
              <w:right w:val="single" w:color="000000" w:sz="8" w:space="0"/>
            </w:tcBorders>
            <w:tcMar>
              <w:top w:w="0" w:type="dxa"/>
              <w:left w:w="108" w:type="dxa"/>
              <w:bottom w:w="0" w:type="dxa"/>
              <w:right w:w="108" w:type="dxa"/>
            </w:tcMar>
          </w:tcPr>
          <w:p>
            <w:pPr>
              <w:pStyle w:val="12"/>
              <w:widowControl/>
              <w:jc w:val="center"/>
              <w:textAlignment w:val="center"/>
            </w:pPr>
            <w:r>
              <w:rPr>
                <w:rFonts w:hint="eastAsia" w:ascii="仿宋_GB2312" w:hAnsi="仿宋_GB2312" w:eastAsia="仿宋_GB2312" w:cs="仿宋_GB2312"/>
                <w:color w:val="000000"/>
                <w:sz w:val="18"/>
                <w:szCs w:val="18"/>
              </w:rPr>
              <w:t>解决全年特殊疑难信访问题，保障本年度确保无因特殊疑难信访问题引发的进京赴省缠访、闹访。</w:t>
            </w:r>
          </w:p>
        </w:tc>
        <w:tc>
          <w:tcPr>
            <w:tcW w:w="3630"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仿宋_GB2312" w:hAnsi="仿宋_GB2312" w:eastAsia="仿宋_GB2312" w:cs="仿宋_GB2312"/>
                <w:color w:val="000000"/>
                <w:sz w:val="18"/>
                <w:szCs w:val="18"/>
              </w:rPr>
              <w:t>完成</w:t>
            </w:r>
          </w:p>
        </w:tc>
      </w:tr>
      <w:tr>
        <w:tblPrEx>
          <w:tblLayout w:type="fixed"/>
          <w:tblCellMar>
            <w:top w:w="15" w:type="dxa"/>
            <w:left w:w="15" w:type="dxa"/>
            <w:bottom w:w="15" w:type="dxa"/>
            <w:right w:w="15" w:type="dxa"/>
          </w:tblCellMar>
        </w:tblPrEx>
        <w:trPr>
          <w:trHeight w:val="690" w:hRule="atLeast"/>
        </w:trPr>
        <w:tc>
          <w:tcPr>
            <w:tcW w:w="1680" w:type="dxa"/>
            <w:vMerge w:val="restart"/>
            <w:tcBorders>
              <w:top w:val="nil"/>
              <w:left w:val="single" w:color="000000" w:sz="8" w:space="0"/>
              <w:bottom w:val="nil"/>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center"/>
            </w:pPr>
            <w:r>
              <w:rPr>
                <w:rFonts w:hint="eastAsia" w:ascii="仿宋_GB2312" w:hAnsi="仿宋_GB2312" w:eastAsia="仿宋_GB2312" w:cs="仿宋_GB2312"/>
                <w:color w:val="000000"/>
                <w:sz w:val="28"/>
                <w:szCs w:val="28"/>
              </w:rPr>
              <w:t>年度绩效指标完成情况</w:t>
            </w: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一级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二级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6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三级</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74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预期指标值</w:t>
            </w:r>
          </w:p>
        </w:tc>
        <w:tc>
          <w:tcPr>
            <w:tcW w:w="189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实际完成指标值</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完成</w:t>
            </w:r>
          </w:p>
          <w:p>
            <w:pPr>
              <w:pStyle w:val="12"/>
              <w:widowControl/>
              <w:spacing w:line="320" w:lineRule="atLeast"/>
              <w:jc w:val="center"/>
              <w:textAlignment w:val="bottom"/>
            </w:pP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数量指标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解决全年特殊疑难信访问题，保障本年度确保无因特殊疑难信访问题引发的进京赴省缠访、闹访。</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解决全年特殊疑难信访问题，保障本年度确保无因特殊疑难信访问题引发的进京赴省缠访、闹访。</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完成</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质量指标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解决全年特殊疑难信访问题，保障本年度确保无因特殊疑难信访问题引发的进京赴省缠访、闹访。</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解决全年特殊疑难信访问题，保障本年度确保无因特殊疑难信访问题引发的进京赴省缠访、闹访。</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8"/>
                <w:szCs w:val="18"/>
              </w:rPr>
              <w:t>33%</w:t>
            </w:r>
          </w:p>
        </w:tc>
      </w:tr>
      <w:tr>
        <w:tblPrEx>
          <w:tblLayout w:type="fixed"/>
          <w:tblCellMar>
            <w:top w:w="15" w:type="dxa"/>
            <w:left w:w="15" w:type="dxa"/>
            <w:bottom w:w="15" w:type="dxa"/>
            <w:right w:w="15" w:type="dxa"/>
          </w:tblCellMar>
        </w:tblPrEx>
        <w:trPr>
          <w:trHeight w:val="42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时效指标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完成年度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本年度</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完成</w:t>
            </w: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成本指标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上级补助</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15</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15</w:t>
            </w: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rPr>
              <w:t>效益</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经济效益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社会效益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textAlignment w:val="center"/>
            </w:pPr>
            <w:r>
              <w:rPr>
                <w:rFonts w:hint="eastAsia" w:ascii="宋体" w:hAnsi="宋体" w:cs="宋体"/>
                <w:color w:val="000000"/>
                <w:sz w:val="15"/>
                <w:szCs w:val="15"/>
              </w:rPr>
              <w:t>促进社会稳定</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5"/>
                <w:szCs w:val="15"/>
              </w:rPr>
              <w:t>保障本年度特殊敏感时段无因特殊疑难信访问题引发的缠访、闹访、集访。</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jc w:val="center"/>
              <w:textAlignment w:val="center"/>
            </w:pPr>
            <w:r>
              <w:rPr>
                <w:rFonts w:hint="eastAsia" w:ascii="宋体" w:hAnsi="宋体" w:cs="宋体"/>
                <w:color w:val="000000"/>
                <w:sz w:val="18"/>
                <w:szCs w:val="18"/>
              </w:rPr>
              <w:t>好</w:t>
            </w:r>
          </w:p>
        </w:tc>
      </w:tr>
      <w:tr>
        <w:tblPrEx>
          <w:tblLayout w:type="fixed"/>
          <w:tblCellMar>
            <w:top w:w="15" w:type="dxa"/>
            <w:left w:w="15" w:type="dxa"/>
            <w:bottom w:w="15" w:type="dxa"/>
            <w:right w:w="15" w:type="dxa"/>
          </w:tblCellMar>
        </w:tblPrEx>
        <w:trPr>
          <w:trHeight w:val="57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生态效益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480"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vMerge w:val="continue"/>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可持续影响 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p>
        </w:tc>
      </w:tr>
      <w:tr>
        <w:tblPrEx>
          <w:tblLayout w:type="fixed"/>
          <w:tblCellMar>
            <w:top w:w="15" w:type="dxa"/>
            <w:left w:w="15" w:type="dxa"/>
            <w:bottom w:w="15" w:type="dxa"/>
            <w:right w:w="15" w:type="dxa"/>
          </w:tblCellMar>
        </w:tblPrEx>
        <w:trPr>
          <w:trHeight w:val="525" w:hRule="atLeast"/>
        </w:trPr>
        <w:tc>
          <w:tcPr>
            <w:tcW w:w="1680" w:type="dxa"/>
            <w:vMerge w:val="continue"/>
            <w:tcBorders>
              <w:top w:val="nil"/>
              <w:left w:val="single" w:color="000000" w:sz="8" w:space="0"/>
              <w:bottom w:val="nil"/>
              <w:right w:val="single" w:color="000000" w:sz="8" w:space="0"/>
            </w:tcBorders>
            <w:tcMar>
              <w:top w:w="0" w:type="dxa"/>
              <w:left w:w="108" w:type="dxa"/>
              <w:bottom w:w="0" w:type="dxa"/>
              <w:right w:w="108" w:type="dxa"/>
            </w:tcMar>
            <w:vAlign w:val="center"/>
          </w:tcPr>
          <w:p>
            <w:pPr>
              <w:rPr>
                <w:rFonts w:ascii="Helvetica" w:hAnsi="Helvetica" w:eastAsia="Helvetica" w:cs="Helvetica"/>
                <w:color w:val="000000"/>
                <w:szCs w:val="21"/>
              </w:rPr>
            </w:pPr>
          </w:p>
        </w:tc>
        <w:tc>
          <w:tcPr>
            <w:tcW w:w="111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rPr>
              <w:t>满意</w:t>
            </w:r>
            <w:r>
              <w:rPr>
                <w:rFonts w:ascii="Helvetica" w:hAnsi="Helvetica" w:eastAsia="Helvetica" w:cs="Helvetica"/>
                <w:color w:val="000000"/>
                <w:sz w:val="21"/>
                <w:szCs w:val="21"/>
              </w:rPr>
              <w:br w:type="textWrapping"/>
            </w:r>
            <w:r>
              <w:rPr>
                <w:rFonts w:hint="eastAsia" w:ascii="仿宋_GB2312" w:hAnsi="仿宋_GB2312" w:eastAsia="仿宋_GB2312" w:cs="仿宋_GB2312"/>
                <w:color w:val="000000"/>
              </w:rPr>
              <w:t>度指标</w:t>
            </w:r>
          </w:p>
        </w:tc>
        <w:tc>
          <w:tcPr>
            <w:tcW w:w="1590" w:type="dxa"/>
            <w:tcBorders>
              <w:top w:val="nil"/>
              <w:left w:val="nil"/>
              <w:bottom w:val="single" w:color="000000" w:sz="8" w:space="0"/>
              <w:right w:val="single" w:color="000000" w:sz="8" w:space="0"/>
            </w:tcBorders>
            <w:tcMar>
              <w:top w:w="0" w:type="dxa"/>
              <w:left w:w="108" w:type="dxa"/>
              <w:bottom w:w="0" w:type="dxa"/>
              <w:right w:w="108" w:type="dxa"/>
            </w:tcMar>
            <w:vAlign w:val="bottom"/>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满意度</w:t>
            </w:r>
          </w:p>
          <w:p>
            <w:pPr>
              <w:pStyle w:val="12"/>
              <w:widowControl/>
              <w:spacing w:line="320" w:lineRule="atLeast"/>
              <w:jc w:val="center"/>
              <w:textAlignment w:val="bottom"/>
            </w:pPr>
            <w:r>
              <w:rPr>
                <w:rFonts w:hint="eastAsia" w:ascii="仿宋_GB2312" w:hAnsi="仿宋_GB2312" w:eastAsia="仿宋_GB2312" w:cs="仿宋_GB2312"/>
                <w:color w:val="000000"/>
                <w:sz w:val="21"/>
                <w:szCs w:val="21"/>
              </w:rPr>
              <w:t>指标</w:t>
            </w:r>
          </w:p>
        </w:tc>
        <w:tc>
          <w:tcPr>
            <w:tcW w:w="156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群众满意度</w:t>
            </w:r>
          </w:p>
        </w:tc>
        <w:tc>
          <w:tcPr>
            <w:tcW w:w="174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w:t>
            </w:r>
          </w:p>
        </w:tc>
        <w:tc>
          <w:tcPr>
            <w:tcW w:w="189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widowControl/>
              <w:spacing w:line="320" w:lineRule="atLeast"/>
              <w:jc w:val="center"/>
              <w:textAlignment w:val="bottom"/>
            </w:pPr>
            <w:r>
              <w:rPr>
                <w:rFonts w:hint="eastAsia" w:ascii="仿宋_GB2312" w:hAnsi="仿宋_GB2312" w:eastAsia="仿宋_GB2312" w:cs="仿宋_GB2312"/>
                <w:color w:val="000000"/>
                <w:sz w:val="21"/>
                <w:szCs w:val="21"/>
              </w:rPr>
              <w:t>满意</w:t>
            </w:r>
          </w:p>
        </w:tc>
      </w:tr>
    </w:tbl>
    <w:p>
      <w:pPr>
        <w:spacing w:line="600" w:lineRule="exact"/>
        <w:ind w:firstLine="2640" w:firstLineChars="600"/>
        <w:outlineLvl w:val="0"/>
        <w:rPr>
          <w:rFonts w:ascii="黑体" w:hAnsi="黑体" w:eastAsia="黑体"/>
          <w:sz w:val="44"/>
          <w:szCs w:val="44"/>
        </w:rPr>
      </w:pPr>
    </w:p>
    <w:p>
      <w:pPr>
        <w:spacing w:line="600" w:lineRule="exact"/>
        <w:ind w:firstLine="2640" w:firstLineChars="600"/>
        <w:outlineLvl w:val="0"/>
        <w:rPr>
          <w:rFonts w:ascii="黑体" w:hAnsi="黑体" w:eastAsia="黑体"/>
          <w:sz w:val="44"/>
          <w:szCs w:val="44"/>
        </w:rPr>
      </w:pPr>
    </w:p>
    <w:p>
      <w:pPr>
        <w:spacing w:line="600" w:lineRule="exact"/>
        <w:ind w:firstLine="3080" w:firstLineChars="700"/>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2"/>
    </w:p>
    <w:p>
      <w:pPr>
        <w:pStyle w:val="4"/>
        <w:rPr>
          <w:rFonts w:ascii="仿宋" w:hAnsi="仿宋" w:eastAsia="仿宋"/>
        </w:rPr>
      </w:pPr>
      <w:bookmarkStart w:id="53" w:name="_Toc15396620"/>
      <w:r>
        <w:rPr>
          <w:rFonts w:hint="eastAsia" w:ascii="仿宋" w:hAnsi="仿宋" w:eastAsia="仿宋"/>
          <w:b w:val="0"/>
        </w:rPr>
        <w:t>二、收</w:t>
      </w:r>
      <w:r>
        <w:rPr>
          <w:rStyle w:val="26"/>
          <w:rFonts w:hint="eastAsia" w:ascii="仿宋" w:hAnsi="仿宋" w:eastAsia="仿宋"/>
          <w:b w:val="0"/>
          <w:bCs w:val="0"/>
        </w:rPr>
        <w:t>入决算表</w:t>
      </w:r>
      <w:bookmarkEnd w:id="53"/>
    </w:p>
    <w:p>
      <w:pPr>
        <w:pStyle w:val="4"/>
        <w:rPr>
          <w:rFonts w:ascii="仿宋" w:hAnsi="仿宋" w:eastAsia="仿宋"/>
        </w:rPr>
      </w:pPr>
      <w:bookmarkStart w:id="54"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4"/>
    </w:p>
    <w:p>
      <w:pPr>
        <w:pStyle w:val="4"/>
        <w:rPr>
          <w:rFonts w:ascii="仿宋" w:hAnsi="仿宋" w:eastAsia="仿宋"/>
          <w:b w:val="0"/>
        </w:rPr>
      </w:pPr>
      <w:bookmarkStart w:id="55"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5"/>
    </w:p>
    <w:p>
      <w:pPr>
        <w:pStyle w:val="4"/>
        <w:rPr>
          <w:rStyle w:val="26"/>
          <w:rFonts w:ascii="仿宋" w:hAnsi="仿宋" w:eastAsia="仿宋"/>
          <w:b w:val="0"/>
          <w:bCs w:val="0"/>
        </w:rPr>
      </w:pPr>
      <w:bookmarkStart w:id="56"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6"/>
      <w:bookmarkStart w:id="57"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7"/>
    </w:p>
    <w:p>
      <w:pPr>
        <w:pStyle w:val="4"/>
        <w:rPr>
          <w:rFonts w:ascii="仿宋" w:hAnsi="仿宋" w:eastAsia="仿宋"/>
        </w:rPr>
      </w:pPr>
      <w:bookmarkStart w:id="58"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58"/>
    </w:p>
    <w:p>
      <w:pPr>
        <w:pStyle w:val="4"/>
        <w:rPr>
          <w:rFonts w:ascii="仿宋" w:hAnsi="仿宋" w:eastAsia="仿宋"/>
        </w:rPr>
      </w:pPr>
      <w:bookmarkStart w:id="59"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59"/>
    </w:p>
    <w:p>
      <w:pPr>
        <w:pStyle w:val="4"/>
        <w:rPr>
          <w:rFonts w:ascii="仿宋" w:hAnsi="仿宋" w:eastAsia="仿宋"/>
        </w:rPr>
      </w:pPr>
      <w:bookmarkStart w:id="60"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0"/>
    </w:p>
    <w:p>
      <w:pPr>
        <w:pStyle w:val="4"/>
        <w:rPr>
          <w:rFonts w:ascii="仿宋" w:hAnsi="仿宋" w:eastAsia="仿宋"/>
        </w:rPr>
      </w:pPr>
      <w:bookmarkStart w:id="61"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1"/>
    </w:p>
    <w:p>
      <w:pPr>
        <w:pStyle w:val="4"/>
        <w:rPr>
          <w:rFonts w:ascii="仿宋" w:hAnsi="仿宋" w:eastAsia="仿宋"/>
        </w:rPr>
      </w:pPr>
      <w:bookmarkStart w:id="62"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2"/>
    </w:p>
    <w:p>
      <w:pPr>
        <w:pStyle w:val="4"/>
        <w:rPr>
          <w:rFonts w:ascii="仿宋" w:hAnsi="仿宋" w:eastAsia="仿宋"/>
        </w:rPr>
      </w:pPr>
      <w:bookmarkStart w:id="63"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3"/>
    </w:p>
    <w:p>
      <w:pPr>
        <w:pStyle w:val="4"/>
        <w:rPr>
          <w:rStyle w:val="26"/>
          <w:rFonts w:ascii="仿宋" w:hAnsi="仿宋" w:eastAsia="仿宋"/>
          <w:b w:val="0"/>
          <w:bCs w:val="0"/>
        </w:rPr>
      </w:pPr>
      <w:bookmarkStart w:id="64"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4"/>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hjNGI3YTk0NjVlNjY1Mzc0N2M5YTRkNzI3N2NjZ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0DB5"/>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137D"/>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1552"/>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F8F"/>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911"/>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F0775F"/>
    <w:rsid w:val="037B6BDB"/>
    <w:rsid w:val="06E31716"/>
    <w:rsid w:val="0A2032A3"/>
    <w:rsid w:val="0B3E17EA"/>
    <w:rsid w:val="0B8A37D8"/>
    <w:rsid w:val="0BE0446D"/>
    <w:rsid w:val="10C055FF"/>
    <w:rsid w:val="118107EC"/>
    <w:rsid w:val="11DD6519"/>
    <w:rsid w:val="16BB723D"/>
    <w:rsid w:val="18015F3F"/>
    <w:rsid w:val="1BE8440E"/>
    <w:rsid w:val="1CB710C0"/>
    <w:rsid w:val="1D155CEE"/>
    <w:rsid w:val="20395134"/>
    <w:rsid w:val="20F57F95"/>
    <w:rsid w:val="21102020"/>
    <w:rsid w:val="23AB3D0B"/>
    <w:rsid w:val="240371BF"/>
    <w:rsid w:val="25C741E6"/>
    <w:rsid w:val="269571B0"/>
    <w:rsid w:val="27842671"/>
    <w:rsid w:val="29FD04D3"/>
    <w:rsid w:val="2ABE7A3E"/>
    <w:rsid w:val="2EA77EF5"/>
    <w:rsid w:val="2EEF601B"/>
    <w:rsid w:val="2EFA178C"/>
    <w:rsid w:val="30B46D73"/>
    <w:rsid w:val="313075B0"/>
    <w:rsid w:val="319F7F4E"/>
    <w:rsid w:val="348971FC"/>
    <w:rsid w:val="385E3283"/>
    <w:rsid w:val="39AE70AB"/>
    <w:rsid w:val="3C0C0783"/>
    <w:rsid w:val="3C3D6F54"/>
    <w:rsid w:val="3CE65D2B"/>
    <w:rsid w:val="3DD80BD2"/>
    <w:rsid w:val="3EDC44F5"/>
    <w:rsid w:val="3F9F3A96"/>
    <w:rsid w:val="41E134C4"/>
    <w:rsid w:val="47A95F9F"/>
    <w:rsid w:val="493C27E9"/>
    <w:rsid w:val="496F39ED"/>
    <w:rsid w:val="49FF41D3"/>
    <w:rsid w:val="4BE068DB"/>
    <w:rsid w:val="4BF6002B"/>
    <w:rsid w:val="4ECE2238"/>
    <w:rsid w:val="508276DE"/>
    <w:rsid w:val="509C774A"/>
    <w:rsid w:val="50A70412"/>
    <w:rsid w:val="51DB4B86"/>
    <w:rsid w:val="55333C3E"/>
    <w:rsid w:val="571452AF"/>
    <w:rsid w:val="58254B67"/>
    <w:rsid w:val="58E926FE"/>
    <w:rsid w:val="595E49BE"/>
    <w:rsid w:val="64CA39A1"/>
    <w:rsid w:val="6722754E"/>
    <w:rsid w:val="6C4A05C8"/>
    <w:rsid w:val="71AB0385"/>
    <w:rsid w:val="72734D90"/>
    <w:rsid w:val="74357F8F"/>
    <w:rsid w:val="75C53FC6"/>
    <w:rsid w:val="75EA0171"/>
    <w:rsid w:val="76FC1502"/>
    <w:rsid w:val="79600D09"/>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iPriority w:val="0"/>
    <w:pPr>
      <w:spacing w:before="100" w:beforeAutospacing="1" w:after="100" w:afterAutospacing="1"/>
      <w:jc w:val="left"/>
    </w:pPr>
    <w:rPr>
      <w:kern w:val="0"/>
      <w:sz w:val="24"/>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1415</Words>
  <Characters>8069</Characters>
  <Lines>67</Lines>
  <Paragraphs>18</Paragraphs>
  <TotalTime>8</TotalTime>
  <ScaleCrop>false</ScaleCrop>
  <LinksUpToDate>false</LinksUpToDate>
  <CharactersWithSpaces>9466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高玮</cp:lastModifiedBy>
  <cp:lastPrinted>2022-09-21T03:54:00Z</cp:lastPrinted>
  <dcterms:modified xsi:type="dcterms:W3CDTF">2023-10-07T08:57:21Z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D6041E2DC1F64342BCBD384BF75945C3</vt:lpwstr>
  </property>
</Properties>
</file>