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77425"/>
      <w:bookmarkStart w:id="3" w:name="_Toc15396597"/>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攀枝花市西区清香坪街道办事处部门决算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公开时间：2022年10月9日</w:t>
      </w:r>
    </w:p>
    <w:p/>
    <w:sdt>
      <w:sdtPr>
        <w:rPr>
          <w:rFonts w:ascii="宋体" w:hAnsi="宋体"/>
          <w:kern w:val="0"/>
          <w:sz w:val="20"/>
          <w:szCs w:val="20"/>
        </w:rPr>
        <w:id w:val="147474148"/>
        <w:docPartObj>
          <w:docPartGallery w:val="Table of Contents"/>
          <w:docPartUnique/>
        </w:docPartObj>
      </w:sdtPr>
      <w:sdtEndPr>
        <w:rPr>
          <w:rFonts w:ascii="Calibri" w:hAnsi="Calibri"/>
          <w:kern w:val="0"/>
          <w:sz w:val="20"/>
          <w:szCs w:val="20"/>
        </w:rPr>
      </w:sdtEndPr>
      <w:sdtContent>
        <w:p>
          <w:pPr>
            <w:jc w:val="center"/>
          </w:pPr>
          <w:bookmarkStart w:id="12" w:name="_Toc15377196"/>
          <w:bookmarkStart w:id="13" w:name="_Toc15396599"/>
        </w:p>
        <w:p>
          <w:pPr>
            <w:pStyle w:val="31"/>
            <w:tabs>
              <w:tab w:val="right" w:leader="dot" w:pos="8306"/>
            </w:tabs>
          </w:pPr>
          <w:r>
            <w:fldChar w:fldCharType="begin"/>
          </w:r>
          <w:r>
            <w:instrText xml:space="preserve"> HYPERLINK \l "_Toc28768" </w:instrText>
          </w:r>
          <w:r>
            <w:fldChar w:fldCharType="separate"/>
          </w:r>
          <w:r>
            <w:rPr>
              <w:rFonts w:hint="eastAsia" w:ascii="黑体" w:hAnsi="黑体" w:eastAsia="黑体"/>
              <w:b/>
              <w:bCs/>
            </w:rPr>
            <w:t>第一部分 部门概况</w:t>
          </w:r>
          <w:r>
            <w:rPr>
              <w:b/>
              <w:bCs/>
            </w:rPr>
            <w:tab/>
          </w:r>
          <w:r>
            <w:rPr>
              <w:b/>
              <w:bCs/>
            </w:rPr>
            <w:t>3</w:t>
          </w:r>
          <w:r>
            <w:rPr>
              <w:b/>
              <w:bCs/>
            </w:rPr>
            <w:fldChar w:fldCharType="end"/>
          </w:r>
        </w:p>
        <w:p>
          <w:pPr>
            <w:pStyle w:val="32"/>
            <w:tabs>
              <w:tab w:val="right" w:leader="dot" w:pos="8306"/>
            </w:tabs>
            <w:ind w:left="420"/>
          </w:pPr>
          <w:r>
            <w:fldChar w:fldCharType="begin"/>
          </w:r>
          <w:r>
            <w:instrText xml:space="preserve"> HYPERLINK \l "_Toc947" </w:instrText>
          </w:r>
          <w:r>
            <w:fldChar w:fldCharType="separate"/>
          </w:r>
          <w:r>
            <w:rPr>
              <w:rFonts w:hint="eastAsia" w:ascii="黑体" w:hAnsi="黑体" w:eastAsia="黑体" w:cstheme="majorBidi"/>
            </w:rPr>
            <w:t>一、基本职能及主要工作</w:t>
          </w:r>
          <w:r>
            <w:tab/>
          </w:r>
          <w:r>
            <w:t>3</w:t>
          </w:r>
          <w:r>
            <w:fldChar w:fldCharType="end"/>
          </w:r>
        </w:p>
        <w:p>
          <w:pPr>
            <w:pStyle w:val="32"/>
            <w:tabs>
              <w:tab w:val="right" w:leader="dot" w:pos="8306"/>
            </w:tabs>
            <w:ind w:left="420"/>
          </w:pPr>
          <w:r>
            <w:fldChar w:fldCharType="begin"/>
          </w:r>
          <w:r>
            <w:instrText xml:space="preserve"> HYPERLINK \l "_Toc25775" </w:instrText>
          </w:r>
          <w:r>
            <w:fldChar w:fldCharType="separate"/>
          </w:r>
          <w:r>
            <w:rPr>
              <w:rFonts w:hint="eastAsia" w:ascii="黑体" w:eastAsia="黑体" w:hAnsiTheme="majorHAnsi" w:cstheme="majorBidi"/>
            </w:rPr>
            <w:t>二、</w:t>
          </w:r>
          <w:r>
            <w:rPr>
              <w:rFonts w:hint="eastAsia" w:ascii="黑体" w:hAnsi="黑体" w:eastAsia="黑体" w:cstheme="majorBidi"/>
            </w:rPr>
            <w:t>机构设置</w:t>
          </w:r>
          <w:r>
            <w:tab/>
          </w:r>
          <w:r>
            <w:t>9</w:t>
          </w:r>
          <w:r>
            <w:fldChar w:fldCharType="end"/>
          </w:r>
        </w:p>
        <w:p>
          <w:pPr>
            <w:pStyle w:val="31"/>
            <w:tabs>
              <w:tab w:val="right" w:leader="dot" w:pos="8306"/>
            </w:tabs>
          </w:pPr>
          <w:r>
            <w:fldChar w:fldCharType="begin"/>
          </w:r>
          <w:r>
            <w:instrText xml:space="preserve"> HYPERLINK \l "_Toc20064" </w:instrText>
          </w:r>
          <w:r>
            <w:fldChar w:fldCharType="separate"/>
          </w:r>
          <w:r>
            <w:rPr>
              <w:rFonts w:hint="eastAsia" w:ascii="黑体" w:hAnsi="黑体" w:eastAsia="黑体"/>
              <w:b/>
              <w:bCs/>
            </w:rPr>
            <w:t>第二部分 2021年度部门决算情况说明</w:t>
          </w:r>
          <w:r>
            <w:rPr>
              <w:b/>
              <w:bCs/>
            </w:rPr>
            <w:tab/>
          </w:r>
          <w:r>
            <w:rPr>
              <w:b/>
              <w:bCs/>
            </w:rPr>
            <w:t>10</w:t>
          </w:r>
          <w:r>
            <w:rPr>
              <w:b/>
              <w:bCs/>
            </w:rPr>
            <w:fldChar w:fldCharType="end"/>
          </w:r>
        </w:p>
        <w:p>
          <w:pPr>
            <w:pStyle w:val="32"/>
            <w:tabs>
              <w:tab w:val="right" w:leader="dot" w:pos="8306"/>
            </w:tabs>
            <w:ind w:left="420"/>
          </w:pPr>
          <w:r>
            <w:fldChar w:fldCharType="begin"/>
          </w:r>
          <w:r>
            <w:instrText xml:space="preserve"> HYPERLINK \l "_Toc8850" </w:instrText>
          </w:r>
          <w:r>
            <w:fldChar w:fldCharType="separate"/>
          </w:r>
          <w:r>
            <w:rPr>
              <w:rFonts w:ascii="黑体" w:hAnsi="黑体" w:eastAsia="黑体" w:cstheme="majorBidi"/>
            </w:rPr>
            <w:t xml:space="preserve">一、 </w:t>
          </w:r>
          <w:r>
            <w:rPr>
              <w:rFonts w:hint="eastAsia" w:ascii="黑体" w:hAnsi="黑体" w:eastAsia="黑体"/>
            </w:rPr>
            <w:t>收</w:t>
          </w:r>
          <w:r>
            <w:rPr>
              <w:rFonts w:hint="eastAsia" w:ascii="黑体" w:hAnsi="黑体" w:eastAsia="黑体" w:cstheme="majorBidi"/>
            </w:rPr>
            <w:t>入支出决算总体情况说明</w:t>
          </w:r>
          <w:r>
            <w:tab/>
          </w:r>
          <w:r>
            <w:t>10</w:t>
          </w:r>
          <w:r>
            <w:fldChar w:fldCharType="end"/>
          </w:r>
        </w:p>
        <w:p>
          <w:pPr>
            <w:pStyle w:val="32"/>
            <w:tabs>
              <w:tab w:val="right" w:leader="dot" w:pos="8306"/>
            </w:tabs>
            <w:ind w:left="420"/>
          </w:pPr>
          <w:r>
            <w:fldChar w:fldCharType="begin"/>
          </w:r>
          <w:r>
            <w:instrText xml:space="preserve"> HYPERLINK \l "_Toc3231" </w:instrText>
          </w:r>
          <w:r>
            <w:fldChar w:fldCharType="separate"/>
          </w:r>
          <w:r>
            <w:rPr>
              <w:rFonts w:ascii="黑体" w:hAnsi="黑体" w:eastAsia="黑体" w:cstheme="majorBidi"/>
            </w:rPr>
            <w:t xml:space="preserve">二、 </w:t>
          </w:r>
          <w:r>
            <w:rPr>
              <w:rFonts w:hint="eastAsia" w:ascii="黑体" w:hAnsi="黑体" w:eastAsia="黑体"/>
            </w:rPr>
            <w:t>收</w:t>
          </w:r>
          <w:r>
            <w:rPr>
              <w:rFonts w:hint="eastAsia" w:ascii="黑体" w:hAnsi="黑体" w:eastAsia="黑体" w:cstheme="majorBidi"/>
            </w:rPr>
            <w:t>入决算情况说明</w:t>
          </w:r>
          <w:r>
            <w:tab/>
          </w:r>
          <w:r>
            <w:t>10</w:t>
          </w:r>
          <w:r>
            <w:fldChar w:fldCharType="end"/>
          </w:r>
        </w:p>
        <w:p>
          <w:pPr>
            <w:pStyle w:val="32"/>
            <w:tabs>
              <w:tab w:val="right" w:leader="dot" w:pos="8306"/>
            </w:tabs>
            <w:ind w:left="420"/>
          </w:pPr>
          <w:r>
            <w:fldChar w:fldCharType="begin"/>
          </w:r>
          <w:r>
            <w:instrText xml:space="preserve"> HYPERLINK \l "_Toc2876" </w:instrText>
          </w:r>
          <w:r>
            <w:fldChar w:fldCharType="separate"/>
          </w:r>
          <w:r>
            <w:rPr>
              <w:rFonts w:ascii="黑体" w:hAnsi="黑体" w:eastAsia="黑体" w:cstheme="majorBidi"/>
            </w:rPr>
            <w:t xml:space="preserve">三、 </w:t>
          </w:r>
          <w:r>
            <w:rPr>
              <w:rFonts w:hint="eastAsia" w:ascii="黑体" w:hAnsi="黑体" w:eastAsia="黑体"/>
            </w:rPr>
            <w:t>支</w:t>
          </w:r>
          <w:r>
            <w:rPr>
              <w:rFonts w:hint="eastAsia" w:ascii="黑体" w:hAnsi="黑体" w:eastAsia="黑体" w:cstheme="majorBidi"/>
            </w:rPr>
            <w:t>出决算情况说明</w:t>
          </w:r>
          <w:r>
            <w:tab/>
          </w:r>
          <w:r>
            <w:t>11</w:t>
          </w:r>
          <w:r>
            <w:fldChar w:fldCharType="end"/>
          </w:r>
        </w:p>
        <w:p>
          <w:pPr>
            <w:pStyle w:val="32"/>
            <w:tabs>
              <w:tab w:val="right" w:leader="dot" w:pos="8306"/>
            </w:tabs>
            <w:ind w:left="420"/>
          </w:pPr>
          <w:r>
            <w:fldChar w:fldCharType="begin"/>
          </w:r>
          <w:r>
            <w:instrText xml:space="preserve"> HYPERLINK \l "_Toc18188" </w:instrText>
          </w:r>
          <w:r>
            <w:fldChar w:fldCharType="separate"/>
          </w:r>
          <w:r>
            <w:rPr>
              <w:rFonts w:hint="eastAsia" w:ascii="黑体" w:hAnsi="黑体" w:eastAsia="黑体"/>
            </w:rPr>
            <w:t>四、财</w:t>
          </w:r>
          <w:r>
            <w:rPr>
              <w:rFonts w:hint="eastAsia" w:ascii="黑体" w:hAnsi="黑体" w:eastAsia="黑体" w:cstheme="majorBidi"/>
            </w:rPr>
            <w:t>政拨款收入支出决算总体情况说明</w:t>
          </w:r>
          <w:r>
            <w:tab/>
          </w:r>
          <w:r>
            <w:t>11</w:t>
          </w:r>
          <w:r>
            <w:fldChar w:fldCharType="end"/>
          </w:r>
        </w:p>
        <w:p>
          <w:pPr>
            <w:pStyle w:val="32"/>
            <w:tabs>
              <w:tab w:val="right" w:leader="dot" w:pos="8306"/>
            </w:tabs>
            <w:ind w:left="420"/>
          </w:pPr>
          <w:r>
            <w:fldChar w:fldCharType="begin"/>
          </w:r>
          <w:r>
            <w:instrText xml:space="preserve"> HYPERLINK \l "_Toc25301" </w:instrText>
          </w:r>
          <w:r>
            <w:fldChar w:fldCharType="separate"/>
          </w:r>
          <w:r>
            <w:rPr>
              <w:rFonts w:hint="eastAsia" w:ascii="黑体" w:hAnsi="黑体" w:eastAsia="黑体"/>
            </w:rPr>
            <w:t>五、一</w:t>
          </w:r>
          <w:r>
            <w:rPr>
              <w:rFonts w:hint="eastAsia" w:ascii="黑体" w:hAnsi="黑体" w:eastAsia="黑体" w:cstheme="majorBidi"/>
            </w:rPr>
            <w:t>般公共预算财政拨款支出决算情况说明</w:t>
          </w:r>
          <w:r>
            <w:tab/>
          </w:r>
          <w:r>
            <w:t>12</w:t>
          </w:r>
          <w:r>
            <w:fldChar w:fldCharType="end"/>
          </w:r>
        </w:p>
        <w:p>
          <w:pPr>
            <w:pStyle w:val="32"/>
            <w:tabs>
              <w:tab w:val="right" w:leader="dot" w:pos="8306"/>
            </w:tabs>
            <w:ind w:left="420"/>
          </w:pPr>
          <w:r>
            <w:fldChar w:fldCharType="begin"/>
          </w:r>
          <w:r>
            <w:instrText xml:space="preserve"> HYPERLINK \l "_Toc32576" </w:instrText>
          </w:r>
          <w:r>
            <w:fldChar w:fldCharType="separate"/>
          </w:r>
          <w:r>
            <w:rPr>
              <w:rFonts w:hint="eastAsia" w:ascii="黑体" w:hAnsi="Times New Roman" w:eastAsia="黑体"/>
            </w:rPr>
            <w:t>六、</w:t>
          </w:r>
          <w:r>
            <w:rPr>
              <w:rFonts w:hint="eastAsia" w:ascii="黑体" w:hAnsi="黑体" w:eastAsia="黑体"/>
            </w:rPr>
            <w:t>一</w:t>
          </w:r>
          <w:r>
            <w:rPr>
              <w:rFonts w:hint="eastAsia" w:ascii="黑体" w:hAnsi="黑体" w:eastAsia="黑体" w:cstheme="majorBidi"/>
            </w:rPr>
            <w:t>般公共预算财政拨款基本支出决算情况说明</w:t>
          </w:r>
          <w:r>
            <w:tab/>
          </w:r>
          <w:r>
            <w:t>16</w:t>
          </w:r>
          <w:r>
            <w:fldChar w:fldCharType="end"/>
          </w:r>
        </w:p>
        <w:p>
          <w:pPr>
            <w:pStyle w:val="32"/>
            <w:tabs>
              <w:tab w:val="right" w:leader="dot" w:pos="8306"/>
            </w:tabs>
            <w:ind w:left="420"/>
          </w:pPr>
          <w:r>
            <w:fldChar w:fldCharType="begin"/>
          </w:r>
          <w:r>
            <w:instrText xml:space="preserve"> HYPERLINK \l "_Toc604" </w:instrText>
          </w:r>
          <w:r>
            <w:fldChar w:fldCharType="separate"/>
          </w:r>
          <w:r>
            <w:rPr>
              <w:rFonts w:hint="eastAsia" w:ascii="黑体" w:hAnsi="Times New Roman" w:eastAsia="黑体"/>
            </w:rPr>
            <w:t>七、</w:t>
          </w:r>
          <w:r>
            <w:rPr>
              <w:rFonts w:hint="eastAsia" w:ascii="黑体" w:hAnsi="黑体" w:eastAsia="黑体" w:cstheme="majorBidi"/>
            </w:rPr>
            <w:t>“三公”经费财政拨款支出决算情况说明</w:t>
          </w:r>
          <w:r>
            <w:tab/>
          </w:r>
          <w:r>
            <w:t>16</w:t>
          </w:r>
          <w:r>
            <w:fldChar w:fldCharType="end"/>
          </w:r>
        </w:p>
        <w:p>
          <w:pPr>
            <w:pStyle w:val="32"/>
            <w:tabs>
              <w:tab w:val="right" w:leader="dot" w:pos="8306"/>
            </w:tabs>
            <w:ind w:left="420"/>
          </w:pPr>
          <w:r>
            <w:fldChar w:fldCharType="begin"/>
          </w:r>
          <w:r>
            <w:instrText xml:space="preserve"> HYPERLINK \l "_Toc14559" </w:instrText>
          </w:r>
          <w:r>
            <w:fldChar w:fldCharType="separate"/>
          </w:r>
          <w:r>
            <w:rPr>
              <w:rFonts w:hint="eastAsia" w:ascii="黑体" w:hAnsi="Times New Roman" w:eastAsia="黑体"/>
            </w:rPr>
            <w:t>八、</w:t>
          </w:r>
          <w:r>
            <w:rPr>
              <w:rFonts w:hint="eastAsia" w:ascii="黑体" w:hAnsi="黑体" w:eastAsia="黑体" w:cstheme="majorBidi"/>
            </w:rPr>
            <w:t>政府性基金预算支出决算情况说明</w:t>
          </w:r>
          <w:r>
            <w:tab/>
          </w:r>
          <w:r>
            <w:t>18</w:t>
          </w:r>
          <w:r>
            <w:fldChar w:fldCharType="end"/>
          </w:r>
        </w:p>
        <w:p>
          <w:pPr>
            <w:pStyle w:val="32"/>
            <w:tabs>
              <w:tab w:val="right" w:leader="dot" w:pos="8306"/>
            </w:tabs>
            <w:ind w:left="420"/>
          </w:pPr>
          <w:r>
            <w:fldChar w:fldCharType="begin"/>
          </w:r>
          <w:r>
            <w:instrText xml:space="preserve"> HYPERLINK \l "_Toc15103" </w:instrText>
          </w:r>
          <w:r>
            <w:fldChar w:fldCharType="separate"/>
          </w:r>
          <w:r>
            <w:rPr>
              <w:rFonts w:hint="eastAsia" w:ascii="黑体" w:hAnsi="黑体" w:eastAsia="黑体" w:cstheme="majorBidi"/>
            </w:rPr>
            <w:t>九、 国有资本经营预算支出决算情况说明</w:t>
          </w:r>
          <w:r>
            <w:tab/>
          </w:r>
          <w:r>
            <w:t>18</w:t>
          </w:r>
          <w:r>
            <w:fldChar w:fldCharType="end"/>
          </w:r>
        </w:p>
        <w:p>
          <w:pPr>
            <w:pStyle w:val="32"/>
            <w:tabs>
              <w:tab w:val="right" w:leader="dot" w:pos="8306"/>
            </w:tabs>
            <w:ind w:left="420"/>
          </w:pPr>
          <w:r>
            <w:fldChar w:fldCharType="begin"/>
          </w:r>
          <w:r>
            <w:instrText xml:space="preserve"> HYPERLINK \l "_Toc21524" </w:instrText>
          </w:r>
          <w:r>
            <w:fldChar w:fldCharType="separate"/>
          </w:r>
          <w:r>
            <w:rPr>
              <w:rFonts w:hint="eastAsia" w:ascii="黑体" w:hAnsi="黑体" w:eastAsia="黑体" w:cstheme="majorBidi"/>
            </w:rPr>
            <w:t>十、 其他重要事项的情况说明</w:t>
          </w:r>
          <w:r>
            <w:tab/>
          </w:r>
          <w:r>
            <w:t>19</w:t>
          </w:r>
          <w:r>
            <w:fldChar w:fldCharType="end"/>
          </w:r>
        </w:p>
        <w:p>
          <w:pPr>
            <w:pStyle w:val="31"/>
            <w:tabs>
              <w:tab w:val="right" w:leader="dot" w:pos="8306"/>
            </w:tabs>
          </w:pPr>
          <w:r>
            <w:fldChar w:fldCharType="begin"/>
          </w:r>
          <w:r>
            <w:instrText xml:space="preserve"> HYPERLINK \l "_Toc14633" </w:instrText>
          </w:r>
          <w:r>
            <w:fldChar w:fldCharType="separate"/>
          </w:r>
          <w:r>
            <w:rPr>
              <w:rFonts w:hint="eastAsia" w:ascii="黑体" w:hAnsi="黑体" w:eastAsia="黑体"/>
              <w:b/>
              <w:bCs/>
            </w:rPr>
            <w:t>第三部分 名词解释</w:t>
          </w:r>
          <w:r>
            <w:rPr>
              <w:b/>
              <w:bCs/>
            </w:rPr>
            <w:tab/>
          </w:r>
          <w:r>
            <w:rPr>
              <w:b/>
              <w:bCs/>
            </w:rPr>
            <w:t>21</w:t>
          </w:r>
          <w:r>
            <w:rPr>
              <w:b/>
              <w:bCs/>
            </w:rPr>
            <w:fldChar w:fldCharType="end"/>
          </w:r>
        </w:p>
        <w:p>
          <w:pPr>
            <w:pStyle w:val="31"/>
            <w:tabs>
              <w:tab w:val="right" w:leader="dot" w:pos="8306"/>
            </w:tabs>
          </w:pPr>
          <w:r>
            <w:fldChar w:fldCharType="begin"/>
          </w:r>
          <w:r>
            <w:instrText xml:space="preserve"> HYPERLINK \l "_Toc3294" </w:instrText>
          </w:r>
          <w:r>
            <w:fldChar w:fldCharType="separate"/>
          </w:r>
          <w:r>
            <w:rPr>
              <w:rFonts w:hint="eastAsia" w:ascii="黑体" w:hAnsi="黑体" w:eastAsia="黑体"/>
              <w:b/>
              <w:bCs/>
            </w:rPr>
            <w:t>第四部分 附件</w:t>
          </w:r>
          <w:r>
            <w:rPr>
              <w:b/>
              <w:bCs/>
            </w:rPr>
            <w:tab/>
          </w:r>
          <w:r>
            <w:rPr>
              <w:b/>
              <w:bCs/>
            </w:rPr>
            <w:t>25</w:t>
          </w:r>
          <w:r>
            <w:rPr>
              <w:b/>
              <w:bCs/>
            </w:rPr>
            <w:fldChar w:fldCharType="end"/>
          </w:r>
        </w:p>
        <w:p>
          <w:pPr>
            <w:pStyle w:val="32"/>
            <w:tabs>
              <w:tab w:val="right" w:leader="dot" w:pos="8306"/>
            </w:tabs>
            <w:ind w:left="420"/>
          </w:pPr>
          <w:r>
            <w:fldChar w:fldCharType="begin"/>
          </w:r>
          <w:r>
            <w:instrText xml:space="preserve"> HYPERLINK \l "_Toc3348" </w:instrText>
          </w:r>
          <w:r>
            <w:fldChar w:fldCharType="separate"/>
          </w:r>
          <w:r>
            <w:rPr>
              <w:rFonts w:hint="eastAsia" w:ascii="方正小标宋简体" w:hAnsi="宋体" w:eastAsia="方正小标宋简体"/>
            </w:rPr>
            <w:t>2021年攀枝花市西区清香坪街道办事处部门整体绩效评价报告</w:t>
          </w:r>
          <w:r>
            <w:tab/>
          </w:r>
          <w:r>
            <w:t>25</w:t>
          </w:r>
          <w:r>
            <w:fldChar w:fldCharType="end"/>
          </w:r>
        </w:p>
        <w:p>
          <w:pPr>
            <w:pStyle w:val="32"/>
            <w:tabs>
              <w:tab w:val="right" w:leader="dot" w:pos="8306"/>
            </w:tabs>
            <w:ind w:left="420"/>
          </w:pPr>
          <w:r>
            <w:fldChar w:fldCharType="begin"/>
          </w:r>
          <w:r>
            <w:instrText xml:space="preserve"> HYPERLINK \l "_Toc19935" </w:instrText>
          </w:r>
          <w:r>
            <w:fldChar w:fldCharType="separate"/>
          </w:r>
          <w:r>
            <w:rPr>
              <w:rFonts w:hint="eastAsia" w:ascii="黑体" w:hAnsi="宋体" w:eastAsia="黑体" w:cs="宋体"/>
            </w:rPr>
            <w:t>一、部门（单位）概况</w:t>
          </w:r>
          <w:r>
            <w:tab/>
          </w:r>
          <w:r>
            <w:t>25</w:t>
          </w:r>
          <w:r>
            <w:fldChar w:fldCharType="end"/>
          </w:r>
        </w:p>
        <w:p>
          <w:pPr>
            <w:pStyle w:val="32"/>
            <w:tabs>
              <w:tab w:val="right" w:leader="dot" w:pos="8306"/>
            </w:tabs>
            <w:ind w:left="420"/>
          </w:pPr>
          <w:r>
            <w:fldChar w:fldCharType="begin"/>
          </w:r>
          <w:r>
            <w:instrText xml:space="preserve"> HYPERLINK \l "_Toc27878" </w:instrText>
          </w:r>
          <w:r>
            <w:fldChar w:fldCharType="separate"/>
          </w:r>
          <w:r>
            <w:rPr>
              <w:rFonts w:hint="eastAsia" w:ascii="黑体" w:hAnsi="宋体" w:eastAsia="黑体" w:cs="宋体"/>
            </w:rPr>
            <w:t>二、部门财政资金收支情况</w:t>
          </w:r>
          <w:r>
            <w:tab/>
          </w:r>
          <w:r>
            <w:t>26</w:t>
          </w:r>
          <w:r>
            <w:fldChar w:fldCharType="end"/>
          </w:r>
        </w:p>
        <w:p>
          <w:pPr>
            <w:pStyle w:val="32"/>
            <w:tabs>
              <w:tab w:val="right" w:leader="dot" w:pos="8306"/>
            </w:tabs>
            <w:ind w:left="420"/>
          </w:pPr>
          <w:r>
            <w:fldChar w:fldCharType="begin"/>
          </w:r>
          <w:r>
            <w:instrText xml:space="preserve"> HYPERLINK \l "_Toc14989" </w:instrText>
          </w:r>
          <w:r>
            <w:fldChar w:fldCharType="separate"/>
          </w:r>
          <w:r>
            <w:rPr>
              <w:rFonts w:hint="eastAsia" w:ascii="黑体" w:hAnsi="宋体" w:eastAsia="黑体" w:cs="宋体"/>
            </w:rPr>
            <w:t>三、部门整体预算绩效管理情况</w:t>
          </w:r>
          <w:r>
            <w:tab/>
          </w:r>
          <w:r>
            <w:t>27</w:t>
          </w:r>
          <w:r>
            <w:fldChar w:fldCharType="end"/>
          </w:r>
        </w:p>
        <w:p>
          <w:pPr>
            <w:pStyle w:val="32"/>
            <w:tabs>
              <w:tab w:val="right" w:leader="dot" w:pos="8306"/>
            </w:tabs>
            <w:ind w:left="420"/>
          </w:pPr>
          <w:r>
            <w:fldChar w:fldCharType="begin"/>
          </w:r>
          <w:r>
            <w:instrText xml:space="preserve"> HYPERLINK \l "_Toc9365" </w:instrText>
          </w:r>
          <w:r>
            <w:fldChar w:fldCharType="separate"/>
          </w:r>
          <w:r>
            <w:rPr>
              <w:rFonts w:hint="eastAsia" w:ascii="黑体" w:hAnsi="宋体" w:eastAsia="黑体" w:cs="宋体"/>
            </w:rPr>
            <w:t>四、评价结论及建议</w:t>
          </w:r>
          <w:r>
            <w:tab/>
          </w:r>
          <w:r>
            <w:t>28</w:t>
          </w:r>
          <w:r>
            <w:fldChar w:fldCharType="end"/>
          </w:r>
        </w:p>
        <w:p>
          <w:pPr>
            <w:pStyle w:val="31"/>
            <w:tabs>
              <w:tab w:val="right" w:leader="dot" w:pos="8306"/>
            </w:tabs>
          </w:pPr>
          <w:r>
            <w:fldChar w:fldCharType="begin"/>
          </w:r>
          <w:r>
            <w:instrText xml:space="preserve"> HYPERLINK \l "_Toc13297" </w:instrText>
          </w:r>
          <w:r>
            <w:fldChar w:fldCharType="separate"/>
          </w:r>
          <w:r>
            <w:rPr>
              <w:rFonts w:hint="eastAsia" w:ascii="黑体" w:hAnsi="黑体" w:eastAsia="黑体"/>
              <w:b/>
              <w:bCs/>
            </w:rPr>
            <w:t>第五部分 附表</w:t>
          </w:r>
          <w:r>
            <w:rPr>
              <w:b/>
              <w:bCs/>
            </w:rPr>
            <w:tab/>
          </w:r>
          <w:r>
            <w:rPr>
              <w:b/>
              <w:bCs/>
            </w:rPr>
            <w:t>34</w:t>
          </w:r>
          <w:r>
            <w:rPr>
              <w:b/>
              <w:bCs/>
            </w:rPr>
            <w:fldChar w:fldCharType="end"/>
          </w:r>
        </w:p>
        <w:p>
          <w:pPr>
            <w:pStyle w:val="32"/>
            <w:tabs>
              <w:tab w:val="right" w:leader="dot" w:pos="8306"/>
            </w:tabs>
            <w:ind w:left="420"/>
          </w:pPr>
          <w:r>
            <w:fldChar w:fldCharType="begin"/>
          </w:r>
          <w:r>
            <w:instrText xml:space="preserve"> HYPERLINK \l "_Toc2612" </w:instrText>
          </w:r>
          <w:r>
            <w:fldChar w:fldCharType="separate"/>
          </w:r>
          <w:r>
            <w:rPr>
              <w:rFonts w:hint="eastAsia" w:ascii="仿宋" w:hAnsi="仿宋" w:eastAsia="仿宋" w:cstheme="majorBidi"/>
            </w:rPr>
            <w:t>一、收入支出决算总表</w:t>
          </w:r>
          <w:r>
            <w:tab/>
          </w:r>
          <w:r>
            <w:t>34</w:t>
          </w:r>
          <w:r>
            <w:fldChar w:fldCharType="end"/>
          </w:r>
        </w:p>
        <w:p>
          <w:pPr>
            <w:pStyle w:val="32"/>
            <w:tabs>
              <w:tab w:val="right" w:leader="dot" w:pos="8306"/>
            </w:tabs>
            <w:ind w:left="420"/>
          </w:pPr>
          <w:r>
            <w:fldChar w:fldCharType="begin"/>
          </w:r>
          <w:r>
            <w:instrText xml:space="preserve"> HYPERLINK \l "_Toc29783" </w:instrText>
          </w:r>
          <w:r>
            <w:fldChar w:fldCharType="separate"/>
          </w:r>
          <w:r>
            <w:rPr>
              <w:rFonts w:hint="eastAsia" w:ascii="仿宋" w:hAnsi="仿宋" w:eastAsia="仿宋" w:cstheme="majorBidi"/>
            </w:rPr>
            <w:t>二、收入决算表</w:t>
          </w:r>
          <w:r>
            <w:tab/>
          </w:r>
          <w:r>
            <w:t>34</w:t>
          </w:r>
          <w:r>
            <w:fldChar w:fldCharType="end"/>
          </w:r>
        </w:p>
        <w:p>
          <w:pPr>
            <w:pStyle w:val="32"/>
            <w:tabs>
              <w:tab w:val="right" w:leader="dot" w:pos="8306"/>
            </w:tabs>
            <w:ind w:left="420"/>
          </w:pPr>
          <w:r>
            <w:fldChar w:fldCharType="begin"/>
          </w:r>
          <w:r>
            <w:instrText xml:space="preserve"> HYPERLINK \l "_Toc16722" </w:instrText>
          </w:r>
          <w:r>
            <w:fldChar w:fldCharType="separate"/>
          </w:r>
          <w:r>
            <w:rPr>
              <w:rFonts w:hint="eastAsia" w:ascii="仿宋" w:hAnsi="仿宋" w:eastAsia="仿宋" w:cstheme="majorBidi"/>
            </w:rPr>
            <w:t>三、支出决算表</w:t>
          </w:r>
          <w:r>
            <w:tab/>
          </w:r>
          <w:r>
            <w:t>34</w:t>
          </w:r>
          <w:r>
            <w:fldChar w:fldCharType="end"/>
          </w:r>
        </w:p>
        <w:p>
          <w:pPr>
            <w:pStyle w:val="32"/>
            <w:tabs>
              <w:tab w:val="right" w:leader="dot" w:pos="8306"/>
            </w:tabs>
            <w:ind w:left="420"/>
          </w:pPr>
          <w:r>
            <w:fldChar w:fldCharType="begin"/>
          </w:r>
          <w:r>
            <w:instrText xml:space="preserve"> HYPERLINK \l "_Toc423" </w:instrText>
          </w:r>
          <w:r>
            <w:fldChar w:fldCharType="separate"/>
          </w:r>
          <w:r>
            <w:rPr>
              <w:rFonts w:hint="eastAsia" w:ascii="仿宋" w:hAnsi="仿宋" w:eastAsia="仿宋" w:cstheme="majorBidi"/>
            </w:rPr>
            <w:t>四、财政拨款收入支出决算总表</w:t>
          </w:r>
          <w:r>
            <w:tab/>
          </w:r>
          <w:r>
            <w:t>34</w:t>
          </w:r>
          <w:r>
            <w:fldChar w:fldCharType="end"/>
          </w:r>
        </w:p>
        <w:p>
          <w:pPr>
            <w:pStyle w:val="32"/>
            <w:tabs>
              <w:tab w:val="right" w:leader="dot" w:pos="8306"/>
            </w:tabs>
            <w:ind w:left="420"/>
          </w:pPr>
          <w:r>
            <w:fldChar w:fldCharType="begin"/>
          </w:r>
          <w:r>
            <w:instrText xml:space="preserve"> HYPERLINK \l "_Toc11913" </w:instrText>
          </w:r>
          <w:r>
            <w:fldChar w:fldCharType="separate"/>
          </w:r>
          <w:r>
            <w:rPr>
              <w:rFonts w:hint="eastAsia" w:ascii="仿宋" w:hAnsi="仿宋" w:eastAsia="仿宋" w:cstheme="majorBidi"/>
            </w:rPr>
            <w:t>五、财政拨款支出决算明细表</w:t>
          </w:r>
          <w:r>
            <w:tab/>
          </w:r>
          <w:r>
            <w:t>34</w:t>
          </w:r>
          <w:r>
            <w:fldChar w:fldCharType="end"/>
          </w:r>
        </w:p>
        <w:p>
          <w:pPr>
            <w:pStyle w:val="32"/>
            <w:tabs>
              <w:tab w:val="right" w:leader="dot" w:pos="8306"/>
            </w:tabs>
            <w:ind w:left="420"/>
          </w:pPr>
          <w:r>
            <w:fldChar w:fldCharType="begin"/>
          </w:r>
          <w:r>
            <w:instrText xml:space="preserve"> HYPERLINK \l "_Toc29488" </w:instrText>
          </w:r>
          <w:r>
            <w:fldChar w:fldCharType="separate"/>
          </w:r>
          <w:r>
            <w:rPr>
              <w:rFonts w:hint="eastAsia" w:ascii="仿宋" w:hAnsi="仿宋" w:eastAsia="仿宋" w:cstheme="majorBidi"/>
            </w:rPr>
            <w:t>六、一般公共预算财政拨款支出决算表</w:t>
          </w:r>
          <w:r>
            <w:tab/>
          </w:r>
          <w:r>
            <w:t>34</w:t>
          </w:r>
          <w:r>
            <w:fldChar w:fldCharType="end"/>
          </w:r>
        </w:p>
        <w:p>
          <w:pPr>
            <w:pStyle w:val="32"/>
            <w:tabs>
              <w:tab w:val="right" w:leader="dot" w:pos="8306"/>
            </w:tabs>
            <w:ind w:left="420"/>
          </w:pPr>
          <w:r>
            <w:fldChar w:fldCharType="begin"/>
          </w:r>
          <w:r>
            <w:instrText xml:space="preserve"> HYPERLINK \l "_Toc17536" </w:instrText>
          </w:r>
          <w:r>
            <w:fldChar w:fldCharType="separate"/>
          </w:r>
          <w:r>
            <w:rPr>
              <w:rFonts w:hint="eastAsia" w:ascii="仿宋" w:hAnsi="仿宋" w:eastAsia="仿宋" w:cstheme="majorBidi"/>
            </w:rPr>
            <w:t>七、一般公共预算财政拨款支出决算明细表</w:t>
          </w:r>
          <w:r>
            <w:tab/>
          </w:r>
          <w:r>
            <w:t>34</w:t>
          </w:r>
          <w:r>
            <w:fldChar w:fldCharType="end"/>
          </w:r>
        </w:p>
        <w:p>
          <w:pPr>
            <w:pStyle w:val="32"/>
            <w:tabs>
              <w:tab w:val="right" w:leader="dot" w:pos="8306"/>
            </w:tabs>
            <w:ind w:left="420"/>
          </w:pPr>
          <w:r>
            <w:fldChar w:fldCharType="begin"/>
          </w:r>
          <w:r>
            <w:instrText xml:space="preserve"> HYPERLINK \l "_Toc12084" </w:instrText>
          </w:r>
          <w:r>
            <w:fldChar w:fldCharType="separate"/>
          </w:r>
          <w:r>
            <w:rPr>
              <w:rFonts w:hint="eastAsia" w:ascii="仿宋" w:hAnsi="仿宋" w:eastAsia="仿宋" w:cstheme="majorBidi"/>
            </w:rPr>
            <w:t>八、一般公共预算财政拨款基本支出决算表</w:t>
          </w:r>
          <w:r>
            <w:tab/>
          </w:r>
          <w:r>
            <w:t>34</w:t>
          </w:r>
          <w:r>
            <w:fldChar w:fldCharType="end"/>
          </w:r>
        </w:p>
        <w:p>
          <w:pPr>
            <w:pStyle w:val="32"/>
            <w:tabs>
              <w:tab w:val="right" w:leader="dot" w:pos="8306"/>
            </w:tabs>
            <w:ind w:left="420"/>
          </w:pPr>
          <w:r>
            <w:fldChar w:fldCharType="begin"/>
          </w:r>
          <w:r>
            <w:instrText xml:space="preserve"> HYPERLINK \l "_Toc24031" </w:instrText>
          </w:r>
          <w:r>
            <w:fldChar w:fldCharType="separate"/>
          </w:r>
          <w:r>
            <w:rPr>
              <w:rFonts w:hint="eastAsia" w:ascii="仿宋" w:hAnsi="仿宋" w:eastAsia="仿宋" w:cstheme="majorBidi"/>
            </w:rPr>
            <w:t>九、一般公共预算财政拨款项目支出决算表</w:t>
          </w:r>
          <w:r>
            <w:tab/>
          </w:r>
          <w:r>
            <w:t>34</w:t>
          </w:r>
          <w:r>
            <w:fldChar w:fldCharType="end"/>
          </w:r>
        </w:p>
        <w:p>
          <w:pPr>
            <w:pStyle w:val="32"/>
            <w:tabs>
              <w:tab w:val="right" w:leader="dot" w:pos="8306"/>
            </w:tabs>
            <w:ind w:left="420"/>
          </w:pPr>
          <w:r>
            <w:fldChar w:fldCharType="begin"/>
          </w:r>
          <w:r>
            <w:instrText xml:space="preserve"> HYPERLINK \l "_Toc9593" </w:instrText>
          </w:r>
          <w:r>
            <w:fldChar w:fldCharType="separate"/>
          </w:r>
          <w:r>
            <w:rPr>
              <w:rFonts w:hint="eastAsia" w:ascii="仿宋" w:hAnsi="仿宋" w:eastAsia="仿宋" w:cstheme="majorBidi"/>
            </w:rPr>
            <w:t>十、一般公共预算财政拨款“三公”经费支出决算表</w:t>
          </w:r>
          <w:r>
            <w:tab/>
          </w:r>
          <w:r>
            <w:t>34</w:t>
          </w:r>
          <w:r>
            <w:fldChar w:fldCharType="end"/>
          </w:r>
        </w:p>
        <w:p>
          <w:pPr>
            <w:pStyle w:val="32"/>
            <w:tabs>
              <w:tab w:val="right" w:leader="dot" w:pos="8306"/>
            </w:tabs>
            <w:ind w:left="420"/>
          </w:pPr>
          <w:r>
            <w:fldChar w:fldCharType="begin"/>
          </w:r>
          <w:r>
            <w:instrText xml:space="preserve"> HYPERLINK \l "_Toc13323" </w:instrText>
          </w:r>
          <w:r>
            <w:fldChar w:fldCharType="separate"/>
          </w:r>
          <w:r>
            <w:rPr>
              <w:rFonts w:hint="eastAsia" w:ascii="仿宋" w:hAnsi="仿宋" w:eastAsia="仿宋" w:cstheme="majorBidi"/>
            </w:rPr>
            <w:t>十一、政府性基金预算财政拨款收入支出决算表</w:t>
          </w:r>
          <w:r>
            <w:tab/>
          </w:r>
          <w:r>
            <w:t>34</w:t>
          </w:r>
          <w:r>
            <w:fldChar w:fldCharType="end"/>
          </w:r>
        </w:p>
        <w:p>
          <w:pPr>
            <w:pStyle w:val="32"/>
            <w:tabs>
              <w:tab w:val="right" w:leader="dot" w:pos="8306"/>
            </w:tabs>
            <w:ind w:left="420"/>
          </w:pPr>
          <w:r>
            <w:fldChar w:fldCharType="begin"/>
          </w:r>
          <w:r>
            <w:instrText xml:space="preserve"> HYPERLINK \l "_Toc30625" </w:instrText>
          </w:r>
          <w:r>
            <w:fldChar w:fldCharType="separate"/>
          </w:r>
          <w:r>
            <w:rPr>
              <w:rFonts w:hint="eastAsia" w:ascii="仿宋" w:hAnsi="仿宋" w:eastAsia="仿宋" w:cstheme="majorBidi"/>
            </w:rPr>
            <w:t>十二、政府性基金预算财政拨款“三公”经费支出决算表</w:t>
          </w:r>
          <w:r>
            <w:tab/>
          </w:r>
          <w:r>
            <w:t>34</w:t>
          </w:r>
          <w:r>
            <w:fldChar w:fldCharType="end"/>
          </w:r>
        </w:p>
        <w:p>
          <w:pPr>
            <w:pStyle w:val="32"/>
            <w:tabs>
              <w:tab w:val="right" w:leader="dot" w:pos="8306"/>
            </w:tabs>
            <w:ind w:left="420"/>
          </w:pPr>
          <w:r>
            <w:fldChar w:fldCharType="begin"/>
          </w:r>
          <w:r>
            <w:instrText xml:space="preserve"> HYPERLINK \l "_Toc16553" </w:instrText>
          </w:r>
          <w:r>
            <w:fldChar w:fldCharType="separate"/>
          </w:r>
          <w:r>
            <w:rPr>
              <w:rFonts w:hint="eastAsia" w:ascii="仿宋" w:hAnsi="仿宋" w:eastAsia="仿宋" w:cstheme="majorBidi"/>
            </w:rPr>
            <w:t>十三、国有资本经营预算财政拨款收入支出决算表</w:t>
          </w:r>
          <w:r>
            <w:tab/>
          </w:r>
          <w:r>
            <w:t>34</w:t>
          </w:r>
          <w:r>
            <w:fldChar w:fldCharType="end"/>
          </w:r>
        </w:p>
        <w:p>
          <w:pPr>
            <w:pStyle w:val="32"/>
            <w:tabs>
              <w:tab w:val="right" w:leader="dot" w:pos="8306"/>
            </w:tabs>
            <w:ind w:left="420"/>
          </w:pPr>
          <w:r>
            <w:fldChar w:fldCharType="begin"/>
          </w:r>
          <w:r>
            <w:instrText xml:space="preserve"> HYPERLINK \l "_Toc17700" </w:instrText>
          </w:r>
          <w:r>
            <w:fldChar w:fldCharType="separate"/>
          </w:r>
          <w:r>
            <w:rPr>
              <w:rFonts w:hint="eastAsia" w:ascii="仿宋" w:hAnsi="仿宋" w:eastAsia="仿宋" w:cstheme="majorBidi"/>
            </w:rPr>
            <w:t>十四、国有资本经营预算财政拨款支出决算表</w:t>
          </w:r>
          <w:r>
            <w:tab/>
          </w:r>
          <w:r>
            <w:t>34</w:t>
          </w:r>
          <w: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5"/>
          <w:rFonts w:ascii="黑体" w:hAnsi="黑体" w:eastAsia="黑体"/>
          <w:b/>
          <w:bCs w:val="0"/>
        </w:rPr>
      </w:pPr>
      <w:bookmarkStart w:id="14" w:name="_Toc26313"/>
      <w:bookmarkStart w:id="15" w:name="_Toc28768"/>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bookmarkEnd w:id="14"/>
      <w:bookmarkEnd w:id="15"/>
    </w:p>
    <w:p>
      <w:pPr>
        <w:widowControl/>
        <w:jc w:val="left"/>
        <w:rPr>
          <w:rFonts w:ascii="黑体" w:eastAsia="黑体"/>
          <w:sz w:val="32"/>
          <w:szCs w:val="32"/>
        </w:rPr>
      </w:pPr>
    </w:p>
    <w:p>
      <w:pPr>
        <w:pStyle w:val="4"/>
        <w:rPr>
          <w:rStyle w:val="26"/>
          <w:rFonts w:ascii="仿宋" w:hAnsi="仿宋" w:eastAsia="仿宋"/>
          <w:b w:val="0"/>
          <w:bCs w:val="0"/>
        </w:rPr>
      </w:pPr>
      <w:bookmarkStart w:id="16" w:name="_Toc15377197"/>
      <w:bookmarkStart w:id="17" w:name="_Toc15396600"/>
      <w:bookmarkStart w:id="18" w:name="_Toc7281"/>
      <w:bookmarkStart w:id="19" w:name="_Toc947"/>
      <w:r>
        <w:rPr>
          <w:rFonts w:hint="eastAsia" w:ascii="黑体" w:hAnsi="黑体" w:eastAsia="黑体"/>
          <w:b w:val="0"/>
        </w:rPr>
        <w:t>一、基</w:t>
      </w:r>
      <w:r>
        <w:rPr>
          <w:rStyle w:val="26"/>
          <w:rFonts w:hint="eastAsia" w:ascii="黑体" w:hAnsi="黑体" w:eastAsia="黑体"/>
          <w:b w:val="0"/>
          <w:bCs w:val="0"/>
        </w:rPr>
        <w:t>本职能及主要工作</w:t>
      </w:r>
      <w:bookmarkEnd w:id="16"/>
      <w:bookmarkEnd w:id="17"/>
      <w:bookmarkEnd w:id="18"/>
      <w:bookmarkEnd w:id="19"/>
    </w:p>
    <w:p>
      <w:pPr>
        <w:pStyle w:val="2"/>
        <w:adjustRightInd w:val="0"/>
        <w:snapToGrid w:val="0"/>
        <w:spacing w:before="93" w:line="600" w:lineRule="exact"/>
        <w:ind w:firstLine="672" w:firstLineChars="210"/>
        <w:outlineLvl w:val="2"/>
        <w:rPr>
          <w:rFonts w:ascii="仿宋" w:hAnsi="仿宋" w:eastAsia="仿宋"/>
          <w:bCs/>
          <w:sz w:val="32"/>
          <w:szCs w:val="32"/>
        </w:rPr>
      </w:pPr>
      <w:bookmarkStart w:id="20" w:name="_Toc15378445"/>
      <w:bookmarkStart w:id="21" w:name="_Toc15377198"/>
      <w:r>
        <w:rPr>
          <w:rFonts w:hint="eastAsia" w:ascii="仿宋" w:hAnsi="仿宋" w:eastAsia="仿宋"/>
          <w:bCs/>
          <w:sz w:val="32"/>
          <w:szCs w:val="32"/>
        </w:rPr>
        <w:t>（一）主要职能。</w:t>
      </w:r>
      <w:bookmarkEnd w:id="20"/>
      <w:bookmarkEnd w:id="21"/>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bookmarkStart w:id="22" w:name="_Toc15378446"/>
      <w:bookmarkStart w:id="23" w:name="_Toc15377199"/>
      <w:r>
        <w:rPr>
          <w:rFonts w:hint="eastAsia" w:ascii="仿宋_GB2312" w:hAnsi="宋体" w:eastAsia="仿宋_GB2312" w:cs="宋体"/>
          <w:color w:val="000000"/>
          <w:kern w:val="0"/>
          <w:sz w:val="32"/>
          <w:szCs w:val="32"/>
          <w:shd w:val="clear" w:color="auto" w:fill="FFFFFF"/>
          <w:lang w:val="zh-CN"/>
        </w:rPr>
        <w:t>1.贯彻执行党和国家的各项法律、法规、规章以及上级政府的决议、决定，依法管理基层公共事务。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4.负责辖区平安建设、社会治安综合治理工作，处理群众来信来访，反映社情民意，建立社会矛盾纠纷排查调处机制，维护社会和谐稳定。</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5.负责辖区公共安全，协助做好安全生产、防汛、防火、</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防灾减灾等应急管理工作，构建公共安全防控体系，建立应对突发紧急事件的处理预案。</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6.领导社区居委会建设，指导社区居委会工作，培育、发展社区社会组织，组织社区居民参与社区建设和管理，健全完善自治、法治、德治相结合的城市基层治理体系。</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8.完成区委、区政府交办的其他工作。</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2"/>
      <w:bookmarkEnd w:id="23"/>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1.</w:t>
      </w:r>
      <w:r>
        <w:rPr>
          <w:rFonts w:hint="eastAsia" w:ascii="仿宋_GB2312" w:hAnsi="宋体" w:eastAsia="仿宋_GB2312" w:cs="宋体"/>
          <w:color w:val="000000"/>
          <w:kern w:val="0"/>
          <w:sz w:val="32"/>
          <w:szCs w:val="32"/>
          <w:shd w:val="clear" w:color="auto" w:fill="FFFFFF"/>
          <w:lang w:val="zh-CN"/>
        </w:rPr>
        <w:t>“加减乘除”，党建工作走新走实。</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1</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党建“+”活动，加足精神之钙。紧紧围绕党史学习教育要求，组织开展“参观红色教育基地”“讲好党史故事”“打卡红色基地”“我与党旗合个影”等主题活动20余次。各社区依托“坝坝电影会”优势资源，让经典红色电影走入千家万户，共放映17场惠及500余人次。在“全民读书月”“世界读书日”携手新华文轩开展“读党史 学党史”主题活动3次，通过微信公众号推送“党史天天读”105期，以群众喜闻乐见的方式让党史学习走入千家万户，增强学习覆盖面。</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2</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党建“-”距离，减出工作新方式。结合6个社区实际，创新推出“五红”“五心”“五线”“五微”“五零”“五园”六大工作法。开展“家庭签约式”服务，为1134名高龄老人建立“联系服务台账”，开展结对帮扶活动350次，并依托“长者餐厅”，借助“便民利民15分钟服务圈”提供送餐服务，年服务特殊老年人群1200余人次，切实解决老年人用餐“凑合”“吃饭难”等问题。组建志愿服务队伍45支，发动1200余名党员与辖区36000余名群众全覆盖结对联系。推广使用“西区社区通”，通过办事指南、政策文件、便民服务、房屋租售、问卷调查5个功能性板块和随手拍、微心愿、一起议、邻里圈4个互动性板块，全天候响应居民需求，目前已完成注册2000余人，回应居民诉求500余件。</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3</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党建“×”联合，乘添红色助发展。围绕街道党工委这一核心，建起以街道党工委为龙头、社区党委为主体、小区党支部为堡垒、网格（楼栋）为单元的“四级城市党建体系”。 用好“社区党委+业主委员会+物业公司”三方联动机制，设置6个环境与物业管理委员会，不断推动组织力量下沉。搭建院落议事会、党群议事会、居民见面会等10余种居民议事平台，建立健全《社区党群议事制度》《小区院落议事制度》等议事协商制度23个，组织共建单位、辖区企业、社区居民等多方代表召开联席会议35次，协商解决集中晾晒区选定、垃圾分类、绿化带整治等群众急难愁盼问题150个。</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4</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党建“÷”瓶颈，除掉短板促提升。严格执行民主生活会、组织生活会等党内政治生活制度，让红脸出汗成为常态。紧抓廉政建设，听取班子成员抓分管领域党风廉政建设情况汇报4次，开展作风监督检查12次。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抓细抓实，“三防”工作筑牢稳固。</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1</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抓细抓实防控措施，筑牢疫情防线。街道认真执行省、市、区疫情防控要求，严格落实属地责任。一是实行领导分包责任制，6名包片责任人分片包抓社区疫情防控，其余全员下沉辖区网格，实现齐抓共管的工作局面。二是扎实开展“敲门”行动。通过对2.5万余户居民开展入户走访，详细宣传返攀报备、疫情防控要求，督促1200余家商户落实了扫码、测温要求。三是加强返攀人员管控服务，排查重点地区返攀人员621人，按要求落实管控措施。四是做好新冠疫苗人群接种工作，通过入户走访、上门接送等方式，提高接种率，完成54746人疫苗接种工作。五是严格疫情期间24小时值班值守制度，满足返攀人员第一时间报备需求。六是加强问题整改落实。针对市、区反馈的问题，街道立即采取行动，现场查验整改20余人次，所有问题全部整改到位。</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2</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抓细抓实关键环节，筑牢火险防线。一是紧盯组织体系，落实职能职责。修改完善《森林草原防灭火专项整治工作方案》《森林草原防灭火专项整治工作应急预案》，建立《森林草原防灭火专项整治工作包保责任机制》《森林草原防灭火群防群治末端发力终端工作督查机制》，明确领导小组、办公室、各社区职责，确保森林草原防灭火工作责任清晰、明确，不留漏洞和空白。二是紧盯重要节点，强化防火意识。结合春节、清明等重点时间节点，在人员密集场所、重点林区入口、居民小区内用张贴温馨提示、布置森林防火喷绘、悬挂横幅、张贴海报等方式向居民宣传森林草原防灭火知识2000余次。加强以案说法，每月将火灾事故反面案例线上、线下同步宣传，做到“警示一片、教育一片”。 三是紧盯隐患排查，落实火灾防范。在节日期间，街道班子带头开展禁燃烟花爆竹、文明祭祀等劝导巡查70余次，劝导居民150余名，排查辖区复工复产企业及个体经营户100余家。四是紧盯隐患消除，落实问题整改。在辖区开展“可燃物清理”30余次，清理1500余平方米，及时消除易燃隐患。同时，针对发现的问题做好台账，实施分级管理，列出森林草原防灭火风险清单、问题清单和整改清单，逐条细化整改措施，累计梳理问题10条，排查安全隐患18条，整改18条。</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3</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抓细抓实预判预控，筑牢安全减灾防线。一是加强组织领导。及时调整街道安全工作领导小组，完善修订《清香坪街道防震减灾应急预案》，组织应急演练8次，进一步熟悉掌握启动应急预案的方法、步骤，明确在应急行动中的职责，达到召之即来，来之能战，战之必胜的效果。加强防灾救灾指挥体系建设，及时充实减灾应急队伍及应急小分队成员，确保预案启动及时、运转顺利。二是加强隐患排查。开展老旧小区消防设施隐患排查治理，在建筑施工、劳动密集型企业和人员密集场所等高风险行业领域，推行风险等级管控、隐患排查治理双重预防性工作机制，排查重点企业5家，排查出隐患2条，整改2条。三是加强宣传引导。加强社区安全阵地建设，通过LED显示屏滚动播放宣传标语6条，开展集中宣传6次，发放宣传资料1000余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lang w:val="zh-CN"/>
        </w:rPr>
        <w:t>以人为本，社会治理提质增效。</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1</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民生政策落地落实。一是加强就业宣传，召开现场招聘会1次，提供政策咨询1000余人次，发放宣传资料20000余份。走访企业400余家、个体商户1000余户。通过“五分”服务试点工作帮助辖区7名失业人员实现就业。城镇新增就业2171人，完成全年目标任务的81%，路南社区被认定为“第五批省级充分就业社区”。二是惠民资金落实到位。发放低保金617.5853万元、困难残疾人生活补贴26.2万元、临时救助金6.1307万元、公共租赁住房补贴4.68万元、重度残疾人护理补贴28.7万元。开展残疾人温暖万家行春节慰问活动，慰问110人。</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2</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城市面貌不断美化。一是以环保督查为契机，成立环境保护工作领导小组，制定工作制度，明确工作职责。坚持“污染防治与生态保护并重”，以开展“城乡清洁工程”为切入点，开展突击性清理30余次，疏通沟渠21条、3600米。加强建筑工地规范管理，清理乱抛洒建筑垃圾20余吨。以提高辖区居民的环保意识为目的，开展集中宣传3次，刊出环境保护专栏黑板报16期，制发宣传册1600余份。二是以创文工作为抓手，针对辖区道路破损、路灯不亮、空中飞线、宣传氛围不浓厚等问题，积极协调解决，完成修复杨家坪宪法广场等破损路面6处120 m²、捆扎飞线12处、更换破损路灯15个、更换破损垃圾桶32个、增加停车位142个，完成金沙充电桩安装、杨家坪广场公厕改造工作。</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3</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zh-CN"/>
        </w:rPr>
        <w:t>综合治理成效显著。一是推进平安建设暨市域社会治理现代化工作，招聘专职网格员24名，构建以网格党支部为核心的小区治理体系。完成“雪亮工程”安装工作，建立常态化视频巡查制度，实现公安机关专业用、政法综合用、相关部门共享用、发动基层群众用有效结合。二是强化排查稳控，全力维护辖区社会稳定。在建党100周年，全国两会等重要节点，制定重点群体、人员稳控方案，按照领导包片、责任到人的原则，严格落实信息每日报告制度，全年无人员进京赴蓉上访。三是全面开展依法治区。坚持法律顾问制度，建立公共法律服务站点6个，开展法律咨询20人次。加强全民普法宣传，开展民法典进社区活动3次，结合“3.15”“4.15”等大力宣传国家法律法规，营造依法治区的良好氛围。杨家坪社区法制广场申报为第三批四川省法制宣传教育基地。</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4.</w:t>
      </w:r>
      <w:r>
        <w:rPr>
          <w:rFonts w:hint="eastAsia" w:ascii="仿宋_GB2312" w:hAnsi="宋体" w:eastAsia="仿宋_GB2312" w:cs="宋体"/>
          <w:color w:val="000000"/>
          <w:kern w:val="0"/>
          <w:sz w:val="32"/>
          <w:szCs w:val="32"/>
          <w:shd w:val="clear" w:color="auto" w:fill="FFFFFF"/>
          <w:lang w:val="zh-CN"/>
        </w:rPr>
        <w:t>内练外融，经济工作稳步推进。练强内功，经济指标稳中向好。协调要素生产、培育新经济增长点，完成工业产值15462.7万元，增速28.11%；社会消费品零售25778.3万元，增速27.53%；固定资产投资30381万元，完成60.76%；招商引资36602万元，完成81.34%。2.融入“外圈”，积极促进协同发展。</w:t>
      </w:r>
    </w:p>
    <w:p>
      <w:pPr>
        <w:pStyle w:val="4"/>
        <w:rPr>
          <w:rFonts w:eastAsia="黑体"/>
        </w:rPr>
      </w:pPr>
      <w:bookmarkStart w:id="24" w:name="_Toc25775"/>
      <w:bookmarkStart w:id="25" w:name="_Toc15396601"/>
      <w:bookmarkStart w:id="26" w:name="_Toc14968"/>
      <w:bookmarkStart w:id="27"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4"/>
      <w:bookmarkEnd w:id="25"/>
      <w:bookmarkEnd w:id="26"/>
      <w:bookmarkEnd w:id="27"/>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西区清香坪街道办事处</w:t>
      </w:r>
      <w:r>
        <w:rPr>
          <w:rFonts w:hint="eastAsia" w:ascii="仿宋" w:hAnsi="仿宋" w:eastAsia="仿宋" w:cs="仿宋"/>
          <w:sz w:val="32"/>
          <w:szCs w:val="32"/>
          <w:lang w:eastAsia="zh-CN"/>
        </w:rPr>
        <w:t>内设机构</w:t>
      </w:r>
      <w:r>
        <w:rPr>
          <w:rFonts w:hint="eastAsia" w:ascii="仿宋" w:hAnsi="仿宋" w:eastAsia="仿宋" w:cs="仿宋"/>
          <w:sz w:val="32"/>
          <w:szCs w:val="32"/>
          <w:lang w:val="en-US" w:eastAsia="zh-CN"/>
        </w:rPr>
        <w:t>8个（党政办公室、党建办公室、社区建设办公室、社会事务管理办公室、财政所、公共管理办公室、社会治理事务中心、综合行政执法办公室），共设编制26个，其中，行政编制9人，事业编制17人，2021年年末实有23人。</w:t>
      </w:r>
      <w:bookmarkStart w:id="145" w:name="_GoBack"/>
      <w:bookmarkEnd w:id="145"/>
    </w:p>
    <w:p>
      <w:pPr>
        <w:pStyle w:val="3"/>
        <w:ind w:right="440"/>
        <w:jc w:val="center"/>
        <w:rPr>
          <w:rFonts w:hint="eastAsia" w:ascii="黑体" w:hAnsi="黑体" w:eastAsia="黑体"/>
          <w:b w:val="0"/>
        </w:rPr>
      </w:pPr>
      <w:bookmarkStart w:id="28" w:name="_Toc15396602"/>
      <w:bookmarkStart w:id="29" w:name="_Toc15377204"/>
      <w:bookmarkStart w:id="30" w:name="_Toc25277"/>
      <w:bookmarkStart w:id="31" w:name="_Toc20064"/>
    </w:p>
    <w:p>
      <w:pPr>
        <w:pStyle w:val="3"/>
        <w:ind w:right="440"/>
        <w:jc w:val="center"/>
      </w:pPr>
      <w:r>
        <w:rPr>
          <w:rFonts w:hint="eastAsia" w:ascii="黑体" w:hAnsi="黑体" w:eastAsia="黑体"/>
          <w:b w:val="0"/>
        </w:rPr>
        <w:t>第二部分 2021年度</w:t>
      </w:r>
      <w:r>
        <w:rPr>
          <w:rStyle w:val="25"/>
          <w:rFonts w:hint="eastAsia" w:ascii="黑体" w:hAnsi="黑体" w:eastAsia="黑体"/>
          <w:b w:val="0"/>
          <w:bCs/>
        </w:rPr>
        <w:t>部门决算情况说明</w:t>
      </w:r>
      <w:bookmarkEnd w:id="28"/>
      <w:bookmarkEnd w:id="29"/>
      <w:bookmarkEnd w:id="30"/>
      <w:bookmarkEnd w:id="31"/>
    </w:p>
    <w:p>
      <w:pPr>
        <w:pStyle w:val="24"/>
        <w:numPr>
          <w:ilvl w:val="0"/>
          <w:numId w:val="1"/>
        </w:numPr>
        <w:spacing w:line="600" w:lineRule="exact"/>
        <w:ind w:firstLineChars="0"/>
        <w:outlineLvl w:val="1"/>
        <w:rPr>
          <w:rStyle w:val="26"/>
          <w:rFonts w:ascii="黑体" w:hAnsi="黑体" w:eastAsia="黑体"/>
          <w:b w:val="0"/>
        </w:rPr>
      </w:pPr>
      <w:bookmarkStart w:id="32" w:name="_Toc17169"/>
      <w:bookmarkStart w:id="33" w:name="_Toc8850"/>
      <w:bookmarkStart w:id="34" w:name="_Toc15377205"/>
      <w:bookmarkStart w:id="35"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32"/>
      <w:bookmarkEnd w:id="33"/>
      <w:bookmarkEnd w:id="34"/>
      <w:bookmarkEnd w:id="35"/>
    </w:p>
    <w:p>
      <w:pPr>
        <w:ind w:firstLine="640" w:firstLineChars="200"/>
        <w:rPr>
          <w:rFonts w:ascii="仿宋" w:hAnsi="仿宋" w:eastAsia="仿宋"/>
          <w:sz w:val="32"/>
          <w:szCs w:val="32"/>
        </w:rPr>
      </w:pPr>
      <w:r>
        <w:rPr>
          <w:rFonts w:hint="eastAsia" w:ascii="仿宋" w:hAnsi="仿宋" w:eastAsia="仿宋"/>
          <w:sz w:val="32"/>
          <w:szCs w:val="32"/>
        </w:rPr>
        <w:t>2021年度收、支总计1341.76万元。与2020年相比，收、支总计各减少59.80万元，下降4.27</w:t>
      </w:r>
      <w:r>
        <w:rPr>
          <w:rFonts w:ascii="仿宋" w:hAnsi="仿宋" w:eastAsia="仿宋"/>
          <w:sz w:val="32"/>
          <w:szCs w:val="32"/>
        </w:rPr>
        <w:t>%</w:t>
      </w:r>
      <w:r>
        <w:rPr>
          <w:rFonts w:hint="eastAsia" w:ascii="仿宋" w:hAnsi="仿宋" w:eastAsia="仿宋"/>
          <w:sz w:val="32"/>
          <w:szCs w:val="32"/>
        </w:rPr>
        <w:t>。主要变动原因是项目</w:t>
      </w:r>
      <w:r>
        <w:rPr>
          <w:rFonts w:hint="eastAsia" w:ascii="仿宋_GB2312" w:eastAsia="仿宋_GB2312"/>
          <w:sz w:val="32"/>
          <w:szCs w:val="32"/>
        </w:rPr>
        <w:t>收入减少。</w:t>
      </w:r>
    </w:p>
    <w:p>
      <w:pPr>
        <w:pStyle w:val="2"/>
        <w:spacing w:before="93"/>
      </w:pPr>
    </w:p>
    <w:p>
      <w:pPr>
        <w:ind w:firstLine="640" w:firstLineChars="200"/>
        <w:rPr>
          <w:rFonts w:ascii="仿宋" w:hAnsi="仿宋" w:eastAsia="仿宋"/>
          <w:sz w:val="32"/>
          <w:szCs w:val="32"/>
        </w:rPr>
      </w:pPr>
      <w:r>
        <w:rPr>
          <w:rFonts w:hint="eastAsia" w:ascii="仿宋" w:hAnsi="仿宋" w:eastAsia="仿宋"/>
          <w:sz w:val="32"/>
          <w:szCs w:val="32"/>
        </w:rPr>
        <w:drawing>
          <wp:inline distT="0" distB="0" distL="114300" distR="114300">
            <wp:extent cx="4590415" cy="2761615"/>
            <wp:effectExtent l="0" t="0" r="635" b="635"/>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1"/>
                    <pic:cNvPicPr>
                      <a:picLocks noChangeAspect="1"/>
                    </pic:cNvPicPr>
                  </pic:nvPicPr>
                  <pic:blipFill>
                    <a:blip r:embed="rId6"/>
                    <a:stretch>
                      <a:fillRect/>
                    </a:stretch>
                  </pic:blipFill>
                  <pic:spPr>
                    <a:xfrm>
                      <a:off x="0" y="0"/>
                      <a:ext cx="4590415" cy="2761615"/>
                    </a:xfrm>
                    <a:prstGeom prst="rect">
                      <a:avLst/>
                    </a:prstGeom>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36" w:name="_Toc15396604"/>
      <w:bookmarkStart w:id="37" w:name="_Toc15377206"/>
      <w:bookmarkStart w:id="38" w:name="_Toc3231"/>
      <w:bookmarkStart w:id="39" w:name="_Toc13856"/>
      <w:r>
        <w:rPr>
          <w:rFonts w:hint="eastAsia" w:ascii="黑体" w:hAnsi="黑体" w:eastAsia="黑体"/>
          <w:sz w:val="32"/>
          <w:szCs w:val="32"/>
        </w:rPr>
        <w:t>收</w:t>
      </w:r>
      <w:r>
        <w:rPr>
          <w:rStyle w:val="26"/>
          <w:rFonts w:hint="eastAsia" w:ascii="黑体" w:hAnsi="黑体" w:eastAsia="黑体"/>
          <w:b w:val="0"/>
        </w:rPr>
        <w:t>入决算情况说明</w:t>
      </w:r>
      <w:bookmarkEnd w:id="36"/>
      <w:bookmarkEnd w:id="37"/>
      <w:bookmarkEnd w:id="38"/>
      <w:bookmarkEnd w:id="3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21年本年收入合计1341.76万元，其中：一般公共预算财政拨款收入1134.41万元，占84.55</w:t>
      </w:r>
      <w:r>
        <w:rPr>
          <w:rFonts w:ascii="仿宋" w:hAnsi="仿宋" w:eastAsia="仿宋"/>
          <w:sz w:val="32"/>
          <w:szCs w:val="32"/>
        </w:rPr>
        <w:t>%</w:t>
      </w:r>
      <w:r>
        <w:rPr>
          <w:rFonts w:hint="eastAsia" w:ascii="仿宋" w:hAnsi="仿宋" w:eastAsia="仿宋"/>
          <w:sz w:val="32"/>
          <w:szCs w:val="32"/>
        </w:rPr>
        <w:t>；政府性基金预算财政拨款收入64.91万元，占4.84</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；其他收入0.11万元，占0.01</w:t>
      </w:r>
      <w:r>
        <w:rPr>
          <w:rFonts w:ascii="仿宋" w:hAnsi="仿宋" w:eastAsia="仿宋"/>
          <w:sz w:val="32"/>
          <w:szCs w:val="32"/>
        </w:rPr>
        <w:t>%</w:t>
      </w:r>
      <w:r>
        <w:rPr>
          <w:rFonts w:hint="eastAsia" w:ascii="仿宋" w:hAnsi="仿宋" w:eastAsia="仿宋"/>
          <w:sz w:val="32"/>
          <w:szCs w:val="32"/>
        </w:rPr>
        <w:t>。</w:t>
      </w:r>
    </w:p>
    <w:p>
      <w:pPr>
        <w:ind w:firstLine="640" w:firstLineChars="200"/>
        <w:outlineLvl w:val="1"/>
        <w:rPr>
          <w:rFonts w:ascii="仿宋_GB2312" w:eastAsia="仿宋_GB2312"/>
          <w:sz w:val="32"/>
          <w:szCs w:val="32"/>
        </w:rPr>
      </w:pPr>
      <w:r>
        <w:rPr>
          <w:rFonts w:hint="eastAsia" w:ascii="仿宋_GB2312" w:eastAsia="仿宋_GB2312"/>
          <w:sz w:val="32"/>
          <w:szCs w:val="32"/>
        </w:rPr>
        <w:drawing>
          <wp:inline distT="0" distB="0" distL="114300" distR="114300">
            <wp:extent cx="4590415" cy="2761615"/>
            <wp:effectExtent l="0" t="0" r="635" b="635"/>
            <wp:docPr id="4" name="图片 4"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2"/>
                    <pic:cNvPicPr>
                      <a:picLocks noChangeAspect="1"/>
                    </pic:cNvPicPr>
                  </pic:nvPicPr>
                  <pic:blipFill>
                    <a:blip r:embed="rId7"/>
                    <a:stretch>
                      <a:fillRect/>
                    </a:stretch>
                  </pic:blipFill>
                  <pic:spPr>
                    <a:xfrm>
                      <a:off x="0" y="0"/>
                      <a:ext cx="4590415" cy="2761615"/>
                    </a:xfrm>
                    <a:prstGeom prst="rect">
                      <a:avLst/>
                    </a:prstGeom>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40" w:name="_Toc15377207"/>
      <w:bookmarkStart w:id="41" w:name="_Toc2876"/>
      <w:bookmarkStart w:id="42" w:name="_Toc636"/>
      <w:bookmarkStart w:id="43" w:name="_Toc15396605"/>
      <w:r>
        <w:rPr>
          <w:rFonts w:hint="eastAsia" w:ascii="黑体" w:hAnsi="黑体" w:eastAsia="黑体"/>
          <w:sz w:val="32"/>
          <w:szCs w:val="32"/>
        </w:rPr>
        <w:t>支</w:t>
      </w:r>
      <w:r>
        <w:rPr>
          <w:rStyle w:val="26"/>
          <w:rFonts w:hint="eastAsia" w:ascii="黑体" w:hAnsi="黑体" w:eastAsia="黑体"/>
          <w:b w:val="0"/>
        </w:rPr>
        <w:t>出决算情况说明</w:t>
      </w:r>
      <w:bookmarkEnd w:id="40"/>
      <w:bookmarkEnd w:id="41"/>
      <w:bookmarkEnd w:id="42"/>
      <w:bookmarkEnd w:id="4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21年本年支出合计1341.76万元，其中：基本支出839.93万元，占62.60</w:t>
      </w:r>
      <w:r>
        <w:rPr>
          <w:rFonts w:ascii="仿宋" w:hAnsi="仿宋" w:eastAsia="仿宋"/>
          <w:sz w:val="32"/>
          <w:szCs w:val="32"/>
        </w:rPr>
        <w:t>%</w:t>
      </w:r>
      <w:r>
        <w:rPr>
          <w:rFonts w:hint="eastAsia" w:ascii="仿宋" w:hAnsi="仿宋" w:eastAsia="仿宋"/>
          <w:sz w:val="32"/>
          <w:szCs w:val="32"/>
        </w:rPr>
        <w:t>；项目支出501.84万元，占37.40</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pPr>
    </w:p>
    <w:p>
      <w:pPr>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rPr>
        <w:drawing>
          <wp:inline distT="0" distB="0" distL="114300" distR="114300">
            <wp:extent cx="4590415" cy="2761615"/>
            <wp:effectExtent l="0" t="0" r="635" b="635"/>
            <wp:docPr id="5" name="图片 5"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3"/>
                    <pic:cNvPicPr>
                      <a:picLocks noChangeAspect="1"/>
                    </pic:cNvPicPr>
                  </pic:nvPicPr>
                  <pic:blipFill>
                    <a:blip r:embed="rId8"/>
                    <a:stretch>
                      <a:fillRect/>
                    </a:stretch>
                  </pic:blipFill>
                  <pic:spPr>
                    <a:xfrm>
                      <a:off x="0" y="0"/>
                      <a:ext cx="4590415" cy="2761615"/>
                    </a:xfrm>
                    <a:prstGeom prst="rect">
                      <a:avLst/>
                    </a:prstGeom>
                  </pic:spPr>
                </pic:pic>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44" w:name="_Toc15377208"/>
      <w:bookmarkStart w:id="45" w:name="_Toc15396606"/>
      <w:bookmarkStart w:id="46" w:name="_Toc18364"/>
      <w:bookmarkStart w:id="47" w:name="_Toc1818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4"/>
      <w:bookmarkEnd w:id="45"/>
      <w:bookmarkEnd w:id="46"/>
      <w:bookmarkEnd w:id="47"/>
    </w:p>
    <w:p>
      <w:pPr>
        <w:ind w:firstLine="640" w:firstLineChars="20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21年财政拨款收、支总计1341.65万元。与</w:t>
      </w:r>
      <w:r>
        <w:rPr>
          <w:rFonts w:ascii="仿宋" w:hAnsi="仿宋" w:eastAsia="仿宋"/>
          <w:sz w:val="32"/>
          <w:szCs w:val="32"/>
        </w:rPr>
        <w:t>20</w:t>
      </w:r>
      <w:r>
        <w:rPr>
          <w:rFonts w:hint="eastAsia" w:ascii="仿宋" w:hAnsi="仿宋" w:eastAsia="仿宋"/>
          <w:sz w:val="32"/>
          <w:szCs w:val="32"/>
        </w:rPr>
        <w:t>20年相比，财政拨款收、支总计各减少59.59万元，下降4.25</w:t>
      </w:r>
      <w:r>
        <w:rPr>
          <w:rFonts w:ascii="仿宋" w:hAnsi="仿宋" w:eastAsia="仿宋"/>
          <w:sz w:val="32"/>
          <w:szCs w:val="32"/>
        </w:rPr>
        <w:t>%</w:t>
      </w:r>
      <w:r>
        <w:rPr>
          <w:rFonts w:hint="eastAsia" w:ascii="仿宋" w:hAnsi="仿宋" w:eastAsia="仿宋"/>
          <w:sz w:val="32"/>
          <w:szCs w:val="32"/>
        </w:rPr>
        <w:t>。主要变动原因是项目收入减少</w:t>
      </w:r>
      <w:r>
        <w:rPr>
          <w:rFonts w:hint="eastAsia" w:ascii="仿宋_GB2312" w:eastAsia="仿宋_GB2312"/>
          <w:sz w:val="32"/>
          <w:szCs w:val="32"/>
        </w:rPr>
        <w:t>。</w:t>
      </w:r>
    </w:p>
    <w:p>
      <w:pPr>
        <w:pStyle w:val="2"/>
        <w:spacing w:before="93"/>
      </w:pP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drawing>
          <wp:inline distT="0" distB="0" distL="114300" distR="114300">
            <wp:extent cx="4590415" cy="2761615"/>
            <wp:effectExtent l="0" t="0" r="635" b="635"/>
            <wp:docPr id="7" name="图片 7"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4"/>
                    <pic:cNvPicPr>
                      <a:picLocks noChangeAspect="1"/>
                    </pic:cNvPicPr>
                  </pic:nvPicPr>
                  <pic:blipFill>
                    <a:blip r:embed="rId9"/>
                    <a:stretch>
                      <a:fillRect/>
                    </a:stretch>
                  </pic:blipFill>
                  <pic:spPr>
                    <a:xfrm>
                      <a:off x="0" y="0"/>
                      <a:ext cx="4590415" cy="2761615"/>
                    </a:xfrm>
                    <a:prstGeom prst="rect">
                      <a:avLst/>
                    </a:prstGeom>
                  </pic:spPr>
                </pic:pic>
              </a:graphicData>
            </a:graphic>
          </wp:inline>
        </w:drawing>
      </w:r>
    </w:p>
    <w:p>
      <w:pPr>
        <w:spacing w:line="600" w:lineRule="exact"/>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48" w:name="_Toc15377209"/>
      <w:bookmarkStart w:id="49" w:name="_Toc25301"/>
      <w:bookmarkStart w:id="50" w:name="_Toc26678"/>
      <w:bookmarkStart w:id="51"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8"/>
      <w:bookmarkEnd w:id="49"/>
      <w:bookmarkEnd w:id="50"/>
      <w:bookmarkEnd w:id="51"/>
    </w:p>
    <w:p>
      <w:pPr>
        <w:spacing w:line="600" w:lineRule="exact"/>
        <w:ind w:firstLine="643" w:firstLineChars="200"/>
        <w:outlineLvl w:val="2"/>
        <w:rPr>
          <w:rFonts w:ascii="仿宋" w:hAnsi="仿宋" w:eastAsia="仿宋"/>
          <w:b/>
          <w:sz w:val="32"/>
          <w:szCs w:val="32"/>
        </w:rPr>
      </w:pPr>
      <w:bookmarkStart w:id="52" w:name="_Toc15377210"/>
      <w:r>
        <w:rPr>
          <w:rFonts w:hint="eastAsia" w:ascii="仿宋" w:hAnsi="仿宋" w:eastAsia="仿宋"/>
          <w:b/>
          <w:sz w:val="32"/>
          <w:szCs w:val="32"/>
        </w:rPr>
        <w:t>（一）一般公共预算财政拨款支出决算总体情况</w:t>
      </w:r>
      <w:bookmarkEnd w:id="52"/>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2021年一般公共预算财政拨款支出1249.99万元，占本年支出合计的93.16%。与2020年相比，一般公共预算财政拨款支出增加24.47万元，上升2.02%。主要变动原因是</w:t>
      </w:r>
      <w:r>
        <w:rPr>
          <w:rFonts w:hint="eastAsia" w:ascii="仿宋" w:hAnsi="仿宋" w:eastAsia="仿宋" w:cs="仿宋"/>
          <w:color w:val="000000"/>
          <w:sz w:val="32"/>
          <w:szCs w:val="32"/>
        </w:rPr>
        <w:t>在编人员人数增加，相应经费增加。</w:t>
      </w:r>
    </w:p>
    <w:p>
      <w:pPr>
        <w:spacing w:line="600" w:lineRule="exact"/>
        <w:ind w:firstLine="640" w:firstLineChars="200"/>
        <w:rPr>
          <w:rFonts w:ascii="仿宋" w:hAnsi="仿宋" w:eastAsia="仿宋"/>
          <w:color w:val="FF0000"/>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drawing>
          <wp:inline distT="0" distB="0" distL="114300" distR="114300">
            <wp:extent cx="4590415" cy="2761615"/>
            <wp:effectExtent l="0" t="0" r="635" b="635"/>
            <wp:docPr id="10" name="图片 10"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5"/>
                    <pic:cNvPicPr>
                      <a:picLocks noChangeAspect="1"/>
                    </pic:cNvPicPr>
                  </pic:nvPicPr>
                  <pic:blipFill>
                    <a:blip r:embed="rId10"/>
                    <a:stretch>
                      <a:fillRect/>
                    </a:stretch>
                  </pic:blipFill>
                  <pic:spPr>
                    <a:xfrm>
                      <a:off x="0" y="0"/>
                      <a:ext cx="4590415" cy="2761615"/>
                    </a:xfrm>
                    <a:prstGeom prst="rect">
                      <a:avLst/>
                    </a:prstGeom>
                  </pic:spPr>
                </pic:pic>
              </a:graphicData>
            </a:graphic>
          </wp:inline>
        </w:drawing>
      </w:r>
    </w:p>
    <w:p>
      <w:pPr>
        <w:spacing w:line="600" w:lineRule="exact"/>
        <w:ind w:firstLine="643" w:firstLineChars="200"/>
        <w:outlineLvl w:val="2"/>
        <w:rPr>
          <w:rFonts w:ascii="仿宋" w:hAnsi="仿宋" w:eastAsia="仿宋"/>
          <w:b/>
          <w:sz w:val="32"/>
          <w:szCs w:val="32"/>
        </w:rPr>
      </w:pPr>
      <w:bookmarkStart w:id="53" w:name="_Toc15377211"/>
      <w:r>
        <w:rPr>
          <w:rFonts w:hint="eastAsia" w:ascii="仿宋" w:hAnsi="仿宋" w:eastAsia="仿宋"/>
          <w:b/>
          <w:sz w:val="32"/>
          <w:szCs w:val="32"/>
        </w:rPr>
        <w:t>（二）一般公共预算财政拨款支出决算结构情况</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21年一般公共预算财政拨款支出1249.99万元，主要用于以下方面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支出941.14万元，占75.29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文化旅游体育与传媒（类）</w:t>
      </w:r>
      <w:r>
        <w:rPr>
          <w:rFonts w:hint="eastAsia" w:ascii="仿宋" w:hAnsi="仿宋" w:eastAsia="仿宋"/>
          <w:sz w:val="32"/>
          <w:szCs w:val="32"/>
        </w:rPr>
        <w:t>支出5.60万元，占0.45%；</w:t>
      </w:r>
      <w:r>
        <w:rPr>
          <w:rFonts w:hint="eastAsia" w:ascii="仿宋" w:hAnsi="仿宋" w:eastAsia="仿宋"/>
          <w:b/>
          <w:sz w:val="32"/>
          <w:szCs w:val="32"/>
        </w:rPr>
        <w:t>社会保障和就业（类）</w:t>
      </w:r>
      <w:r>
        <w:rPr>
          <w:rFonts w:hint="eastAsia" w:ascii="仿宋" w:hAnsi="仿宋" w:eastAsia="仿宋"/>
          <w:sz w:val="32"/>
          <w:szCs w:val="32"/>
        </w:rPr>
        <w:t>支出75.50万元，占6.04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支出21.32万元，占1.71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31.31万元，占2.50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drawing>
          <wp:inline distT="0" distB="0" distL="114300" distR="114300">
            <wp:extent cx="4590415" cy="2761615"/>
            <wp:effectExtent l="0" t="0" r="635" b="635"/>
            <wp:docPr id="11" name="图片 11"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6"/>
                    <pic:cNvPicPr>
                      <a:picLocks noChangeAspect="1"/>
                    </pic:cNvPicPr>
                  </pic:nvPicPr>
                  <pic:blipFill>
                    <a:blip r:embed="rId11"/>
                    <a:stretch>
                      <a:fillRect/>
                    </a:stretch>
                  </pic:blipFill>
                  <pic:spPr>
                    <a:xfrm>
                      <a:off x="0" y="0"/>
                      <a:ext cx="4590415" cy="2761615"/>
                    </a:xfrm>
                    <a:prstGeom prst="rect">
                      <a:avLst/>
                    </a:prstGeom>
                  </pic:spPr>
                </pic:pic>
              </a:graphicData>
            </a:graphic>
          </wp:inline>
        </w:drawing>
      </w:r>
    </w:p>
    <w:p>
      <w:pPr>
        <w:spacing w:line="600" w:lineRule="exact"/>
        <w:ind w:firstLine="643" w:firstLineChars="200"/>
        <w:outlineLvl w:val="2"/>
        <w:rPr>
          <w:rFonts w:ascii="仿宋" w:hAnsi="仿宋" w:eastAsia="仿宋"/>
          <w:b/>
          <w:sz w:val="32"/>
          <w:szCs w:val="32"/>
        </w:rPr>
      </w:pPr>
      <w:bookmarkStart w:id="54" w:name="_Toc15377212"/>
      <w:r>
        <w:rPr>
          <w:rFonts w:hint="eastAsia" w:ascii="仿宋" w:hAnsi="仿宋" w:eastAsia="仿宋"/>
          <w:b/>
          <w:sz w:val="32"/>
          <w:szCs w:val="32"/>
        </w:rPr>
        <w:t>（三）一般公共预算财政拨款支出决算具体情况</w:t>
      </w:r>
      <w:bookmarkEnd w:id="54"/>
    </w:p>
    <w:p>
      <w:pPr>
        <w:spacing w:line="600" w:lineRule="exact"/>
        <w:ind w:firstLine="643" w:firstLineChars="200"/>
        <w:outlineLvl w:val="2"/>
        <w:rPr>
          <w:rFonts w:ascii="仿宋" w:hAnsi="仿宋" w:eastAsia="仿宋"/>
          <w:sz w:val="32"/>
          <w:szCs w:val="32"/>
        </w:rPr>
      </w:pPr>
      <w:bookmarkStart w:id="55" w:name="_Toc15377444"/>
      <w:bookmarkStart w:id="56" w:name="_Toc15377213"/>
      <w:bookmarkStart w:id="57" w:name="_Toc15378460"/>
      <w:r>
        <w:rPr>
          <w:rFonts w:hint="eastAsia" w:ascii="仿宋" w:hAnsi="仿宋" w:eastAsia="仿宋"/>
          <w:b/>
          <w:sz w:val="32"/>
          <w:szCs w:val="32"/>
        </w:rPr>
        <w:t>2021年一般公共预算支出决算数为</w:t>
      </w:r>
      <w:r>
        <w:rPr>
          <w:rFonts w:hint="eastAsia" w:ascii="仿宋" w:hAnsi="仿宋" w:eastAsia="仿宋"/>
          <w:sz w:val="32"/>
          <w:szCs w:val="32"/>
        </w:rPr>
        <w:t>1249.99，</w:t>
      </w:r>
      <w:r>
        <w:rPr>
          <w:rStyle w:val="14"/>
          <w:rFonts w:hint="eastAsia" w:ascii="仿宋" w:hAnsi="仿宋" w:eastAsia="仿宋"/>
          <w:bCs/>
          <w:sz w:val="32"/>
          <w:szCs w:val="32"/>
        </w:rPr>
        <w:t>完成预算93.16</w:t>
      </w:r>
      <w:r>
        <w:rPr>
          <w:rStyle w:val="14"/>
          <w:rFonts w:ascii="仿宋" w:hAnsi="仿宋" w:eastAsia="仿宋"/>
          <w:bCs/>
          <w:sz w:val="32"/>
          <w:szCs w:val="32"/>
        </w:rPr>
        <w:t>%</w:t>
      </w:r>
      <w:r>
        <w:rPr>
          <w:rStyle w:val="14"/>
          <w:rFonts w:hint="eastAsia" w:ascii="仿宋" w:hAnsi="仿宋" w:eastAsia="仿宋"/>
          <w:bCs/>
          <w:sz w:val="32"/>
          <w:szCs w:val="32"/>
        </w:rPr>
        <w:t>。其中：</w:t>
      </w:r>
      <w:bookmarkEnd w:id="55"/>
      <w:bookmarkEnd w:id="56"/>
      <w:bookmarkEnd w:id="57"/>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政府办公厅（室）及相关机构事务</w:t>
      </w:r>
      <w:r>
        <w:rPr>
          <w:rStyle w:val="14"/>
          <w:rFonts w:hint="eastAsia" w:ascii="仿宋" w:hAnsi="仿宋" w:eastAsia="仿宋"/>
          <w:bCs/>
          <w:sz w:val="32"/>
          <w:szCs w:val="32"/>
        </w:rPr>
        <w:t>（款）行政运行（项）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支出决算为136.86万元，完成预算10.95</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般公共服务（类）</w:t>
      </w:r>
      <w:r>
        <w:rPr>
          <w:rStyle w:val="14"/>
          <w:rFonts w:hint="eastAsia" w:ascii="仿宋" w:hAnsi="仿宋" w:eastAsia="仿宋"/>
          <w:bCs/>
          <w:color w:val="000000"/>
          <w:sz w:val="32"/>
          <w:szCs w:val="32"/>
        </w:rPr>
        <w:t>政府办公厅（室）及相关机构事务</w:t>
      </w:r>
      <w:r>
        <w:rPr>
          <w:rStyle w:val="14"/>
          <w:rFonts w:hint="eastAsia" w:ascii="仿宋" w:hAnsi="仿宋" w:eastAsia="仿宋"/>
          <w:bCs/>
          <w:sz w:val="32"/>
          <w:szCs w:val="32"/>
        </w:rPr>
        <w:t>（款）一般行政管理事务（项）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支出决算为171.96万元，完成预算13.76</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3.</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政府办公厅（室）及相关机构事务</w:t>
      </w:r>
      <w:r>
        <w:rPr>
          <w:rStyle w:val="14"/>
          <w:rFonts w:hint="eastAsia" w:ascii="仿宋" w:hAnsi="仿宋" w:eastAsia="仿宋"/>
          <w:bCs/>
          <w:sz w:val="32"/>
          <w:szCs w:val="32"/>
        </w:rPr>
        <w:t>（款）信访事务（项）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支出决算为2.00万元，完成预算0.16</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政府办公厅（室）及相关机构事务</w:t>
      </w:r>
      <w:r>
        <w:rPr>
          <w:rStyle w:val="14"/>
          <w:rFonts w:hint="eastAsia" w:ascii="仿宋" w:hAnsi="仿宋" w:eastAsia="仿宋"/>
          <w:bCs/>
          <w:sz w:val="32"/>
          <w:szCs w:val="32"/>
        </w:rPr>
        <w:t>（款）事业运行（项）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支出决算为134.80万元，完成预算10.78</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5</w:t>
      </w:r>
      <w:r>
        <w:rPr>
          <w:rStyle w:val="14"/>
          <w:rFonts w:ascii="仿宋" w:hAnsi="仿宋" w:eastAsia="仿宋"/>
          <w:bCs/>
          <w:sz w:val="32"/>
          <w:szCs w:val="32"/>
        </w:rPr>
        <w:t>.</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政府办公厅（室）及相关机构事务</w:t>
      </w:r>
      <w:r>
        <w:rPr>
          <w:rStyle w:val="14"/>
          <w:rFonts w:hint="eastAsia" w:ascii="仿宋" w:hAnsi="仿宋" w:eastAsia="仿宋"/>
          <w:bCs/>
          <w:sz w:val="32"/>
          <w:szCs w:val="32"/>
        </w:rPr>
        <w:t>（款）  其他政府办公厅（室）及相关机构事务支出（项）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支出决算为487.47万元，完成预算39.00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6</w:t>
      </w:r>
      <w:r>
        <w:rPr>
          <w:rStyle w:val="14"/>
          <w:rFonts w:ascii="仿宋" w:hAnsi="仿宋" w:eastAsia="仿宋"/>
          <w:bCs/>
          <w:sz w:val="32"/>
          <w:szCs w:val="32"/>
        </w:rPr>
        <w:t>.</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统计信息事务</w:t>
      </w:r>
      <w:r>
        <w:rPr>
          <w:rStyle w:val="14"/>
          <w:rFonts w:hint="eastAsia" w:ascii="仿宋" w:hAnsi="仿宋" w:eastAsia="仿宋"/>
          <w:bCs/>
          <w:sz w:val="32"/>
          <w:szCs w:val="32"/>
        </w:rPr>
        <w:t>（款）专项统计业务（项）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支出决算为6.30万元，完成预算0.50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其他共产党事务支出</w:t>
      </w:r>
      <w:r>
        <w:rPr>
          <w:rStyle w:val="14"/>
          <w:rFonts w:hint="eastAsia" w:ascii="仿宋" w:hAnsi="仿宋" w:eastAsia="仿宋"/>
          <w:bCs/>
          <w:sz w:val="32"/>
          <w:szCs w:val="32"/>
        </w:rPr>
        <w:t>款）一般行政管理事务（项）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支出决算为0.60万元，完成预算0.05</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8</w:t>
      </w:r>
      <w:r>
        <w:rPr>
          <w:rStyle w:val="14"/>
          <w:rFonts w:ascii="仿宋" w:hAnsi="仿宋" w:eastAsia="仿宋"/>
          <w:bCs/>
          <w:sz w:val="32"/>
          <w:szCs w:val="32"/>
        </w:rPr>
        <w:t>.</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群众团体事务</w:t>
      </w:r>
      <w:r>
        <w:rPr>
          <w:rStyle w:val="14"/>
          <w:rFonts w:hint="eastAsia" w:ascii="仿宋" w:hAnsi="仿宋" w:eastAsia="仿宋"/>
          <w:bCs/>
          <w:sz w:val="32"/>
          <w:szCs w:val="32"/>
        </w:rPr>
        <w:t>（款）  其他群众团体事务支出（项）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支出决算为1.15万元，完成预算0.09</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9</w:t>
      </w:r>
      <w:r>
        <w:rPr>
          <w:rStyle w:val="14"/>
          <w:rFonts w:ascii="仿宋" w:hAnsi="仿宋" w:eastAsia="仿宋"/>
          <w:bCs/>
          <w:sz w:val="32"/>
          <w:szCs w:val="32"/>
        </w:rPr>
        <w:t>.</w:t>
      </w:r>
      <w:r>
        <w:rPr>
          <w:rStyle w:val="14"/>
          <w:rFonts w:hint="eastAsia" w:ascii="仿宋" w:hAnsi="仿宋" w:eastAsia="仿宋"/>
          <w:bCs/>
          <w:sz w:val="32"/>
          <w:szCs w:val="32"/>
        </w:rPr>
        <w:t>文化旅游体育与传媒（类）文化和旅游（款）群众文化（项）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支出决算为0.90万元，完成预算0.07</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pPr>
      <w:r>
        <w:rPr>
          <w:rStyle w:val="14"/>
          <w:rFonts w:hint="eastAsia" w:ascii="仿宋" w:hAnsi="仿宋" w:eastAsia="仿宋"/>
          <w:bCs/>
          <w:sz w:val="32"/>
          <w:szCs w:val="32"/>
        </w:rPr>
        <w:t>10</w:t>
      </w:r>
      <w:r>
        <w:rPr>
          <w:rStyle w:val="14"/>
          <w:rFonts w:ascii="仿宋" w:hAnsi="仿宋" w:eastAsia="仿宋"/>
          <w:bCs/>
          <w:sz w:val="32"/>
          <w:szCs w:val="32"/>
        </w:rPr>
        <w:t>.</w:t>
      </w:r>
      <w:r>
        <w:rPr>
          <w:rStyle w:val="14"/>
          <w:rFonts w:hint="eastAsia" w:ascii="仿宋" w:hAnsi="仿宋" w:eastAsia="仿宋"/>
          <w:bCs/>
          <w:sz w:val="32"/>
          <w:szCs w:val="32"/>
        </w:rPr>
        <w:t>文化旅游体育与传媒（类）其他文化旅游体育与传媒支出（款）其他文化旅游体育与传媒支出（项）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支出决算为4.70万元，完成预算0.38</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11</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  行政单位离退休（项）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支出决算为4.06万元，完成预算0.32</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12</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      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支出决算为23.99万元，完成预算1.92</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13</w:t>
      </w:r>
      <w:r>
        <w:rPr>
          <w:rStyle w:val="14"/>
          <w:rFonts w:ascii="仿宋" w:hAnsi="仿宋" w:eastAsia="仿宋"/>
          <w:bCs/>
          <w:sz w:val="32"/>
          <w:szCs w:val="32"/>
        </w:rPr>
        <w:t>.</w:t>
      </w:r>
      <w:r>
        <w:rPr>
          <w:rStyle w:val="14"/>
          <w:rFonts w:hint="eastAsia" w:ascii="仿宋" w:hAnsi="仿宋" w:eastAsia="仿宋"/>
          <w:bCs/>
          <w:sz w:val="32"/>
          <w:szCs w:val="32"/>
        </w:rPr>
        <w:t>社会保障和就业（类）企业改革补助（款）  其他企业改革发展补助（项）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支出决算为47.45万元，完成预算3.80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14</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支出决算为9.24万元，完成预算0.74</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15</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支出决算为9.98万元，完成预算0.80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16</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  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支出决算为2.10万元，完成预算0.17</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17</w:t>
      </w:r>
      <w:r>
        <w:rPr>
          <w:rStyle w:val="14"/>
          <w:rFonts w:ascii="仿宋" w:hAnsi="仿宋" w:eastAsia="仿宋"/>
          <w:bCs/>
          <w:color w:val="000000"/>
          <w:sz w:val="32"/>
          <w:szCs w:val="32"/>
        </w:rPr>
        <w:t>.</w:t>
      </w:r>
      <w:r>
        <w:rPr>
          <w:rFonts w:hint="eastAsia"/>
        </w:rPr>
        <w:t xml:space="preserve"> </w:t>
      </w:r>
      <w:r>
        <w:rPr>
          <w:rFonts w:hint="eastAsia" w:ascii="仿宋" w:hAnsi="仿宋" w:eastAsia="仿宋"/>
          <w:b/>
          <w:bCs/>
          <w:color w:val="000000"/>
          <w:sz w:val="32"/>
          <w:szCs w:val="32"/>
        </w:rPr>
        <w:t>城乡社区支出</w:t>
      </w:r>
      <w:r>
        <w:rPr>
          <w:rStyle w:val="14"/>
          <w:rFonts w:hint="eastAsia" w:ascii="仿宋" w:hAnsi="仿宋" w:eastAsia="仿宋"/>
          <w:bCs/>
          <w:color w:val="000000"/>
          <w:sz w:val="32"/>
          <w:szCs w:val="32"/>
        </w:rPr>
        <w:t>（类）城乡社区管理事务（款）其他城乡社区管理事务支出（项）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支出决算为172.62万元，完成预算13.81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18</w:t>
      </w:r>
      <w:r>
        <w:rPr>
          <w:rStyle w:val="14"/>
          <w:rFonts w:ascii="仿宋" w:hAnsi="仿宋" w:eastAsia="仿宋"/>
          <w:bCs/>
          <w:color w:val="000000"/>
          <w:sz w:val="32"/>
          <w:szCs w:val="32"/>
        </w:rPr>
        <w:t>.</w:t>
      </w:r>
      <w:r>
        <w:rPr>
          <w:rFonts w:hint="eastAsia"/>
        </w:rPr>
        <w:t xml:space="preserve"> </w:t>
      </w:r>
      <w:r>
        <w:rPr>
          <w:rFonts w:hint="eastAsia" w:ascii="仿宋" w:hAnsi="仿宋" w:eastAsia="仿宋"/>
          <w:b/>
          <w:bCs/>
          <w:color w:val="000000"/>
          <w:sz w:val="32"/>
          <w:szCs w:val="32"/>
        </w:rPr>
        <w:t>农林水支出</w:t>
      </w:r>
      <w:r>
        <w:rPr>
          <w:rStyle w:val="14"/>
          <w:rFonts w:hint="eastAsia" w:ascii="仿宋" w:hAnsi="仿宋" w:eastAsia="仿宋"/>
          <w:bCs/>
          <w:color w:val="000000"/>
          <w:sz w:val="32"/>
          <w:szCs w:val="32"/>
        </w:rPr>
        <w:t>（类）农村综合改革（款）对村民委员会和村党支部的补助（项）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支出决算为2.50万元，完成预算0.2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pPr>
      <w:r>
        <w:rPr>
          <w:rStyle w:val="14"/>
          <w:rFonts w:hint="eastAsia" w:ascii="仿宋" w:hAnsi="仿宋" w:eastAsia="仿宋"/>
          <w:bCs/>
          <w:color w:val="000000"/>
          <w:sz w:val="32"/>
          <w:szCs w:val="32"/>
        </w:rPr>
        <w:t>19</w:t>
      </w:r>
      <w:r>
        <w:rPr>
          <w:rStyle w:val="14"/>
          <w:rFonts w:ascii="仿宋" w:hAnsi="仿宋" w:eastAsia="仿宋"/>
          <w:bCs/>
          <w:color w:val="000000"/>
          <w:sz w:val="32"/>
          <w:szCs w:val="32"/>
        </w:rPr>
        <w:t>.</w:t>
      </w:r>
      <w:r>
        <w:rPr>
          <w:rFonts w:hint="eastAsia"/>
        </w:rPr>
        <w:t xml:space="preserve"> </w:t>
      </w:r>
      <w:r>
        <w:rPr>
          <w:rFonts w:hint="eastAsia" w:ascii="仿宋" w:hAnsi="仿宋" w:eastAsia="仿宋"/>
          <w:b/>
          <w:bCs/>
          <w:color w:val="000000"/>
          <w:sz w:val="32"/>
          <w:szCs w:val="32"/>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支出决算为31.31万元，完成预算2.51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6"/>
        </w:rPr>
      </w:pPr>
      <w:bookmarkStart w:id="58" w:name="_Toc15396608"/>
      <w:bookmarkStart w:id="59" w:name="_Toc15377214"/>
      <w:bookmarkStart w:id="60" w:name="_Toc10376"/>
      <w:bookmarkStart w:id="61" w:name="_Toc3257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8"/>
      <w:bookmarkEnd w:id="59"/>
      <w:bookmarkEnd w:id="60"/>
      <w:bookmarkEnd w:id="6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21年一般公共预算财政拨款基本支出839.81万元，其中：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813.28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26.53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ascii="黑体" w:eastAsia="黑体"/>
          <w:sz w:val="32"/>
          <w:szCs w:val="32"/>
        </w:rPr>
      </w:pPr>
      <w:bookmarkStart w:id="62" w:name="_Toc15377215"/>
      <w:bookmarkStart w:id="63" w:name="_Toc27387"/>
      <w:bookmarkStart w:id="64" w:name="_Toc604"/>
      <w:bookmarkStart w:id="65" w:name="_Toc15396609"/>
    </w:p>
    <w:p>
      <w:pPr>
        <w:spacing w:line="600" w:lineRule="exact"/>
        <w:ind w:firstLine="640"/>
        <w:outlineLvl w:val="1"/>
        <w:rPr>
          <w:rStyle w:val="26"/>
          <w:rFonts w:ascii="黑体" w:hAnsi="黑体" w:eastAsia="黑体"/>
          <w:b w:val="0"/>
        </w:rPr>
      </w:pPr>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62"/>
      <w:bookmarkEnd w:id="63"/>
      <w:bookmarkEnd w:id="64"/>
      <w:bookmarkEnd w:id="65"/>
    </w:p>
    <w:p>
      <w:pPr>
        <w:spacing w:line="600" w:lineRule="exact"/>
        <w:ind w:firstLine="640"/>
        <w:outlineLvl w:val="2"/>
        <w:rPr>
          <w:rFonts w:ascii="仿宋" w:hAnsi="仿宋" w:eastAsia="仿宋"/>
          <w:b/>
          <w:sz w:val="32"/>
          <w:szCs w:val="32"/>
        </w:rPr>
      </w:pPr>
      <w:bookmarkStart w:id="66" w:name="_Toc15377216"/>
      <w:r>
        <w:rPr>
          <w:rFonts w:hint="eastAsia" w:ascii="仿宋" w:hAnsi="仿宋" w:eastAsia="仿宋"/>
          <w:b/>
          <w:sz w:val="32"/>
          <w:szCs w:val="32"/>
        </w:rPr>
        <w:t>（一）“三公”经费财政拨款支出决算总体情况说明</w:t>
      </w:r>
      <w:bookmarkEnd w:id="66"/>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21年“三公”经费财政拨款支出决算为2.06万元，完成预算82.40</w:t>
      </w:r>
      <w:r>
        <w:rPr>
          <w:rFonts w:ascii="仿宋" w:hAnsi="仿宋" w:eastAsia="仿宋"/>
          <w:sz w:val="32"/>
          <w:szCs w:val="32"/>
        </w:rPr>
        <w:t>%</w:t>
      </w:r>
      <w:r>
        <w:rPr>
          <w:rFonts w:hint="eastAsia" w:ascii="仿宋" w:hAnsi="仿宋" w:eastAsia="仿宋"/>
          <w:sz w:val="32"/>
          <w:szCs w:val="32"/>
        </w:rPr>
        <w:t>，决算数小于预算数的主要原因是</w:t>
      </w:r>
      <w:r>
        <w:rPr>
          <w:rFonts w:ascii="仿宋" w:hAnsi="仿宋" w:eastAsia="仿宋"/>
          <w:sz w:val="32"/>
          <w:szCs w:val="32"/>
        </w:rPr>
        <w:t>机关落实过紧日子的思想，加强公务用车管理，节能降耗，节约公务用车运行维护费</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67" w:name="_Toc15377217"/>
      <w:r>
        <w:rPr>
          <w:rFonts w:hint="eastAsia" w:ascii="仿宋" w:hAnsi="仿宋" w:eastAsia="仿宋"/>
          <w:b/>
          <w:sz w:val="32"/>
          <w:szCs w:val="32"/>
        </w:rPr>
        <w:t>（二）“三公”经费财政拨款支出决算具体情况说明</w:t>
      </w:r>
      <w:bookmarkEnd w:id="6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；公务用车购置及运行维护费支出决算2.06万元，占82.40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color w:val="FF0000"/>
          <w:sz w:val="32"/>
          <w:szCs w:val="32"/>
        </w:rPr>
      </w:pPr>
    </w:p>
    <w:p>
      <w:pPr>
        <w:pStyle w:val="2"/>
        <w:spacing w:before="93"/>
        <w:rPr>
          <w:rFonts w:eastAsia="仿宋"/>
        </w:rPr>
      </w:pPr>
      <w:r>
        <w:rPr>
          <w:rFonts w:hint="eastAsia" w:ascii="仿宋" w:hAnsi="仿宋" w:eastAsia="仿宋"/>
          <w:color w:val="FF0000"/>
          <w:sz w:val="32"/>
          <w:szCs w:val="32"/>
        </w:rPr>
        <w:t xml:space="preserve">      </w:t>
      </w:r>
      <w:r>
        <w:rPr>
          <w:rFonts w:hint="eastAsia" w:eastAsia="仿宋"/>
        </w:rPr>
        <w:drawing>
          <wp:inline distT="0" distB="0" distL="114300" distR="114300">
            <wp:extent cx="4590415" cy="2761615"/>
            <wp:effectExtent l="0" t="0" r="635" b="635"/>
            <wp:docPr id="1" name="图片 1"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7"/>
                    <pic:cNvPicPr>
                      <a:picLocks noChangeAspect="1"/>
                    </pic:cNvPicPr>
                  </pic:nvPicPr>
                  <pic:blipFill>
                    <a:blip r:embed="rId12"/>
                    <a:stretch>
                      <a:fillRect/>
                    </a:stretch>
                  </pic:blipFill>
                  <pic:spPr>
                    <a:xfrm>
                      <a:off x="0" y="0"/>
                      <a:ext cx="4590415" cy="2761615"/>
                    </a:xfrm>
                    <a:prstGeom prst="rect">
                      <a:avLst/>
                    </a:prstGeom>
                  </pic:spPr>
                </pic:pic>
              </a:graphicData>
            </a:graphic>
          </wp:inline>
        </w:drawing>
      </w:r>
    </w:p>
    <w:p>
      <w:pPr>
        <w:spacing w:line="600" w:lineRule="exact"/>
        <w:ind w:firstLine="640"/>
        <w:rPr>
          <w:rFonts w:ascii="仿宋" w:hAnsi="仿宋" w:eastAsia="仿宋"/>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r>
        <w:rPr>
          <w:rFonts w:hint="eastAsia" w:ascii="仿宋" w:hAnsi="仿宋" w:eastAsia="仿宋"/>
          <w:color w:val="000000"/>
          <w:sz w:val="32"/>
          <w:szCs w:val="32"/>
        </w:rPr>
        <w:t>因公出国（境）支出决算与</w:t>
      </w:r>
      <w:r>
        <w:rPr>
          <w:rFonts w:ascii="仿宋" w:hAnsi="仿宋" w:eastAsia="仿宋"/>
          <w:color w:val="000000"/>
          <w:sz w:val="32"/>
          <w:szCs w:val="32"/>
        </w:rPr>
        <w:t>20</w:t>
      </w:r>
      <w:r>
        <w:rPr>
          <w:rFonts w:hint="eastAsia" w:ascii="仿宋" w:hAnsi="仿宋" w:eastAsia="仿宋"/>
          <w:color w:val="000000"/>
          <w:sz w:val="32"/>
          <w:szCs w:val="32"/>
        </w:rPr>
        <w:t>20年</w:t>
      </w:r>
      <w:r>
        <w:rPr>
          <w:rFonts w:ascii="仿宋_GB2312" w:hAnsi="仿宋_GB2312" w:eastAsia="仿宋_GB2312" w:cs="仿宋_GB2312"/>
          <w:color w:val="333333"/>
          <w:sz w:val="33"/>
          <w:szCs w:val="33"/>
        </w:rPr>
        <w:t>持平</w:t>
      </w:r>
      <w:r>
        <w:rPr>
          <w:rFonts w:hint="eastAsia" w:ascii="仿宋" w:hAnsi="仿宋" w:eastAsia="仿宋"/>
          <w:color w:val="000000"/>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sz w:val="32"/>
          <w:szCs w:val="32"/>
        </w:rPr>
        <w:t>2.06</w:t>
      </w:r>
      <w:r>
        <w:rPr>
          <w:rFonts w:hint="eastAsia" w:ascii="仿宋_GB2312" w:eastAsia="仿宋_GB2312"/>
          <w:sz w:val="32"/>
          <w:szCs w:val="32"/>
        </w:rPr>
        <w:t>万元,</w:t>
      </w:r>
      <w:r>
        <w:rPr>
          <w:rStyle w:val="14"/>
          <w:rFonts w:hint="eastAsia" w:ascii="仿宋" w:hAnsi="仿宋" w:eastAsia="仿宋"/>
          <w:b w:val="0"/>
          <w:bCs/>
          <w:sz w:val="32"/>
          <w:szCs w:val="32"/>
        </w:rPr>
        <w:t>完成预算82.40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20年减少0.31万元，下降13.08</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color w:val="000000"/>
          <w:sz w:val="32"/>
          <w:szCs w:val="32"/>
        </w:rPr>
        <w:t>车辆维护多方比价，选择最优惠的定点维修单位，减少维修费用,</w:t>
      </w:r>
      <w:r>
        <w:rPr>
          <w:rFonts w:ascii="仿宋" w:hAnsi="仿宋" w:eastAsia="仿宋"/>
          <w:sz w:val="32"/>
          <w:szCs w:val="32"/>
        </w:rPr>
        <w:t>节能降耗</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0万元。全年按规定更新购置公务用车0辆，其中：轿车0辆、金额0万元，越野车0辆、金额0万元，载客汽车0辆、金额0万元0。截至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月底，单位共有公务用车1辆，其中：轿车0辆、越野车0辆、载客汽车0辆,其他车辆1</w:t>
      </w:r>
      <w:r>
        <w:rPr>
          <w:rFonts w:hint="eastAsia" w:ascii="仿宋_GB2312" w:eastAsia="仿宋_GB2312"/>
          <w:color w:val="000000"/>
          <w:sz w:val="32"/>
          <w:szCs w:val="32"/>
        </w:rPr>
        <w:t>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 w:hAnsi="仿宋" w:eastAsia="仿宋"/>
          <w:sz w:val="32"/>
          <w:szCs w:val="32"/>
        </w:rPr>
        <w:t>2.06</w:t>
      </w:r>
      <w:r>
        <w:rPr>
          <w:rFonts w:hint="eastAsia" w:ascii="仿宋_GB2312" w:eastAsia="仿宋_GB2312"/>
          <w:sz w:val="32"/>
          <w:szCs w:val="32"/>
        </w:rPr>
        <w:t>万元。主要用于</w:t>
      </w:r>
      <w:r>
        <w:rPr>
          <w:rFonts w:ascii="仿宋_GB2312" w:hAnsi="仿宋_GB2312" w:eastAsia="仿宋_GB2312" w:cs="仿宋_GB2312"/>
          <w:color w:val="333333"/>
          <w:sz w:val="33"/>
          <w:szCs w:val="33"/>
        </w:rPr>
        <w:t>推动</w:t>
      </w:r>
      <w:r>
        <w:rPr>
          <w:rFonts w:hint="eastAsia" w:ascii="仿宋_GB2312" w:hAnsi="仿宋_GB2312" w:eastAsia="仿宋_GB2312" w:cs="仿宋_GB2312"/>
          <w:color w:val="333333"/>
          <w:sz w:val="33"/>
          <w:szCs w:val="33"/>
        </w:rPr>
        <w:t>辖区经济建设、</w:t>
      </w:r>
      <w:r>
        <w:rPr>
          <w:rFonts w:hint="eastAsia" w:ascii="仿宋_GB2312" w:eastAsia="仿宋_GB2312"/>
          <w:sz w:val="32"/>
          <w:szCs w:val="32"/>
        </w:rPr>
        <w:t>环境保护、秩序治理、物业管理、处理群众来信来访、防汛、防火、防灾减灾等应急管理等工作等所需的公务用车燃料费、维修费、过路过桥费、保险费等支出。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0万元，完成预算0</w:t>
      </w:r>
      <w:r>
        <w:rPr>
          <w:rFonts w:ascii="仿宋_GB2312" w:eastAsia="仿宋_GB2312"/>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w:t>
      </w:r>
      <w:r>
        <w:rPr>
          <w:rFonts w:ascii="仿宋_GB2312" w:hAnsi="仿宋_GB2312" w:eastAsia="仿宋_GB2312" w:cs="仿宋_GB2312"/>
          <w:color w:val="333333"/>
          <w:sz w:val="33"/>
          <w:szCs w:val="33"/>
        </w:rPr>
        <w:t>持平</w:t>
      </w:r>
      <w:r>
        <w:rPr>
          <w:rFonts w:hint="eastAsia" w:ascii="仿宋" w:hAnsi="仿宋" w:eastAsia="仿宋"/>
          <w:color w:val="000000"/>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万元，主要用于执行公务、开展业务活动开支的交通费、住宿费、用餐费等。国内公务接待0批次，0人次（不包括陪同人员），共计支出0万元。</w:t>
      </w:r>
    </w:p>
    <w:p>
      <w:pPr>
        <w:spacing w:line="600" w:lineRule="exact"/>
        <w:ind w:firstLine="640" w:firstLineChars="200"/>
        <w:rPr>
          <w:rFonts w:ascii="黑体" w:eastAsia="黑体"/>
          <w:sz w:val="32"/>
          <w:szCs w:val="32"/>
        </w:rPr>
      </w:pPr>
      <w:r>
        <w:rPr>
          <w:rFonts w:hint="eastAsia" w:ascii="仿宋_GB2312" w:eastAsia="仿宋_GB2312"/>
          <w:sz w:val="32"/>
          <w:szCs w:val="32"/>
        </w:rPr>
        <w:t>外事接待支出0万元，外事接待0批次，0人，共计支出0万元。</w:t>
      </w:r>
      <w:bookmarkStart w:id="68" w:name="_Toc15396610"/>
      <w:bookmarkStart w:id="69" w:name="_Toc15377218"/>
    </w:p>
    <w:p>
      <w:pPr>
        <w:spacing w:line="600" w:lineRule="exact"/>
        <w:ind w:firstLine="640"/>
        <w:outlineLvl w:val="1"/>
        <w:rPr>
          <w:rStyle w:val="26"/>
          <w:rFonts w:ascii="黑体" w:hAnsi="黑体" w:eastAsia="黑体"/>
        </w:rPr>
      </w:pPr>
      <w:bookmarkStart w:id="70" w:name="_Toc14559"/>
      <w:bookmarkStart w:id="71" w:name="_Toc8024"/>
      <w:r>
        <w:rPr>
          <w:rFonts w:hint="eastAsia" w:ascii="黑体" w:eastAsia="黑体"/>
          <w:sz w:val="32"/>
          <w:szCs w:val="32"/>
        </w:rPr>
        <w:t>八、</w:t>
      </w:r>
      <w:r>
        <w:rPr>
          <w:rStyle w:val="26"/>
          <w:rFonts w:hint="eastAsia" w:ascii="黑体" w:hAnsi="黑体" w:eastAsia="黑体"/>
          <w:b w:val="0"/>
        </w:rPr>
        <w:t>政府性基金预算支出决算情况说明</w:t>
      </w:r>
      <w:bookmarkEnd w:id="68"/>
      <w:bookmarkEnd w:id="69"/>
      <w:bookmarkEnd w:id="70"/>
      <w:bookmarkEnd w:id="7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21年政府性基金预算财政拨款支出91.66万元。</w:t>
      </w:r>
    </w:p>
    <w:p>
      <w:pPr>
        <w:pStyle w:val="2"/>
        <w:spacing w:before="93"/>
      </w:pPr>
    </w:p>
    <w:p>
      <w:pPr>
        <w:numPr>
          <w:ilvl w:val="0"/>
          <w:numId w:val="2"/>
        </w:numPr>
        <w:spacing w:line="600" w:lineRule="exact"/>
        <w:ind w:firstLine="640"/>
        <w:outlineLvl w:val="1"/>
        <w:rPr>
          <w:rStyle w:val="26"/>
          <w:rFonts w:ascii="黑体" w:hAnsi="黑体" w:eastAsia="黑体"/>
          <w:b w:val="0"/>
        </w:rPr>
      </w:pPr>
      <w:bookmarkStart w:id="72" w:name="_Toc15377219"/>
      <w:bookmarkStart w:id="73" w:name="_Toc15103"/>
      <w:bookmarkStart w:id="74" w:name="_Toc15396611"/>
      <w:bookmarkStart w:id="75" w:name="_Toc15696"/>
      <w:r>
        <w:rPr>
          <w:rStyle w:val="26"/>
          <w:rFonts w:hint="eastAsia" w:ascii="黑体" w:hAnsi="黑体" w:eastAsia="黑体"/>
          <w:b w:val="0"/>
        </w:rPr>
        <w:t>国有资本经营预算支出决算情况说明</w:t>
      </w:r>
      <w:bookmarkEnd w:id="72"/>
      <w:bookmarkEnd w:id="73"/>
      <w:bookmarkEnd w:id="74"/>
      <w:bookmarkEnd w:id="7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6"/>
          <w:rFonts w:ascii="黑体" w:hAnsi="黑体" w:eastAsia="黑体"/>
          <w:b w:val="0"/>
        </w:rPr>
      </w:pPr>
      <w:bookmarkStart w:id="76" w:name="_Toc21524"/>
      <w:bookmarkStart w:id="77" w:name="_Toc26540"/>
      <w:bookmarkStart w:id="78" w:name="_Toc15396612"/>
      <w:bookmarkStart w:id="79" w:name="_Toc15377221"/>
      <w:r>
        <w:rPr>
          <w:rStyle w:val="26"/>
          <w:rFonts w:hint="eastAsia" w:ascii="黑体" w:hAnsi="黑体" w:eastAsia="黑体"/>
          <w:b w:val="0"/>
        </w:rPr>
        <w:t>其他重要事项的情况说明</w:t>
      </w:r>
      <w:bookmarkEnd w:id="76"/>
      <w:bookmarkEnd w:id="77"/>
      <w:bookmarkEnd w:id="78"/>
      <w:bookmarkEnd w:id="79"/>
    </w:p>
    <w:p>
      <w:pPr>
        <w:spacing w:line="600" w:lineRule="exact"/>
        <w:ind w:firstLine="643" w:firstLineChars="200"/>
        <w:outlineLvl w:val="2"/>
        <w:rPr>
          <w:rFonts w:ascii="仿宋" w:hAnsi="仿宋" w:eastAsia="仿宋"/>
          <w:sz w:val="32"/>
          <w:szCs w:val="32"/>
        </w:rPr>
      </w:pPr>
      <w:bookmarkStart w:id="80" w:name="_Toc15377222"/>
      <w:r>
        <w:rPr>
          <w:rFonts w:hint="eastAsia" w:ascii="仿宋" w:hAnsi="仿宋" w:eastAsia="仿宋"/>
          <w:b/>
          <w:sz w:val="32"/>
          <w:szCs w:val="32"/>
        </w:rPr>
        <w:t>（一）机关运行经费支出情况</w:t>
      </w:r>
      <w:bookmarkEnd w:id="80"/>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2021年，</w:t>
      </w:r>
      <w:r>
        <w:rPr>
          <w:rFonts w:hint="eastAsia" w:ascii="仿宋" w:hAnsi="仿宋" w:eastAsia="仿宋" w:cs="仿宋"/>
          <w:color w:val="000000"/>
          <w:sz w:val="32"/>
          <w:szCs w:val="32"/>
        </w:rPr>
        <w:t>西区清香坪街道办事处</w:t>
      </w:r>
      <w:r>
        <w:rPr>
          <w:rFonts w:hint="eastAsia" w:ascii="仿宋" w:hAnsi="仿宋" w:eastAsia="仿宋" w:cs="仿宋"/>
          <w:sz w:val="32"/>
          <w:szCs w:val="32"/>
        </w:rPr>
        <w:t>机关运行经费支出</w:t>
      </w:r>
      <w:r>
        <w:rPr>
          <w:rFonts w:hint="eastAsia" w:ascii="仿宋" w:hAnsi="仿宋" w:eastAsia="仿宋" w:cs="仿宋"/>
          <w:color w:val="000000"/>
          <w:sz w:val="32"/>
          <w:szCs w:val="32"/>
        </w:rPr>
        <w:t>26.64万元，比2020年增加2.41万元，增长8.30%。主要原因是在编人员人数增加，相应经费增加。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1" w:name="_Toc15377223"/>
      <w:r>
        <w:rPr>
          <w:rFonts w:hint="eastAsia" w:ascii="仿宋" w:hAnsi="仿宋" w:eastAsia="仿宋"/>
          <w:b/>
          <w:sz w:val="32"/>
          <w:szCs w:val="32"/>
        </w:rPr>
        <w:t>（二）政府采购支出情况</w:t>
      </w:r>
      <w:bookmarkEnd w:id="81"/>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color w:val="000000"/>
          <w:sz w:val="32"/>
          <w:szCs w:val="32"/>
        </w:rPr>
        <w:t>西区清香坪街道办事处</w:t>
      </w:r>
      <w:r>
        <w:rPr>
          <w:rFonts w:hint="eastAsia" w:ascii="仿宋" w:hAnsi="仿宋" w:eastAsia="仿宋" w:cs="仿宋"/>
          <w:sz w:val="32"/>
          <w:szCs w:val="32"/>
        </w:rPr>
        <w:t>政府采购支出总额107.63万元，其中：政府采购货物支出38.03万元、政府采购工程支出0万元、政府采购服务支出69.60万元。主要用于社区普及人社各项惠民政策，落实就业创业政策、街办日常办公，辖区清扫保洁服务。授予中小企业合同金额107.63万元，占政府采购支出总额的100%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2" w:name="_Toc15377224"/>
      <w:r>
        <w:rPr>
          <w:rFonts w:hint="eastAsia" w:ascii="仿宋" w:hAnsi="仿宋" w:eastAsia="仿宋"/>
          <w:b/>
          <w:sz w:val="32"/>
          <w:szCs w:val="32"/>
        </w:rPr>
        <w:t>（三）国有资产占有使用情况</w:t>
      </w:r>
      <w:bookmarkEnd w:id="82"/>
    </w:p>
    <w:p>
      <w:pPr>
        <w:autoSpaceDE w:val="0"/>
        <w:autoSpaceDN w:val="0"/>
        <w:adjustRightIn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截至2021年12月31日，</w:t>
      </w:r>
      <w:r>
        <w:rPr>
          <w:rFonts w:hint="eastAsia" w:ascii="仿宋" w:hAnsi="仿宋" w:eastAsia="仿宋" w:cs="仿宋"/>
          <w:color w:val="000000"/>
          <w:sz w:val="32"/>
          <w:szCs w:val="32"/>
        </w:rPr>
        <w:t>西区清香坪街道办事处</w:t>
      </w:r>
      <w:r>
        <w:rPr>
          <w:rFonts w:hint="eastAsia" w:ascii="仿宋" w:hAnsi="仿宋" w:eastAsia="仿宋" w:cs="仿宋"/>
          <w:sz w:val="32"/>
          <w:szCs w:val="32"/>
        </w:rPr>
        <w:t>共有车辆1辆，其中：主要领导干部用车0辆、机要通信用车0辆、应急保障用车0辆、其他用车1辆，其他用车主要是用于</w:t>
      </w:r>
      <w:r>
        <w:rPr>
          <w:rFonts w:hint="eastAsia" w:ascii="仿宋" w:hAnsi="仿宋" w:eastAsia="仿宋" w:cs="仿宋"/>
          <w:color w:val="000000"/>
          <w:sz w:val="32"/>
          <w:szCs w:val="32"/>
        </w:rPr>
        <w:t>单位日常工作使用，</w:t>
      </w:r>
      <w:r>
        <w:rPr>
          <w:rFonts w:hint="eastAsia" w:ascii="仿宋" w:hAnsi="仿宋" w:eastAsia="仿宋" w:cs="仿宋"/>
          <w:sz w:val="32"/>
          <w:szCs w:val="32"/>
        </w:rPr>
        <w:t>单价50万元以上通用设备0台（套），单价100万元以上专用设备0台（套）。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环卫生产管理经费、“人大代表之家”工作经费、信访、综治维稳工作经费项目等5个项目开展了预算事前绩效评估，对3个项目编制了绩效目标，预算执行过程中，选取2个项目开展绩效监控，年终执行完毕后，对5个项目开展了绩效自评。同时，本部门对2021年部门整体开展绩效自评，《2021年西区清香坪街道办事处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83" w:name="_Toc14633"/>
      <w:bookmarkStart w:id="84" w:name="_Toc31612"/>
      <w:bookmarkStart w:id="85" w:name="_Toc15377225"/>
      <w:bookmarkStart w:id="86" w:name="_Toc15396613"/>
      <w:r>
        <w:rPr>
          <w:rFonts w:hint="eastAsia" w:ascii="黑体" w:hAnsi="黑体" w:eastAsia="黑体"/>
          <w:sz w:val="44"/>
          <w:szCs w:val="44"/>
        </w:rPr>
        <w:t>名</w:t>
      </w:r>
      <w:r>
        <w:rPr>
          <w:rStyle w:val="25"/>
          <w:rFonts w:hint="eastAsia" w:ascii="黑体" w:hAnsi="黑体" w:eastAsia="黑体"/>
          <w:b w:val="0"/>
        </w:rPr>
        <w:t>词解释</w:t>
      </w:r>
      <w:bookmarkEnd w:id="83"/>
      <w:bookmarkEnd w:id="84"/>
      <w:bookmarkEnd w:id="85"/>
      <w:bookmarkEnd w:id="8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其他收入：指单位取得的除上述收入以外的各项收入。主要是本单位银行利息收入。</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5.一般公共服务（类）政府办公厅（室）及相关机构事务（款）行政运行（项）：指行政单位的基本支出。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6.一般公共服务（类）政府办公厅（室）及相关机构事务（款）一般行政管理事务（项）：指行政单位未单独设置项级科目的其他项目支出。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7.一般公共服务（类）政府办公厅（室）及相关机构事务（款）信访事物（项）：指各级政府用于接待群众来信来访方面的支出。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8.一般公共服务（类）政府办公厅（室）及相关机构事务（款）事业运行（项）：指事业单位的基本支出。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9.一般公共服务（类）政府办公厅（室）及相关机构事务（款）其他政府办公厅（室）及相关机构事务支出（项）：指除上述项目以外的其他政府办公厅及相关机构事务支出。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10.一般公共服务（类）其他一般公共服务支出（款）其他一般公共服务支出（项）：指除上述项目以外的其他一般公共服务支出。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11.文化体育与传媒支出（类）其他文化体育与传媒支出（款）宣传文化发展专项支出（项）:指按照国家有关政策支持宣传文化单位发展的专项支出。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12.社会保障和就业支出（类）行政事业单位离退休（款）未归口管理的行政单位离退休（项）：指未实行归口管理的行政单位（包括实行公务员管理的事业单位）开支的离退休支出。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13.社会保障和就业支出（类）行政事业单位离退休（款）机关事业单位基本养老保险缴费支出（项）：指机关事业单位实施养老保险制度由单位缴纳的基本养老保险费支出。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14.社会保障和就业支出（类）抚恤（款）死亡抚恤（项）：指按规定用于烈士和牺牲、病故人员家属的一次性定期抚恤金以及丧葬补助费。</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15.社会保障和就业支出（类）特困人员救助供养（款）城市特困人员救助供养（项）：指城市特困人员救助供养支出。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16.社会保障和就业支出（类）其他社会保障和就业支出（款）其他社会保障和就业支出（项）：指除上述项目以外其他用于社会保障和就业方面的支出。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17.医疗卫生与计划生育（类）计划生育事务（款）其他计划生育事务（项）：指上述项目以外其他用于计划生育管理事务方面的支出。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18.医疗卫生与计划生育（类）行政事业单位医疗（款）行政单位医疗（项）：指财政部门集中安排的行政单位基本医疗保险缴费经费。</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19.医疗卫生与计划生育（类）行政事业单位医疗（款）事业单位医疗（项）：指财政部门集中安排的事业单位基本医疗保险缴费经费。</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20.医疗卫生与计划生育（类）行政事业单位医疗（款）公务员医疗补助（项）：指财政部门集中安排的公务员医疗补助经费。</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21.医疗卫生与计划生育（类）其他医疗卫生与计划生育支出（款）其他医疗卫生与计划生育支出（项）：指财政部门集中安排的公务员医疗补助经费。</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22.城乡社区支出（类）城乡社区管理事务（款）其他城乡社区管理事务（项）：指上述项目以外其他用于城乡社区管理事务方面的支出。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23.城乡社区支出（类）城乡社区公共设施（款）其他城乡社区公共设施支出（项）：指上述项目外其他用于城乡社区公共设施方面的支出。</w:t>
      </w:r>
    </w:p>
    <w:p>
      <w:pPr>
        <w:pStyle w:val="23"/>
        <w:spacing w:line="560" w:lineRule="exact"/>
        <w:ind w:firstLine="640" w:firstLineChars="200"/>
        <w:rPr>
          <w:rFonts w:ascii="仿宋_GB2312" w:eastAsia="仿宋_GB2312"/>
          <w:sz w:val="32"/>
          <w:szCs w:val="32"/>
        </w:rPr>
      </w:pPr>
      <w:r>
        <w:rPr>
          <w:rStyle w:val="14"/>
          <w:rFonts w:hint="eastAsia" w:ascii="仿宋_GB2312" w:hAnsi="仿宋_GB2312" w:eastAsia="仿宋_GB2312" w:cs="仿宋_GB2312"/>
          <w:b w:val="0"/>
          <w:bCs/>
          <w:sz w:val="32"/>
          <w:szCs w:val="32"/>
        </w:rPr>
        <w:t>24.</w:t>
      </w:r>
      <w:r>
        <w:rPr>
          <w:rFonts w:hint="eastAsia" w:ascii="仿宋_GB2312" w:eastAsia="仿宋_GB2312"/>
          <w:sz w:val="32"/>
          <w:szCs w:val="32"/>
        </w:rPr>
        <w:t>住房保障支出（类）住房改革支出（款）住房公积金（项）：指反映行政事业单位按人事、财政部门规定的基本工资和津贴补贴以及规定比例为职工缴纳的住房公积金。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25.基本支出：指为保障机构正常运转、完成日常工作任务而发生的人员支出和公用支出。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26.项目支出：指在基本支出之外为完成特定行政任务和事业发展目标所发生的支出。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28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87" w:name="_Toc15377226"/>
      <w:r>
        <w:rPr>
          <w:rFonts w:ascii="宋体"/>
          <w:b/>
          <w:sz w:val="44"/>
          <w:szCs w:val="44"/>
        </w:rPr>
        <w:br w:type="page"/>
      </w:r>
      <w:bookmarkStart w:id="88" w:name="_Toc15396614"/>
      <w:bookmarkStart w:id="89" w:name="_Toc3294"/>
      <w:bookmarkStart w:id="90" w:name="_Toc26707"/>
      <w:r>
        <w:rPr>
          <w:rFonts w:hint="eastAsia" w:ascii="黑体" w:hAnsi="黑体" w:eastAsia="黑体"/>
          <w:sz w:val="44"/>
          <w:szCs w:val="44"/>
        </w:rPr>
        <w:t>第</w:t>
      </w:r>
      <w:r>
        <w:rPr>
          <w:rStyle w:val="25"/>
          <w:rFonts w:hint="eastAsia" w:ascii="黑体" w:hAnsi="黑体" w:eastAsia="黑体"/>
          <w:b w:val="0"/>
        </w:rPr>
        <w:t>四部分 附件</w:t>
      </w:r>
      <w:bookmarkEnd w:id="88"/>
      <w:bookmarkEnd w:id="89"/>
      <w:bookmarkEnd w:id="90"/>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bookmarkStart w:id="91" w:name="_Toc3348"/>
      <w:bookmarkStart w:id="92" w:name="_Toc18029"/>
      <w:r>
        <w:rPr>
          <w:rFonts w:hint="eastAsia" w:ascii="方正小标宋简体" w:hAnsi="宋体" w:eastAsia="方正小标宋简体"/>
          <w:kern w:val="0"/>
          <w:sz w:val="40"/>
          <w:szCs w:val="44"/>
        </w:rPr>
        <w:t>2021年攀枝花市西区清香坪街道办事处部门整体绩效评价报告</w:t>
      </w:r>
      <w:bookmarkEnd w:id="91"/>
      <w:bookmarkEnd w:id="92"/>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bookmarkStart w:id="93" w:name="_Toc19935"/>
      <w:bookmarkStart w:id="94" w:name="_Toc64"/>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93"/>
      <w:bookmarkEnd w:id="94"/>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spacing w:before="93"/>
        <w:ind w:firstLine="660" w:firstLineChars="200"/>
        <w:rPr>
          <w:lang w:val="zh-CN"/>
        </w:rPr>
      </w:pPr>
      <w:r>
        <w:rPr>
          <w:rFonts w:hint="eastAsia" w:hAnsi="仿宋_GB2312" w:cs="仿宋_GB2312"/>
          <w:color w:val="333333"/>
          <w:sz w:val="33"/>
          <w:szCs w:val="33"/>
        </w:rPr>
        <w:t>西区清香坪街道办事处</w:t>
      </w:r>
      <w:r>
        <w:rPr>
          <w:rFonts w:hAnsi="仿宋_GB2312" w:cs="仿宋_GB2312"/>
          <w:color w:val="333333"/>
          <w:sz w:val="33"/>
          <w:szCs w:val="33"/>
        </w:rPr>
        <w:t>下设</w:t>
      </w:r>
      <w:r>
        <w:rPr>
          <w:rFonts w:hint="eastAsia" w:hAnsi="仿宋_GB2312" w:cs="仿宋_GB2312"/>
          <w:color w:val="333333"/>
          <w:sz w:val="33"/>
          <w:szCs w:val="33"/>
        </w:rPr>
        <w:t>8</w:t>
      </w:r>
      <w:r>
        <w:rPr>
          <w:rFonts w:hAnsi="仿宋_GB2312" w:cs="仿宋_GB2312"/>
          <w:color w:val="333333"/>
          <w:sz w:val="33"/>
          <w:szCs w:val="33"/>
        </w:rPr>
        <w:t>科室，</w:t>
      </w:r>
      <w:r>
        <w:rPr>
          <w:rFonts w:hint="eastAsia" w:hAnsi="仿宋_GB2312" w:cs="仿宋_GB2312"/>
          <w:sz w:val="32"/>
          <w:szCs w:val="32"/>
        </w:rPr>
        <w:t>下属三个非独立核算事业单位</w:t>
      </w:r>
      <w:r>
        <w:rPr>
          <w:rFonts w:hint="eastAsia"/>
          <w:sz w:val="32"/>
          <w:szCs w:val="32"/>
        </w:rPr>
        <w:t>：便民服务中心、社会治理事务中心、党群服务中心</w:t>
      </w:r>
      <w:r>
        <w:rPr>
          <w:rFonts w:hAnsi="仿宋_GB2312" w:cs="仿宋_GB2312"/>
          <w:color w:val="333333"/>
          <w:sz w:val="33"/>
          <w:szCs w:val="33"/>
        </w:rPr>
        <w:t>。　</w:t>
      </w:r>
    </w:p>
    <w:p>
      <w:pPr>
        <w:widowControl/>
        <w:numPr>
          <w:ilvl w:val="0"/>
          <w:numId w:val="4"/>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1.贯彻执行党和国家的各项法律、法规、规章以及上级政府的决议、决定，依法管理基层公共事务。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4.负责辖区平安建设、社会治安综合治理工作，处理群众来信来访，反映社情民意，建立社会矛盾纠纷排查调处机制，维护社会和谐稳定。</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5.负责辖区公共安全，协助做好安全生产、防汛、防火、</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防灾减灾等应急管理工作，构建公共安全防控体系，建立应对突发紧急事件的处理预案。</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6.领导社区居委会建设，指导社区居委会工作，培育、发展社区社会组织，组织社区居民参与社区建设和管理，健全完善自治、法治、德治相结合的城市基层治理体系。</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widowControl/>
        <w:adjustRightInd w:val="0"/>
        <w:snapToGrid w:val="0"/>
        <w:spacing w:line="580" w:lineRule="exact"/>
        <w:ind w:firstLine="640" w:firstLineChars="200"/>
        <w:contextualSpacing/>
        <w:jc w:val="left"/>
        <w:rPr>
          <w:sz w:val="32"/>
          <w:szCs w:val="32"/>
          <w:lang w:val="zh-CN"/>
        </w:rPr>
      </w:pPr>
      <w:r>
        <w:rPr>
          <w:rFonts w:hint="eastAsia" w:ascii="仿宋_GB2312" w:hAnsi="宋体" w:eastAsia="仿宋_GB2312" w:cs="宋体"/>
          <w:color w:val="000000"/>
          <w:kern w:val="0"/>
          <w:sz w:val="32"/>
          <w:szCs w:val="32"/>
          <w:shd w:val="clear" w:color="auto" w:fill="FFFFFF"/>
          <w:lang w:val="zh-CN"/>
        </w:rPr>
        <w:t>8.完成区委、区政府交办的其他工作。</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ind w:firstLine="640" w:firstLineChars="200"/>
        <w:rPr>
          <w:sz w:val="32"/>
          <w:szCs w:val="32"/>
          <w:lang w:val="zh-CN"/>
        </w:rPr>
      </w:pPr>
      <w:r>
        <w:rPr>
          <w:rFonts w:hint="eastAsia" w:ascii="仿宋_GB2312" w:eastAsia="仿宋_GB2312"/>
          <w:sz w:val="32"/>
          <w:szCs w:val="32"/>
        </w:rPr>
        <w:t>2021年底西区清香坪街道办事处行政正式编制9名，实有9名，事业编制17名，实有14名，聘用人员4名，实有2名。</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bookmarkStart w:id="95" w:name="_Toc27878"/>
      <w:bookmarkStart w:id="96" w:name="_Toc16572"/>
      <w:r>
        <w:rPr>
          <w:rFonts w:hint="eastAsia" w:ascii="黑体" w:hAnsi="宋体" w:eastAsia="黑体" w:cs="宋体"/>
          <w:kern w:val="0"/>
          <w:sz w:val="32"/>
          <w:szCs w:val="32"/>
          <w:shd w:val="clear" w:color="auto" w:fill="FFFFFF"/>
        </w:rPr>
        <w:t>二、部门财政资金收支情况</w:t>
      </w:r>
      <w:bookmarkEnd w:id="95"/>
      <w:bookmarkEnd w:id="96"/>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ind w:firstLine="640" w:firstLineChars="200"/>
        <w:rPr>
          <w:rFonts w:ascii="仿宋_GB2312" w:eastAsia="仿宋_GB2312"/>
          <w:sz w:val="32"/>
          <w:szCs w:val="32"/>
          <w:lang w:val="zh-CN"/>
        </w:rPr>
      </w:pPr>
      <w:r>
        <w:rPr>
          <w:rFonts w:hint="eastAsia" w:ascii="仿宋_GB2312" w:eastAsia="仿宋_GB2312"/>
          <w:sz w:val="32"/>
          <w:szCs w:val="32"/>
        </w:rPr>
        <w:t>2021年初财政预算收入下达870.37万元，年中各项人员经费追加下达39.49万元；项目经费追加下达431.79万元，2021年全年收入1341.65万元。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ind w:firstLine="640" w:firstLineChars="200"/>
        <w:rPr>
          <w:rFonts w:ascii="仿宋_GB2312" w:eastAsia="仿宋_GB2312"/>
          <w:sz w:val="32"/>
          <w:szCs w:val="32"/>
          <w:lang w:val="zh-CN"/>
        </w:rPr>
      </w:pPr>
      <w:r>
        <w:rPr>
          <w:rFonts w:hint="eastAsia" w:ascii="仿宋_GB2312" w:eastAsia="仿宋_GB2312"/>
          <w:sz w:val="32"/>
          <w:szCs w:val="32"/>
        </w:rPr>
        <w:t>2021年部门全年支出1341.76万元，其中人员经费支出813.28万元；2021年日常公用经费支出26.64万元；2021年项目经费支出501.84万元。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bookmarkStart w:id="97" w:name="_Toc27484"/>
      <w:bookmarkStart w:id="98" w:name="_Toc14989"/>
      <w:r>
        <w:rPr>
          <w:rFonts w:hint="eastAsia" w:ascii="黑体" w:hAnsi="宋体" w:eastAsia="黑体" w:cs="宋体"/>
          <w:kern w:val="0"/>
          <w:sz w:val="32"/>
          <w:szCs w:val="32"/>
          <w:shd w:val="clear" w:color="auto" w:fill="FFFFFF"/>
        </w:rPr>
        <w:t>三、部门整体预算绩效管理情况</w:t>
      </w:r>
      <w:bookmarkEnd w:id="97"/>
      <w:bookmarkEnd w:id="98"/>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202</w:t>
      </w: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zh-CN"/>
        </w:rPr>
        <w:t>年，西区清香坪街道办事处紧紧围绕区委、区政府中心工作，以提高群众的安全感及满意度为目标，创新工作举措，不断深化平安和谐街办创建工作，为辖区发展营造了和谐稳定的环境，切实履行部门职能职责，扎实做好各项工作。</w:t>
      </w:r>
    </w:p>
    <w:p>
      <w:pPr>
        <w:pStyle w:val="2"/>
        <w:spacing w:before="93"/>
        <w:ind w:firstLine="640" w:firstLineChars="200"/>
        <w:rPr>
          <w:rFonts w:hAnsi="仿宋_GB2312" w:cs="仿宋_GB2312"/>
          <w:color w:val="333333"/>
          <w:sz w:val="32"/>
          <w:szCs w:val="32"/>
        </w:rPr>
      </w:pPr>
      <w:r>
        <w:rPr>
          <w:rFonts w:hint="eastAsia" w:hAnsi="仿宋_GB2312" w:cs="仿宋_GB2312"/>
          <w:color w:val="333333"/>
          <w:sz w:val="32"/>
          <w:szCs w:val="32"/>
          <w:lang w:val="zh-CN"/>
        </w:rPr>
        <w:t>一是以预算编报为起点，科学设置绩效指标。我办财务与申请项目资金的业务部门一道以业务工作为基础，合理预测年度预算，科学设置各项绩效指标，对我办“</w:t>
      </w:r>
      <w:r>
        <w:rPr>
          <w:rFonts w:hint="eastAsia" w:hAnsi="仿宋_GB2312" w:cs="仿宋_GB2312"/>
          <w:color w:val="333333"/>
          <w:sz w:val="32"/>
          <w:szCs w:val="32"/>
        </w:rPr>
        <w:t>攀钢清香坪生活区市政设施管理工作经费</w:t>
      </w:r>
      <w:r>
        <w:rPr>
          <w:rFonts w:hint="eastAsia" w:hAnsi="仿宋_GB2312" w:cs="仿宋_GB2312"/>
          <w:color w:val="333333"/>
          <w:sz w:val="32"/>
          <w:szCs w:val="32"/>
          <w:lang w:val="zh-CN"/>
        </w:rPr>
        <w:t>”、“</w:t>
      </w:r>
      <w:r>
        <w:rPr>
          <w:rFonts w:hint="eastAsia" w:hAnsi="仿宋_GB2312" w:cs="仿宋_GB2312"/>
          <w:color w:val="333333"/>
          <w:sz w:val="32"/>
          <w:szCs w:val="32"/>
        </w:rPr>
        <w:t>信访、综治维稳经费</w:t>
      </w:r>
      <w:r>
        <w:rPr>
          <w:rFonts w:hint="eastAsia" w:hAnsi="仿宋_GB2312" w:cs="仿宋_GB2312"/>
          <w:color w:val="333333"/>
          <w:sz w:val="32"/>
          <w:szCs w:val="32"/>
          <w:lang w:val="zh-CN"/>
        </w:rPr>
        <w:t>、”、“人大代表之家工作经费”“</w:t>
      </w:r>
      <w:r>
        <w:rPr>
          <w:rFonts w:hint="eastAsia" w:hAnsi="仿宋_GB2312" w:cs="仿宋_GB2312"/>
          <w:color w:val="333333"/>
          <w:sz w:val="32"/>
          <w:szCs w:val="32"/>
        </w:rPr>
        <w:t>森林草原防灭火工作经费</w:t>
      </w:r>
      <w:r>
        <w:rPr>
          <w:rFonts w:hint="eastAsia" w:hAnsi="仿宋_GB2312" w:cs="仿宋_GB2312"/>
          <w:color w:val="333333"/>
          <w:sz w:val="32"/>
          <w:szCs w:val="32"/>
          <w:lang w:val="zh-CN"/>
        </w:rPr>
        <w:t>”等</w:t>
      </w:r>
      <w:r>
        <w:rPr>
          <w:rFonts w:hint="eastAsia" w:hAnsi="仿宋_GB2312" w:cs="仿宋_GB2312"/>
          <w:color w:val="333333"/>
          <w:sz w:val="32"/>
          <w:szCs w:val="32"/>
        </w:rPr>
        <w:t>5</w:t>
      </w:r>
      <w:r>
        <w:rPr>
          <w:rFonts w:hint="eastAsia" w:hAnsi="仿宋_GB2312" w:cs="仿宋_GB2312"/>
          <w:color w:val="333333"/>
          <w:sz w:val="32"/>
          <w:szCs w:val="32"/>
          <w:lang w:val="zh-CN"/>
        </w:rPr>
        <w:t>个项目编制了绩效目标，设定年度绩效数量指标、成本指标、效益指标等，详细反映相应项目工作任务、达成的效果，要求项目执行科室加强项目日常管理，在预算执行过程中落实“过紧日子”的思想，注意收集和分析指标设置的科学性，确保钱花在“刀刃上”。</w:t>
      </w:r>
    </w:p>
    <w:p>
      <w:pPr>
        <w:pStyle w:val="2"/>
        <w:spacing w:before="93"/>
        <w:ind w:firstLine="640" w:firstLineChars="200"/>
        <w:rPr>
          <w:sz w:val="32"/>
          <w:szCs w:val="32"/>
          <w:lang w:val="zh-CN"/>
        </w:rPr>
      </w:pPr>
      <w:r>
        <w:rPr>
          <w:rFonts w:hAnsi="仿宋_GB2312" w:cs="仿宋_GB2312"/>
          <w:color w:val="333333"/>
          <w:sz w:val="32"/>
          <w:szCs w:val="32"/>
        </w:rPr>
        <w:t>二是以年中监控为抓手，促进绩效目标达成。攀枝花市</w:t>
      </w:r>
      <w:r>
        <w:rPr>
          <w:rFonts w:hint="eastAsia" w:hAnsi="仿宋_GB2312" w:cs="仿宋_GB2312"/>
          <w:color w:val="333333"/>
          <w:sz w:val="32"/>
          <w:szCs w:val="32"/>
        </w:rPr>
        <w:t>西区</w:t>
      </w:r>
      <w:r>
        <w:rPr>
          <w:rFonts w:hAnsi="仿宋_GB2312" w:cs="仿宋_GB2312"/>
          <w:color w:val="333333"/>
          <w:sz w:val="32"/>
          <w:szCs w:val="32"/>
        </w:rPr>
        <w:t>财政局于2021年</w:t>
      </w:r>
      <w:r>
        <w:rPr>
          <w:rFonts w:hint="eastAsia" w:hAnsi="仿宋_GB2312" w:cs="仿宋_GB2312"/>
          <w:color w:val="333333"/>
          <w:sz w:val="32"/>
          <w:szCs w:val="32"/>
        </w:rPr>
        <w:t>8</w:t>
      </w:r>
      <w:r>
        <w:rPr>
          <w:rFonts w:hAnsi="仿宋_GB2312" w:cs="仿宋_GB2312"/>
          <w:color w:val="333333"/>
          <w:sz w:val="32"/>
          <w:szCs w:val="32"/>
        </w:rPr>
        <w:t>月按照《关于开展 2021 年度事中绩效监控工作的通知》（攀</w:t>
      </w:r>
      <w:r>
        <w:rPr>
          <w:rFonts w:hint="eastAsia" w:hAnsi="仿宋_GB2312" w:cs="仿宋_GB2312"/>
          <w:color w:val="333333"/>
          <w:sz w:val="32"/>
          <w:szCs w:val="32"/>
        </w:rPr>
        <w:t>西财</w:t>
      </w:r>
      <w:r>
        <w:rPr>
          <w:rFonts w:hAnsi="仿宋_GB2312" w:cs="仿宋_GB2312"/>
          <w:color w:val="333333"/>
          <w:sz w:val="32"/>
          <w:szCs w:val="32"/>
        </w:rPr>
        <w:t>〔 2021〕</w:t>
      </w:r>
      <w:r>
        <w:rPr>
          <w:rFonts w:hint="eastAsia" w:hAnsi="仿宋_GB2312" w:cs="仿宋_GB2312"/>
          <w:color w:val="333333"/>
          <w:sz w:val="32"/>
          <w:szCs w:val="32"/>
        </w:rPr>
        <w:t>153</w:t>
      </w:r>
      <w:r>
        <w:rPr>
          <w:rFonts w:hAnsi="仿宋_GB2312" w:cs="仿宋_GB2312"/>
          <w:color w:val="333333"/>
          <w:sz w:val="32"/>
          <w:szCs w:val="32"/>
        </w:rPr>
        <w:t>号）要求开展了绩效运行监控工作，填制《预算项目绩效运行监控分析表》，提高预算执行与绩效目标的匹配度，并要求资金申请</w:t>
      </w:r>
      <w:r>
        <w:rPr>
          <w:rFonts w:hint="eastAsia" w:hAnsi="仿宋_GB2312" w:cs="仿宋_GB2312"/>
          <w:color w:val="333333"/>
          <w:sz w:val="32"/>
          <w:szCs w:val="32"/>
        </w:rPr>
        <w:t>股</w:t>
      </w:r>
      <w:r>
        <w:rPr>
          <w:rFonts w:hAnsi="仿宋_GB2312" w:cs="仿宋_GB2312"/>
          <w:color w:val="333333"/>
          <w:sz w:val="32"/>
          <w:szCs w:val="32"/>
        </w:rPr>
        <w:t>室优化2022年度预算编报、项目绩效指标的设置。</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我街办专项预算项目在执行中严格按照资金用途使用资金，资金分配科学，分配及时，不存在超预算支出的情况，使用结果符合要求，确保了专项预算绩效目标的完成。</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ascii="仿宋_GB2312" w:hAnsi="仿宋_GB2312" w:eastAsia="仿宋_GB2312" w:cs="仿宋_GB2312"/>
          <w:color w:val="333333"/>
          <w:sz w:val="33"/>
          <w:szCs w:val="33"/>
        </w:rPr>
        <w:t>我</w:t>
      </w:r>
      <w:r>
        <w:rPr>
          <w:rFonts w:hint="eastAsia" w:ascii="仿宋_GB2312" w:hAnsi="仿宋_GB2312" w:eastAsia="仿宋_GB2312" w:cs="仿宋_GB2312"/>
          <w:color w:val="333333"/>
          <w:sz w:val="33"/>
          <w:szCs w:val="33"/>
        </w:rPr>
        <w:t>办</w:t>
      </w:r>
      <w:r>
        <w:rPr>
          <w:rFonts w:ascii="仿宋_GB2312" w:hAnsi="仿宋_GB2312" w:eastAsia="仿宋_GB2312" w:cs="仿宋_GB2312"/>
          <w:color w:val="333333"/>
          <w:sz w:val="33"/>
          <w:szCs w:val="33"/>
        </w:rPr>
        <w:t>2021年无财政重点绩效评价工作。　</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bookmarkStart w:id="99" w:name="_Toc9365"/>
      <w:bookmarkStart w:id="100" w:name="_Toc17783"/>
      <w:r>
        <w:rPr>
          <w:rFonts w:hint="eastAsia" w:ascii="黑体" w:hAnsi="宋体" w:eastAsia="黑体" w:cs="宋体"/>
          <w:kern w:val="0"/>
          <w:sz w:val="32"/>
          <w:szCs w:val="32"/>
          <w:shd w:val="clear" w:color="auto" w:fill="FFFFFF"/>
        </w:rPr>
        <w:t>四、评价结论及建议</w:t>
      </w:r>
      <w:bookmarkEnd w:id="99"/>
      <w:bookmarkEnd w:id="100"/>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6"/>
        <w:spacing w:before="72"/>
        <w:ind w:firstLine="640" w:firstLineChars="200"/>
        <w:rPr>
          <w:sz w:val="32"/>
          <w:szCs w:val="32"/>
          <w:lang w:val="zh-CN"/>
        </w:rPr>
      </w:pPr>
      <w:r>
        <w:rPr>
          <w:rFonts w:hint="eastAsia" w:ascii="仿宋_GB2312" w:hAnsi="仿宋_GB2312" w:eastAsia="仿宋_GB2312" w:cs="仿宋_GB2312"/>
          <w:sz w:val="32"/>
          <w:szCs w:val="32"/>
        </w:rPr>
        <w:t>我街办支出重点用于项目经费支出，基本完成了当年度年初计划经费的拨付工作，有效对其实行了监管，确保了专项经费专款专用。对于基本支出也能遵守各项规章制度，人员经费安排基本得当，业务工作与项目经费、人员经费安排配比率良好。</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2"/>
        <w:spacing w:before="93"/>
        <w:ind w:firstLine="640" w:firstLineChars="200"/>
        <w:rPr>
          <w:rFonts w:hAnsi="仿宋_GB2312" w:cs="仿宋_GB2312"/>
          <w:kern w:val="2"/>
          <w:sz w:val="32"/>
          <w:szCs w:val="32"/>
          <w:lang w:val="zh-CN"/>
        </w:rPr>
      </w:pPr>
      <w:r>
        <w:rPr>
          <w:rFonts w:hint="eastAsia" w:hAnsi="仿宋_GB2312" w:cs="仿宋_GB2312"/>
          <w:kern w:val="2"/>
          <w:sz w:val="32"/>
          <w:szCs w:val="32"/>
          <w:lang w:val="zh-CN"/>
        </w:rPr>
        <w:t>无</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spacing w:before="93"/>
        <w:ind w:firstLine="640" w:firstLineChars="200"/>
        <w:rPr>
          <w:lang w:val="zh-CN"/>
        </w:rPr>
      </w:pPr>
      <w:r>
        <w:rPr>
          <w:rFonts w:hint="eastAsia" w:hAnsi="仿宋_GB2312" w:cs="仿宋_GB2312"/>
          <w:kern w:val="2"/>
          <w:sz w:val="32"/>
          <w:szCs w:val="32"/>
          <w:lang w:val="zh-CN"/>
        </w:rPr>
        <w:t>无</w:t>
      </w:r>
    </w:p>
    <w:tbl>
      <w:tblPr>
        <w:tblStyle w:val="16"/>
        <w:tblpPr w:leftFromText="180" w:rightFromText="180" w:vertAnchor="text" w:horzAnchor="page" w:tblpX="1281" w:tblpY="660"/>
        <w:tblOverlap w:val="never"/>
        <w:tblW w:w="9940" w:type="dxa"/>
        <w:tblInd w:w="0" w:type="dxa"/>
        <w:tblLayout w:type="fixed"/>
        <w:tblCellMar>
          <w:top w:w="0" w:type="dxa"/>
          <w:left w:w="108" w:type="dxa"/>
          <w:bottom w:w="0" w:type="dxa"/>
          <w:right w:w="108" w:type="dxa"/>
        </w:tblCellMar>
      </w:tblPr>
      <w:tblGrid>
        <w:gridCol w:w="1756"/>
        <w:gridCol w:w="1113"/>
        <w:gridCol w:w="1385"/>
        <w:gridCol w:w="1877"/>
        <w:gridCol w:w="2135"/>
        <w:gridCol w:w="1438"/>
        <w:gridCol w:w="236"/>
      </w:tblGrid>
      <w:tr>
        <w:tblPrEx>
          <w:tblLayout w:type="fixed"/>
          <w:tblCellMar>
            <w:top w:w="0" w:type="dxa"/>
            <w:left w:w="108" w:type="dxa"/>
            <w:bottom w:w="0" w:type="dxa"/>
            <w:right w:w="108" w:type="dxa"/>
          </w:tblCellMar>
        </w:tblPrEx>
        <w:trPr>
          <w:trHeight w:val="646" w:hRule="atLeast"/>
        </w:trPr>
        <w:tc>
          <w:tcPr>
            <w:tcW w:w="9704" w:type="dxa"/>
            <w:gridSpan w:val="6"/>
            <w:tcBorders>
              <w:top w:val="nil"/>
              <w:left w:val="nil"/>
              <w:bottom w:val="nil"/>
              <w:right w:val="nil"/>
            </w:tcBorders>
            <w:shd w:val="clear" w:color="auto" w:fill="auto"/>
            <w:vAlign w:val="center"/>
          </w:tcPr>
          <w:p>
            <w:pPr>
              <w:widowControl/>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646" w:hRule="atLeast"/>
        </w:trPr>
        <w:tc>
          <w:tcPr>
            <w:tcW w:w="9704"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2021年环卫经费绩效评价</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36" w:type="dxa"/>
          <w:trHeight w:val="622" w:hRule="atLeast"/>
        </w:trPr>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128001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西区清香坪街道办事处</w:t>
            </w:r>
          </w:p>
        </w:tc>
      </w:tr>
      <w:tr>
        <w:tblPrEx>
          <w:tblLayout w:type="fixed"/>
          <w:tblCellMar>
            <w:top w:w="0" w:type="dxa"/>
            <w:left w:w="108" w:type="dxa"/>
            <w:bottom w:w="0" w:type="dxa"/>
            <w:right w:w="108" w:type="dxa"/>
          </w:tblCellMar>
        </w:tblPrEx>
        <w:trPr>
          <w:gridAfter w:val="1"/>
          <w:wAfter w:w="236" w:type="dxa"/>
          <w:trHeight w:val="336" w:hRule="atLeast"/>
        </w:trPr>
        <w:tc>
          <w:tcPr>
            <w:tcW w:w="28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188.71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172.62</w:t>
            </w:r>
          </w:p>
        </w:tc>
      </w:tr>
      <w:tr>
        <w:tblPrEx>
          <w:tblLayout w:type="fixed"/>
          <w:tblCellMar>
            <w:top w:w="0" w:type="dxa"/>
            <w:left w:w="108" w:type="dxa"/>
            <w:bottom w:w="0" w:type="dxa"/>
            <w:right w:w="108" w:type="dxa"/>
          </w:tblCellMar>
        </w:tblPrEx>
        <w:trPr>
          <w:gridAfter w:val="1"/>
          <w:wAfter w:w="236" w:type="dxa"/>
          <w:trHeight w:val="622"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188.71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172.62</w:t>
            </w:r>
          </w:p>
        </w:tc>
      </w:tr>
      <w:tr>
        <w:tblPrEx>
          <w:tblLayout w:type="fixed"/>
          <w:tblCellMar>
            <w:top w:w="0" w:type="dxa"/>
            <w:left w:w="108" w:type="dxa"/>
            <w:bottom w:w="0" w:type="dxa"/>
            <w:right w:w="108" w:type="dxa"/>
          </w:tblCellMar>
        </w:tblPrEx>
        <w:trPr>
          <w:gridAfter w:val="1"/>
          <w:wAfter w:w="236" w:type="dxa"/>
          <w:trHeight w:val="336"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54" w:hRule="atLeast"/>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236" w:type="dxa"/>
          <w:trHeight w:val="1177" w:hRule="atLeast"/>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用于辖区打扫公共环境卫生，保持环境清洁，改善城市市容市貌，提升居民满意度。</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改善了城市市容市貌，提高了居民生活质量，提升了居民满意度。</w:t>
            </w:r>
          </w:p>
        </w:tc>
      </w:tr>
      <w:tr>
        <w:tblPrEx>
          <w:tblLayout w:type="fixed"/>
          <w:tblCellMar>
            <w:top w:w="0" w:type="dxa"/>
            <w:left w:w="108" w:type="dxa"/>
            <w:bottom w:w="0" w:type="dxa"/>
            <w:right w:w="108" w:type="dxa"/>
          </w:tblCellMar>
        </w:tblPrEx>
        <w:trPr>
          <w:gridAfter w:val="1"/>
          <w:wAfter w:w="236" w:type="dxa"/>
          <w:trHeight w:val="965" w:hRule="atLeast"/>
        </w:trPr>
        <w:tc>
          <w:tcPr>
            <w:tcW w:w="175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Layout w:type="fixed"/>
          <w:tblCellMar>
            <w:top w:w="0" w:type="dxa"/>
            <w:left w:w="108" w:type="dxa"/>
            <w:bottom w:w="0" w:type="dxa"/>
            <w:right w:w="108" w:type="dxa"/>
          </w:tblCellMar>
        </w:tblPrEx>
        <w:trPr>
          <w:gridAfter w:val="1"/>
          <w:wAfter w:w="236" w:type="dxa"/>
          <w:trHeight w:val="611"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清扫保洁</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1000余次</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1000余次</w:t>
            </w:r>
          </w:p>
        </w:tc>
      </w:tr>
      <w:tr>
        <w:tblPrEx>
          <w:tblLayout w:type="fixed"/>
          <w:tblCellMar>
            <w:top w:w="0" w:type="dxa"/>
            <w:left w:w="108" w:type="dxa"/>
            <w:bottom w:w="0" w:type="dxa"/>
            <w:right w:w="108" w:type="dxa"/>
          </w:tblCellMar>
        </w:tblPrEx>
        <w:trPr>
          <w:gridAfter w:val="1"/>
          <w:wAfter w:w="236" w:type="dxa"/>
          <w:trHeight w:val="1024"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清洁度达标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对辖区环境抽查</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达标</w:t>
            </w:r>
          </w:p>
        </w:tc>
      </w:tr>
      <w:tr>
        <w:tblPrEx>
          <w:tblLayout w:type="fixed"/>
          <w:tblCellMar>
            <w:top w:w="0" w:type="dxa"/>
            <w:left w:w="108" w:type="dxa"/>
            <w:bottom w:w="0" w:type="dxa"/>
            <w:right w:w="108" w:type="dxa"/>
          </w:tblCellMar>
        </w:tblPrEx>
        <w:trPr>
          <w:gridAfter w:val="1"/>
          <w:wAfter w:w="236" w:type="dxa"/>
          <w:trHeight w:val="648"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Layout w:type="fixed"/>
          <w:tblCellMar>
            <w:top w:w="0" w:type="dxa"/>
            <w:left w:w="108" w:type="dxa"/>
            <w:bottom w:w="0" w:type="dxa"/>
            <w:right w:w="108" w:type="dxa"/>
          </w:tblCellMar>
        </w:tblPrEx>
        <w:trPr>
          <w:gridAfter w:val="1"/>
          <w:wAfter w:w="236" w:type="dxa"/>
          <w:trHeight w:val="54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清扫保洁费</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188.71万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172.62万</w:t>
            </w:r>
          </w:p>
        </w:tc>
      </w:tr>
      <w:tr>
        <w:tblPrEx>
          <w:tblLayout w:type="fixed"/>
          <w:tblCellMar>
            <w:top w:w="0" w:type="dxa"/>
            <w:left w:w="108" w:type="dxa"/>
            <w:bottom w:w="0" w:type="dxa"/>
            <w:right w:w="108" w:type="dxa"/>
          </w:tblCellMar>
        </w:tblPrEx>
        <w:trPr>
          <w:gridAfter w:val="1"/>
          <w:wAfter w:w="236" w:type="dxa"/>
          <w:trHeight w:val="132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给群众提供洁净的场所</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改善了城市市容市貌</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改善了城市市容市貌</w:t>
            </w:r>
          </w:p>
        </w:tc>
      </w:tr>
      <w:tr>
        <w:tblPrEx>
          <w:tblLayout w:type="fixed"/>
          <w:tblCellMar>
            <w:top w:w="0" w:type="dxa"/>
            <w:left w:w="108" w:type="dxa"/>
            <w:bottom w:w="0" w:type="dxa"/>
            <w:right w:w="108" w:type="dxa"/>
          </w:tblCellMar>
        </w:tblPrEx>
        <w:trPr>
          <w:gridAfter w:val="1"/>
          <w:wAfter w:w="236" w:type="dxa"/>
          <w:trHeight w:val="761" w:hRule="atLeast"/>
        </w:trPr>
        <w:tc>
          <w:tcPr>
            <w:tcW w:w="175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群众满意度</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widowControl/>
        <w:adjustRightInd w:val="0"/>
        <w:snapToGrid w:val="0"/>
        <w:spacing w:line="580" w:lineRule="exact"/>
        <w:ind w:firstLine="640" w:firstLineChars="200"/>
        <w:contextualSpacing/>
        <w:jc w:val="left"/>
        <w:rPr>
          <w:rStyle w:val="25"/>
          <w:rFonts w:ascii="黑体" w:hAnsi="黑体" w:eastAsia="黑体"/>
          <w:b w:val="0"/>
        </w:rPr>
      </w:pPr>
      <w:r>
        <w:rPr>
          <w:rFonts w:hint="eastAsia" w:ascii="仿宋_GB2312" w:hAnsi="宋体" w:eastAsia="仿宋_GB2312" w:cs="宋体"/>
          <w:kern w:val="0"/>
          <w:sz w:val="32"/>
          <w:szCs w:val="32"/>
          <w:shd w:val="clear" w:color="auto" w:fill="FFFFFF"/>
          <w:lang w:val="zh-CN"/>
        </w:rPr>
        <w:t>附表：</w:t>
      </w:r>
    </w:p>
    <w:p>
      <w:pPr>
        <w:widowControl/>
        <w:jc w:val="left"/>
        <w:rPr>
          <w:rStyle w:val="25"/>
          <w:rFonts w:ascii="黑体" w:hAnsi="黑体" w:eastAsia="黑体"/>
          <w:b w:val="0"/>
        </w:rPr>
      </w:pPr>
      <w:r>
        <w:rPr>
          <w:rStyle w:val="25"/>
          <w:rFonts w:ascii="黑体" w:hAnsi="黑体" w:eastAsia="黑体"/>
          <w:b w:val="0"/>
        </w:rPr>
        <w:br w:type="page"/>
      </w:r>
    </w:p>
    <w:p>
      <w:pPr>
        <w:pStyle w:val="2"/>
        <w:spacing w:before="93"/>
        <w:rPr>
          <w:rStyle w:val="25"/>
          <w:rFonts w:ascii="黑体" w:hAnsi="黑体" w:eastAsia="黑体"/>
          <w:b w:val="0"/>
        </w:rPr>
      </w:pPr>
    </w:p>
    <w:tbl>
      <w:tblPr>
        <w:tblStyle w:val="16"/>
        <w:tblpPr w:leftFromText="180" w:rightFromText="180" w:vertAnchor="text" w:horzAnchor="page" w:tblpX="1281" w:tblpY="660"/>
        <w:tblOverlap w:val="never"/>
        <w:tblW w:w="9940" w:type="dxa"/>
        <w:tblInd w:w="0" w:type="dxa"/>
        <w:tblLayout w:type="fixed"/>
        <w:tblCellMar>
          <w:top w:w="0" w:type="dxa"/>
          <w:left w:w="108" w:type="dxa"/>
          <w:bottom w:w="0" w:type="dxa"/>
          <w:right w:w="108" w:type="dxa"/>
        </w:tblCellMar>
      </w:tblPr>
      <w:tblGrid>
        <w:gridCol w:w="1756"/>
        <w:gridCol w:w="1113"/>
        <w:gridCol w:w="1385"/>
        <w:gridCol w:w="1877"/>
        <w:gridCol w:w="2135"/>
        <w:gridCol w:w="1434"/>
        <w:gridCol w:w="240"/>
      </w:tblGrid>
      <w:tr>
        <w:tblPrEx>
          <w:tblLayout w:type="fixed"/>
          <w:tblCellMar>
            <w:top w:w="0" w:type="dxa"/>
            <w:left w:w="108" w:type="dxa"/>
            <w:bottom w:w="0" w:type="dxa"/>
            <w:right w:w="108" w:type="dxa"/>
          </w:tblCellMar>
        </w:tblPrEx>
        <w:trPr>
          <w:trHeight w:val="646" w:hRule="atLeast"/>
        </w:trPr>
        <w:tc>
          <w:tcPr>
            <w:tcW w:w="9700"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“人大代表之家”工作经费绩效评价</w:t>
            </w:r>
          </w:p>
        </w:tc>
        <w:tc>
          <w:tcPr>
            <w:tcW w:w="240"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40" w:type="dxa"/>
          <w:trHeight w:val="622" w:hRule="atLeast"/>
        </w:trPr>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128001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西区清香坪街道办事处</w:t>
            </w:r>
          </w:p>
        </w:tc>
      </w:tr>
      <w:tr>
        <w:tblPrEx>
          <w:tblLayout w:type="fixed"/>
          <w:tblCellMar>
            <w:top w:w="0" w:type="dxa"/>
            <w:left w:w="108" w:type="dxa"/>
            <w:bottom w:w="0" w:type="dxa"/>
            <w:right w:w="108" w:type="dxa"/>
          </w:tblCellMar>
        </w:tblPrEx>
        <w:trPr>
          <w:gridAfter w:val="1"/>
          <w:wAfter w:w="240" w:type="dxa"/>
          <w:trHeight w:val="336" w:hRule="atLeast"/>
        </w:trPr>
        <w:tc>
          <w:tcPr>
            <w:tcW w:w="28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1.00</w:t>
            </w:r>
          </w:p>
        </w:tc>
      </w:tr>
      <w:tr>
        <w:tblPrEx>
          <w:tblLayout w:type="fixed"/>
          <w:tblCellMar>
            <w:top w:w="0" w:type="dxa"/>
            <w:left w:w="108" w:type="dxa"/>
            <w:bottom w:w="0" w:type="dxa"/>
            <w:right w:w="108" w:type="dxa"/>
          </w:tblCellMar>
        </w:tblPrEx>
        <w:trPr>
          <w:gridAfter w:val="1"/>
          <w:wAfter w:w="240" w:type="dxa"/>
          <w:trHeight w:val="622"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1.00</w:t>
            </w:r>
          </w:p>
        </w:tc>
      </w:tr>
      <w:tr>
        <w:tblPrEx>
          <w:tblLayout w:type="fixed"/>
          <w:tblCellMar>
            <w:top w:w="0" w:type="dxa"/>
            <w:left w:w="108" w:type="dxa"/>
            <w:bottom w:w="0" w:type="dxa"/>
            <w:right w:w="108" w:type="dxa"/>
          </w:tblCellMar>
        </w:tblPrEx>
        <w:trPr>
          <w:gridAfter w:val="1"/>
          <w:wAfter w:w="240" w:type="dxa"/>
          <w:trHeight w:val="336"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40" w:type="dxa"/>
          <w:trHeight w:val="454" w:hRule="atLeast"/>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240" w:type="dxa"/>
          <w:trHeight w:val="1177" w:hRule="atLeast"/>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通过人大等相关专业性的培训，提高在职工作人员的工作水平，按照要求做好人大代表换届工作。</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通过人大等相关专业性的培训，提高在职工作人员的工作水平，按照要求做好人大代表换届工作。</w:t>
            </w:r>
          </w:p>
        </w:tc>
      </w:tr>
      <w:tr>
        <w:tblPrEx>
          <w:tblLayout w:type="fixed"/>
          <w:tblCellMar>
            <w:top w:w="0" w:type="dxa"/>
            <w:left w:w="108" w:type="dxa"/>
            <w:bottom w:w="0" w:type="dxa"/>
            <w:right w:w="108" w:type="dxa"/>
          </w:tblCellMar>
        </w:tblPrEx>
        <w:trPr>
          <w:gridAfter w:val="1"/>
          <w:wAfter w:w="240" w:type="dxa"/>
          <w:trHeight w:val="965" w:hRule="atLeast"/>
        </w:trPr>
        <w:tc>
          <w:tcPr>
            <w:tcW w:w="175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Layout w:type="fixed"/>
          <w:tblCellMar>
            <w:top w:w="0" w:type="dxa"/>
            <w:left w:w="108" w:type="dxa"/>
            <w:bottom w:w="0" w:type="dxa"/>
            <w:right w:w="108" w:type="dxa"/>
          </w:tblCellMar>
        </w:tblPrEx>
        <w:trPr>
          <w:gridAfter w:val="1"/>
          <w:wAfter w:w="240" w:type="dxa"/>
          <w:trHeight w:val="611"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标准化打造</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宣传广告15张、维护、更新1次</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宣传广告15张、维护、更新1次</w:t>
            </w:r>
          </w:p>
        </w:tc>
      </w:tr>
      <w:tr>
        <w:tblPrEx>
          <w:tblLayout w:type="fixed"/>
          <w:tblCellMar>
            <w:top w:w="0" w:type="dxa"/>
            <w:left w:w="108" w:type="dxa"/>
            <w:bottom w:w="0" w:type="dxa"/>
            <w:right w:w="108" w:type="dxa"/>
          </w:tblCellMar>
        </w:tblPrEx>
        <w:trPr>
          <w:gridAfter w:val="1"/>
          <w:wAfter w:w="240" w:type="dxa"/>
          <w:trHeight w:val="2082"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代表学习培训的课堂，联系选民的桥梁</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通过人大等相关专业性的培训，提高在职工作人员的工作水平。</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通过与选民见面等服务，倾听群众心声，表达居民诉求。</w:t>
            </w:r>
          </w:p>
        </w:tc>
      </w:tr>
      <w:tr>
        <w:tblPrEx>
          <w:tblLayout w:type="fixed"/>
          <w:tblCellMar>
            <w:top w:w="0" w:type="dxa"/>
            <w:left w:w="108" w:type="dxa"/>
            <w:bottom w:w="0" w:type="dxa"/>
            <w:right w:w="108" w:type="dxa"/>
          </w:tblCellMar>
        </w:tblPrEx>
        <w:trPr>
          <w:gridAfter w:val="1"/>
          <w:wAfter w:w="240" w:type="dxa"/>
          <w:trHeight w:val="477"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Layout w:type="fixed"/>
          <w:tblCellMar>
            <w:top w:w="0" w:type="dxa"/>
            <w:left w:w="108" w:type="dxa"/>
            <w:bottom w:w="0" w:type="dxa"/>
            <w:right w:w="108" w:type="dxa"/>
          </w:tblCellMar>
        </w:tblPrEx>
        <w:trPr>
          <w:gridAfter w:val="1"/>
          <w:wAfter w:w="240" w:type="dxa"/>
          <w:trHeight w:val="54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标准化打造费</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1万</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1万</w:t>
            </w:r>
          </w:p>
        </w:tc>
      </w:tr>
      <w:tr>
        <w:tblPrEx>
          <w:tblLayout w:type="fixed"/>
          <w:tblCellMar>
            <w:top w:w="0" w:type="dxa"/>
            <w:left w:w="108" w:type="dxa"/>
            <w:bottom w:w="0" w:type="dxa"/>
            <w:right w:w="108" w:type="dxa"/>
          </w:tblCellMar>
        </w:tblPrEx>
        <w:trPr>
          <w:gridAfter w:val="1"/>
          <w:wAfter w:w="240" w:type="dxa"/>
          <w:trHeight w:val="1494"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为闭会期间人大代表履职提供平台</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服务群众的窗口、民主法治建设的阵地、创新社会治理的抓手。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做人民群众的“代言人”</w:t>
            </w:r>
          </w:p>
        </w:tc>
      </w:tr>
      <w:tr>
        <w:tblPrEx>
          <w:tblLayout w:type="fixed"/>
          <w:tblCellMar>
            <w:top w:w="0" w:type="dxa"/>
            <w:left w:w="108" w:type="dxa"/>
            <w:bottom w:w="0" w:type="dxa"/>
            <w:right w:w="108" w:type="dxa"/>
          </w:tblCellMar>
        </w:tblPrEx>
        <w:trPr>
          <w:gridAfter w:val="1"/>
          <w:wAfter w:w="240" w:type="dxa"/>
          <w:trHeight w:val="761" w:hRule="atLeast"/>
        </w:trPr>
        <w:tc>
          <w:tcPr>
            <w:tcW w:w="175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居民满意度</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pStyle w:val="2"/>
        <w:spacing w:before="93"/>
        <w:rPr>
          <w:rFonts w:ascii="黑体" w:hAnsi="黑体" w:eastAsia="黑体"/>
          <w:sz w:val="44"/>
          <w:szCs w:val="44"/>
        </w:rPr>
      </w:pPr>
      <w:bookmarkStart w:id="101" w:name="_Toc15396618"/>
    </w:p>
    <w:tbl>
      <w:tblPr>
        <w:tblStyle w:val="16"/>
        <w:tblpPr w:leftFromText="180" w:rightFromText="180" w:vertAnchor="text" w:horzAnchor="page" w:tblpX="1281" w:tblpY="660"/>
        <w:tblOverlap w:val="never"/>
        <w:tblW w:w="9940" w:type="dxa"/>
        <w:tblInd w:w="0" w:type="dxa"/>
        <w:tblLayout w:type="fixed"/>
        <w:tblCellMar>
          <w:top w:w="0" w:type="dxa"/>
          <w:left w:w="108" w:type="dxa"/>
          <w:bottom w:w="0" w:type="dxa"/>
          <w:right w:w="108" w:type="dxa"/>
        </w:tblCellMar>
      </w:tblPr>
      <w:tblGrid>
        <w:gridCol w:w="1756"/>
        <w:gridCol w:w="1113"/>
        <w:gridCol w:w="1385"/>
        <w:gridCol w:w="1877"/>
        <w:gridCol w:w="2135"/>
        <w:gridCol w:w="1438"/>
        <w:gridCol w:w="236"/>
      </w:tblGrid>
      <w:tr>
        <w:tblPrEx>
          <w:tblLayout w:type="fixed"/>
          <w:tblCellMar>
            <w:top w:w="0" w:type="dxa"/>
            <w:left w:w="108" w:type="dxa"/>
            <w:bottom w:w="0" w:type="dxa"/>
            <w:right w:w="108" w:type="dxa"/>
          </w:tblCellMar>
        </w:tblPrEx>
        <w:trPr>
          <w:trHeight w:val="646" w:hRule="atLeast"/>
        </w:trPr>
        <w:tc>
          <w:tcPr>
            <w:tcW w:w="9704"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信访、综治维稳经费绩效评价</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36" w:type="dxa"/>
          <w:trHeight w:val="622" w:hRule="atLeast"/>
        </w:trPr>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128001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西区清香坪街道办事处</w:t>
            </w:r>
          </w:p>
        </w:tc>
      </w:tr>
      <w:tr>
        <w:tblPrEx>
          <w:tblLayout w:type="fixed"/>
          <w:tblCellMar>
            <w:top w:w="0" w:type="dxa"/>
            <w:left w:w="108" w:type="dxa"/>
            <w:bottom w:w="0" w:type="dxa"/>
            <w:right w:w="108" w:type="dxa"/>
          </w:tblCellMar>
        </w:tblPrEx>
        <w:trPr>
          <w:gridAfter w:val="1"/>
          <w:wAfter w:w="236" w:type="dxa"/>
          <w:trHeight w:val="336" w:hRule="atLeast"/>
        </w:trPr>
        <w:tc>
          <w:tcPr>
            <w:tcW w:w="28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34.02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23.5</w:t>
            </w:r>
          </w:p>
        </w:tc>
      </w:tr>
      <w:tr>
        <w:tblPrEx>
          <w:tblLayout w:type="fixed"/>
          <w:tblCellMar>
            <w:top w:w="0" w:type="dxa"/>
            <w:left w:w="108" w:type="dxa"/>
            <w:bottom w:w="0" w:type="dxa"/>
            <w:right w:w="108" w:type="dxa"/>
          </w:tblCellMar>
        </w:tblPrEx>
        <w:trPr>
          <w:gridAfter w:val="1"/>
          <w:wAfter w:w="236" w:type="dxa"/>
          <w:trHeight w:val="622"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34.02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23.5</w:t>
            </w:r>
          </w:p>
        </w:tc>
      </w:tr>
      <w:tr>
        <w:tblPrEx>
          <w:tblLayout w:type="fixed"/>
          <w:tblCellMar>
            <w:top w:w="0" w:type="dxa"/>
            <w:left w:w="108" w:type="dxa"/>
            <w:bottom w:w="0" w:type="dxa"/>
            <w:right w:w="108" w:type="dxa"/>
          </w:tblCellMar>
        </w:tblPrEx>
        <w:trPr>
          <w:gridAfter w:val="1"/>
          <w:wAfter w:w="236" w:type="dxa"/>
          <w:trHeight w:val="336"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54" w:hRule="atLeast"/>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236" w:type="dxa"/>
          <w:trHeight w:val="1177" w:hRule="atLeast"/>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2021年辖区信访、维稳重点人员和群体稳控费用以及2022年各级两会信访、维稳情况和党的二十大召开信访、维稳重点人员和群体稳控。</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完成2021年辖区信访、维稳重点人员和群体稳控费用以及2022年各级两会信访、维稳重点人员和群体稳控。</w:t>
            </w:r>
          </w:p>
        </w:tc>
      </w:tr>
      <w:tr>
        <w:tblPrEx>
          <w:tblLayout w:type="fixed"/>
          <w:tblCellMar>
            <w:top w:w="0" w:type="dxa"/>
            <w:left w:w="108" w:type="dxa"/>
            <w:bottom w:w="0" w:type="dxa"/>
            <w:right w:w="108" w:type="dxa"/>
          </w:tblCellMar>
        </w:tblPrEx>
        <w:trPr>
          <w:gridAfter w:val="1"/>
          <w:wAfter w:w="236" w:type="dxa"/>
          <w:trHeight w:val="965" w:hRule="atLeast"/>
        </w:trPr>
        <w:tc>
          <w:tcPr>
            <w:tcW w:w="175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Layout w:type="fixed"/>
          <w:tblCellMar>
            <w:top w:w="0" w:type="dxa"/>
            <w:left w:w="108" w:type="dxa"/>
            <w:bottom w:w="0" w:type="dxa"/>
            <w:right w:w="108" w:type="dxa"/>
          </w:tblCellMar>
        </w:tblPrEx>
        <w:trPr>
          <w:gridAfter w:val="1"/>
          <w:wAfter w:w="236" w:type="dxa"/>
          <w:trHeight w:val="611"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特殊疑难信访、维稳案件资金</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20人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20人</w:t>
            </w:r>
          </w:p>
        </w:tc>
      </w:tr>
      <w:tr>
        <w:tblPrEx>
          <w:tblLayout w:type="fixed"/>
          <w:tblCellMar>
            <w:top w:w="0" w:type="dxa"/>
            <w:left w:w="108" w:type="dxa"/>
            <w:bottom w:w="0" w:type="dxa"/>
            <w:right w:w="108" w:type="dxa"/>
          </w:tblCellMar>
        </w:tblPrEx>
        <w:trPr>
          <w:gridAfter w:val="1"/>
          <w:wAfter w:w="236" w:type="dxa"/>
          <w:trHeight w:val="1024"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提升工作管理水平</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保障辖区社会和谐稳定</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稳控重点人员不非法上访，保障辖区和谐安定。</w:t>
            </w:r>
          </w:p>
        </w:tc>
      </w:tr>
      <w:tr>
        <w:tblPrEx>
          <w:tblLayout w:type="fixed"/>
          <w:tblCellMar>
            <w:top w:w="0" w:type="dxa"/>
            <w:left w:w="108" w:type="dxa"/>
            <w:bottom w:w="0" w:type="dxa"/>
            <w:right w:w="108" w:type="dxa"/>
          </w:tblCellMar>
        </w:tblPrEx>
        <w:trPr>
          <w:gridAfter w:val="1"/>
          <w:wAfter w:w="236" w:type="dxa"/>
          <w:trHeight w:val="648"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Layout w:type="fixed"/>
          <w:tblCellMar>
            <w:top w:w="0" w:type="dxa"/>
            <w:left w:w="108" w:type="dxa"/>
            <w:bottom w:w="0" w:type="dxa"/>
            <w:right w:w="108" w:type="dxa"/>
          </w:tblCellMar>
        </w:tblPrEx>
        <w:trPr>
          <w:gridAfter w:val="1"/>
          <w:wAfter w:w="236" w:type="dxa"/>
          <w:trHeight w:val="54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维稳费</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34.02万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23.5万</w:t>
            </w:r>
          </w:p>
        </w:tc>
      </w:tr>
      <w:tr>
        <w:tblPrEx>
          <w:tblLayout w:type="fixed"/>
          <w:tblCellMar>
            <w:top w:w="0" w:type="dxa"/>
            <w:left w:w="108" w:type="dxa"/>
            <w:bottom w:w="0" w:type="dxa"/>
            <w:right w:w="108" w:type="dxa"/>
          </w:tblCellMar>
        </w:tblPrEx>
        <w:trPr>
          <w:gridAfter w:val="1"/>
          <w:wAfter w:w="236" w:type="dxa"/>
          <w:trHeight w:val="132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保障辖区社会和谐稳定</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稳控重点人员不非法上访</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保障辖区和谐安定</w:t>
            </w:r>
          </w:p>
        </w:tc>
      </w:tr>
      <w:tr>
        <w:tblPrEx>
          <w:tblLayout w:type="fixed"/>
          <w:tblCellMar>
            <w:top w:w="0" w:type="dxa"/>
            <w:left w:w="108" w:type="dxa"/>
            <w:bottom w:w="0" w:type="dxa"/>
            <w:right w:w="108" w:type="dxa"/>
          </w:tblCellMar>
        </w:tblPrEx>
        <w:trPr>
          <w:gridAfter w:val="1"/>
          <w:wAfter w:w="236" w:type="dxa"/>
          <w:trHeight w:val="761" w:hRule="atLeast"/>
        </w:trPr>
        <w:tc>
          <w:tcPr>
            <w:tcW w:w="175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群众满意度</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widowControl/>
        <w:adjustRightInd w:val="0"/>
        <w:snapToGrid w:val="0"/>
        <w:spacing w:line="580" w:lineRule="exact"/>
        <w:contextualSpacing/>
        <w:jc w:val="left"/>
        <w:rPr>
          <w:rStyle w:val="25"/>
          <w:rFonts w:ascii="黑体" w:hAnsi="黑体" w:eastAsia="黑体"/>
          <w:b w:val="0"/>
        </w:rPr>
      </w:pPr>
    </w:p>
    <w:p>
      <w:pPr>
        <w:pStyle w:val="2"/>
        <w:spacing w:before="93"/>
        <w:rPr>
          <w:rFonts w:ascii="黑体" w:hAnsi="黑体" w:eastAsia="黑体"/>
          <w:sz w:val="44"/>
          <w:szCs w:val="44"/>
        </w:rPr>
      </w:pPr>
      <w:r>
        <w:rPr>
          <w:rStyle w:val="25"/>
          <w:rFonts w:ascii="黑体" w:hAnsi="黑体" w:eastAsia="黑体"/>
          <w:b w:val="0"/>
        </w:rPr>
        <w:br w:type="page"/>
      </w:r>
    </w:p>
    <w:tbl>
      <w:tblPr>
        <w:tblStyle w:val="16"/>
        <w:tblpPr w:leftFromText="180" w:rightFromText="180" w:vertAnchor="text" w:horzAnchor="page" w:tblpX="1281" w:tblpY="660"/>
        <w:tblOverlap w:val="never"/>
        <w:tblW w:w="9940" w:type="dxa"/>
        <w:tblInd w:w="0" w:type="dxa"/>
        <w:tblLayout w:type="fixed"/>
        <w:tblCellMar>
          <w:top w:w="0" w:type="dxa"/>
          <w:left w:w="108" w:type="dxa"/>
          <w:bottom w:w="0" w:type="dxa"/>
          <w:right w:w="108" w:type="dxa"/>
        </w:tblCellMar>
      </w:tblPr>
      <w:tblGrid>
        <w:gridCol w:w="1756"/>
        <w:gridCol w:w="1113"/>
        <w:gridCol w:w="1385"/>
        <w:gridCol w:w="1877"/>
        <w:gridCol w:w="2135"/>
        <w:gridCol w:w="1438"/>
        <w:gridCol w:w="236"/>
      </w:tblGrid>
      <w:tr>
        <w:tblPrEx>
          <w:tblLayout w:type="fixed"/>
          <w:tblCellMar>
            <w:top w:w="0" w:type="dxa"/>
            <w:left w:w="108" w:type="dxa"/>
            <w:bottom w:w="0" w:type="dxa"/>
            <w:right w:w="108" w:type="dxa"/>
          </w:tblCellMar>
        </w:tblPrEx>
        <w:trPr>
          <w:trHeight w:val="646" w:hRule="atLeast"/>
        </w:trPr>
        <w:tc>
          <w:tcPr>
            <w:tcW w:w="9704"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攀钢清香坪生活区市政设施管理工作经费绩效评价</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36" w:type="dxa"/>
          <w:trHeight w:val="622" w:hRule="atLeast"/>
        </w:trPr>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128001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西区清香坪街道办事处</w:t>
            </w:r>
          </w:p>
        </w:tc>
      </w:tr>
      <w:tr>
        <w:tblPrEx>
          <w:tblLayout w:type="fixed"/>
          <w:tblCellMar>
            <w:top w:w="0" w:type="dxa"/>
            <w:left w:w="108" w:type="dxa"/>
            <w:bottom w:w="0" w:type="dxa"/>
            <w:right w:w="108" w:type="dxa"/>
          </w:tblCellMar>
        </w:tblPrEx>
        <w:trPr>
          <w:gridAfter w:val="1"/>
          <w:wAfter w:w="236" w:type="dxa"/>
          <w:trHeight w:val="336" w:hRule="atLeast"/>
        </w:trPr>
        <w:tc>
          <w:tcPr>
            <w:tcW w:w="28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48.05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48.05</w:t>
            </w:r>
          </w:p>
        </w:tc>
      </w:tr>
      <w:tr>
        <w:tblPrEx>
          <w:tblLayout w:type="fixed"/>
          <w:tblCellMar>
            <w:top w:w="0" w:type="dxa"/>
            <w:left w:w="108" w:type="dxa"/>
            <w:bottom w:w="0" w:type="dxa"/>
            <w:right w:w="108" w:type="dxa"/>
          </w:tblCellMar>
        </w:tblPrEx>
        <w:trPr>
          <w:gridAfter w:val="1"/>
          <w:wAfter w:w="236" w:type="dxa"/>
          <w:trHeight w:val="622"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48.05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48.05</w:t>
            </w:r>
          </w:p>
        </w:tc>
      </w:tr>
      <w:tr>
        <w:tblPrEx>
          <w:tblLayout w:type="fixed"/>
          <w:tblCellMar>
            <w:top w:w="0" w:type="dxa"/>
            <w:left w:w="108" w:type="dxa"/>
            <w:bottom w:w="0" w:type="dxa"/>
            <w:right w:w="108" w:type="dxa"/>
          </w:tblCellMar>
        </w:tblPrEx>
        <w:trPr>
          <w:gridAfter w:val="1"/>
          <w:wAfter w:w="236" w:type="dxa"/>
          <w:trHeight w:val="336"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454" w:hRule="atLeast"/>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236" w:type="dxa"/>
          <w:trHeight w:val="1177" w:hRule="atLeast"/>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p>
            <w:pPr>
              <w:widowControl/>
              <w:spacing w:line="320" w:lineRule="exact"/>
              <w:jc w:val="left"/>
              <w:textAlignment w:val="top"/>
              <w:rPr>
                <w:rFonts w:ascii="宋体" w:hAnsi="宋体" w:cs="宋体"/>
                <w:sz w:val="24"/>
              </w:rPr>
            </w:pPr>
            <w:r>
              <w:rPr>
                <w:rFonts w:hint="eastAsia" w:ascii="宋体" w:hAnsi="宋体" w:cs="宋体"/>
                <w:sz w:val="24"/>
              </w:rPr>
              <w:t>通过实行专业化清扫保洁，为辖区居民创造干净舒适的居住环境。</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通过实行专业化清扫保洁，为辖区居民创造干净舒适的居住环境。</w:t>
            </w:r>
          </w:p>
        </w:tc>
      </w:tr>
      <w:tr>
        <w:tblPrEx>
          <w:tblLayout w:type="fixed"/>
          <w:tblCellMar>
            <w:top w:w="0" w:type="dxa"/>
            <w:left w:w="108" w:type="dxa"/>
            <w:bottom w:w="0" w:type="dxa"/>
            <w:right w:w="108" w:type="dxa"/>
          </w:tblCellMar>
        </w:tblPrEx>
        <w:trPr>
          <w:gridAfter w:val="1"/>
          <w:wAfter w:w="236" w:type="dxa"/>
          <w:trHeight w:val="965" w:hRule="atLeast"/>
        </w:trPr>
        <w:tc>
          <w:tcPr>
            <w:tcW w:w="175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Layout w:type="fixed"/>
          <w:tblCellMar>
            <w:top w:w="0" w:type="dxa"/>
            <w:left w:w="108" w:type="dxa"/>
            <w:bottom w:w="0" w:type="dxa"/>
            <w:right w:w="108" w:type="dxa"/>
          </w:tblCellMar>
        </w:tblPrEx>
        <w:trPr>
          <w:gridAfter w:val="1"/>
          <w:wAfter w:w="236" w:type="dxa"/>
          <w:trHeight w:val="611"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垃圾清运、公厕管理、清扫保洁</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攀钢家属区34路、103及104路公交车沿线垃圾清运工作，6-8月每天垃圾及时清运。</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已完成</w:t>
            </w:r>
          </w:p>
        </w:tc>
      </w:tr>
      <w:tr>
        <w:tblPrEx>
          <w:tblLayout w:type="fixed"/>
          <w:tblCellMar>
            <w:top w:w="0" w:type="dxa"/>
            <w:left w:w="108" w:type="dxa"/>
            <w:bottom w:w="0" w:type="dxa"/>
            <w:right w:w="108" w:type="dxa"/>
          </w:tblCellMar>
        </w:tblPrEx>
        <w:trPr>
          <w:gridAfter w:val="1"/>
          <w:wAfter w:w="236" w:type="dxa"/>
          <w:trHeight w:val="1024"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提升工作管理水平</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通过考核及巡查等方式提升保洁水平，卫生达到干净整洁。</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监督好垃圾清运工作，做到垃圾清运及时。</w:t>
            </w:r>
          </w:p>
        </w:tc>
      </w:tr>
      <w:tr>
        <w:tblPrEx>
          <w:tblLayout w:type="fixed"/>
          <w:tblCellMar>
            <w:top w:w="0" w:type="dxa"/>
            <w:left w:w="108" w:type="dxa"/>
            <w:bottom w:w="0" w:type="dxa"/>
            <w:right w:w="108" w:type="dxa"/>
          </w:tblCellMar>
        </w:tblPrEx>
        <w:trPr>
          <w:gridAfter w:val="1"/>
          <w:wAfter w:w="236" w:type="dxa"/>
          <w:trHeight w:val="648"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Layout w:type="fixed"/>
          <w:tblCellMar>
            <w:top w:w="0" w:type="dxa"/>
            <w:left w:w="108" w:type="dxa"/>
            <w:bottom w:w="0" w:type="dxa"/>
            <w:right w:w="108" w:type="dxa"/>
          </w:tblCellMar>
        </w:tblPrEx>
        <w:trPr>
          <w:gridAfter w:val="1"/>
          <w:wAfter w:w="236" w:type="dxa"/>
          <w:trHeight w:val="54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垃圾清运、公厕管理、清扫保洁费用</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sz w:val="24"/>
              </w:rPr>
              <w:t>48.05</w:t>
            </w:r>
            <w:r>
              <w:rPr>
                <w:rFonts w:hint="eastAsia" w:ascii="仿宋_GB2312" w:hAnsi="仿宋_GB2312" w:eastAsia="仿宋_GB2312" w:cs="仿宋_GB2312"/>
                <w:sz w:val="28"/>
                <w:szCs w:val="28"/>
              </w:rPr>
              <w:t>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sz w:val="24"/>
              </w:rPr>
              <w:t>48.05</w:t>
            </w:r>
            <w:r>
              <w:rPr>
                <w:rFonts w:hint="eastAsia" w:ascii="仿宋_GB2312" w:hAnsi="仿宋_GB2312" w:eastAsia="仿宋_GB2312" w:cs="仿宋_GB2312"/>
                <w:sz w:val="28"/>
                <w:szCs w:val="28"/>
              </w:rPr>
              <w:t>万</w:t>
            </w:r>
          </w:p>
        </w:tc>
      </w:tr>
      <w:tr>
        <w:tblPrEx>
          <w:tblLayout w:type="fixed"/>
          <w:tblCellMar>
            <w:top w:w="0" w:type="dxa"/>
            <w:left w:w="108" w:type="dxa"/>
            <w:bottom w:w="0" w:type="dxa"/>
            <w:right w:w="108" w:type="dxa"/>
          </w:tblCellMar>
        </w:tblPrEx>
        <w:trPr>
          <w:gridAfter w:val="1"/>
          <w:wAfter w:w="236" w:type="dxa"/>
          <w:trHeight w:val="9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管理好社会事务</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改善人居环境</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更好为居民提供便利。</w:t>
            </w:r>
          </w:p>
        </w:tc>
      </w:tr>
      <w:tr>
        <w:tblPrEx>
          <w:tblLayout w:type="fixed"/>
          <w:tblCellMar>
            <w:top w:w="0" w:type="dxa"/>
            <w:left w:w="108" w:type="dxa"/>
            <w:bottom w:w="0" w:type="dxa"/>
            <w:right w:w="108" w:type="dxa"/>
          </w:tblCellMar>
        </w:tblPrEx>
        <w:trPr>
          <w:gridAfter w:val="1"/>
          <w:wAfter w:w="236" w:type="dxa"/>
          <w:trHeight w:val="761" w:hRule="atLeast"/>
        </w:trPr>
        <w:tc>
          <w:tcPr>
            <w:tcW w:w="175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居民满意度</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widowControl/>
        <w:adjustRightInd w:val="0"/>
        <w:snapToGrid w:val="0"/>
        <w:spacing w:line="580" w:lineRule="exact"/>
        <w:contextualSpacing/>
        <w:jc w:val="left"/>
        <w:rPr>
          <w:rStyle w:val="25"/>
          <w:rFonts w:ascii="黑体" w:hAnsi="黑体" w:eastAsia="黑体"/>
          <w:b w:val="0"/>
        </w:rPr>
      </w:pPr>
    </w:p>
    <w:p>
      <w:pPr>
        <w:pStyle w:val="2"/>
        <w:spacing w:before="93"/>
        <w:rPr>
          <w:rFonts w:ascii="黑体" w:hAnsi="黑体" w:eastAsia="黑体"/>
          <w:sz w:val="44"/>
          <w:szCs w:val="44"/>
        </w:rPr>
      </w:pPr>
      <w:r>
        <w:rPr>
          <w:rStyle w:val="25"/>
          <w:rFonts w:ascii="黑体" w:hAnsi="黑体" w:eastAsia="黑体"/>
          <w:b w:val="0"/>
        </w:rPr>
        <w:br w:type="page"/>
      </w:r>
    </w:p>
    <w:tbl>
      <w:tblPr>
        <w:tblStyle w:val="16"/>
        <w:tblpPr w:leftFromText="180" w:rightFromText="180" w:vertAnchor="text" w:horzAnchor="page" w:tblpX="1281" w:tblpY="660"/>
        <w:tblOverlap w:val="never"/>
        <w:tblW w:w="9704" w:type="dxa"/>
        <w:tblInd w:w="0" w:type="dxa"/>
        <w:tblLayout w:type="fixed"/>
        <w:tblCellMar>
          <w:top w:w="0" w:type="dxa"/>
          <w:left w:w="108" w:type="dxa"/>
          <w:bottom w:w="0" w:type="dxa"/>
          <w:right w:w="108" w:type="dxa"/>
        </w:tblCellMar>
      </w:tblPr>
      <w:tblGrid>
        <w:gridCol w:w="1756"/>
        <w:gridCol w:w="1113"/>
        <w:gridCol w:w="1385"/>
        <w:gridCol w:w="1877"/>
        <w:gridCol w:w="2135"/>
        <w:gridCol w:w="1438"/>
      </w:tblGrid>
      <w:tr>
        <w:tblPrEx>
          <w:tblLayout w:type="fixed"/>
          <w:tblCellMar>
            <w:top w:w="0" w:type="dxa"/>
            <w:left w:w="108" w:type="dxa"/>
            <w:bottom w:w="0" w:type="dxa"/>
            <w:right w:w="108" w:type="dxa"/>
          </w:tblCellMar>
        </w:tblPrEx>
        <w:trPr>
          <w:trHeight w:val="646" w:hRule="atLeast"/>
        </w:trPr>
        <w:tc>
          <w:tcPr>
            <w:tcW w:w="9704"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森林草原防灭火工作经费绩效评价</w:t>
            </w:r>
          </w:p>
        </w:tc>
      </w:tr>
      <w:tr>
        <w:tblPrEx>
          <w:tblLayout w:type="fixed"/>
          <w:tblCellMar>
            <w:top w:w="0" w:type="dxa"/>
            <w:left w:w="108" w:type="dxa"/>
            <w:bottom w:w="0" w:type="dxa"/>
            <w:right w:w="108" w:type="dxa"/>
          </w:tblCellMar>
        </w:tblPrEx>
        <w:trPr>
          <w:trHeight w:val="622" w:hRule="atLeast"/>
        </w:trPr>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128001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西区清香坪街道办事处</w:t>
            </w:r>
          </w:p>
        </w:tc>
      </w:tr>
      <w:tr>
        <w:tblPrEx>
          <w:tblLayout w:type="fixed"/>
          <w:tblCellMar>
            <w:top w:w="0" w:type="dxa"/>
            <w:left w:w="108" w:type="dxa"/>
            <w:bottom w:w="0" w:type="dxa"/>
            <w:right w:w="108" w:type="dxa"/>
          </w:tblCellMar>
        </w:tblPrEx>
        <w:trPr>
          <w:trHeight w:val="336" w:hRule="atLeast"/>
        </w:trPr>
        <w:tc>
          <w:tcPr>
            <w:tcW w:w="28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11.00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9.90</w:t>
            </w:r>
          </w:p>
        </w:tc>
      </w:tr>
      <w:tr>
        <w:tblPrEx>
          <w:tblLayout w:type="fixed"/>
          <w:tblCellMar>
            <w:top w:w="0" w:type="dxa"/>
            <w:left w:w="108" w:type="dxa"/>
            <w:bottom w:w="0" w:type="dxa"/>
            <w:right w:w="108" w:type="dxa"/>
          </w:tblCellMar>
        </w:tblPrEx>
        <w:trPr>
          <w:trHeight w:val="622"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11.00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9.90</w:t>
            </w:r>
          </w:p>
        </w:tc>
      </w:tr>
      <w:tr>
        <w:tblPrEx>
          <w:tblLayout w:type="fixed"/>
          <w:tblCellMar>
            <w:top w:w="0" w:type="dxa"/>
            <w:left w:w="108" w:type="dxa"/>
            <w:bottom w:w="0" w:type="dxa"/>
            <w:right w:w="108" w:type="dxa"/>
          </w:tblCellMar>
        </w:tblPrEx>
        <w:trPr>
          <w:trHeight w:val="336" w:hRule="atLeast"/>
        </w:trPr>
        <w:tc>
          <w:tcPr>
            <w:tcW w:w="28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trHeight w:val="454" w:hRule="atLeast"/>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trHeight w:val="1177" w:hRule="atLeast"/>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p>
            <w:pPr>
              <w:widowControl/>
              <w:spacing w:line="320" w:lineRule="exact"/>
              <w:jc w:val="left"/>
              <w:textAlignment w:val="top"/>
              <w:rPr>
                <w:rFonts w:ascii="宋体" w:hAnsi="宋体" w:cs="宋体"/>
                <w:sz w:val="24"/>
              </w:rPr>
            </w:pPr>
            <w:r>
              <w:rPr>
                <w:rFonts w:hint="eastAsia" w:ascii="宋体" w:hAnsi="宋体" w:cs="宋体"/>
                <w:sz w:val="24"/>
              </w:rPr>
              <w:t>保证全年森林草原防灭火工作顺利进行，全年不出现森林火灾。</w:t>
            </w:r>
          </w:p>
        </w:tc>
        <w:tc>
          <w:tcPr>
            <w:tcW w:w="357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已完成全年森林草原防灭火工作顺利进行，保障全年不出现森林火灾。</w:t>
            </w:r>
          </w:p>
        </w:tc>
      </w:tr>
      <w:tr>
        <w:tblPrEx>
          <w:tblLayout w:type="fixed"/>
          <w:tblCellMar>
            <w:top w:w="0" w:type="dxa"/>
            <w:left w:w="108" w:type="dxa"/>
            <w:bottom w:w="0" w:type="dxa"/>
            <w:right w:w="108" w:type="dxa"/>
          </w:tblCellMar>
        </w:tblPrEx>
        <w:trPr>
          <w:trHeight w:val="965" w:hRule="atLeast"/>
        </w:trPr>
        <w:tc>
          <w:tcPr>
            <w:tcW w:w="175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Layout w:type="fixed"/>
          <w:tblCellMar>
            <w:top w:w="0" w:type="dxa"/>
            <w:left w:w="108" w:type="dxa"/>
            <w:bottom w:w="0" w:type="dxa"/>
            <w:right w:w="108" w:type="dxa"/>
          </w:tblCellMar>
        </w:tblPrEx>
        <w:trPr>
          <w:trHeight w:val="909"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森林草原防灭火</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14000份</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14000份</w:t>
            </w:r>
          </w:p>
        </w:tc>
      </w:tr>
      <w:tr>
        <w:tblPrEx>
          <w:tblLayout w:type="fixed"/>
          <w:tblCellMar>
            <w:top w:w="0" w:type="dxa"/>
            <w:left w:w="108" w:type="dxa"/>
            <w:bottom w:w="0" w:type="dxa"/>
            <w:right w:w="108" w:type="dxa"/>
          </w:tblCellMar>
        </w:tblPrEx>
        <w:trPr>
          <w:trHeight w:val="1024"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有效预防森林火灾</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保障辖区全年不出现森林火灾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保障全年不出现森林火灾。</w:t>
            </w:r>
          </w:p>
        </w:tc>
      </w:tr>
      <w:tr>
        <w:tblPrEx>
          <w:tblLayout w:type="fixed"/>
          <w:tblCellMar>
            <w:top w:w="0" w:type="dxa"/>
            <w:left w:w="108" w:type="dxa"/>
            <w:bottom w:w="0" w:type="dxa"/>
            <w:right w:w="108" w:type="dxa"/>
          </w:tblCellMar>
        </w:tblPrEx>
        <w:trPr>
          <w:trHeight w:val="648"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Layout w:type="fixed"/>
          <w:tblCellMar>
            <w:top w:w="0" w:type="dxa"/>
            <w:left w:w="108" w:type="dxa"/>
            <w:bottom w:w="0" w:type="dxa"/>
            <w:right w:w="108" w:type="dxa"/>
          </w:tblCellMar>
        </w:tblPrEx>
        <w:trPr>
          <w:trHeight w:val="961"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森林草原防灭火费</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sz w:val="24"/>
              </w:rPr>
              <w:t>11.00</w:t>
            </w:r>
            <w:r>
              <w:rPr>
                <w:rFonts w:hint="eastAsia" w:ascii="仿宋_GB2312" w:hAnsi="仿宋_GB2312" w:eastAsia="仿宋_GB2312" w:cs="仿宋_GB2312"/>
                <w:sz w:val="28"/>
                <w:szCs w:val="28"/>
              </w:rPr>
              <w:t>万</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sz w:val="24"/>
              </w:rPr>
              <w:t>9.9万</w:t>
            </w:r>
          </w:p>
        </w:tc>
      </w:tr>
      <w:tr>
        <w:tblPrEx>
          <w:tblLayout w:type="fixed"/>
          <w:tblCellMar>
            <w:top w:w="0" w:type="dxa"/>
            <w:left w:w="108" w:type="dxa"/>
            <w:bottom w:w="0" w:type="dxa"/>
            <w:right w:w="108" w:type="dxa"/>
          </w:tblCellMar>
        </w:tblPrEx>
        <w:trPr>
          <w:trHeight w:val="1320" w:hRule="atLeast"/>
        </w:trPr>
        <w:tc>
          <w:tcPr>
            <w:tcW w:w="175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提供群众防护意识</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增强森林防火责任意识</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森林资源得到有效保护</w:t>
            </w:r>
          </w:p>
        </w:tc>
      </w:tr>
      <w:tr>
        <w:tblPrEx>
          <w:tblLayout w:type="fixed"/>
          <w:tblCellMar>
            <w:top w:w="0" w:type="dxa"/>
            <w:left w:w="108" w:type="dxa"/>
            <w:bottom w:w="0" w:type="dxa"/>
            <w:right w:w="108" w:type="dxa"/>
          </w:tblCellMar>
        </w:tblPrEx>
        <w:trPr>
          <w:trHeight w:val="761" w:hRule="atLeast"/>
        </w:trPr>
        <w:tc>
          <w:tcPr>
            <w:tcW w:w="175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群众满意度</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pStyle w:val="2"/>
        <w:spacing w:before="93"/>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bookmarkStart w:id="102" w:name="_Toc13297"/>
      <w:bookmarkStart w:id="103" w:name="_Toc3748"/>
      <w:r>
        <w:rPr>
          <w:rFonts w:hint="eastAsia" w:ascii="黑体" w:hAnsi="黑体" w:eastAsia="黑体"/>
          <w:sz w:val="44"/>
          <w:szCs w:val="44"/>
        </w:rPr>
        <w:t>第</w:t>
      </w:r>
      <w:r>
        <w:rPr>
          <w:rStyle w:val="25"/>
          <w:rFonts w:hint="eastAsia" w:ascii="黑体" w:hAnsi="黑体" w:eastAsia="黑体"/>
          <w:b w:val="0"/>
        </w:rPr>
        <w:t>五部分 附表</w:t>
      </w:r>
      <w:bookmarkEnd w:id="87"/>
      <w:bookmarkEnd w:id="101"/>
      <w:bookmarkEnd w:id="102"/>
      <w:bookmarkEnd w:id="103"/>
      <w:bookmarkStart w:id="104" w:name="_Toc15396619"/>
    </w:p>
    <w:p>
      <w:pPr>
        <w:pStyle w:val="4"/>
        <w:rPr>
          <w:rFonts w:ascii="仿宋" w:hAnsi="仿宋" w:eastAsia="仿宋"/>
        </w:rPr>
      </w:pPr>
      <w:bookmarkStart w:id="105" w:name="_Toc15436"/>
      <w:bookmarkStart w:id="106" w:name="_Toc2612"/>
      <w:r>
        <w:rPr>
          <w:rFonts w:hint="eastAsia" w:ascii="仿宋" w:hAnsi="仿宋" w:eastAsia="仿宋"/>
          <w:b w:val="0"/>
        </w:rPr>
        <w:t>一、收</w:t>
      </w:r>
      <w:r>
        <w:rPr>
          <w:rStyle w:val="26"/>
          <w:rFonts w:hint="eastAsia" w:ascii="仿宋" w:hAnsi="仿宋" w:eastAsia="仿宋"/>
          <w:b w:val="0"/>
          <w:bCs w:val="0"/>
        </w:rPr>
        <w:t>入支出决算总表</w:t>
      </w:r>
      <w:bookmarkEnd w:id="104"/>
      <w:bookmarkEnd w:id="105"/>
      <w:bookmarkEnd w:id="106"/>
    </w:p>
    <w:p>
      <w:pPr>
        <w:pStyle w:val="4"/>
        <w:rPr>
          <w:rFonts w:ascii="仿宋" w:hAnsi="仿宋" w:eastAsia="仿宋"/>
        </w:rPr>
      </w:pPr>
      <w:bookmarkStart w:id="107" w:name="_Toc15396620"/>
      <w:bookmarkStart w:id="108" w:name="_Toc10422"/>
      <w:bookmarkStart w:id="109" w:name="_Toc29783"/>
      <w:r>
        <w:rPr>
          <w:rFonts w:hint="eastAsia" w:ascii="仿宋" w:hAnsi="仿宋" w:eastAsia="仿宋"/>
          <w:b w:val="0"/>
        </w:rPr>
        <w:t>二、收</w:t>
      </w:r>
      <w:r>
        <w:rPr>
          <w:rStyle w:val="26"/>
          <w:rFonts w:hint="eastAsia" w:ascii="仿宋" w:hAnsi="仿宋" w:eastAsia="仿宋"/>
          <w:b w:val="0"/>
          <w:bCs w:val="0"/>
        </w:rPr>
        <w:t>入决算表</w:t>
      </w:r>
      <w:bookmarkEnd w:id="107"/>
      <w:bookmarkEnd w:id="108"/>
      <w:bookmarkEnd w:id="109"/>
    </w:p>
    <w:p>
      <w:pPr>
        <w:pStyle w:val="4"/>
        <w:rPr>
          <w:rFonts w:ascii="仿宋" w:hAnsi="仿宋" w:eastAsia="仿宋"/>
        </w:rPr>
      </w:pPr>
      <w:bookmarkStart w:id="110" w:name="_Toc15396621"/>
      <w:bookmarkStart w:id="111" w:name="_Toc16722"/>
      <w:bookmarkStart w:id="112" w:name="_Toc4228"/>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110"/>
      <w:bookmarkEnd w:id="111"/>
      <w:bookmarkEnd w:id="112"/>
    </w:p>
    <w:p>
      <w:pPr>
        <w:pStyle w:val="4"/>
        <w:rPr>
          <w:rFonts w:ascii="仿宋" w:hAnsi="仿宋" w:eastAsia="仿宋"/>
          <w:b w:val="0"/>
        </w:rPr>
      </w:pPr>
      <w:bookmarkStart w:id="113" w:name="_Toc15396622"/>
      <w:bookmarkStart w:id="114" w:name="_Toc27239"/>
      <w:bookmarkStart w:id="115" w:name="_Toc423"/>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113"/>
      <w:bookmarkEnd w:id="114"/>
      <w:bookmarkEnd w:id="115"/>
    </w:p>
    <w:p>
      <w:pPr>
        <w:pStyle w:val="4"/>
        <w:rPr>
          <w:rStyle w:val="26"/>
          <w:rFonts w:ascii="仿宋" w:hAnsi="仿宋" w:eastAsia="仿宋"/>
          <w:b w:val="0"/>
          <w:bCs w:val="0"/>
        </w:rPr>
      </w:pPr>
      <w:bookmarkStart w:id="116" w:name="_Toc15396623"/>
      <w:bookmarkStart w:id="117" w:name="_Toc8068"/>
      <w:bookmarkStart w:id="118" w:name="_Toc1191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116"/>
      <w:bookmarkEnd w:id="117"/>
      <w:bookmarkEnd w:id="118"/>
      <w:bookmarkStart w:id="119" w:name="_Toc15396624"/>
    </w:p>
    <w:p>
      <w:pPr>
        <w:pStyle w:val="4"/>
        <w:rPr>
          <w:rFonts w:ascii="仿宋" w:hAnsi="仿宋" w:eastAsia="仿宋"/>
        </w:rPr>
      </w:pPr>
      <w:bookmarkStart w:id="120" w:name="_Toc5067"/>
      <w:bookmarkStart w:id="121" w:name="_Toc29488"/>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19"/>
      <w:bookmarkEnd w:id="120"/>
      <w:bookmarkEnd w:id="121"/>
    </w:p>
    <w:p>
      <w:pPr>
        <w:pStyle w:val="4"/>
        <w:rPr>
          <w:rFonts w:ascii="仿宋" w:hAnsi="仿宋" w:eastAsia="仿宋"/>
        </w:rPr>
      </w:pPr>
      <w:bookmarkStart w:id="122" w:name="_Toc10319"/>
      <w:bookmarkStart w:id="123" w:name="_Toc17536"/>
      <w:bookmarkStart w:id="12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22"/>
      <w:bookmarkEnd w:id="123"/>
      <w:bookmarkEnd w:id="124"/>
    </w:p>
    <w:p>
      <w:pPr>
        <w:pStyle w:val="4"/>
        <w:rPr>
          <w:rFonts w:ascii="仿宋" w:hAnsi="仿宋" w:eastAsia="仿宋"/>
        </w:rPr>
      </w:pPr>
      <w:bookmarkStart w:id="125" w:name="_Toc15396626"/>
      <w:bookmarkStart w:id="126" w:name="_Toc21036"/>
      <w:bookmarkStart w:id="127" w:name="_Toc12084"/>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25"/>
      <w:bookmarkEnd w:id="126"/>
      <w:bookmarkEnd w:id="127"/>
    </w:p>
    <w:p>
      <w:pPr>
        <w:pStyle w:val="4"/>
        <w:rPr>
          <w:rFonts w:ascii="仿宋" w:hAnsi="仿宋" w:eastAsia="仿宋"/>
        </w:rPr>
      </w:pPr>
      <w:bookmarkStart w:id="128" w:name="_Toc15396627"/>
      <w:bookmarkStart w:id="129" w:name="_Toc11277"/>
      <w:bookmarkStart w:id="130" w:name="_Toc24031"/>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28"/>
      <w:bookmarkEnd w:id="129"/>
      <w:bookmarkEnd w:id="130"/>
    </w:p>
    <w:p>
      <w:pPr>
        <w:pStyle w:val="4"/>
        <w:rPr>
          <w:rFonts w:ascii="仿宋" w:hAnsi="仿宋" w:eastAsia="仿宋"/>
        </w:rPr>
      </w:pPr>
      <w:bookmarkStart w:id="131" w:name="_Toc12014"/>
      <w:bookmarkStart w:id="132" w:name="_Toc9593"/>
      <w:bookmarkStart w:id="13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31"/>
      <w:bookmarkEnd w:id="132"/>
      <w:bookmarkEnd w:id="133"/>
    </w:p>
    <w:p>
      <w:pPr>
        <w:pStyle w:val="4"/>
        <w:rPr>
          <w:rFonts w:ascii="仿宋" w:hAnsi="仿宋" w:eastAsia="仿宋"/>
        </w:rPr>
      </w:pPr>
      <w:bookmarkStart w:id="134" w:name="_Toc28652"/>
      <w:bookmarkStart w:id="135" w:name="_Toc13323"/>
      <w:bookmarkStart w:id="136"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34"/>
      <w:bookmarkEnd w:id="135"/>
      <w:bookmarkEnd w:id="136"/>
    </w:p>
    <w:p>
      <w:pPr>
        <w:pStyle w:val="4"/>
        <w:rPr>
          <w:rFonts w:ascii="仿宋" w:hAnsi="仿宋" w:eastAsia="仿宋"/>
        </w:rPr>
      </w:pPr>
      <w:bookmarkStart w:id="137" w:name="_Toc15396630"/>
      <w:bookmarkStart w:id="138" w:name="_Toc7807"/>
      <w:bookmarkStart w:id="139" w:name="_Toc30625"/>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37"/>
      <w:bookmarkEnd w:id="138"/>
      <w:bookmarkEnd w:id="139"/>
    </w:p>
    <w:p>
      <w:pPr>
        <w:pStyle w:val="4"/>
        <w:rPr>
          <w:rStyle w:val="26"/>
          <w:rFonts w:ascii="仿宋" w:hAnsi="仿宋" w:eastAsia="仿宋"/>
          <w:b w:val="0"/>
          <w:bCs w:val="0"/>
        </w:rPr>
      </w:pPr>
      <w:bookmarkStart w:id="140" w:name="_Toc4815"/>
      <w:bookmarkStart w:id="141" w:name="_Toc16553"/>
      <w:bookmarkStart w:id="142"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40"/>
      <w:bookmarkEnd w:id="141"/>
      <w:bookmarkEnd w:id="142"/>
    </w:p>
    <w:p>
      <w:pPr>
        <w:rPr>
          <w:rFonts w:eastAsia="仿宋"/>
        </w:rPr>
      </w:pPr>
      <w:bookmarkStart w:id="143" w:name="_Toc17700"/>
      <w:bookmarkStart w:id="144" w:name="_Toc30647"/>
      <w:r>
        <w:rPr>
          <w:rStyle w:val="26"/>
          <w:rFonts w:hint="eastAsia" w:ascii="仿宋" w:hAnsi="仿宋" w:eastAsia="仿宋"/>
          <w:b w:val="0"/>
          <w:bCs w:val="0"/>
        </w:rPr>
        <w:t>十四、国有资本经营预算财政拨款支出决算表</w:t>
      </w:r>
      <w:bookmarkEnd w:id="143"/>
      <w:bookmarkEnd w:id="14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53994"/>
    <w:multiLevelType w:val="singleLevel"/>
    <w:tmpl w:val="9315399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2OGNhZTk0NDYxNWM5MGE1MTMzMzVjZGVkYTU5Nz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5AF8"/>
    <w:rsid w:val="00142216"/>
    <w:rsid w:val="00144D6A"/>
    <w:rsid w:val="0014729F"/>
    <w:rsid w:val="00157BAB"/>
    <w:rsid w:val="001654D1"/>
    <w:rsid w:val="00174518"/>
    <w:rsid w:val="0018106D"/>
    <w:rsid w:val="001877A7"/>
    <w:rsid w:val="00191536"/>
    <w:rsid w:val="00196687"/>
    <w:rsid w:val="001C0962"/>
    <w:rsid w:val="001D7531"/>
    <w:rsid w:val="001E1200"/>
    <w:rsid w:val="001E737D"/>
    <w:rsid w:val="001F0592"/>
    <w:rsid w:val="001F7506"/>
    <w:rsid w:val="002006CD"/>
    <w:rsid w:val="00202B36"/>
    <w:rsid w:val="00204B7A"/>
    <w:rsid w:val="00204CDE"/>
    <w:rsid w:val="0021101A"/>
    <w:rsid w:val="00220536"/>
    <w:rsid w:val="00235629"/>
    <w:rsid w:val="00260C38"/>
    <w:rsid w:val="002616C0"/>
    <w:rsid w:val="00265372"/>
    <w:rsid w:val="00265D5B"/>
    <w:rsid w:val="002662AA"/>
    <w:rsid w:val="00280496"/>
    <w:rsid w:val="00294DC9"/>
    <w:rsid w:val="00295495"/>
    <w:rsid w:val="002A31DE"/>
    <w:rsid w:val="002B036C"/>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0996"/>
    <w:rsid w:val="00406254"/>
    <w:rsid w:val="004223DE"/>
    <w:rsid w:val="00433985"/>
    <w:rsid w:val="00434489"/>
    <w:rsid w:val="00437085"/>
    <w:rsid w:val="00443880"/>
    <w:rsid w:val="004464F4"/>
    <w:rsid w:val="004708E9"/>
    <w:rsid w:val="00471401"/>
    <w:rsid w:val="00473F31"/>
    <w:rsid w:val="0048263A"/>
    <w:rsid w:val="00487E5D"/>
    <w:rsid w:val="004A711F"/>
    <w:rsid w:val="004B199D"/>
    <w:rsid w:val="004B4690"/>
    <w:rsid w:val="004E0A2D"/>
    <w:rsid w:val="004E206B"/>
    <w:rsid w:val="004E6DF7"/>
    <w:rsid w:val="004F0FBD"/>
    <w:rsid w:val="004F3D43"/>
    <w:rsid w:val="00505A47"/>
    <w:rsid w:val="00512FDA"/>
    <w:rsid w:val="00520DA0"/>
    <w:rsid w:val="00553ACA"/>
    <w:rsid w:val="005664BB"/>
    <w:rsid w:val="00566FFA"/>
    <w:rsid w:val="0057481D"/>
    <w:rsid w:val="0058486E"/>
    <w:rsid w:val="00585B33"/>
    <w:rsid w:val="0059014D"/>
    <w:rsid w:val="005B5C64"/>
    <w:rsid w:val="005C5337"/>
    <w:rsid w:val="005C6A8D"/>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4D38"/>
    <w:rsid w:val="006440E4"/>
    <w:rsid w:val="0066343B"/>
    <w:rsid w:val="00664777"/>
    <w:rsid w:val="006748A4"/>
    <w:rsid w:val="00681A31"/>
    <w:rsid w:val="00683E73"/>
    <w:rsid w:val="00685A16"/>
    <w:rsid w:val="006A3141"/>
    <w:rsid w:val="006A5E34"/>
    <w:rsid w:val="006B2422"/>
    <w:rsid w:val="006B2B9A"/>
    <w:rsid w:val="006C1937"/>
    <w:rsid w:val="006F020C"/>
    <w:rsid w:val="007127B7"/>
    <w:rsid w:val="0071798E"/>
    <w:rsid w:val="007416B6"/>
    <w:rsid w:val="00746EB9"/>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7F59C0"/>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16"/>
    <w:rsid w:val="00902155"/>
    <w:rsid w:val="00902FA3"/>
    <w:rsid w:val="00923564"/>
    <w:rsid w:val="0092392E"/>
    <w:rsid w:val="009315F9"/>
    <w:rsid w:val="00933499"/>
    <w:rsid w:val="00935C98"/>
    <w:rsid w:val="0093615D"/>
    <w:rsid w:val="0094581C"/>
    <w:rsid w:val="00946945"/>
    <w:rsid w:val="00951248"/>
    <w:rsid w:val="0095152F"/>
    <w:rsid w:val="00954C49"/>
    <w:rsid w:val="00955E37"/>
    <w:rsid w:val="0097099F"/>
    <w:rsid w:val="00970BA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03FD"/>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2C77"/>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56EC"/>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4B06"/>
    <w:rsid w:val="00FD3CC1"/>
    <w:rsid w:val="00FF1E02"/>
    <w:rsid w:val="00FF30B4"/>
    <w:rsid w:val="01091830"/>
    <w:rsid w:val="010C6961"/>
    <w:rsid w:val="0115484C"/>
    <w:rsid w:val="01290D4F"/>
    <w:rsid w:val="017B4F7A"/>
    <w:rsid w:val="01855E75"/>
    <w:rsid w:val="018D47E0"/>
    <w:rsid w:val="01BB08E4"/>
    <w:rsid w:val="01F5453D"/>
    <w:rsid w:val="024022CC"/>
    <w:rsid w:val="02532603"/>
    <w:rsid w:val="02962674"/>
    <w:rsid w:val="030E1E01"/>
    <w:rsid w:val="032B06F8"/>
    <w:rsid w:val="03993F48"/>
    <w:rsid w:val="03AE72BF"/>
    <w:rsid w:val="03FB1A96"/>
    <w:rsid w:val="04017077"/>
    <w:rsid w:val="04431AA6"/>
    <w:rsid w:val="044E2FC1"/>
    <w:rsid w:val="045B3267"/>
    <w:rsid w:val="048F48D1"/>
    <w:rsid w:val="049565F6"/>
    <w:rsid w:val="049B779D"/>
    <w:rsid w:val="04A07401"/>
    <w:rsid w:val="04E81F54"/>
    <w:rsid w:val="051245C6"/>
    <w:rsid w:val="05151D6C"/>
    <w:rsid w:val="05243518"/>
    <w:rsid w:val="058401FF"/>
    <w:rsid w:val="05960C0C"/>
    <w:rsid w:val="05A44991"/>
    <w:rsid w:val="05D9547A"/>
    <w:rsid w:val="060E3DCC"/>
    <w:rsid w:val="06437994"/>
    <w:rsid w:val="066A4116"/>
    <w:rsid w:val="066E0107"/>
    <w:rsid w:val="06A23F41"/>
    <w:rsid w:val="06B153FC"/>
    <w:rsid w:val="06C364F7"/>
    <w:rsid w:val="06D00800"/>
    <w:rsid w:val="06DD33B1"/>
    <w:rsid w:val="06F855A2"/>
    <w:rsid w:val="070678D8"/>
    <w:rsid w:val="072C49CA"/>
    <w:rsid w:val="0777260C"/>
    <w:rsid w:val="07996F6E"/>
    <w:rsid w:val="07E80769"/>
    <w:rsid w:val="07F47E77"/>
    <w:rsid w:val="08351025"/>
    <w:rsid w:val="083E571F"/>
    <w:rsid w:val="084D2CE4"/>
    <w:rsid w:val="08831069"/>
    <w:rsid w:val="0895520D"/>
    <w:rsid w:val="08B60441"/>
    <w:rsid w:val="08B6413A"/>
    <w:rsid w:val="08BA707F"/>
    <w:rsid w:val="08E44E70"/>
    <w:rsid w:val="09EB3178"/>
    <w:rsid w:val="09EE6E42"/>
    <w:rsid w:val="0A0B64A3"/>
    <w:rsid w:val="0A2032A3"/>
    <w:rsid w:val="0A3538F6"/>
    <w:rsid w:val="0A522A3F"/>
    <w:rsid w:val="0A945E32"/>
    <w:rsid w:val="0A971A0D"/>
    <w:rsid w:val="0A9A184B"/>
    <w:rsid w:val="0AE51BD0"/>
    <w:rsid w:val="0B6909C3"/>
    <w:rsid w:val="0B9C7757"/>
    <w:rsid w:val="0BC74F4F"/>
    <w:rsid w:val="0BDE2D04"/>
    <w:rsid w:val="0C045C9A"/>
    <w:rsid w:val="0C066182"/>
    <w:rsid w:val="0C075E29"/>
    <w:rsid w:val="0C0E2DC7"/>
    <w:rsid w:val="0C167913"/>
    <w:rsid w:val="0C1D4BF8"/>
    <w:rsid w:val="0C8241BB"/>
    <w:rsid w:val="0C85516D"/>
    <w:rsid w:val="0C967D9C"/>
    <w:rsid w:val="0CC6468B"/>
    <w:rsid w:val="0CF22801"/>
    <w:rsid w:val="0CF556D8"/>
    <w:rsid w:val="0D041D6E"/>
    <w:rsid w:val="0D454939"/>
    <w:rsid w:val="0D474637"/>
    <w:rsid w:val="0D485E59"/>
    <w:rsid w:val="0D604ABB"/>
    <w:rsid w:val="0D655811"/>
    <w:rsid w:val="0DC17883"/>
    <w:rsid w:val="0DF8647A"/>
    <w:rsid w:val="0E1812A8"/>
    <w:rsid w:val="0E4473D0"/>
    <w:rsid w:val="0E6A1F09"/>
    <w:rsid w:val="0E9C7FE8"/>
    <w:rsid w:val="0EBF0A45"/>
    <w:rsid w:val="0EC51B58"/>
    <w:rsid w:val="0ECA71E1"/>
    <w:rsid w:val="0ED565B7"/>
    <w:rsid w:val="0F4468D9"/>
    <w:rsid w:val="0F4904B0"/>
    <w:rsid w:val="0F766D94"/>
    <w:rsid w:val="0F951D48"/>
    <w:rsid w:val="0F9B1B31"/>
    <w:rsid w:val="0FAA7FD8"/>
    <w:rsid w:val="0FB83883"/>
    <w:rsid w:val="0FB87953"/>
    <w:rsid w:val="0FC2134F"/>
    <w:rsid w:val="0FD07A63"/>
    <w:rsid w:val="0FDD5522"/>
    <w:rsid w:val="0FFA31E4"/>
    <w:rsid w:val="101860EC"/>
    <w:rsid w:val="10596CAC"/>
    <w:rsid w:val="10A85521"/>
    <w:rsid w:val="10C055FF"/>
    <w:rsid w:val="10CB4865"/>
    <w:rsid w:val="10CD7784"/>
    <w:rsid w:val="10DA139D"/>
    <w:rsid w:val="10F97770"/>
    <w:rsid w:val="10F97C61"/>
    <w:rsid w:val="111179B6"/>
    <w:rsid w:val="111F6936"/>
    <w:rsid w:val="11437CC0"/>
    <w:rsid w:val="1153431D"/>
    <w:rsid w:val="1159086D"/>
    <w:rsid w:val="11727446"/>
    <w:rsid w:val="118024B7"/>
    <w:rsid w:val="118107EC"/>
    <w:rsid w:val="118B38AE"/>
    <w:rsid w:val="11AC4B61"/>
    <w:rsid w:val="121B57F7"/>
    <w:rsid w:val="12244128"/>
    <w:rsid w:val="122E47B7"/>
    <w:rsid w:val="1251247A"/>
    <w:rsid w:val="125B4186"/>
    <w:rsid w:val="12741D95"/>
    <w:rsid w:val="128E0F23"/>
    <w:rsid w:val="1291385D"/>
    <w:rsid w:val="12BF17AB"/>
    <w:rsid w:val="12DF1BBD"/>
    <w:rsid w:val="12EB5CC1"/>
    <w:rsid w:val="132A46FD"/>
    <w:rsid w:val="1342137F"/>
    <w:rsid w:val="134649B0"/>
    <w:rsid w:val="13767A26"/>
    <w:rsid w:val="13B65FC8"/>
    <w:rsid w:val="13BC5636"/>
    <w:rsid w:val="13CC51CC"/>
    <w:rsid w:val="13D50BC4"/>
    <w:rsid w:val="13F26A7E"/>
    <w:rsid w:val="14094C3F"/>
    <w:rsid w:val="141C2B16"/>
    <w:rsid w:val="145E3A5E"/>
    <w:rsid w:val="14AB6416"/>
    <w:rsid w:val="14BF68B5"/>
    <w:rsid w:val="14C90887"/>
    <w:rsid w:val="14F14A2C"/>
    <w:rsid w:val="15514054"/>
    <w:rsid w:val="157E3E86"/>
    <w:rsid w:val="157E667E"/>
    <w:rsid w:val="15BD5A27"/>
    <w:rsid w:val="15E3749A"/>
    <w:rsid w:val="165667F4"/>
    <w:rsid w:val="16BB723D"/>
    <w:rsid w:val="16F051B5"/>
    <w:rsid w:val="171A3FEE"/>
    <w:rsid w:val="17473180"/>
    <w:rsid w:val="17507229"/>
    <w:rsid w:val="176761D0"/>
    <w:rsid w:val="176937BB"/>
    <w:rsid w:val="17767FD4"/>
    <w:rsid w:val="17997BAD"/>
    <w:rsid w:val="179A5842"/>
    <w:rsid w:val="179A71F5"/>
    <w:rsid w:val="17BF722E"/>
    <w:rsid w:val="17F30A7F"/>
    <w:rsid w:val="184950B8"/>
    <w:rsid w:val="18817122"/>
    <w:rsid w:val="18B062A4"/>
    <w:rsid w:val="18CE2227"/>
    <w:rsid w:val="18DB70D8"/>
    <w:rsid w:val="18E37AC9"/>
    <w:rsid w:val="18E91D6D"/>
    <w:rsid w:val="19253EE3"/>
    <w:rsid w:val="19431D36"/>
    <w:rsid w:val="195054A6"/>
    <w:rsid w:val="195A3363"/>
    <w:rsid w:val="195D6C5C"/>
    <w:rsid w:val="19667307"/>
    <w:rsid w:val="19854E68"/>
    <w:rsid w:val="19950666"/>
    <w:rsid w:val="19B8795B"/>
    <w:rsid w:val="1A245B3E"/>
    <w:rsid w:val="1A3F5827"/>
    <w:rsid w:val="1A6472CA"/>
    <w:rsid w:val="1A6842DA"/>
    <w:rsid w:val="1A6E0DBC"/>
    <w:rsid w:val="1A84171B"/>
    <w:rsid w:val="1A9305A7"/>
    <w:rsid w:val="1AB06F63"/>
    <w:rsid w:val="1AB605CA"/>
    <w:rsid w:val="1ABB3497"/>
    <w:rsid w:val="1B436F72"/>
    <w:rsid w:val="1B831F1B"/>
    <w:rsid w:val="1B8B4B55"/>
    <w:rsid w:val="1BCD604B"/>
    <w:rsid w:val="1BE8440E"/>
    <w:rsid w:val="1CC27EB3"/>
    <w:rsid w:val="1CD2457C"/>
    <w:rsid w:val="1D155CEE"/>
    <w:rsid w:val="1D325B1C"/>
    <w:rsid w:val="1D3D576D"/>
    <w:rsid w:val="1D587496"/>
    <w:rsid w:val="1D5B3A83"/>
    <w:rsid w:val="1DB07D6A"/>
    <w:rsid w:val="1DB747DE"/>
    <w:rsid w:val="1DC239D5"/>
    <w:rsid w:val="1DCC5A70"/>
    <w:rsid w:val="1DCF095B"/>
    <w:rsid w:val="1E2D3F37"/>
    <w:rsid w:val="1E5E7F76"/>
    <w:rsid w:val="1E6E1C6C"/>
    <w:rsid w:val="1E8709B0"/>
    <w:rsid w:val="1E9929E3"/>
    <w:rsid w:val="1EAE4B19"/>
    <w:rsid w:val="1EEF31CF"/>
    <w:rsid w:val="1F637374"/>
    <w:rsid w:val="1F7D1AA1"/>
    <w:rsid w:val="1FBF421F"/>
    <w:rsid w:val="1FC71A92"/>
    <w:rsid w:val="1FE91A2A"/>
    <w:rsid w:val="200D3B4B"/>
    <w:rsid w:val="20711C7A"/>
    <w:rsid w:val="209D7AEE"/>
    <w:rsid w:val="209F26D8"/>
    <w:rsid w:val="20AA5465"/>
    <w:rsid w:val="20AE11CF"/>
    <w:rsid w:val="20AF4401"/>
    <w:rsid w:val="20CB3BA1"/>
    <w:rsid w:val="20D15EB2"/>
    <w:rsid w:val="20D85889"/>
    <w:rsid w:val="20E202C3"/>
    <w:rsid w:val="210C2976"/>
    <w:rsid w:val="21166B2E"/>
    <w:rsid w:val="2127553A"/>
    <w:rsid w:val="213E6E7B"/>
    <w:rsid w:val="21417AB3"/>
    <w:rsid w:val="214C0C99"/>
    <w:rsid w:val="2158689D"/>
    <w:rsid w:val="21966254"/>
    <w:rsid w:val="21AC0780"/>
    <w:rsid w:val="21B340E2"/>
    <w:rsid w:val="21F029CB"/>
    <w:rsid w:val="2209493D"/>
    <w:rsid w:val="220C37CE"/>
    <w:rsid w:val="22152696"/>
    <w:rsid w:val="225007FA"/>
    <w:rsid w:val="22812B22"/>
    <w:rsid w:val="22BA2CA8"/>
    <w:rsid w:val="22E74FD0"/>
    <w:rsid w:val="230E7FF1"/>
    <w:rsid w:val="231A3C96"/>
    <w:rsid w:val="232D7DF0"/>
    <w:rsid w:val="23367294"/>
    <w:rsid w:val="233F1C40"/>
    <w:rsid w:val="236502DB"/>
    <w:rsid w:val="2365790D"/>
    <w:rsid w:val="237274BF"/>
    <w:rsid w:val="23804B56"/>
    <w:rsid w:val="23860B96"/>
    <w:rsid w:val="23924D00"/>
    <w:rsid w:val="23A00BC1"/>
    <w:rsid w:val="23B0735D"/>
    <w:rsid w:val="23C9311C"/>
    <w:rsid w:val="23CC42BC"/>
    <w:rsid w:val="23CF09C3"/>
    <w:rsid w:val="240371BF"/>
    <w:rsid w:val="24325332"/>
    <w:rsid w:val="246F5586"/>
    <w:rsid w:val="24750490"/>
    <w:rsid w:val="247E1223"/>
    <w:rsid w:val="247E5B8C"/>
    <w:rsid w:val="247F73E6"/>
    <w:rsid w:val="248C699D"/>
    <w:rsid w:val="249B6D9F"/>
    <w:rsid w:val="24A16ED1"/>
    <w:rsid w:val="24B77513"/>
    <w:rsid w:val="24F83FC1"/>
    <w:rsid w:val="250A09A8"/>
    <w:rsid w:val="250A6865"/>
    <w:rsid w:val="250B3BA2"/>
    <w:rsid w:val="257B0759"/>
    <w:rsid w:val="25D574BF"/>
    <w:rsid w:val="25D66FD4"/>
    <w:rsid w:val="25E30742"/>
    <w:rsid w:val="25F53EDB"/>
    <w:rsid w:val="25FB3C1C"/>
    <w:rsid w:val="26256B3F"/>
    <w:rsid w:val="265576DC"/>
    <w:rsid w:val="26777E83"/>
    <w:rsid w:val="26974B89"/>
    <w:rsid w:val="26984FED"/>
    <w:rsid w:val="269C4305"/>
    <w:rsid w:val="26A54D73"/>
    <w:rsid w:val="26D85317"/>
    <w:rsid w:val="26F5729B"/>
    <w:rsid w:val="271355FE"/>
    <w:rsid w:val="27194004"/>
    <w:rsid w:val="271F51D3"/>
    <w:rsid w:val="275D14A5"/>
    <w:rsid w:val="275F60E5"/>
    <w:rsid w:val="27904D8C"/>
    <w:rsid w:val="27B900AF"/>
    <w:rsid w:val="27C7450B"/>
    <w:rsid w:val="27E00411"/>
    <w:rsid w:val="27E740A7"/>
    <w:rsid w:val="27FC4BEF"/>
    <w:rsid w:val="282F1B3A"/>
    <w:rsid w:val="28BB52E8"/>
    <w:rsid w:val="28BC6351"/>
    <w:rsid w:val="28C50886"/>
    <w:rsid w:val="28CD7E3D"/>
    <w:rsid w:val="28D854FB"/>
    <w:rsid w:val="2919543F"/>
    <w:rsid w:val="29511420"/>
    <w:rsid w:val="296C1643"/>
    <w:rsid w:val="297C32E4"/>
    <w:rsid w:val="298751C8"/>
    <w:rsid w:val="298826BA"/>
    <w:rsid w:val="29D92930"/>
    <w:rsid w:val="29FD04D3"/>
    <w:rsid w:val="2A146244"/>
    <w:rsid w:val="2A200A3F"/>
    <w:rsid w:val="2A3D6AA2"/>
    <w:rsid w:val="2A581386"/>
    <w:rsid w:val="2A5A560D"/>
    <w:rsid w:val="2A7039E8"/>
    <w:rsid w:val="2A76100C"/>
    <w:rsid w:val="2A783558"/>
    <w:rsid w:val="2A965C50"/>
    <w:rsid w:val="2AA64E6B"/>
    <w:rsid w:val="2AB618D7"/>
    <w:rsid w:val="2ABA13D0"/>
    <w:rsid w:val="2ADF1069"/>
    <w:rsid w:val="2B2E5C44"/>
    <w:rsid w:val="2B340A17"/>
    <w:rsid w:val="2B3E2646"/>
    <w:rsid w:val="2B506954"/>
    <w:rsid w:val="2B647B05"/>
    <w:rsid w:val="2B7174E1"/>
    <w:rsid w:val="2B7E6C22"/>
    <w:rsid w:val="2B9535AF"/>
    <w:rsid w:val="2BD1235D"/>
    <w:rsid w:val="2C1208FA"/>
    <w:rsid w:val="2C470826"/>
    <w:rsid w:val="2C644FE3"/>
    <w:rsid w:val="2C8A61B5"/>
    <w:rsid w:val="2CA16604"/>
    <w:rsid w:val="2D294C0D"/>
    <w:rsid w:val="2D295035"/>
    <w:rsid w:val="2D392AEE"/>
    <w:rsid w:val="2D7E4E96"/>
    <w:rsid w:val="2DF04E50"/>
    <w:rsid w:val="2DF90AE5"/>
    <w:rsid w:val="2E071DFD"/>
    <w:rsid w:val="2E181D0B"/>
    <w:rsid w:val="2E3239DC"/>
    <w:rsid w:val="2E506BE6"/>
    <w:rsid w:val="2E622848"/>
    <w:rsid w:val="2E901121"/>
    <w:rsid w:val="2E9E03D7"/>
    <w:rsid w:val="2E9F533A"/>
    <w:rsid w:val="2EA93462"/>
    <w:rsid w:val="2EAA1653"/>
    <w:rsid w:val="2EDC424A"/>
    <w:rsid w:val="2EE761E3"/>
    <w:rsid w:val="2F0D14C5"/>
    <w:rsid w:val="2F3C182B"/>
    <w:rsid w:val="2F4D4569"/>
    <w:rsid w:val="2F9E41BB"/>
    <w:rsid w:val="2FBF3946"/>
    <w:rsid w:val="2FDE5E13"/>
    <w:rsid w:val="2FE6447C"/>
    <w:rsid w:val="2FF532AC"/>
    <w:rsid w:val="2FFB0A12"/>
    <w:rsid w:val="30045F9E"/>
    <w:rsid w:val="30091808"/>
    <w:rsid w:val="30110230"/>
    <w:rsid w:val="303644EA"/>
    <w:rsid w:val="30434338"/>
    <w:rsid w:val="308C3346"/>
    <w:rsid w:val="309157A7"/>
    <w:rsid w:val="30E97D27"/>
    <w:rsid w:val="31091036"/>
    <w:rsid w:val="310C328C"/>
    <w:rsid w:val="31154FBA"/>
    <w:rsid w:val="314F6842"/>
    <w:rsid w:val="317F5C96"/>
    <w:rsid w:val="31867B6B"/>
    <w:rsid w:val="319F7F4E"/>
    <w:rsid w:val="31BD306C"/>
    <w:rsid w:val="31FC2AC3"/>
    <w:rsid w:val="320B4D3B"/>
    <w:rsid w:val="32267C43"/>
    <w:rsid w:val="323C07B9"/>
    <w:rsid w:val="326412CA"/>
    <w:rsid w:val="327A5B4F"/>
    <w:rsid w:val="329D441A"/>
    <w:rsid w:val="32C0476E"/>
    <w:rsid w:val="32D67CBF"/>
    <w:rsid w:val="332D3766"/>
    <w:rsid w:val="333115BA"/>
    <w:rsid w:val="337F4B30"/>
    <w:rsid w:val="339D2815"/>
    <w:rsid w:val="33AC3DCE"/>
    <w:rsid w:val="33B26F6C"/>
    <w:rsid w:val="33B97E7C"/>
    <w:rsid w:val="33E64DD6"/>
    <w:rsid w:val="33FA599D"/>
    <w:rsid w:val="343A6129"/>
    <w:rsid w:val="344C3D66"/>
    <w:rsid w:val="347B76B8"/>
    <w:rsid w:val="34821D40"/>
    <w:rsid w:val="349C4B3D"/>
    <w:rsid w:val="34CB7096"/>
    <w:rsid w:val="34D0571F"/>
    <w:rsid w:val="351E7B13"/>
    <w:rsid w:val="352C1B7E"/>
    <w:rsid w:val="35302210"/>
    <w:rsid w:val="3533541A"/>
    <w:rsid w:val="354A762E"/>
    <w:rsid w:val="355C6DEA"/>
    <w:rsid w:val="358C0E8B"/>
    <w:rsid w:val="361C46D7"/>
    <w:rsid w:val="3626082E"/>
    <w:rsid w:val="36284713"/>
    <w:rsid w:val="364B5B0E"/>
    <w:rsid w:val="3659713A"/>
    <w:rsid w:val="36765B0D"/>
    <w:rsid w:val="3688378B"/>
    <w:rsid w:val="369548EE"/>
    <w:rsid w:val="36A107A8"/>
    <w:rsid w:val="36A8046D"/>
    <w:rsid w:val="36AA5135"/>
    <w:rsid w:val="36B42CA1"/>
    <w:rsid w:val="36BE16D6"/>
    <w:rsid w:val="36CC7CA5"/>
    <w:rsid w:val="36E84F5A"/>
    <w:rsid w:val="3704314C"/>
    <w:rsid w:val="373C7A4E"/>
    <w:rsid w:val="37617C4C"/>
    <w:rsid w:val="37C04D24"/>
    <w:rsid w:val="37C42285"/>
    <w:rsid w:val="37D710ED"/>
    <w:rsid w:val="37D80324"/>
    <w:rsid w:val="37E16F03"/>
    <w:rsid w:val="38861B2B"/>
    <w:rsid w:val="38974685"/>
    <w:rsid w:val="38F86FF8"/>
    <w:rsid w:val="38FD35F2"/>
    <w:rsid w:val="390213F5"/>
    <w:rsid w:val="39036CFE"/>
    <w:rsid w:val="39397A70"/>
    <w:rsid w:val="394E6848"/>
    <w:rsid w:val="39804856"/>
    <w:rsid w:val="398E5232"/>
    <w:rsid w:val="39D86678"/>
    <w:rsid w:val="3A4311AB"/>
    <w:rsid w:val="3A463D62"/>
    <w:rsid w:val="3ACA50CD"/>
    <w:rsid w:val="3AF6137E"/>
    <w:rsid w:val="3B071750"/>
    <w:rsid w:val="3B775AFF"/>
    <w:rsid w:val="3B7F4644"/>
    <w:rsid w:val="3BA13705"/>
    <w:rsid w:val="3BA82824"/>
    <w:rsid w:val="3BD25EE6"/>
    <w:rsid w:val="3C6440F4"/>
    <w:rsid w:val="3CB65506"/>
    <w:rsid w:val="3CD036F8"/>
    <w:rsid w:val="3D18563F"/>
    <w:rsid w:val="3D4E37D2"/>
    <w:rsid w:val="3D691D82"/>
    <w:rsid w:val="3D8D1BB4"/>
    <w:rsid w:val="3D98207C"/>
    <w:rsid w:val="3D9D51C5"/>
    <w:rsid w:val="3E2C5549"/>
    <w:rsid w:val="3E35199E"/>
    <w:rsid w:val="3E383F45"/>
    <w:rsid w:val="3E4466E9"/>
    <w:rsid w:val="3E4D5359"/>
    <w:rsid w:val="3E94082C"/>
    <w:rsid w:val="3E9B029F"/>
    <w:rsid w:val="3EA72A49"/>
    <w:rsid w:val="3EED435A"/>
    <w:rsid w:val="3F021AE1"/>
    <w:rsid w:val="3F30457E"/>
    <w:rsid w:val="3F496B51"/>
    <w:rsid w:val="3F576A0F"/>
    <w:rsid w:val="3F835CC2"/>
    <w:rsid w:val="3F9D7926"/>
    <w:rsid w:val="3FA072F6"/>
    <w:rsid w:val="3FC369AE"/>
    <w:rsid w:val="3FD62799"/>
    <w:rsid w:val="3FE55BE9"/>
    <w:rsid w:val="3FE66D73"/>
    <w:rsid w:val="3FF27780"/>
    <w:rsid w:val="3FFD236E"/>
    <w:rsid w:val="409648EB"/>
    <w:rsid w:val="40AE1E80"/>
    <w:rsid w:val="40B77561"/>
    <w:rsid w:val="40C30912"/>
    <w:rsid w:val="40C34FA7"/>
    <w:rsid w:val="40D00A3D"/>
    <w:rsid w:val="40D62625"/>
    <w:rsid w:val="40E21F36"/>
    <w:rsid w:val="41133E54"/>
    <w:rsid w:val="4144196C"/>
    <w:rsid w:val="415E7C46"/>
    <w:rsid w:val="416737F4"/>
    <w:rsid w:val="41951D7D"/>
    <w:rsid w:val="41A143A9"/>
    <w:rsid w:val="41BC2038"/>
    <w:rsid w:val="41D423F7"/>
    <w:rsid w:val="41E259C7"/>
    <w:rsid w:val="41E35178"/>
    <w:rsid w:val="42164021"/>
    <w:rsid w:val="42241C7D"/>
    <w:rsid w:val="425A1E78"/>
    <w:rsid w:val="429D21D3"/>
    <w:rsid w:val="430550A8"/>
    <w:rsid w:val="4330066E"/>
    <w:rsid w:val="436D28CF"/>
    <w:rsid w:val="437065E7"/>
    <w:rsid w:val="43BF6F20"/>
    <w:rsid w:val="43C91DDA"/>
    <w:rsid w:val="43CB24CB"/>
    <w:rsid w:val="43ED71DC"/>
    <w:rsid w:val="441C0297"/>
    <w:rsid w:val="441E7CAD"/>
    <w:rsid w:val="442818BE"/>
    <w:rsid w:val="446878B8"/>
    <w:rsid w:val="4487599C"/>
    <w:rsid w:val="4496221B"/>
    <w:rsid w:val="44B8217D"/>
    <w:rsid w:val="44E268DA"/>
    <w:rsid w:val="44FC3FD0"/>
    <w:rsid w:val="452603EF"/>
    <w:rsid w:val="45533FC9"/>
    <w:rsid w:val="45784A72"/>
    <w:rsid w:val="458346FC"/>
    <w:rsid w:val="45977B98"/>
    <w:rsid w:val="459C5DE7"/>
    <w:rsid w:val="45EE2DB9"/>
    <w:rsid w:val="45F83C74"/>
    <w:rsid w:val="4636558A"/>
    <w:rsid w:val="463E6DB9"/>
    <w:rsid w:val="466F0159"/>
    <w:rsid w:val="46B609BF"/>
    <w:rsid w:val="46F40FDF"/>
    <w:rsid w:val="470D325F"/>
    <w:rsid w:val="4730523E"/>
    <w:rsid w:val="473B1F20"/>
    <w:rsid w:val="47433F5C"/>
    <w:rsid w:val="474714B0"/>
    <w:rsid w:val="4770272D"/>
    <w:rsid w:val="479B55BB"/>
    <w:rsid w:val="47B5633F"/>
    <w:rsid w:val="47BC2F9F"/>
    <w:rsid w:val="47F8268C"/>
    <w:rsid w:val="47FD1771"/>
    <w:rsid w:val="48085774"/>
    <w:rsid w:val="48763D02"/>
    <w:rsid w:val="487A12E5"/>
    <w:rsid w:val="489A117C"/>
    <w:rsid w:val="48D558C4"/>
    <w:rsid w:val="492028B2"/>
    <w:rsid w:val="49654945"/>
    <w:rsid w:val="49695030"/>
    <w:rsid w:val="496E2C25"/>
    <w:rsid w:val="497B6C94"/>
    <w:rsid w:val="49AC0451"/>
    <w:rsid w:val="49CD14F5"/>
    <w:rsid w:val="4A2F5D6C"/>
    <w:rsid w:val="4A5716E9"/>
    <w:rsid w:val="4A5B5A10"/>
    <w:rsid w:val="4A627F82"/>
    <w:rsid w:val="4A693CD5"/>
    <w:rsid w:val="4A72792A"/>
    <w:rsid w:val="4A741B1F"/>
    <w:rsid w:val="4A773794"/>
    <w:rsid w:val="4AD40A7D"/>
    <w:rsid w:val="4AEE6945"/>
    <w:rsid w:val="4B3B068F"/>
    <w:rsid w:val="4B460FAC"/>
    <w:rsid w:val="4B4F25DA"/>
    <w:rsid w:val="4BB70863"/>
    <w:rsid w:val="4BE068DB"/>
    <w:rsid w:val="4BEE40A3"/>
    <w:rsid w:val="4C1278E1"/>
    <w:rsid w:val="4C3A6B70"/>
    <w:rsid w:val="4C562C49"/>
    <w:rsid w:val="4C935FAC"/>
    <w:rsid w:val="4CD47592"/>
    <w:rsid w:val="4CE86D55"/>
    <w:rsid w:val="4D044455"/>
    <w:rsid w:val="4D0B1733"/>
    <w:rsid w:val="4D31313B"/>
    <w:rsid w:val="4D3B56B2"/>
    <w:rsid w:val="4D577224"/>
    <w:rsid w:val="4D62160A"/>
    <w:rsid w:val="4D65311C"/>
    <w:rsid w:val="4D6C44E1"/>
    <w:rsid w:val="4DA9279B"/>
    <w:rsid w:val="4DE714B2"/>
    <w:rsid w:val="4E0011C6"/>
    <w:rsid w:val="4E0237B6"/>
    <w:rsid w:val="4E4A6FAE"/>
    <w:rsid w:val="4E4F6604"/>
    <w:rsid w:val="4E503EB6"/>
    <w:rsid w:val="4E6F23CF"/>
    <w:rsid w:val="4E7A436B"/>
    <w:rsid w:val="4E8D3D56"/>
    <w:rsid w:val="4EAB54CE"/>
    <w:rsid w:val="4EAB630A"/>
    <w:rsid w:val="4EB26ECD"/>
    <w:rsid w:val="4EB67814"/>
    <w:rsid w:val="4EB864B2"/>
    <w:rsid w:val="4ECE2238"/>
    <w:rsid w:val="4F0D7015"/>
    <w:rsid w:val="4F1559F4"/>
    <w:rsid w:val="4F2043AF"/>
    <w:rsid w:val="4F3E03CA"/>
    <w:rsid w:val="4F4144B9"/>
    <w:rsid w:val="4F42306B"/>
    <w:rsid w:val="4FFD4D24"/>
    <w:rsid w:val="50060D67"/>
    <w:rsid w:val="50535D3C"/>
    <w:rsid w:val="50797B41"/>
    <w:rsid w:val="50932AE9"/>
    <w:rsid w:val="50961A69"/>
    <w:rsid w:val="509750DA"/>
    <w:rsid w:val="50A81C41"/>
    <w:rsid w:val="50D3541E"/>
    <w:rsid w:val="51216259"/>
    <w:rsid w:val="512655F7"/>
    <w:rsid w:val="512864C0"/>
    <w:rsid w:val="515176A8"/>
    <w:rsid w:val="51686300"/>
    <w:rsid w:val="516C032F"/>
    <w:rsid w:val="516E0083"/>
    <w:rsid w:val="519A277F"/>
    <w:rsid w:val="51AA0013"/>
    <w:rsid w:val="51F74E2F"/>
    <w:rsid w:val="52133FCF"/>
    <w:rsid w:val="52137370"/>
    <w:rsid w:val="5234797F"/>
    <w:rsid w:val="52966817"/>
    <w:rsid w:val="5298444A"/>
    <w:rsid w:val="52A20CA8"/>
    <w:rsid w:val="52DD5763"/>
    <w:rsid w:val="52F85284"/>
    <w:rsid w:val="531C1893"/>
    <w:rsid w:val="53223EA2"/>
    <w:rsid w:val="53227C50"/>
    <w:rsid w:val="53384BFA"/>
    <w:rsid w:val="534E5494"/>
    <w:rsid w:val="53834254"/>
    <w:rsid w:val="538B28F6"/>
    <w:rsid w:val="538C3850"/>
    <w:rsid w:val="539F2057"/>
    <w:rsid w:val="53BA30E9"/>
    <w:rsid w:val="53CF14D5"/>
    <w:rsid w:val="541B019D"/>
    <w:rsid w:val="54427392"/>
    <w:rsid w:val="54F41EE9"/>
    <w:rsid w:val="554B1A60"/>
    <w:rsid w:val="55615404"/>
    <w:rsid w:val="557F2F42"/>
    <w:rsid w:val="55BB733C"/>
    <w:rsid w:val="55D460A4"/>
    <w:rsid w:val="55E55DB4"/>
    <w:rsid w:val="560E5B73"/>
    <w:rsid w:val="5611753E"/>
    <w:rsid w:val="56A25592"/>
    <w:rsid w:val="56A50707"/>
    <w:rsid w:val="56BB51B4"/>
    <w:rsid w:val="57106D15"/>
    <w:rsid w:val="573041D1"/>
    <w:rsid w:val="57450995"/>
    <w:rsid w:val="575416F3"/>
    <w:rsid w:val="578106BC"/>
    <w:rsid w:val="57C2156F"/>
    <w:rsid w:val="57FB0945"/>
    <w:rsid w:val="58257700"/>
    <w:rsid w:val="5832725D"/>
    <w:rsid w:val="583407A6"/>
    <w:rsid w:val="584E7327"/>
    <w:rsid w:val="58551680"/>
    <w:rsid w:val="58656CC3"/>
    <w:rsid w:val="586B0552"/>
    <w:rsid w:val="586F2DCF"/>
    <w:rsid w:val="58D323B0"/>
    <w:rsid w:val="591E6699"/>
    <w:rsid w:val="5935634A"/>
    <w:rsid w:val="593A2A59"/>
    <w:rsid w:val="59707295"/>
    <w:rsid w:val="59841E6D"/>
    <w:rsid w:val="59DA44CD"/>
    <w:rsid w:val="59F04477"/>
    <w:rsid w:val="59F444FD"/>
    <w:rsid w:val="5A275E33"/>
    <w:rsid w:val="5A4724AA"/>
    <w:rsid w:val="5A55417E"/>
    <w:rsid w:val="5AB73ACF"/>
    <w:rsid w:val="5AD60C6D"/>
    <w:rsid w:val="5ADB5E6E"/>
    <w:rsid w:val="5AEE5C31"/>
    <w:rsid w:val="5AF92295"/>
    <w:rsid w:val="5B57521E"/>
    <w:rsid w:val="5B6017CA"/>
    <w:rsid w:val="5B935021"/>
    <w:rsid w:val="5BB803A7"/>
    <w:rsid w:val="5BEC5FDC"/>
    <w:rsid w:val="5BED1229"/>
    <w:rsid w:val="5C031EA3"/>
    <w:rsid w:val="5C1420AC"/>
    <w:rsid w:val="5C1F038B"/>
    <w:rsid w:val="5C1F0FA7"/>
    <w:rsid w:val="5C2E7661"/>
    <w:rsid w:val="5C530271"/>
    <w:rsid w:val="5C63415A"/>
    <w:rsid w:val="5C8D5CD0"/>
    <w:rsid w:val="5CAE67B5"/>
    <w:rsid w:val="5CD71FC4"/>
    <w:rsid w:val="5CE6662C"/>
    <w:rsid w:val="5CE77421"/>
    <w:rsid w:val="5D090F80"/>
    <w:rsid w:val="5D095D96"/>
    <w:rsid w:val="5D1800F3"/>
    <w:rsid w:val="5D364DD0"/>
    <w:rsid w:val="5D4169E1"/>
    <w:rsid w:val="5D604C48"/>
    <w:rsid w:val="5D721667"/>
    <w:rsid w:val="5D74445A"/>
    <w:rsid w:val="5D8D3C45"/>
    <w:rsid w:val="5DB64D23"/>
    <w:rsid w:val="5DC366E4"/>
    <w:rsid w:val="5DD077B2"/>
    <w:rsid w:val="5DD60F0C"/>
    <w:rsid w:val="5DDD1E97"/>
    <w:rsid w:val="5DDE68B4"/>
    <w:rsid w:val="5DE35C23"/>
    <w:rsid w:val="5DF93BED"/>
    <w:rsid w:val="5E110540"/>
    <w:rsid w:val="5E2870AC"/>
    <w:rsid w:val="5E3D04B9"/>
    <w:rsid w:val="5E6767B4"/>
    <w:rsid w:val="5E741F3B"/>
    <w:rsid w:val="5E7C3131"/>
    <w:rsid w:val="5E8A6A0F"/>
    <w:rsid w:val="5EC87E95"/>
    <w:rsid w:val="5EDE2327"/>
    <w:rsid w:val="5EE042DB"/>
    <w:rsid w:val="5EF31208"/>
    <w:rsid w:val="5F54514B"/>
    <w:rsid w:val="5F860324"/>
    <w:rsid w:val="5F9C2263"/>
    <w:rsid w:val="5FEE61D3"/>
    <w:rsid w:val="60013C9E"/>
    <w:rsid w:val="60341DB0"/>
    <w:rsid w:val="604F0111"/>
    <w:rsid w:val="609A5CF5"/>
    <w:rsid w:val="60E62328"/>
    <w:rsid w:val="60F97220"/>
    <w:rsid w:val="61073C87"/>
    <w:rsid w:val="61402E9A"/>
    <w:rsid w:val="6146459D"/>
    <w:rsid w:val="616756BB"/>
    <w:rsid w:val="61776E52"/>
    <w:rsid w:val="61B36631"/>
    <w:rsid w:val="61B76D00"/>
    <w:rsid w:val="61D7412C"/>
    <w:rsid w:val="61DB0CBC"/>
    <w:rsid w:val="61F53564"/>
    <w:rsid w:val="62103205"/>
    <w:rsid w:val="62117A9A"/>
    <w:rsid w:val="622B08C0"/>
    <w:rsid w:val="62335D0D"/>
    <w:rsid w:val="624932C1"/>
    <w:rsid w:val="62606896"/>
    <w:rsid w:val="62813AC7"/>
    <w:rsid w:val="62984542"/>
    <w:rsid w:val="62B535DD"/>
    <w:rsid w:val="62C76A1A"/>
    <w:rsid w:val="63556279"/>
    <w:rsid w:val="63666165"/>
    <w:rsid w:val="63705D6A"/>
    <w:rsid w:val="637D65EE"/>
    <w:rsid w:val="63D65E6D"/>
    <w:rsid w:val="64110195"/>
    <w:rsid w:val="6454025C"/>
    <w:rsid w:val="648F5EC2"/>
    <w:rsid w:val="64B876B6"/>
    <w:rsid w:val="650825FE"/>
    <w:rsid w:val="6538370A"/>
    <w:rsid w:val="65500154"/>
    <w:rsid w:val="656A1EF1"/>
    <w:rsid w:val="65B336CA"/>
    <w:rsid w:val="65B72CC4"/>
    <w:rsid w:val="65B75F60"/>
    <w:rsid w:val="65DD78B3"/>
    <w:rsid w:val="66141C2E"/>
    <w:rsid w:val="665C0C65"/>
    <w:rsid w:val="66681AE2"/>
    <w:rsid w:val="67647575"/>
    <w:rsid w:val="677A3FAF"/>
    <w:rsid w:val="677B58A2"/>
    <w:rsid w:val="677B7781"/>
    <w:rsid w:val="677E4406"/>
    <w:rsid w:val="67806F15"/>
    <w:rsid w:val="679B6668"/>
    <w:rsid w:val="67A4115A"/>
    <w:rsid w:val="67AC2478"/>
    <w:rsid w:val="67CA51AF"/>
    <w:rsid w:val="67D27F22"/>
    <w:rsid w:val="67DA0229"/>
    <w:rsid w:val="680667BE"/>
    <w:rsid w:val="68173DC4"/>
    <w:rsid w:val="683F2458"/>
    <w:rsid w:val="68424D34"/>
    <w:rsid w:val="684E5CAC"/>
    <w:rsid w:val="686929C9"/>
    <w:rsid w:val="68797B6C"/>
    <w:rsid w:val="689264F4"/>
    <w:rsid w:val="68936803"/>
    <w:rsid w:val="68A03C75"/>
    <w:rsid w:val="68B711AA"/>
    <w:rsid w:val="68B7639F"/>
    <w:rsid w:val="69293D7F"/>
    <w:rsid w:val="69301DCF"/>
    <w:rsid w:val="69473769"/>
    <w:rsid w:val="69D549D4"/>
    <w:rsid w:val="69E67CCB"/>
    <w:rsid w:val="69F809B8"/>
    <w:rsid w:val="6A2C7C9A"/>
    <w:rsid w:val="6A411207"/>
    <w:rsid w:val="6A905DFA"/>
    <w:rsid w:val="6ABD05EA"/>
    <w:rsid w:val="6AD629F4"/>
    <w:rsid w:val="6AE55DF4"/>
    <w:rsid w:val="6B097AF9"/>
    <w:rsid w:val="6B390E2A"/>
    <w:rsid w:val="6B5031FB"/>
    <w:rsid w:val="6B5C032D"/>
    <w:rsid w:val="6B5C2933"/>
    <w:rsid w:val="6B9F1206"/>
    <w:rsid w:val="6BBF7073"/>
    <w:rsid w:val="6BCF2DE9"/>
    <w:rsid w:val="6C4A05C8"/>
    <w:rsid w:val="6C505D65"/>
    <w:rsid w:val="6C602F5C"/>
    <w:rsid w:val="6C7F18D4"/>
    <w:rsid w:val="6C8310FC"/>
    <w:rsid w:val="6CBF0C05"/>
    <w:rsid w:val="6CC87595"/>
    <w:rsid w:val="6D226E32"/>
    <w:rsid w:val="6D297763"/>
    <w:rsid w:val="6D3F3721"/>
    <w:rsid w:val="6D6150AF"/>
    <w:rsid w:val="6D6369E9"/>
    <w:rsid w:val="6D7116C1"/>
    <w:rsid w:val="6D8E1B2D"/>
    <w:rsid w:val="6DB832EC"/>
    <w:rsid w:val="6DF763A5"/>
    <w:rsid w:val="6E046B22"/>
    <w:rsid w:val="6E2C3026"/>
    <w:rsid w:val="6E2F4092"/>
    <w:rsid w:val="6E3A03A6"/>
    <w:rsid w:val="6E3A685F"/>
    <w:rsid w:val="6E717C9A"/>
    <w:rsid w:val="6E7E3605"/>
    <w:rsid w:val="6E926015"/>
    <w:rsid w:val="6EA50DD8"/>
    <w:rsid w:val="6EC52C3A"/>
    <w:rsid w:val="6ED80306"/>
    <w:rsid w:val="6EE9429B"/>
    <w:rsid w:val="6EFD5035"/>
    <w:rsid w:val="6EFD53F2"/>
    <w:rsid w:val="6F0719CA"/>
    <w:rsid w:val="6F196EAA"/>
    <w:rsid w:val="6F2B154E"/>
    <w:rsid w:val="6F3C1E93"/>
    <w:rsid w:val="6F755CF6"/>
    <w:rsid w:val="6F83112A"/>
    <w:rsid w:val="6F8A5152"/>
    <w:rsid w:val="6F8F1BAA"/>
    <w:rsid w:val="6FA333C4"/>
    <w:rsid w:val="6FA6130A"/>
    <w:rsid w:val="6FBD508E"/>
    <w:rsid w:val="6FC566C8"/>
    <w:rsid w:val="6FF5CC65"/>
    <w:rsid w:val="70044FFD"/>
    <w:rsid w:val="703278B3"/>
    <w:rsid w:val="704C0E89"/>
    <w:rsid w:val="70716DEF"/>
    <w:rsid w:val="70AC5EB4"/>
    <w:rsid w:val="70B1350E"/>
    <w:rsid w:val="70C755F3"/>
    <w:rsid w:val="70C82306"/>
    <w:rsid w:val="70DA74CA"/>
    <w:rsid w:val="70DE2CE2"/>
    <w:rsid w:val="70E02BFB"/>
    <w:rsid w:val="70E47A5F"/>
    <w:rsid w:val="710110A1"/>
    <w:rsid w:val="711D219F"/>
    <w:rsid w:val="712B2773"/>
    <w:rsid w:val="712C4FAF"/>
    <w:rsid w:val="713A01A2"/>
    <w:rsid w:val="715C0E4B"/>
    <w:rsid w:val="717626F8"/>
    <w:rsid w:val="719A425D"/>
    <w:rsid w:val="719C4D62"/>
    <w:rsid w:val="71B35F6A"/>
    <w:rsid w:val="71DB66D8"/>
    <w:rsid w:val="71E51D43"/>
    <w:rsid w:val="71F0631D"/>
    <w:rsid w:val="720E2F6C"/>
    <w:rsid w:val="722431E1"/>
    <w:rsid w:val="722D7C93"/>
    <w:rsid w:val="726A3AA2"/>
    <w:rsid w:val="72734D90"/>
    <w:rsid w:val="72790165"/>
    <w:rsid w:val="728A1D4F"/>
    <w:rsid w:val="72B76419"/>
    <w:rsid w:val="72D3536D"/>
    <w:rsid w:val="72D82658"/>
    <w:rsid w:val="72DA7947"/>
    <w:rsid w:val="72E8514D"/>
    <w:rsid w:val="72EF586F"/>
    <w:rsid w:val="730B3F85"/>
    <w:rsid w:val="731A47A6"/>
    <w:rsid w:val="734768B3"/>
    <w:rsid w:val="73A077CB"/>
    <w:rsid w:val="73AC6B6F"/>
    <w:rsid w:val="73AD73D5"/>
    <w:rsid w:val="73B6EB34"/>
    <w:rsid w:val="73CD5530"/>
    <w:rsid w:val="73E137A8"/>
    <w:rsid w:val="73EB6EC5"/>
    <w:rsid w:val="73FD72E8"/>
    <w:rsid w:val="74230F8F"/>
    <w:rsid w:val="74377F86"/>
    <w:rsid w:val="74392244"/>
    <w:rsid w:val="743D473C"/>
    <w:rsid w:val="7450112E"/>
    <w:rsid w:val="746B47AF"/>
    <w:rsid w:val="749F2657"/>
    <w:rsid w:val="74E52017"/>
    <w:rsid w:val="750749C3"/>
    <w:rsid w:val="751E5C6E"/>
    <w:rsid w:val="756718D5"/>
    <w:rsid w:val="756A58E1"/>
    <w:rsid w:val="7575319F"/>
    <w:rsid w:val="75777A67"/>
    <w:rsid w:val="76023B54"/>
    <w:rsid w:val="76530CDA"/>
    <w:rsid w:val="76803D70"/>
    <w:rsid w:val="768B42B5"/>
    <w:rsid w:val="768F1582"/>
    <w:rsid w:val="76A45364"/>
    <w:rsid w:val="76E176BF"/>
    <w:rsid w:val="76F2672C"/>
    <w:rsid w:val="77122DDD"/>
    <w:rsid w:val="773341AE"/>
    <w:rsid w:val="773B4D1F"/>
    <w:rsid w:val="777326C5"/>
    <w:rsid w:val="77B45C73"/>
    <w:rsid w:val="77BE37CD"/>
    <w:rsid w:val="78122E48"/>
    <w:rsid w:val="7843539D"/>
    <w:rsid w:val="785B70AC"/>
    <w:rsid w:val="78A03233"/>
    <w:rsid w:val="78B443B5"/>
    <w:rsid w:val="78B62E7E"/>
    <w:rsid w:val="78EA7352"/>
    <w:rsid w:val="79471021"/>
    <w:rsid w:val="79507728"/>
    <w:rsid w:val="797646C5"/>
    <w:rsid w:val="799E20ED"/>
    <w:rsid w:val="799E73B8"/>
    <w:rsid w:val="79EE5BA4"/>
    <w:rsid w:val="79F71E34"/>
    <w:rsid w:val="7A0126BB"/>
    <w:rsid w:val="7A4052AB"/>
    <w:rsid w:val="7A47466A"/>
    <w:rsid w:val="7A78727D"/>
    <w:rsid w:val="7A7A5166"/>
    <w:rsid w:val="7A894339"/>
    <w:rsid w:val="7B53773F"/>
    <w:rsid w:val="7B5623C3"/>
    <w:rsid w:val="7B7D1828"/>
    <w:rsid w:val="7B934679"/>
    <w:rsid w:val="7BB133C3"/>
    <w:rsid w:val="7BD17DC7"/>
    <w:rsid w:val="7BF261E1"/>
    <w:rsid w:val="7BF272E6"/>
    <w:rsid w:val="7C686B5E"/>
    <w:rsid w:val="7C716B4A"/>
    <w:rsid w:val="7CAF3E0B"/>
    <w:rsid w:val="7D094697"/>
    <w:rsid w:val="7D15362F"/>
    <w:rsid w:val="7D205AE0"/>
    <w:rsid w:val="7D33472B"/>
    <w:rsid w:val="7D3D7A51"/>
    <w:rsid w:val="7D4B08A1"/>
    <w:rsid w:val="7D6813A4"/>
    <w:rsid w:val="7D9A5C0A"/>
    <w:rsid w:val="7DF864BE"/>
    <w:rsid w:val="7E147761"/>
    <w:rsid w:val="7E2A3838"/>
    <w:rsid w:val="7E370B3D"/>
    <w:rsid w:val="7EA17F8B"/>
    <w:rsid w:val="7EA82DD0"/>
    <w:rsid w:val="7EB45DB0"/>
    <w:rsid w:val="7ECF35F7"/>
    <w:rsid w:val="7ED64ED9"/>
    <w:rsid w:val="7EEF11D3"/>
    <w:rsid w:val="7EFE2FED"/>
    <w:rsid w:val="7F01545A"/>
    <w:rsid w:val="7F314338"/>
    <w:rsid w:val="7F44105B"/>
    <w:rsid w:val="7F4535B2"/>
    <w:rsid w:val="7F460E0D"/>
    <w:rsid w:val="7F7E630F"/>
    <w:rsid w:val="7F805664"/>
    <w:rsid w:val="7FA30C79"/>
    <w:rsid w:val="7FB07C18"/>
    <w:rsid w:val="7FC96657"/>
    <w:rsid w:val="7FD17476"/>
    <w:rsid w:val="7FD86039"/>
    <w:rsid w:val="7FDC453B"/>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Body Text First Indent"/>
    <w:basedOn w:val="2"/>
    <w:unhideWhenUsed/>
    <w:qFormat/>
    <w:uiPriority w:val="99"/>
    <w:pPr>
      <w:spacing w:beforeLines="0" w:after="120"/>
      <w:ind w:firstLine="420" w:firstLineChars="100"/>
    </w:pPr>
    <w:rPr>
      <w:rFonts w:ascii="Times New Roman" w:eastAsia="宋体"/>
      <w:kern w:val="2"/>
      <w:sz w:val="21"/>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8"/>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rPr>
      <w:rFonts w:ascii="Calibri" w:hAnsi="Calibri" w:eastAsia="宋体" w:cs="Times New Roman"/>
      <w:lang w:val="en-US" w:eastAsia="zh-CN" w:bidi="ar-SA"/>
    </w:rPr>
  </w:style>
  <w:style w:type="paragraph" w:customStyle="1" w:styleId="32">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13410</Words>
  <Characters>2935</Characters>
  <Lines>24</Lines>
  <Paragraphs>32</Paragraphs>
  <TotalTime>26</TotalTime>
  <ScaleCrop>false</ScaleCrop>
  <LinksUpToDate>false</LinksUpToDate>
  <CharactersWithSpaces>16313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卢燕</cp:lastModifiedBy>
  <cp:lastPrinted>2022-09-29T02:44:00Z</cp:lastPrinted>
  <dcterms:modified xsi:type="dcterms:W3CDTF">2023-10-10T01:39:29Z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25B4C94C48064680AFF2BBCAB63CCDA5</vt:lpwstr>
  </property>
</Properties>
</file>