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jc w:val="center"/>
        <w:outlineLvl w:val="0"/>
        <w:rPr>
          <w:rFonts w:hint="default" w:ascii="Times New Roman" w:hAnsi="Times New Roman" w:eastAsia="方正小标宋简体" w:cs="Times New Roman"/>
          <w:sz w:val="72"/>
          <w:szCs w:val="72"/>
        </w:rPr>
      </w:pPr>
      <w:bookmarkStart w:id="0" w:name="_Toc15306267"/>
    </w:p>
    <w:p>
      <w:pPr>
        <w:keepNext w:val="0"/>
        <w:keepLines w:val="0"/>
        <w:pageBreakBefore w:val="0"/>
        <w:widowControl w:val="0"/>
        <w:kinsoku/>
        <w:wordWrap/>
        <w:overflowPunct/>
        <w:topLinePunct w:val="0"/>
        <w:autoSpaceDE/>
        <w:autoSpaceDN/>
        <w:bidi w:val="0"/>
        <w:spacing w:line="600" w:lineRule="exact"/>
        <w:jc w:val="center"/>
        <w:outlineLvl w:val="0"/>
        <w:rPr>
          <w:rFonts w:hint="default" w:ascii="Times New Roman" w:hAnsi="Times New Roman" w:eastAsia="方正小标宋简体" w:cs="Times New Roman"/>
          <w:sz w:val="72"/>
          <w:szCs w:val="72"/>
        </w:rPr>
      </w:pPr>
    </w:p>
    <w:p>
      <w:pPr>
        <w:keepNext w:val="0"/>
        <w:keepLines w:val="0"/>
        <w:pageBreakBefore w:val="0"/>
        <w:widowControl w:val="0"/>
        <w:kinsoku/>
        <w:wordWrap/>
        <w:overflowPunct/>
        <w:topLinePunct w:val="0"/>
        <w:autoSpaceDE/>
        <w:autoSpaceDN/>
        <w:bidi w:val="0"/>
        <w:spacing w:line="600" w:lineRule="exact"/>
        <w:jc w:val="center"/>
        <w:outlineLvl w:val="0"/>
        <w:rPr>
          <w:rFonts w:hint="default" w:ascii="Times New Roman" w:hAnsi="Times New Roman" w:eastAsia="方正小标宋简体" w:cs="Times New Roman"/>
          <w:sz w:val="72"/>
          <w:szCs w:val="72"/>
        </w:rPr>
      </w:pPr>
    </w:p>
    <w:p>
      <w:pPr>
        <w:keepNext w:val="0"/>
        <w:keepLines w:val="0"/>
        <w:pageBreakBefore w:val="0"/>
        <w:widowControl w:val="0"/>
        <w:kinsoku/>
        <w:wordWrap/>
        <w:overflowPunct/>
        <w:topLinePunct w:val="0"/>
        <w:autoSpaceDE/>
        <w:autoSpaceDN/>
        <w:bidi w:val="0"/>
        <w:spacing w:line="600" w:lineRule="exact"/>
        <w:jc w:val="center"/>
        <w:outlineLvl w:val="0"/>
        <w:rPr>
          <w:rFonts w:hint="default" w:ascii="Times New Roman" w:hAnsi="Times New Roman" w:eastAsia="方正小标宋简体" w:cs="Times New Roman"/>
          <w:sz w:val="72"/>
          <w:szCs w:val="72"/>
        </w:rPr>
      </w:pPr>
    </w:p>
    <w:p>
      <w:pPr>
        <w:keepNext w:val="0"/>
        <w:keepLines w:val="0"/>
        <w:pageBreakBefore w:val="0"/>
        <w:widowControl w:val="0"/>
        <w:kinsoku/>
        <w:wordWrap/>
        <w:overflowPunct/>
        <w:topLinePunct w:val="0"/>
        <w:autoSpaceDE/>
        <w:autoSpaceDN/>
        <w:bidi w:val="0"/>
        <w:adjustRightInd w:val="0"/>
        <w:snapToGrid w:val="0"/>
        <w:spacing w:line="360" w:lineRule="auto"/>
        <w:jc w:val="center"/>
        <w:outlineLvl w:val="0"/>
        <w:rPr>
          <w:rFonts w:hint="default" w:ascii="Times New Roman" w:hAnsi="Times New Roman" w:eastAsia="方正小标宋_GBK" w:cs="Times New Roman"/>
          <w:sz w:val="72"/>
          <w:szCs w:val="72"/>
        </w:rPr>
      </w:pPr>
      <w:bookmarkStart w:id="1" w:name="_Toc15396597"/>
      <w:bookmarkStart w:id="2" w:name="_Toc15377425"/>
      <w:bookmarkStart w:id="3" w:name="_Toc15378441"/>
      <w:bookmarkStart w:id="4" w:name="_Toc15396475"/>
      <w:bookmarkStart w:id="5" w:name="_Toc15377193"/>
      <w:r>
        <w:rPr>
          <w:rFonts w:hint="default" w:ascii="Times New Roman" w:hAnsi="Times New Roman" w:eastAsia="方正小标宋_GBK" w:cs="Times New Roman"/>
          <w:sz w:val="72"/>
          <w:szCs w:val="72"/>
        </w:rPr>
        <w:t>2021年度</w:t>
      </w:r>
      <w:bookmarkEnd w:id="1"/>
      <w:bookmarkEnd w:id="2"/>
      <w:bookmarkEnd w:id="3"/>
      <w:bookmarkEnd w:id="4"/>
      <w:bookmarkEnd w:id="5"/>
    </w:p>
    <w:bookmarkEnd w:id="0"/>
    <w:p>
      <w:pPr>
        <w:keepNext w:val="0"/>
        <w:keepLines w:val="0"/>
        <w:pageBreakBefore w:val="0"/>
        <w:widowControl w:val="0"/>
        <w:kinsoku/>
        <w:wordWrap/>
        <w:overflowPunct/>
        <w:topLinePunct w:val="0"/>
        <w:autoSpaceDE/>
        <w:autoSpaceDN/>
        <w:bidi w:val="0"/>
        <w:adjustRightInd w:val="0"/>
        <w:snapToGrid w:val="0"/>
        <w:spacing w:line="360" w:lineRule="auto"/>
        <w:jc w:val="center"/>
        <w:outlineLvl w:val="0"/>
        <w:rPr>
          <w:rFonts w:hint="default" w:ascii="Times New Roman" w:hAnsi="Times New Roman" w:eastAsia="方正小标宋_GBK" w:cs="Times New Roman"/>
          <w:sz w:val="72"/>
          <w:szCs w:val="72"/>
        </w:rPr>
      </w:pPr>
      <w:bookmarkStart w:id="6" w:name="_Toc15306268"/>
      <w:bookmarkStart w:id="7" w:name="_Toc15377194"/>
      <w:bookmarkStart w:id="8" w:name="_Toc15396476"/>
      <w:bookmarkStart w:id="9" w:name="_Toc15377426"/>
      <w:bookmarkStart w:id="10" w:name="_Toc15396598"/>
      <w:bookmarkStart w:id="11" w:name="_Toc15378442"/>
      <w:r>
        <w:rPr>
          <w:rFonts w:hint="default" w:ascii="Times New Roman" w:hAnsi="Times New Roman" w:eastAsia="方正小标宋_GBK" w:cs="Times New Roman"/>
          <w:sz w:val="72"/>
          <w:szCs w:val="72"/>
        </w:rPr>
        <w:t>中共攀枝花市西区区委党校（攀枝花市西区行政学校）部门决算</w:t>
      </w:r>
      <w:bookmarkEnd w:id="6"/>
      <w:bookmarkEnd w:id="7"/>
      <w:bookmarkEnd w:id="8"/>
      <w:bookmarkEnd w:id="9"/>
      <w:bookmarkEnd w:id="10"/>
      <w:bookmarkEnd w:id="11"/>
    </w:p>
    <w:p>
      <w:pPr>
        <w:keepNext w:val="0"/>
        <w:keepLines w:val="0"/>
        <w:pageBreakBefore w:val="0"/>
        <w:widowControl w:val="0"/>
        <w:kinsoku/>
        <w:wordWrap/>
        <w:overflowPunct/>
        <w:topLinePunct w:val="0"/>
        <w:autoSpaceDE/>
        <w:autoSpaceDN/>
        <w:bidi w:val="0"/>
        <w:adjustRightInd w:val="0"/>
        <w:snapToGrid w:val="0"/>
        <w:spacing w:line="360" w:lineRule="auto"/>
        <w:jc w:val="center"/>
        <w:outlineLvl w:val="0"/>
        <w:rPr>
          <w:rFonts w:hint="default" w:ascii="Times New Roman" w:hAnsi="Times New Roman" w:eastAsia="方正小标宋简体" w:cs="Times New Roman"/>
          <w:sz w:val="52"/>
          <w:szCs w:val="52"/>
        </w:rPr>
      </w:pPr>
    </w:p>
    <w:p>
      <w:pPr>
        <w:keepNext w:val="0"/>
        <w:keepLines w:val="0"/>
        <w:pageBreakBefore w:val="0"/>
        <w:widowControl w:val="0"/>
        <w:kinsoku/>
        <w:wordWrap/>
        <w:overflowPunct/>
        <w:topLinePunct w:val="0"/>
        <w:autoSpaceDE/>
        <w:autoSpaceDN/>
        <w:bidi w:val="0"/>
        <w:jc w:val="center"/>
        <w:rPr>
          <w:rFonts w:hint="default" w:ascii="Times New Roman" w:hAnsi="Times New Roman" w:eastAsia="黑体" w:cs="Times New Roman"/>
          <w:sz w:val="48"/>
          <w:szCs w:val="48"/>
        </w:rPr>
      </w:pPr>
      <w:r>
        <w:rPr>
          <w:rFonts w:hint="default" w:ascii="Times New Roman" w:hAnsi="Times New Roman" w:eastAsia="方正小标宋简体" w:cs="Times New Roman"/>
          <w:sz w:val="36"/>
          <w:szCs w:val="36"/>
        </w:rPr>
        <w:br w:type="page"/>
      </w:r>
      <w:r>
        <w:rPr>
          <w:rFonts w:hint="default" w:ascii="Times New Roman" w:hAnsi="Times New Roman" w:eastAsia="黑体" w:cs="Times New Roman"/>
          <w:sz w:val="48"/>
          <w:szCs w:val="48"/>
        </w:rPr>
        <w:t>目  录</w:t>
      </w:r>
    </w:p>
    <w:p>
      <w:pPr>
        <w:keepNext w:val="0"/>
        <w:keepLines w:val="0"/>
        <w:pageBreakBefore w:val="0"/>
        <w:widowControl w:val="0"/>
        <w:kinsoku/>
        <w:wordWrap/>
        <w:overflowPunct/>
        <w:topLinePunct w:val="0"/>
        <w:autoSpaceDE/>
        <w:autoSpaceDN/>
        <w:bidi w:val="0"/>
        <w:jc w:val="center"/>
        <w:rPr>
          <w:rFonts w:hint="default" w:ascii="Times New Roman" w:hAnsi="Times New Roman" w:eastAsia="黑体" w:cs="Times New Roman"/>
          <w:sz w:val="28"/>
          <w:szCs w:val="28"/>
        </w:rPr>
      </w:pPr>
    </w:p>
    <w:p>
      <w:pPr>
        <w:pStyle w:val="11"/>
        <w:keepNext w:val="0"/>
        <w:keepLines w:val="0"/>
        <w:pageBreakBefore w:val="0"/>
        <w:widowControl w:val="0"/>
        <w:kinsoku/>
        <w:wordWrap/>
        <w:overflowPunct/>
        <w:topLinePunct w:val="0"/>
        <w:autoSpaceDE/>
        <w:autoSpaceDN/>
        <w:bidi w:val="0"/>
        <w:rPr>
          <w:rFonts w:hint="default" w:ascii="Times New Roman" w:hAnsi="Times New Roman" w:cs="Times New Roman"/>
        </w:rPr>
      </w:pPr>
      <w:r>
        <w:rPr>
          <w:rFonts w:hint="default" w:ascii="Times New Roman" w:hAnsi="Times New Roman" w:cs="Times New Roman"/>
        </w:rPr>
        <w:t>公开时间：2022年10月9日</w:t>
      </w:r>
    </w:p>
    <w:p>
      <w:pPr>
        <w:keepNext w:val="0"/>
        <w:keepLines w:val="0"/>
        <w:pageBreakBefore w:val="0"/>
        <w:widowControl w:val="0"/>
        <w:kinsoku/>
        <w:wordWrap/>
        <w:overflowPunct/>
        <w:topLinePunct w:val="0"/>
        <w:autoSpaceDE/>
        <w:autoSpaceDN/>
        <w:bidi w:val="0"/>
        <w:rPr>
          <w:rFonts w:hint="default" w:ascii="Times New Roman" w:hAnsi="Times New Roman" w:cs="Times New Roman"/>
        </w:rPr>
      </w:pPr>
    </w:p>
    <w:p>
      <w:pPr>
        <w:pStyle w:val="11"/>
        <w:keepNext w:val="0"/>
        <w:keepLines w:val="0"/>
        <w:pageBreakBefore w:val="0"/>
        <w:widowControl w:val="0"/>
        <w:kinsoku/>
        <w:wordWrap/>
        <w:overflowPunct/>
        <w:topLinePunct w:val="0"/>
        <w:autoSpaceDE/>
        <w:autoSpaceDN/>
        <w:bidi w:val="0"/>
        <w:adjustRightInd w:val="0"/>
        <w:snapToGrid w:val="0"/>
        <w:spacing w:before="0" w:line="440" w:lineRule="exact"/>
        <w:jc w:val="left"/>
        <w:rPr>
          <w:rFonts w:hint="default" w:ascii="Times New Roman" w:hAnsi="Times New Roman" w:cs="Times New Roman"/>
          <w:sz w:val="24"/>
          <w:szCs w:val="24"/>
        </w:rPr>
      </w:pPr>
      <w:r>
        <w:rPr>
          <w:rFonts w:hint="default" w:ascii="Times New Roman" w:hAnsi="Times New Roman" w:cs="Times New Roman"/>
          <w:sz w:val="24"/>
          <w:szCs w:val="24"/>
        </w:rPr>
        <w:t>第一部分</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部门概况</w:t>
      </w:r>
      <w:r>
        <w:rPr>
          <w:rFonts w:hint="default" w:ascii="Times New Roman" w:hAnsi="Times New Roman" w:cs="Times New Roman"/>
          <w:sz w:val="21"/>
          <w:szCs w:val="21"/>
        </w:rPr>
        <w:tab/>
      </w:r>
      <w:r>
        <w:rPr>
          <w:rFonts w:hint="default" w:ascii="Times New Roman" w:hAnsi="Times New Roman" w:eastAsia="宋体" w:cs="Times New Roman"/>
          <w:sz w:val="24"/>
          <w:szCs w:val="24"/>
        </w:rPr>
        <w:t>4</w:t>
      </w:r>
    </w:p>
    <w:p>
      <w:pPr>
        <w:pStyle w:val="12"/>
        <w:keepNext w:val="0"/>
        <w:keepLines w:val="0"/>
        <w:pageBreakBefore w:val="0"/>
        <w:widowControl w:val="0"/>
        <w:kinsoku/>
        <w:wordWrap/>
        <w:overflowPunct/>
        <w:topLinePunct w:val="0"/>
        <w:autoSpaceDE/>
        <w:autoSpaceDN/>
        <w:bidi w:val="0"/>
        <w:adjustRightInd w:val="0"/>
        <w:snapToGrid w:val="0"/>
        <w:spacing w:line="440" w:lineRule="exact"/>
        <w:ind w:left="31680"/>
        <w:jc w:val="left"/>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rPr>
        <w:t>一、基本职能及主要工作.....................................................................................</w:t>
      </w:r>
      <w:r>
        <w:rPr>
          <w:rFonts w:hint="default" w:ascii="Times New Roman" w:hAnsi="Times New Roman" w:eastAsia="宋体" w:cs="Times New Roman"/>
          <w:kern w:val="2"/>
          <w:sz w:val="24"/>
          <w:szCs w:val="24"/>
          <w:lang w:val="en-US" w:eastAsia="zh-CN" w:bidi="ar-SA"/>
        </w:rPr>
        <w:t>4</w:t>
      </w:r>
    </w:p>
    <w:p>
      <w:pPr>
        <w:pStyle w:val="12"/>
        <w:keepNext w:val="0"/>
        <w:keepLines w:val="0"/>
        <w:pageBreakBefore w:val="0"/>
        <w:widowControl w:val="0"/>
        <w:kinsoku/>
        <w:wordWrap/>
        <w:overflowPunct/>
        <w:topLinePunct w:val="0"/>
        <w:autoSpaceDE/>
        <w:autoSpaceDN/>
        <w:bidi w:val="0"/>
        <w:adjustRightInd w:val="0"/>
        <w:snapToGrid w:val="0"/>
        <w:spacing w:line="440" w:lineRule="exact"/>
        <w:ind w:left="31680"/>
        <w:jc w:val="left"/>
        <w:rPr>
          <w:rFonts w:hint="default" w:ascii="Times New Roman" w:hAnsi="Times New Roman" w:eastAsia="仿宋" w:cs="Times New Roman"/>
          <w:sz w:val="24"/>
          <w:szCs w:val="24"/>
        </w:rPr>
      </w:pPr>
      <w:r>
        <w:rPr>
          <w:rFonts w:hint="default" w:ascii="Times New Roman" w:hAnsi="Times New Roman" w:cs="Times New Roman"/>
          <w:sz w:val="24"/>
          <w:szCs w:val="24"/>
        </w:rPr>
        <w:t>二、机构设置.........................................................................................................</w:t>
      </w:r>
      <w:r>
        <w:rPr>
          <w:rFonts w:hint="default" w:ascii="Times New Roman" w:hAnsi="Times New Roman" w:eastAsia="宋体" w:cs="Times New Roman"/>
          <w:kern w:val="2"/>
          <w:sz w:val="24"/>
          <w:szCs w:val="24"/>
          <w:lang w:val="en-US" w:eastAsia="zh-CN" w:bidi="ar-SA"/>
        </w:rPr>
        <w:t>6</w:t>
      </w:r>
    </w:p>
    <w:p>
      <w:pPr>
        <w:pStyle w:val="11"/>
        <w:keepNext w:val="0"/>
        <w:keepLines w:val="0"/>
        <w:pageBreakBefore w:val="0"/>
        <w:widowControl w:val="0"/>
        <w:kinsoku/>
        <w:wordWrap/>
        <w:overflowPunct/>
        <w:topLinePunct w:val="0"/>
        <w:autoSpaceDE/>
        <w:autoSpaceDN/>
        <w:bidi w:val="0"/>
        <w:adjustRightInd w:val="0"/>
        <w:snapToGrid w:val="0"/>
        <w:spacing w:before="0" w:line="440" w:lineRule="exact"/>
        <w:jc w:val="left"/>
        <w:rPr>
          <w:rFonts w:hint="default" w:ascii="Times New Roman" w:hAnsi="Times New Roman" w:cs="Times New Roman"/>
          <w:sz w:val="24"/>
          <w:szCs w:val="24"/>
        </w:rPr>
      </w:pPr>
      <w:r>
        <w:rPr>
          <w:rFonts w:hint="default" w:ascii="Times New Roman" w:hAnsi="Times New Roman" w:cs="Times New Roman"/>
          <w:sz w:val="24"/>
          <w:szCs w:val="24"/>
        </w:rPr>
        <w:t>第二部分 2021年度部门决算情况说明</w:t>
      </w:r>
      <w:r>
        <w:rPr>
          <w:rFonts w:hint="default" w:ascii="Times New Roman" w:hAnsi="Times New Roman" w:cs="Times New Roman"/>
          <w:sz w:val="21"/>
          <w:szCs w:val="21"/>
        </w:rPr>
        <w:tab/>
      </w:r>
      <w:r>
        <w:rPr>
          <w:rFonts w:hint="default" w:ascii="Times New Roman" w:hAnsi="Times New Roman" w:eastAsia="宋体" w:cs="Times New Roman"/>
          <w:kern w:val="2"/>
          <w:sz w:val="24"/>
          <w:szCs w:val="24"/>
          <w:lang w:val="en-US" w:eastAsia="zh-CN" w:bidi="ar-SA"/>
        </w:rPr>
        <w:t>6</w:t>
      </w:r>
    </w:p>
    <w:p>
      <w:pPr>
        <w:pStyle w:val="12"/>
        <w:keepNext w:val="0"/>
        <w:keepLines w:val="0"/>
        <w:pageBreakBefore w:val="0"/>
        <w:widowControl w:val="0"/>
        <w:kinsoku/>
        <w:wordWrap/>
        <w:overflowPunct/>
        <w:topLinePunct w:val="0"/>
        <w:autoSpaceDE/>
        <w:autoSpaceDN/>
        <w:bidi w:val="0"/>
        <w:adjustRightInd w:val="0"/>
        <w:snapToGrid w:val="0"/>
        <w:spacing w:line="440" w:lineRule="exact"/>
        <w:ind w:left="31680"/>
        <w:jc w:val="left"/>
        <w:rPr>
          <w:rFonts w:hint="default" w:ascii="Times New Roman" w:hAnsi="Times New Roman" w:cs="Times New Roman"/>
          <w:sz w:val="24"/>
          <w:szCs w:val="24"/>
        </w:rPr>
      </w:pPr>
      <w:r>
        <w:rPr>
          <w:rFonts w:hint="default" w:ascii="Times New Roman" w:hAnsi="Times New Roman" w:cs="Times New Roman"/>
          <w:sz w:val="24"/>
          <w:szCs w:val="24"/>
        </w:rPr>
        <w:t>一、收入支出决算总体情况说明</w:t>
      </w:r>
      <w:r>
        <w:rPr>
          <w:rFonts w:hint="default" w:ascii="Times New Roman" w:hAnsi="Times New Roman" w:cs="Times New Roman"/>
        </w:rPr>
        <w:tab/>
      </w:r>
      <w:r>
        <w:rPr>
          <w:rFonts w:hint="default" w:ascii="Times New Roman" w:hAnsi="Times New Roman" w:eastAsia="宋体" w:cs="Times New Roman"/>
          <w:kern w:val="2"/>
          <w:sz w:val="24"/>
          <w:szCs w:val="24"/>
          <w:lang w:val="en-US" w:eastAsia="zh-CN" w:bidi="ar-SA"/>
        </w:rPr>
        <w:t>6</w:t>
      </w:r>
    </w:p>
    <w:p>
      <w:pPr>
        <w:pStyle w:val="12"/>
        <w:keepNext w:val="0"/>
        <w:keepLines w:val="0"/>
        <w:pageBreakBefore w:val="0"/>
        <w:widowControl w:val="0"/>
        <w:kinsoku/>
        <w:wordWrap/>
        <w:overflowPunct/>
        <w:topLinePunct w:val="0"/>
        <w:autoSpaceDE/>
        <w:autoSpaceDN/>
        <w:bidi w:val="0"/>
        <w:adjustRightInd w:val="0"/>
        <w:snapToGrid w:val="0"/>
        <w:spacing w:line="440" w:lineRule="exact"/>
        <w:ind w:left="31680"/>
        <w:jc w:val="left"/>
        <w:rPr>
          <w:rFonts w:hint="default" w:ascii="Times New Roman" w:hAnsi="Times New Roman" w:cs="Times New Roman"/>
          <w:sz w:val="24"/>
          <w:szCs w:val="24"/>
        </w:rPr>
      </w:pPr>
      <w:r>
        <w:rPr>
          <w:rFonts w:hint="default" w:ascii="Times New Roman" w:hAnsi="Times New Roman" w:cs="Times New Roman"/>
          <w:sz w:val="24"/>
          <w:szCs w:val="24"/>
        </w:rPr>
        <w:t>二、收入决算情况说明</w:t>
      </w:r>
      <w:r>
        <w:rPr>
          <w:rFonts w:hint="default" w:ascii="Times New Roman" w:hAnsi="Times New Roman" w:cs="Times New Roman"/>
        </w:rPr>
        <w:tab/>
      </w:r>
      <w:r>
        <w:rPr>
          <w:rFonts w:hint="default" w:ascii="Times New Roman" w:hAnsi="Times New Roman" w:eastAsia="宋体" w:cs="Times New Roman"/>
          <w:kern w:val="2"/>
          <w:sz w:val="24"/>
          <w:szCs w:val="24"/>
          <w:lang w:val="en-US" w:eastAsia="zh-CN" w:bidi="ar-SA"/>
        </w:rPr>
        <w:t>6</w:t>
      </w:r>
    </w:p>
    <w:p>
      <w:pPr>
        <w:pStyle w:val="12"/>
        <w:keepNext w:val="0"/>
        <w:keepLines w:val="0"/>
        <w:pageBreakBefore w:val="0"/>
        <w:widowControl w:val="0"/>
        <w:kinsoku/>
        <w:wordWrap/>
        <w:overflowPunct/>
        <w:topLinePunct w:val="0"/>
        <w:autoSpaceDE/>
        <w:autoSpaceDN/>
        <w:bidi w:val="0"/>
        <w:adjustRightInd w:val="0"/>
        <w:snapToGrid w:val="0"/>
        <w:spacing w:line="440" w:lineRule="exact"/>
        <w:ind w:left="31680"/>
        <w:jc w:val="left"/>
        <w:rPr>
          <w:rFonts w:hint="default" w:ascii="Times New Roman" w:hAnsi="Times New Roman" w:cs="Times New Roman"/>
          <w:sz w:val="24"/>
          <w:szCs w:val="24"/>
        </w:rPr>
      </w:pPr>
      <w:r>
        <w:rPr>
          <w:rFonts w:hint="default" w:ascii="Times New Roman" w:hAnsi="Times New Roman" w:cs="Times New Roman"/>
          <w:sz w:val="24"/>
          <w:szCs w:val="24"/>
        </w:rPr>
        <w:t>三、支出决算情况说明</w:t>
      </w:r>
      <w:r>
        <w:rPr>
          <w:rFonts w:hint="default" w:ascii="Times New Roman" w:hAnsi="Times New Roman" w:cs="Times New Roman"/>
        </w:rPr>
        <w:tab/>
      </w:r>
      <w:r>
        <w:rPr>
          <w:rFonts w:hint="default" w:ascii="Times New Roman" w:hAnsi="Times New Roman" w:eastAsia="宋体" w:cs="Times New Roman"/>
          <w:kern w:val="2"/>
          <w:sz w:val="24"/>
          <w:szCs w:val="24"/>
          <w:lang w:val="en-US" w:eastAsia="zh-CN" w:bidi="ar-SA"/>
        </w:rPr>
        <w:t>7</w:t>
      </w:r>
    </w:p>
    <w:p>
      <w:pPr>
        <w:pStyle w:val="12"/>
        <w:keepNext w:val="0"/>
        <w:keepLines w:val="0"/>
        <w:pageBreakBefore w:val="0"/>
        <w:widowControl w:val="0"/>
        <w:kinsoku/>
        <w:wordWrap/>
        <w:overflowPunct/>
        <w:topLinePunct w:val="0"/>
        <w:autoSpaceDE/>
        <w:autoSpaceDN/>
        <w:bidi w:val="0"/>
        <w:adjustRightInd w:val="0"/>
        <w:snapToGrid w:val="0"/>
        <w:spacing w:line="440" w:lineRule="exact"/>
        <w:ind w:left="31680"/>
        <w:jc w:val="left"/>
        <w:rPr>
          <w:rFonts w:hint="default" w:ascii="Times New Roman" w:hAnsi="Times New Roman" w:cs="Times New Roman"/>
          <w:sz w:val="24"/>
          <w:szCs w:val="24"/>
        </w:rPr>
      </w:pPr>
      <w:r>
        <w:rPr>
          <w:rFonts w:hint="default" w:ascii="Times New Roman" w:hAnsi="Times New Roman" w:cs="Times New Roman"/>
          <w:sz w:val="24"/>
          <w:szCs w:val="24"/>
        </w:rPr>
        <w:t>四、财政拨款收入支出决算总体情况说明</w:t>
      </w:r>
      <w:r>
        <w:rPr>
          <w:rFonts w:hint="default" w:ascii="Times New Roman" w:hAnsi="Times New Roman" w:cs="Times New Roman"/>
        </w:rPr>
        <w:tab/>
      </w:r>
      <w:r>
        <w:rPr>
          <w:rFonts w:hint="default" w:ascii="Times New Roman" w:hAnsi="Times New Roman" w:eastAsia="宋体" w:cs="Times New Roman"/>
          <w:kern w:val="2"/>
          <w:sz w:val="24"/>
          <w:szCs w:val="24"/>
          <w:lang w:val="en-US" w:eastAsia="zh-CN" w:bidi="ar-SA"/>
        </w:rPr>
        <w:t>7</w:t>
      </w:r>
    </w:p>
    <w:p>
      <w:pPr>
        <w:pStyle w:val="12"/>
        <w:keepNext w:val="0"/>
        <w:keepLines w:val="0"/>
        <w:pageBreakBefore w:val="0"/>
        <w:widowControl w:val="0"/>
        <w:kinsoku/>
        <w:wordWrap/>
        <w:overflowPunct/>
        <w:topLinePunct w:val="0"/>
        <w:autoSpaceDE/>
        <w:autoSpaceDN/>
        <w:bidi w:val="0"/>
        <w:adjustRightInd w:val="0"/>
        <w:snapToGrid w:val="0"/>
        <w:spacing w:line="440" w:lineRule="exact"/>
        <w:ind w:left="31680"/>
        <w:jc w:val="left"/>
        <w:rPr>
          <w:rFonts w:hint="default" w:ascii="Times New Roman" w:hAnsi="Times New Roman" w:cs="Times New Roman"/>
          <w:sz w:val="24"/>
          <w:szCs w:val="24"/>
        </w:rPr>
      </w:pPr>
      <w:r>
        <w:rPr>
          <w:rFonts w:hint="default" w:ascii="Times New Roman" w:hAnsi="Times New Roman" w:cs="Times New Roman"/>
          <w:sz w:val="24"/>
          <w:szCs w:val="24"/>
        </w:rPr>
        <w:t>五、一般公共预算财政拨款支出决算情况说明</w:t>
      </w:r>
      <w:r>
        <w:rPr>
          <w:rFonts w:hint="default" w:ascii="Times New Roman" w:hAnsi="Times New Roman" w:cs="Times New Roman"/>
        </w:rPr>
        <w:tab/>
      </w:r>
      <w:r>
        <w:rPr>
          <w:rFonts w:hint="default" w:ascii="Times New Roman" w:hAnsi="Times New Roman" w:eastAsia="宋体" w:cs="Times New Roman"/>
          <w:kern w:val="2"/>
          <w:sz w:val="24"/>
          <w:szCs w:val="24"/>
          <w:lang w:val="en-US" w:eastAsia="zh-CN" w:bidi="ar-SA"/>
        </w:rPr>
        <w:t>7</w:t>
      </w:r>
    </w:p>
    <w:p>
      <w:pPr>
        <w:pStyle w:val="12"/>
        <w:keepNext w:val="0"/>
        <w:keepLines w:val="0"/>
        <w:pageBreakBefore w:val="0"/>
        <w:widowControl w:val="0"/>
        <w:kinsoku/>
        <w:wordWrap/>
        <w:overflowPunct/>
        <w:topLinePunct w:val="0"/>
        <w:autoSpaceDE/>
        <w:autoSpaceDN/>
        <w:bidi w:val="0"/>
        <w:adjustRightInd w:val="0"/>
        <w:snapToGrid w:val="0"/>
        <w:spacing w:line="440" w:lineRule="exact"/>
        <w:ind w:left="31680"/>
        <w:jc w:val="left"/>
        <w:rPr>
          <w:rFonts w:hint="default" w:ascii="Times New Roman" w:hAnsi="Times New Roman" w:cs="Times New Roman"/>
          <w:sz w:val="24"/>
          <w:szCs w:val="24"/>
        </w:rPr>
      </w:pPr>
      <w:r>
        <w:rPr>
          <w:rFonts w:hint="default" w:ascii="Times New Roman" w:hAnsi="Times New Roman" w:cs="Times New Roman"/>
          <w:sz w:val="24"/>
          <w:szCs w:val="24"/>
        </w:rPr>
        <w:t>六、一般公共预算财政拨款基本支出决算情况说明</w:t>
      </w:r>
      <w:r>
        <w:rPr>
          <w:rFonts w:hint="default" w:ascii="Times New Roman" w:hAnsi="Times New Roman" w:cs="Times New Roman"/>
        </w:rPr>
        <w:tab/>
      </w:r>
      <w:r>
        <w:rPr>
          <w:rFonts w:hint="default" w:ascii="Times New Roman" w:hAnsi="Times New Roman" w:eastAsia="宋体" w:cs="Times New Roman"/>
          <w:kern w:val="2"/>
          <w:sz w:val="24"/>
          <w:szCs w:val="24"/>
          <w:lang w:val="en-US" w:eastAsia="zh-CN" w:bidi="ar-SA"/>
        </w:rPr>
        <w:t>9</w:t>
      </w:r>
    </w:p>
    <w:p>
      <w:pPr>
        <w:pStyle w:val="12"/>
        <w:keepNext w:val="0"/>
        <w:keepLines w:val="0"/>
        <w:pageBreakBefore w:val="0"/>
        <w:widowControl w:val="0"/>
        <w:kinsoku/>
        <w:wordWrap/>
        <w:overflowPunct/>
        <w:topLinePunct w:val="0"/>
        <w:autoSpaceDE/>
        <w:autoSpaceDN/>
        <w:bidi w:val="0"/>
        <w:adjustRightInd w:val="0"/>
        <w:snapToGrid w:val="0"/>
        <w:spacing w:line="440" w:lineRule="exact"/>
        <w:ind w:left="31680"/>
        <w:jc w:val="left"/>
        <w:rPr>
          <w:rFonts w:hint="default" w:ascii="Times New Roman" w:hAnsi="Times New Roman" w:cs="Times New Roman"/>
          <w:sz w:val="24"/>
          <w:szCs w:val="24"/>
        </w:rPr>
      </w:pPr>
      <w:r>
        <w:rPr>
          <w:rFonts w:hint="default" w:ascii="Times New Roman" w:hAnsi="Times New Roman" w:cs="Times New Roman"/>
          <w:sz w:val="24"/>
          <w:szCs w:val="24"/>
        </w:rPr>
        <w:t>七、“三公”经费财政拨款支出决算情况说明</w:t>
      </w:r>
      <w:r>
        <w:rPr>
          <w:rFonts w:hint="default" w:ascii="Times New Roman" w:hAnsi="Times New Roman" w:cs="Times New Roman"/>
        </w:rPr>
        <w:tab/>
      </w:r>
      <w:r>
        <w:rPr>
          <w:rFonts w:hint="default" w:ascii="Times New Roman" w:hAnsi="Times New Roman" w:eastAsia="宋体" w:cs="Times New Roman"/>
          <w:kern w:val="2"/>
          <w:sz w:val="24"/>
          <w:szCs w:val="24"/>
          <w:lang w:val="en-US" w:eastAsia="zh-CN" w:bidi="ar-SA"/>
        </w:rPr>
        <w:t>9</w:t>
      </w:r>
    </w:p>
    <w:p>
      <w:pPr>
        <w:pStyle w:val="12"/>
        <w:keepNext w:val="0"/>
        <w:keepLines w:val="0"/>
        <w:pageBreakBefore w:val="0"/>
        <w:widowControl w:val="0"/>
        <w:kinsoku/>
        <w:wordWrap/>
        <w:overflowPunct/>
        <w:topLinePunct w:val="0"/>
        <w:autoSpaceDE/>
        <w:autoSpaceDN/>
        <w:bidi w:val="0"/>
        <w:adjustRightInd w:val="0"/>
        <w:snapToGrid w:val="0"/>
        <w:spacing w:line="440" w:lineRule="exact"/>
        <w:ind w:left="31680"/>
        <w:jc w:val="left"/>
        <w:rPr>
          <w:rFonts w:hint="default" w:ascii="Times New Roman" w:hAnsi="Times New Roman" w:cs="Times New Roman"/>
          <w:sz w:val="24"/>
          <w:szCs w:val="24"/>
        </w:rPr>
      </w:pPr>
      <w:r>
        <w:rPr>
          <w:rFonts w:hint="default" w:ascii="Times New Roman" w:hAnsi="Times New Roman" w:cs="Times New Roman"/>
          <w:sz w:val="24"/>
          <w:szCs w:val="24"/>
        </w:rPr>
        <w:t>八、政府性基金预算支出决算情况说明</w:t>
      </w:r>
      <w:r>
        <w:rPr>
          <w:rFonts w:hint="default" w:ascii="Times New Roman" w:hAnsi="Times New Roman" w:cs="Times New Roman"/>
        </w:rPr>
        <w:tab/>
      </w:r>
      <w:r>
        <w:rPr>
          <w:rFonts w:hint="default" w:ascii="Times New Roman" w:hAnsi="Times New Roman" w:eastAsia="宋体" w:cs="Times New Roman"/>
          <w:kern w:val="2"/>
          <w:sz w:val="24"/>
          <w:szCs w:val="24"/>
          <w:lang w:val="en-US" w:eastAsia="zh-CN" w:bidi="ar-SA"/>
        </w:rPr>
        <w:t>1</w:t>
      </w:r>
      <w:r>
        <w:rPr>
          <w:rFonts w:hint="eastAsia" w:cs="Times New Roman"/>
          <w:kern w:val="2"/>
          <w:sz w:val="24"/>
          <w:szCs w:val="24"/>
          <w:lang w:val="en-US" w:eastAsia="zh-CN" w:bidi="ar-SA"/>
        </w:rPr>
        <w:t>1</w:t>
      </w:r>
    </w:p>
    <w:p>
      <w:pPr>
        <w:pStyle w:val="12"/>
        <w:keepNext w:val="0"/>
        <w:keepLines w:val="0"/>
        <w:pageBreakBefore w:val="0"/>
        <w:widowControl w:val="0"/>
        <w:kinsoku/>
        <w:wordWrap/>
        <w:overflowPunct/>
        <w:topLinePunct w:val="0"/>
        <w:autoSpaceDE/>
        <w:autoSpaceDN/>
        <w:bidi w:val="0"/>
        <w:adjustRightInd w:val="0"/>
        <w:snapToGrid w:val="0"/>
        <w:spacing w:line="440" w:lineRule="exact"/>
        <w:ind w:left="31680"/>
        <w:jc w:val="left"/>
        <w:rPr>
          <w:rFonts w:hint="default" w:ascii="Times New Roman" w:hAnsi="Times New Roman" w:cs="Times New Roman"/>
          <w:sz w:val="24"/>
          <w:szCs w:val="24"/>
        </w:rPr>
      </w:pPr>
      <w:r>
        <w:rPr>
          <w:rFonts w:hint="default" w:ascii="Times New Roman" w:hAnsi="Times New Roman" w:cs="Times New Roman"/>
          <w:sz w:val="24"/>
          <w:szCs w:val="24"/>
        </w:rPr>
        <w:t>九、国有资本经营预算支出决算情况说明</w:t>
      </w:r>
      <w:r>
        <w:rPr>
          <w:rFonts w:hint="default" w:ascii="Times New Roman" w:hAnsi="Times New Roman" w:cs="Times New Roman"/>
        </w:rPr>
        <w:tab/>
      </w:r>
      <w:r>
        <w:rPr>
          <w:rFonts w:hint="default" w:ascii="Times New Roman" w:hAnsi="Times New Roman" w:eastAsia="宋体" w:cs="Times New Roman"/>
          <w:kern w:val="2"/>
          <w:sz w:val="24"/>
          <w:szCs w:val="24"/>
          <w:lang w:val="en-US" w:eastAsia="zh-CN" w:bidi="ar-SA"/>
        </w:rPr>
        <w:t>1</w:t>
      </w:r>
      <w:r>
        <w:rPr>
          <w:rFonts w:hint="eastAsia" w:cs="Times New Roman"/>
          <w:kern w:val="2"/>
          <w:sz w:val="24"/>
          <w:szCs w:val="24"/>
          <w:lang w:val="en-US" w:eastAsia="zh-CN" w:bidi="ar-SA"/>
        </w:rPr>
        <w:t>1</w:t>
      </w:r>
    </w:p>
    <w:p>
      <w:pPr>
        <w:pStyle w:val="12"/>
        <w:keepNext w:val="0"/>
        <w:keepLines w:val="0"/>
        <w:pageBreakBefore w:val="0"/>
        <w:widowControl w:val="0"/>
        <w:kinsoku/>
        <w:wordWrap/>
        <w:overflowPunct/>
        <w:topLinePunct w:val="0"/>
        <w:autoSpaceDE/>
        <w:autoSpaceDN/>
        <w:bidi w:val="0"/>
        <w:adjustRightInd w:val="0"/>
        <w:snapToGrid w:val="0"/>
        <w:spacing w:line="440" w:lineRule="exact"/>
        <w:ind w:left="31680"/>
        <w:jc w:val="left"/>
        <w:rPr>
          <w:rFonts w:hint="default" w:ascii="Times New Roman" w:hAnsi="Times New Roman" w:cs="Times New Roman"/>
          <w:sz w:val="24"/>
          <w:szCs w:val="24"/>
        </w:rPr>
      </w:pPr>
      <w:r>
        <w:rPr>
          <w:rFonts w:hint="default" w:ascii="Times New Roman" w:hAnsi="Times New Roman" w:cs="Times New Roman"/>
          <w:sz w:val="24"/>
          <w:szCs w:val="24"/>
        </w:rPr>
        <w:t>十、其他重要事项的情况说明</w:t>
      </w:r>
      <w:r>
        <w:rPr>
          <w:rFonts w:hint="default" w:ascii="Times New Roman" w:hAnsi="Times New Roman" w:cs="Times New Roman"/>
        </w:rPr>
        <w:tab/>
      </w:r>
      <w:r>
        <w:rPr>
          <w:rFonts w:hint="default" w:ascii="Times New Roman" w:hAnsi="Times New Roman" w:eastAsia="宋体" w:cs="Times New Roman"/>
          <w:kern w:val="2"/>
          <w:sz w:val="24"/>
          <w:szCs w:val="24"/>
          <w:lang w:val="en-US" w:eastAsia="zh-CN" w:bidi="ar-SA"/>
        </w:rPr>
        <w:t>1</w:t>
      </w:r>
      <w:r>
        <w:rPr>
          <w:rFonts w:hint="eastAsia" w:cs="Times New Roman"/>
          <w:kern w:val="2"/>
          <w:sz w:val="24"/>
          <w:szCs w:val="24"/>
          <w:lang w:val="en-US" w:eastAsia="zh-CN" w:bidi="ar-SA"/>
        </w:rPr>
        <w:t>1</w:t>
      </w:r>
    </w:p>
    <w:p>
      <w:pPr>
        <w:pStyle w:val="11"/>
        <w:keepNext w:val="0"/>
        <w:keepLines w:val="0"/>
        <w:pageBreakBefore w:val="0"/>
        <w:widowControl w:val="0"/>
        <w:kinsoku/>
        <w:wordWrap/>
        <w:overflowPunct/>
        <w:topLinePunct w:val="0"/>
        <w:autoSpaceDE/>
        <w:autoSpaceDN/>
        <w:bidi w:val="0"/>
        <w:adjustRightInd w:val="0"/>
        <w:snapToGrid w:val="0"/>
        <w:spacing w:before="0" w:line="440" w:lineRule="exact"/>
        <w:jc w:val="left"/>
        <w:rPr>
          <w:rFonts w:hint="default" w:ascii="Times New Roman" w:hAnsi="Times New Roman" w:cs="Times New Roman"/>
          <w:sz w:val="24"/>
          <w:szCs w:val="24"/>
        </w:rPr>
      </w:pPr>
      <w:r>
        <w:rPr>
          <w:rFonts w:hint="default" w:ascii="Times New Roman" w:hAnsi="Times New Roman" w:cs="Times New Roman"/>
          <w:sz w:val="24"/>
          <w:szCs w:val="24"/>
        </w:rPr>
        <w:t>第三部分 名词解释</w:t>
      </w:r>
      <w:r>
        <w:rPr>
          <w:rFonts w:hint="default" w:ascii="Times New Roman" w:hAnsi="Times New Roman" w:cs="Times New Roman"/>
          <w:sz w:val="21"/>
          <w:szCs w:val="21"/>
        </w:rPr>
        <w:tab/>
      </w:r>
      <w:r>
        <w:rPr>
          <w:rFonts w:hint="default" w:ascii="Times New Roman" w:hAnsi="Times New Roman" w:eastAsia="宋体" w:cs="Times New Roman"/>
          <w:kern w:val="2"/>
          <w:sz w:val="24"/>
          <w:szCs w:val="24"/>
          <w:lang w:val="en-US" w:eastAsia="zh-CN" w:bidi="ar-SA"/>
        </w:rPr>
        <w:t>1</w:t>
      </w:r>
      <w:r>
        <w:rPr>
          <w:rFonts w:hint="eastAsia" w:ascii="Times New Roman" w:hAnsi="Times New Roman" w:eastAsia="宋体" w:cs="Times New Roman"/>
          <w:kern w:val="2"/>
          <w:sz w:val="24"/>
          <w:szCs w:val="24"/>
          <w:lang w:val="en-US" w:eastAsia="zh-CN" w:bidi="ar-SA"/>
        </w:rPr>
        <w:t>2</w:t>
      </w:r>
    </w:p>
    <w:p>
      <w:pPr>
        <w:pStyle w:val="11"/>
        <w:keepNext w:val="0"/>
        <w:keepLines w:val="0"/>
        <w:pageBreakBefore w:val="0"/>
        <w:widowControl w:val="0"/>
        <w:kinsoku/>
        <w:wordWrap/>
        <w:overflowPunct/>
        <w:topLinePunct w:val="0"/>
        <w:autoSpaceDE/>
        <w:autoSpaceDN/>
        <w:bidi w:val="0"/>
        <w:adjustRightInd w:val="0"/>
        <w:snapToGrid w:val="0"/>
        <w:spacing w:before="0" w:line="440" w:lineRule="exact"/>
        <w:jc w:val="left"/>
        <w:rPr>
          <w:rFonts w:hint="default" w:ascii="Times New Roman" w:hAnsi="Times New Roman" w:cs="Times New Roman"/>
          <w:sz w:val="21"/>
          <w:szCs w:val="21"/>
        </w:rPr>
      </w:pPr>
      <w:r>
        <w:rPr>
          <w:rFonts w:hint="default" w:ascii="Times New Roman" w:hAnsi="Times New Roman" w:cs="Times New Roman"/>
          <w:sz w:val="24"/>
          <w:szCs w:val="24"/>
        </w:rPr>
        <w:t>第四部分 附件</w:t>
      </w:r>
      <w:r>
        <w:rPr>
          <w:rFonts w:hint="default" w:ascii="Times New Roman" w:hAnsi="Times New Roman" w:cs="Times New Roman"/>
          <w:sz w:val="21"/>
          <w:szCs w:val="21"/>
        </w:rPr>
        <w:tab/>
      </w:r>
      <w:r>
        <w:rPr>
          <w:rFonts w:hint="default" w:ascii="Times New Roman" w:hAnsi="Times New Roman" w:eastAsia="宋体" w:cs="Times New Roman"/>
          <w:kern w:val="2"/>
          <w:sz w:val="24"/>
          <w:szCs w:val="24"/>
          <w:lang w:val="en-US" w:eastAsia="zh-CN" w:bidi="ar-SA"/>
        </w:rPr>
        <w:t>1</w:t>
      </w:r>
      <w:r>
        <w:rPr>
          <w:rFonts w:hint="eastAsia" w:ascii="Times New Roman" w:hAnsi="Times New Roman" w:eastAsia="宋体" w:cs="Times New Roman"/>
          <w:kern w:val="2"/>
          <w:sz w:val="24"/>
          <w:szCs w:val="24"/>
          <w:lang w:val="en-US" w:eastAsia="zh-CN" w:bidi="ar-SA"/>
        </w:rPr>
        <w:t>4</w:t>
      </w:r>
    </w:p>
    <w:p>
      <w:pPr>
        <w:pStyle w:val="11"/>
        <w:keepNext w:val="0"/>
        <w:keepLines w:val="0"/>
        <w:pageBreakBefore w:val="0"/>
        <w:widowControl w:val="0"/>
        <w:kinsoku/>
        <w:wordWrap/>
        <w:overflowPunct/>
        <w:topLinePunct w:val="0"/>
        <w:autoSpaceDE/>
        <w:autoSpaceDN/>
        <w:bidi w:val="0"/>
        <w:adjustRightInd w:val="0"/>
        <w:snapToGrid w:val="0"/>
        <w:spacing w:before="0" w:line="440" w:lineRule="exact"/>
        <w:jc w:val="left"/>
        <w:rPr>
          <w:rFonts w:hint="eastAsia" w:ascii="Times New Roman" w:hAnsi="Times New Roman" w:eastAsia="仿宋" w:cs="Times New Roman"/>
          <w:sz w:val="24"/>
          <w:szCs w:val="24"/>
          <w:lang w:val="en-US" w:eastAsia="zh-CN"/>
        </w:rPr>
      </w:pPr>
      <w:r>
        <w:rPr>
          <w:rFonts w:hint="default" w:ascii="Times New Roman" w:hAnsi="Times New Roman" w:cs="Times New Roman"/>
          <w:sz w:val="24"/>
          <w:szCs w:val="24"/>
        </w:rPr>
        <w:t>第五部分 附表</w:t>
      </w:r>
      <w:r>
        <w:rPr>
          <w:rFonts w:hint="default" w:ascii="Times New Roman" w:hAnsi="Times New Roman" w:cs="Times New Roman"/>
          <w:sz w:val="21"/>
          <w:szCs w:val="21"/>
        </w:rPr>
        <w:tab/>
      </w:r>
      <w:r>
        <w:rPr>
          <w:rFonts w:hint="default" w:ascii="Times New Roman" w:hAnsi="Times New Roman" w:eastAsia="宋体" w:cs="Times New Roman"/>
          <w:kern w:val="2"/>
          <w:sz w:val="24"/>
          <w:szCs w:val="24"/>
          <w:lang w:val="en-US" w:eastAsia="zh-CN" w:bidi="ar-SA"/>
        </w:rPr>
        <w:t>2</w:t>
      </w:r>
      <w:r>
        <w:rPr>
          <w:rFonts w:hint="eastAsia" w:ascii="Times New Roman" w:hAnsi="Times New Roman" w:eastAsia="宋体" w:cs="Times New Roman"/>
          <w:kern w:val="2"/>
          <w:sz w:val="24"/>
          <w:szCs w:val="24"/>
          <w:lang w:val="en-US" w:eastAsia="zh-CN" w:bidi="ar-SA"/>
        </w:rPr>
        <w:t>1</w:t>
      </w:r>
    </w:p>
    <w:p>
      <w:pPr>
        <w:pStyle w:val="12"/>
        <w:keepNext w:val="0"/>
        <w:keepLines w:val="0"/>
        <w:pageBreakBefore w:val="0"/>
        <w:widowControl w:val="0"/>
        <w:kinsoku/>
        <w:wordWrap/>
        <w:overflowPunct/>
        <w:topLinePunct w:val="0"/>
        <w:autoSpaceDE/>
        <w:autoSpaceDN/>
        <w:bidi w:val="0"/>
        <w:adjustRightInd w:val="0"/>
        <w:snapToGrid w:val="0"/>
        <w:spacing w:line="440" w:lineRule="exact"/>
        <w:ind w:left="31680"/>
        <w:jc w:val="left"/>
        <w:rPr>
          <w:rFonts w:hint="default" w:ascii="Times New Roman" w:hAnsi="Times New Roman" w:cs="Times New Roman"/>
          <w:sz w:val="24"/>
          <w:szCs w:val="24"/>
        </w:rPr>
      </w:pPr>
      <w:r>
        <w:rPr>
          <w:rFonts w:hint="default" w:ascii="Times New Roman" w:hAnsi="Times New Roman" w:cs="Times New Roman"/>
          <w:sz w:val="24"/>
          <w:szCs w:val="24"/>
        </w:rPr>
        <w:t>一、收入支出决算总表</w:t>
      </w:r>
      <w:r>
        <w:rPr>
          <w:rFonts w:hint="default" w:ascii="Times New Roman" w:hAnsi="Times New Roman" w:cs="Times New Roman"/>
          <w:sz w:val="21"/>
          <w:szCs w:val="21"/>
        </w:rPr>
        <w:tab/>
      </w:r>
      <w:r>
        <w:rPr>
          <w:rFonts w:hint="default" w:ascii="Times New Roman" w:hAnsi="Times New Roman" w:eastAsia="宋体" w:cs="Times New Roman"/>
          <w:kern w:val="2"/>
          <w:sz w:val="24"/>
          <w:szCs w:val="24"/>
          <w:lang w:val="en-US" w:eastAsia="zh-CN" w:bidi="ar-SA"/>
        </w:rPr>
        <w:t>2</w:t>
      </w:r>
      <w:r>
        <w:rPr>
          <w:rFonts w:hint="eastAsia" w:cs="Times New Roman"/>
          <w:kern w:val="2"/>
          <w:sz w:val="24"/>
          <w:szCs w:val="24"/>
          <w:lang w:val="en-US" w:eastAsia="zh-CN" w:bidi="ar-SA"/>
        </w:rPr>
        <w:t>1</w:t>
      </w:r>
    </w:p>
    <w:p>
      <w:pPr>
        <w:pStyle w:val="12"/>
        <w:keepNext w:val="0"/>
        <w:keepLines w:val="0"/>
        <w:pageBreakBefore w:val="0"/>
        <w:widowControl w:val="0"/>
        <w:kinsoku/>
        <w:wordWrap/>
        <w:overflowPunct/>
        <w:topLinePunct w:val="0"/>
        <w:autoSpaceDE/>
        <w:autoSpaceDN/>
        <w:bidi w:val="0"/>
        <w:adjustRightInd w:val="0"/>
        <w:snapToGrid w:val="0"/>
        <w:spacing w:line="440" w:lineRule="exact"/>
        <w:ind w:left="31680"/>
        <w:jc w:val="left"/>
        <w:rPr>
          <w:rFonts w:hint="default" w:ascii="Times New Roman" w:hAnsi="Times New Roman" w:cs="Times New Roman"/>
          <w:sz w:val="24"/>
          <w:szCs w:val="24"/>
        </w:rPr>
      </w:pPr>
      <w:r>
        <w:rPr>
          <w:rFonts w:hint="default" w:ascii="Times New Roman" w:hAnsi="Times New Roman" w:cs="Times New Roman"/>
          <w:sz w:val="24"/>
          <w:szCs w:val="24"/>
        </w:rPr>
        <w:t>二、收入决算表</w:t>
      </w:r>
      <w:r>
        <w:rPr>
          <w:rFonts w:hint="default" w:ascii="Times New Roman" w:hAnsi="Times New Roman" w:cs="Times New Roman"/>
          <w:sz w:val="21"/>
          <w:szCs w:val="21"/>
        </w:rPr>
        <w:tab/>
      </w:r>
      <w:r>
        <w:rPr>
          <w:rFonts w:hint="default" w:ascii="Times New Roman" w:hAnsi="Times New Roman" w:eastAsia="宋体" w:cs="Times New Roman"/>
          <w:kern w:val="2"/>
          <w:sz w:val="24"/>
          <w:szCs w:val="24"/>
          <w:lang w:val="en-US" w:eastAsia="zh-CN" w:bidi="ar-SA"/>
        </w:rPr>
        <w:t>2</w:t>
      </w:r>
      <w:r>
        <w:rPr>
          <w:rFonts w:hint="eastAsia" w:cs="Times New Roman"/>
          <w:kern w:val="2"/>
          <w:sz w:val="24"/>
          <w:szCs w:val="24"/>
          <w:lang w:val="en-US" w:eastAsia="zh-CN" w:bidi="ar-SA"/>
        </w:rPr>
        <w:t>1</w:t>
      </w:r>
    </w:p>
    <w:p>
      <w:pPr>
        <w:pStyle w:val="12"/>
        <w:keepNext w:val="0"/>
        <w:keepLines w:val="0"/>
        <w:pageBreakBefore w:val="0"/>
        <w:widowControl w:val="0"/>
        <w:kinsoku/>
        <w:wordWrap/>
        <w:overflowPunct/>
        <w:topLinePunct w:val="0"/>
        <w:autoSpaceDE/>
        <w:autoSpaceDN/>
        <w:bidi w:val="0"/>
        <w:adjustRightInd w:val="0"/>
        <w:snapToGrid w:val="0"/>
        <w:spacing w:line="440" w:lineRule="exact"/>
        <w:ind w:left="31680"/>
        <w:jc w:val="left"/>
        <w:rPr>
          <w:rFonts w:hint="default" w:ascii="Times New Roman" w:hAnsi="Times New Roman" w:cs="Times New Roman"/>
          <w:sz w:val="24"/>
          <w:szCs w:val="24"/>
        </w:rPr>
      </w:pPr>
      <w:r>
        <w:rPr>
          <w:rFonts w:hint="default" w:ascii="Times New Roman" w:hAnsi="Times New Roman" w:cs="Times New Roman"/>
          <w:sz w:val="24"/>
          <w:szCs w:val="24"/>
        </w:rPr>
        <w:t>三、支出决算表</w:t>
      </w:r>
      <w:r>
        <w:rPr>
          <w:rFonts w:hint="default" w:ascii="Times New Roman" w:hAnsi="Times New Roman" w:cs="Times New Roman"/>
          <w:sz w:val="21"/>
          <w:szCs w:val="21"/>
        </w:rPr>
        <w:tab/>
      </w:r>
      <w:r>
        <w:rPr>
          <w:rFonts w:hint="default" w:ascii="Times New Roman" w:hAnsi="Times New Roman" w:eastAsia="宋体" w:cs="Times New Roman"/>
          <w:kern w:val="2"/>
          <w:sz w:val="24"/>
          <w:szCs w:val="24"/>
          <w:lang w:val="en-US" w:eastAsia="zh-CN" w:bidi="ar-SA"/>
        </w:rPr>
        <w:t>2</w:t>
      </w:r>
      <w:r>
        <w:rPr>
          <w:rFonts w:hint="eastAsia" w:cs="Times New Roman"/>
          <w:kern w:val="2"/>
          <w:sz w:val="24"/>
          <w:szCs w:val="24"/>
          <w:lang w:val="en-US" w:eastAsia="zh-CN" w:bidi="ar-SA"/>
        </w:rPr>
        <w:t>1</w:t>
      </w:r>
    </w:p>
    <w:p>
      <w:pPr>
        <w:pStyle w:val="12"/>
        <w:keepNext w:val="0"/>
        <w:keepLines w:val="0"/>
        <w:pageBreakBefore w:val="0"/>
        <w:widowControl w:val="0"/>
        <w:kinsoku/>
        <w:wordWrap/>
        <w:overflowPunct/>
        <w:topLinePunct w:val="0"/>
        <w:autoSpaceDE/>
        <w:autoSpaceDN/>
        <w:bidi w:val="0"/>
        <w:adjustRightInd w:val="0"/>
        <w:snapToGrid w:val="0"/>
        <w:spacing w:line="440" w:lineRule="exact"/>
        <w:ind w:left="31680"/>
        <w:jc w:val="left"/>
        <w:rPr>
          <w:rFonts w:hint="default" w:ascii="Times New Roman" w:hAnsi="Times New Roman" w:cs="Times New Roman"/>
          <w:sz w:val="24"/>
          <w:szCs w:val="24"/>
        </w:rPr>
      </w:pPr>
      <w:r>
        <w:rPr>
          <w:rFonts w:hint="default" w:ascii="Times New Roman" w:hAnsi="Times New Roman" w:cs="Times New Roman"/>
          <w:sz w:val="24"/>
          <w:szCs w:val="24"/>
        </w:rPr>
        <w:t>四、财政拨款收入支出决算总表</w:t>
      </w:r>
      <w:r>
        <w:rPr>
          <w:rFonts w:hint="default" w:ascii="Times New Roman" w:hAnsi="Times New Roman" w:cs="Times New Roman"/>
          <w:sz w:val="21"/>
          <w:szCs w:val="21"/>
        </w:rPr>
        <w:tab/>
      </w:r>
      <w:r>
        <w:rPr>
          <w:rFonts w:hint="default" w:ascii="Times New Roman" w:hAnsi="Times New Roman" w:eastAsia="宋体" w:cs="Times New Roman"/>
          <w:kern w:val="2"/>
          <w:sz w:val="24"/>
          <w:szCs w:val="24"/>
          <w:lang w:val="en-US" w:eastAsia="zh-CN" w:bidi="ar-SA"/>
        </w:rPr>
        <w:t>2</w:t>
      </w:r>
      <w:r>
        <w:rPr>
          <w:rFonts w:hint="eastAsia" w:cs="Times New Roman"/>
          <w:kern w:val="2"/>
          <w:sz w:val="24"/>
          <w:szCs w:val="24"/>
          <w:lang w:val="en-US" w:eastAsia="zh-CN" w:bidi="ar-SA"/>
        </w:rPr>
        <w:t>1</w:t>
      </w:r>
    </w:p>
    <w:p>
      <w:pPr>
        <w:pStyle w:val="12"/>
        <w:keepNext w:val="0"/>
        <w:keepLines w:val="0"/>
        <w:pageBreakBefore w:val="0"/>
        <w:widowControl w:val="0"/>
        <w:kinsoku/>
        <w:wordWrap/>
        <w:overflowPunct/>
        <w:topLinePunct w:val="0"/>
        <w:autoSpaceDE/>
        <w:autoSpaceDN/>
        <w:bidi w:val="0"/>
        <w:adjustRightInd w:val="0"/>
        <w:snapToGrid w:val="0"/>
        <w:spacing w:line="440" w:lineRule="exact"/>
        <w:ind w:left="31680"/>
        <w:jc w:val="left"/>
        <w:rPr>
          <w:rFonts w:hint="eastAsia" w:ascii="Times New Roman" w:hAnsi="Times New Roman" w:eastAsia="宋体" w:cs="Times New Roman"/>
          <w:sz w:val="24"/>
          <w:szCs w:val="24"/>
          <w:lang w:val="en-US" w:eastAsia="zh-CN"/>
        </w:rPr>
      </w:pPr>
      <w:r>
        <w:rPr>
          <w:rFonts w:hint="default" w:ascii="Times New Roman" w:hAnsi="Times New Roman" w:cs="Times New Roman"/>
          <w:sz w:val="24"/>
          <w:szCs w:val="24"/>
        </w:rPr>
        <w:t>五、财政拨款支出决算明细表</w:t>
      </w:r>
      <w:r>
        <w:rPr>
          <w:rFonts w:hint="default" w:ascii="Times New Roman" w:hAnsi="Times New Roman" w:cs="Times New Roman"/>
          <w:sz w:val="21"/>
          <w:szCs w:val="21"/>
        </w:rPr>
        <w:tab/>
      </w:r>
      <w:r>
        <w:rPr>
          <w:rFonts w:hint="eastAsia" w:cs="Times New Roman"/>
          <w:kern w:val="2"/>
          <w:sz w:val="24"/>
          <w:szCs w:val="24"/>
          <w:lang w:val="en-US" w:eastAsia="zh-CN" w:bidi="ar-SA"/>
        </w:rPr>
        <w:t>21</w:t>
      </w:r>
    </w:p>
    <w:p>
      <w:pPr>
        <w:pStyle w:val="12"/>
        <w:keepNext w:val="0"/>
        <w:keepLines w:val="0"/>
        <w:pageBreakBefore w:val="0"/>
        <w:widowControl w:val="0"/>
        <w:kinsoku/>
        <w:wordWrap/>
        <w:overflowPunct/>
        <w:topLinePunct w:val="0"/>
        <w:autoSpaceDE/>
        <w:autoSpaceDN/>
        <w:bidi w:val="0"/>
        <w:adjustRightInd w:val="0"/>
        <w:snapToGrid w:val="0"/>
        <w:spacing w:line="440" w:lineRule="exact"/>
        <w:ind w:left="31680"/>
        <w:jc w:val="left"/>
        <w:rPr>
          <w:rFonts w:hint="default" w:ascii="Times New Roman" w:hAnsi="Times New Roman" w:cs="Times New Roman"/>
          <w:sz w:val="24"/>
          <w:szCs w:val="24"/>
        </w:rPr>
      </w:pPr>
      <w:r>
        <w:rPr>
          <w:rFonts w:hint="default" w:ascii="Times New Roman" w:hAnsi="Times New Roman" w:cs="Times New Roman"/>
          <w:sz w:val="24"/>
          <w:szCs w:val="24"/>
        </w:rPr>
        <w:t>六、一般公共预算财政拨款支出决算表</w:t>
      </w:r>
      <w:r>
        <w:rPr>
          <w:rFonts w:hint="default" w:ascii="Times New Roman" w:hAnsi="Times New Roman" w:cs="Times New Roman"/>
          <w:sz w:val="21"/>
          <w:szCs w:val="21"/>
        </w:rPr>
        <w:tab/>
      </w:r>
      <w:r>
        <w:rPr>
          <w:rFonts w:hint="eastAsia" w:cs="Times New Roman"/>
          <w:kern w:val="2"/>
          <w:sz w:val="24"/>
          <w:szCs w:val="24"/>
          <w:lang w:val="en-US" w:eastAsia="zh-CN" w:bidi="ar-SA"/>
        </w:rPr>
        <w:t>21</w:t>
      </w:r>
    </w:p>
    <w:p>
      <w:pPr>
        <w:pStyle w:val="12"/>
        <w:keepNext w:val="0"/>
        <w:keepLines w:val="0"/>
        <w:pageBreakBefore w:val="0"/>
        <w:widowControl w:val="0"/>
        <w:kinsoku/>
        <w:wordWrap/>
        <w:overflowPunct/>
        <w:topLinePunct w:val="0"/>
        <w:autoSpaceDE/>
        <w:autoSpaceDN/>
        <w:bidi w:val="0"/>
        <w:adjustRightInd w:val="0"/>
        <w:snapToGrid w:val="0"/>
        <w:spacing w:line="440" w:lineRule="exact"/>
        <w:ind w:left="31680"/>
        <w:jc w:val="left"/>
        <w:rPr>
          <w:rFonts w:hint="default" w:ascii="Times New Roman" w:hAnsi="Times New Roman" w:cs="Times New Roman"/>
          <w:sz w:val="24"/>
          <w:szCs w:val="24"/>
        </w:rPr>
      </w:pPr>
      <w:r>
        <w:rPr>
          <w:rFonts w:hint="default" w:ascii="Times New Roman" w:hAnsi="Times New Roman" w:cs="Times New Roman"/>
          <w:sz w:val="24"/>
          <w:szCs w:val="24"/>
        </w:rPr>
        <w:t>七、一般公共预算财政拨款支出决算明细表</w:t>
      </w:r>
      <w:r>
        <w:rPr>
          <w:rFonts w:hint="default" w:ascii="Times New Roman" w:hAnsi="Times New Roman" w:cs="Times New Roman"/>
          <w:sz w:val="21"/>
          <w:szCs w:val="21"/>
        </w:rPr>
        <w:tab/>
      </w:r>
      <w:r>
        <w:rPr>
          <w:rFonts w:hint="eastAsia" w:cs="Times New Roman"/>
          <w:kern w:val="2"/>
          <w:sz w:val="24"/>
          <w:szCs w:val="24"/>
          <w:lang w:val="en-US" w:eastAsia="zh-CN" w:bidi="ar-SA"/>
        </w:rPr>
        <w:t>21</w:t>
      </w:r>
    </w:p>
    <w:p>
      <w:pPr>
        <w:pStyle w:val="12"/>
        <w:keepNext w:val="0"/>
        <w:keepLines w:val="0"/>
        <w:pageBreakBefore w:val="0"/>
        <w:widowControl w:val="0"/>
        <w:kinsoku/>
        <w:wordWrap/>
        <w:overflowPunct/>
        <w:topLinePunct w:val="0"/>
        <w:autoSpaceDE/>
        <w:autoSpaceDN/>
        <w:bidi w:val="0"/>
        <w:adjustRightInd w:val="0"/>
        <w:snapToGrid w:val="0"/>
        <w:spacing w:line="440" w:lineRule="exact"/>
        <w:ind w:left="31680"/>
        <w:jc w:val="left"/>
        <w:rPr>
          <w:rFonts w:hint="default" w:ascii="Times New Roman" w:hAnsi="Times New Roman" w:cs="Times New Roman"/>
          <w:sz w:val="24"/>
          <w:szCs w:val="24"/>
        </w:rPr>
      </w:pPr>
      <w:r>
        <w:rPr>
          <w:rFonts w:hint="default" w:ascii="Times New Roman" w:hAnsi="Times New Roman" w:cs="Times New Roman"/>
          <w:sz w:val="24"/>
          <w:szCs w:val="24"/>
        </w:rPr>
        <w:t>八、一般公共预算财政拨款基本支出决算表</w:t>
      </w:r>
      <w:r>
        <w:rPr>
          <w:rFonts w:hint="default" w:ascii="Times New Roman" w:hAnsi="Times New Roman" w:cs="Times New Roman"/>
          <w:sz w:val="21"/>
          <w:szCs w:val="21"/>
        </w:rPr>
        <w:tab/>
      </w:r>
      <w:r>
        <w:rPr>
          <w:rFonts w:hint="eastAsia" w:cs="Times New Roman"/>
          <w:kern w:val="2"/>
          <w:sz w:val="24"/>
          <w:szCs w:val="24"/>
          <w:lang w:val="en-US" w:eastAsia="zh-CN" w:bidi="ar-SA"/>
        </w:rPr>
        <w:t>21</w:t>
      </w:r>
    </w:p>
    <w:p>
      <w:pPr>
        <w:pStyle w:val="12"/>
        <w:keepNext w:val="0"/>
        <w:keepLines w:val="0"/>
        <w:pageBreakBefore w:val="0"/>
        <w:widowControl w:val="0"/>
        <w:kinsoku/>
        <w:wordWrap/>
        <w:overflowPunct/>
        <w:topLinePunct w:val="0"/>
        <w:autoSpaceDE/>
        <w:autoSpaceDN/>
        <w:bidi w:val="0"/>
        <w:adjustRightInd w:val="0"/>
        <w:snapToGrid w:val="0"/>
        <w:spacing w:line="440" w:lineRule="exact"/>
        <w:ind w:left="31680"/>
        <w:jc w:val="left"/>
        <w:rPr>
          <w:rFonts w:hint="default" w:ascii="Times New Roman" w:hAnsi="Times New Roman" w:cs="Times New Roman"/>
          <w:sz w:val="24"/>
          <w:szCs w:val="24"/>
        </w:rPr>
      </w:pPr>
      <w:r>
        <w:rPr>
          <w:rFonts w:hint="default" w:ascii="Times New Roman" w:hAnsi="Times New Roman" w:cs="Times New Roman"/>
          <w:sz w:val="24"/>
          <w:szCs w:val="24"/>
        </w:rPr>
        <w:t>九、一般公共预算财政拨款项目支出决算表</w:t>
      </w:r>
      <w:r>
        <w:rPr>
          <w:rFonts w:hint="default" w:ascii="Times New Roman" w:hAnsi="Times New Roman" w:cs="Times New Roman"/>
          <w:sz w:val="21"/>
          <w:szCs w:val="21"/>
        </w:rPr>
        <w:tab/>
      </w:r>
      <w:r>
        <w:rPr>
          <w:rFonts w:hint="eastAsia" w:cs="Times New Roman"/>
          <w:kern w:val="2"/>
          <w:sz w:val="24"/>
          <w:szCs w:val="24"/>
          <w:lang w:val="en-US" w:eastAsia="zh-CN" w:bidi="ar-SA"/>
        </w:rPr>
        <w:t>21</w:t>
      </w:r>
    </w:p>
    <w:p>
      <w:pPr>
        <w:pStyle w:val="12"/>
        <w:keepNext w:val="0"/>
        <w:keepLines w:val="0"/>
        <w:pageBreakBefore w:val="0"/>
        <w:widowControl w:val="0"/>
        <w:kinsoku/>
        <w:wordWrap/>
        <w:overflowPunct/>
        <w:topLinePunct w:val="0"/>
        <w:autoSpaceDE/>
        <w:autoSpaceDN/>
        <w:bidi w:val="0"/>
        <w:adjustRightInd w:val="0"/>
        <w:snapToGrid w:val="0"/>
        <w:spacing w:line="440" w:lineRule="exact"/>
        <w:ind w:left="31680"/>
        <w:jc w:val="left"/>
        <w:rPr>
          <w:rFonts w:hint="default" w:ascii="Times New Roman" w:hAnsi="Times New Roman" w:cs="Times New Roman"/>
          <w:sz w:val="24"/>
          <w:szCs w:val="24"/>
        </w:rPr>
      </w:pPr>
      <w:r>
        <w:rPr>
          <w:rFonts w:hint="default" w:ascii="Times New Roman" w:hAnsi="Times New Roman" w:cs="Times New Roman"/>
          <w:sz w:val="24"/>
          <w:szCs w:val="24"/>
        </w:rPr>
        <w:t>十、一般公共预算财政拨款“三公”经费支出决算表</w:t>
      </w:r>
      <w:r>
        <w:rPr>
          <w:rFonts w:hint="default" w:ascii="Times New Roman" w:hAnsi="Times New Roman" w:cs="Times New Roman"/>
          <w:sz w:val="21"/>
          <w:szCs w:val="21"/>
        </w:rPr>
        <w:tab/>
      </w:r>
      <w:r>
        <w:rPr>
          <w:rFonts w:hint="eastAsia" w:cs="Times New Roman"/>
          <w:kern w:val="2"/>
          <w:sz w:val="24"/>
          <w:szCs w:val="24"/>
          <w:lang w:val="en-US" w:eastAsia="zh-CN" w:bidi="ar-SA"/>
        </w:rPr>
        <w:t>21</w:t>
      </w:r>
    </w:p>
    <w:p>
      <w:pPr>
        <w:pStyle w:val="12"/>
        <w:keepNext w:val="0"/>
        <w:keepLines w:val="0"/>
        <w:pageBreakBefore w:val="0"/>
        <w:widowControl w:val="0"/>
        <w:kinsoku/>
        <w:wordWrap/>
        <w:overflowPunct/>
        <w:topLinePunct w:val="0"/>
        <w:autoSpaceDE/>
        <w:autoSpaceDN/>
        <w:bidi w:val="0"/>
        <w:adjustRightInd w:val="0"/>
        <w:snapToGrid w:val="0"/>
        <w:spacing w:line="440" w:lineRule="exact"/>
        <w:ind w:left="31680"/>
        <w:jc w:val="left"/>
        <w:rPr>
          <w:rFonts w:hint="default" w:ascii="Times New Roman" w:hAnsi="Times New Roman" w:cs="Times New Roman"/>
          <w:sz w:val="24"/>
          <w:szCs w:val="24"/>
        </w:rPr>
      </w:pPr>
      <w:r>
        <w:rPr>
          <w:rFonts w:hint="default" w:ascii="Times New Roman" w:hAnsi="Times New Roman" w:cs="Times New Roman"/>
          <w:sz w:val="24"/>
          <w:szCs w:val="24"/>
        </w:rPr>
        <w:t>十一、政府性基金预算财政拨款收入支出决算表</w:t>
      </w:r>
      <w:r>
        <w:rPr>
          <w:rFonts w:hint="default" w:ascii="Times New Roman" w:hAnsi="Times New Roman" w:cs="Times New Roman"/>
          <w:sz w:val="21"/>
          <w:szCs w:val="21"/>
        </w:rPr>
        <w:tab/>
      </w:r>
      <w:r>
        <w:rPr>
          <w:rFonts w:hint="eastAsia" w:cs="Times New Roman"/>
          <w:kern w:val="2"/>
          <w:sz w:val="24"/>
          <w:szCs w:val="24"/>
          <w:lang w:val="en-US" w:eastAsia="zh-CN" w:bidi="ar-SA"/>
        </w:rPr>
        <w:t>22</w:t>
      </w:r>
    </w:p>
    <w:p>
      <w:pPr>
        <w:pStyle w:val="12"/>
        <w:keepNext w:val="0"/>
        <w:keepLines w:val="0"/>
        <w:pageBreakBefore w:val="0"/>
        <w:widowControl w:val="0"/>
        <w:kinsoku/>
        <w:wordWrap/>
        <w:overflowPunct/>
        <w:topLinePunct w:val="0"/>
        <w:autoSpaceDE/>
        <w:autoSpaceDN/>
        <w:bidi w:val="0"/>
        <w:adjustRightInd w:val="0"/>
        <w:snapToGrid w:val="0"/>
        <w:spacing w:line="440" w:lineRule="exact"/>
        <w:ind w:left="31680"/>
        <w:jc w:val="left"/>
        <w:rPr>
          <w:rFonts w:hint="default" w:ascii="Times New Roman" w:hAnsi="Times New Roman" w:cs="Times New Roman"/>
          <w:sz w:val="24"/>
          <w:szCs w:val="24"/>
        </w:rPr>
      </w:pPr>
      <w:r>
        <w:rPr>
          <w:rFonts w:hint="default" w:ascii="Times New Roman" w:hAnsi="Times New Roman" w:cs="Times New Roman"/>
          <w:sz w:val="24"/>
          <w:szCs w:val="24"/>
        </w:rPr>
        <w:t>十二、政府性基金预算财政拨款“三公”经费支出决算表</w:t>
      </w:r>
      <w:r>
        <w:rPr>
          <w:rFonts w:hint="default" w:ascii="Times New Roman" w:hAnsi="Times New Roman" w:cs="Times New Roman"/>
          <w:sz w:val="21"/>
          <w:szCs w:val="21"/>
        </w:rPr>
        <w:tab/>
      </w:r>
      <w:r>
        <w:rPr>
          <w:rFonts w:hint="eastAsia" w:cs="Times New Roman"/>
          <w:kern w:val="2"/>
          <w:sz w:val="24"/>
          <w:szCs w:val="24"/>
          <w:lang w:val="en-US" w:eastAsia="zh-CN" w:bidi="ar-SA"/>
        </w:rPr>
        <w:t>22</w:t>
      </w:r>
    </w:p>
    <w:p>
      <w:pPr>
        <w:pStyle w:val="12"/>
        <w:keepNext w:val="0"/>
        <w:keepLines w:val="0"/>
        <w:pageBreakBefore w:val="0"/>
        <w:widowControl w:val="0"/>
        <w:kinsoku/>
        <w:wordWrap/>
        <w:overflowPunct/>
        <w:topLinePunct w:val="0"/>
        <w:autoSpaceDE/>
        <w:autoSpaceDN/>
        <w:bidi w:val="0"/>
        <w:adjustRightInd w:val="0"/>
        <w:snapToGrid w:val="0"/>
        <w:spacing w:line="440" w:lineRule="exact"/>
        <w:ind w:left="31680"/>
        <w:jc w:val="left"/>
        <w:rPr>
          <w:rFonts w:hint="default" w:ascii="Times New Roman" w:hAnsi="Times New Roman" w:cs="Times New Roman"/>
          <w:sz w:val="24"/>
          <w:szCs w:val="24"/>
        </w:rPr>
      </w:pPr>
      <w:r>
        <w:rPr>
          <w:rFonts w:hint="default" w:ascii="Times New Roman" w:hAnsi="Times New Roman" w:cs="Times New Roman"/>
          <w:sz w:val="24"/>
          <w:szCs w:val="24"/>
        </w:rPr>
        <w:t>十三、国有资本经营预算财政拨款收入支出决算表</w:t>
      </w:r>
      <w:r>
        <w:rPr>
          <w:rFonts w:hint="default" w:ascii="Times New Roman" w:hAnsi="Times New Roman" w:cs="Times New Roman"/>
          <w:sz w:val="21"/>
          <w:szCs w:val="21"/>
        </w:rPr>
        <w:tab/>
      </w:r>
      <w:r>
        <w:rPr>
          <w:rFonts w:hint="eastAsia" w:cs="Times New Roman"/>
          <w:kern w:val="2"/>
          <w:sz w:val="24"/>
          <w:szCs w:val="24"/>
          <w:lang w:val="en-US" w:eastAsia="zh-CN" w:bidi="ar-SA"/>
        </w:rPr>
        <w:t>22</w:t>
      </w:r>
    </w:p>
    <w:p>
      <w:pPr>
        <w:pStyle w:val="12"/>
        <w:keepNext w:val="0"/>
        <w:keepLines w:val="0"/>
        <w:pageBreakBefore w:val="0"/>
        <w:widowControl w:val="0"/>
        <w:kinsoku/>
        <w:wordWrap/>
        <w:overflowPunct/>
        <w:topLinePunct w:val="0"/>
        <w:autoSpaceDE/>
        <w:autoSpaceDN/>
        <w:bidi w:val="0"/>
        <w:adjustRightInd w:val="0"/>
        <w:snapToGrid w:val="0"/>
        <w:spacing w:line="440" w:lineRule="exact"/>
        <w:ind w:left="31680"/>
        <w:jc w:val="left"/>
        <w:rPr>
          <w:rFonts w:hint="default" w:ascii="Times New Roman" w:hAnsi="Times New Roman" w:cs="Times New Roman"/>
          <w:sz w:val="24"/>
          <w:szCs w:val="24"/>
        </w:rPr>
      </w:pPr>
      <w:r>
        <w:rPr>
          <w:rFonts w:hint="default" w:ascii="Times New Roman" w:hAnsi="Times New Roman" w:cs="Times New Roman"/>
          <w:sz w:val="24"/>
          <w:szCs w:val="24"/>
        </w:rPr>
        <w:t>十四、国有资本经营预算财政拨款支出决算表</w:t>
      </w:r>
      <w:r>
        <w:rPr>
          <w:rFonts w:hint="default" w:ascii="Times New Roman" w:hAnsi="Times New Roman" w:cs="Times New Roman"/>
          <w:sz w:val="21"/>
          <w:szCs w:val="21"/>
        </w:rPr>
        <w:tab/>
      </w:r>
      <w:r>
        <w:rPr>
          <w:rFonts w:hint="eastAsia" w:cs="Times New Roman"/>
          <w:kern w:val="2"/>
          <w:sz w:val="24"/>
          <w:szCs w:val="24"/>
          <w:lang w:val="en-US" w:eastAsia="zh-CN" w:bidi="ar-SA"/>
        </w:rPr>
        <w:t>22</w:t>
      </w:r>
      <w:bookmarkStart w:id="67" w:name="_GoBack"/>
      <w:bookmarkEnd w:id="67"/>
    </w:p>
    <w:p>
      <w:pPr>
        <w:keepNext w:val="0"/>
        <w:keepLines w:val="0"/>
        <w:pageBreakBefore w:val="0"/>
        <w:widowControl w:val="0"/>
        <w:kinsoku/>
        <w:wordWrap/>
        <w:overflowPunct/>
        <w:topLinePunct w:val="0"/>
        <w:autoSpaceDE/>
        <w:autoSpaceDN/>
        <w:bidi w:val="0"/>
        <w:spacing w:line="440" w:lineRule="exact"/>
        <w:jc w:val="center"/>
        <w:rPr>
          <w:rStyle w:val="17"/>
          <w:rFonts w:hint="default" w:ascii="Times New Roman" w:hAnsi="Times New Roman" w:eastAsia="方正黑体_GBK" w:cs="Times New Roman"/>
          <w:b w:val="0"/>
          <w:bCs w:val="0"/>
        </w:rPr>
      </w:pPr>
      <w:bookmarkStart w:id="12" w:name="_Toc15396599"/>
      <w:bookmarkStart w:id="13" w:name="_Toc15377196"/>
      <w:r>
        <w:rPr>
          <w:rFonts w:hint="default" w:ascii="Times New Roman" w:hAnsi="Times New Roman" w:eastAsia="仿宋" w:cs="Times New Roman"/>
          <w:b/>
          <w:bCs/>
          <w:sz w:val="24"/>
          <w:szCs w:val="24"/>
        </w:rPr>
        <w:br w:type="page"/>
      </w:r>
      <w:r>
        <w:rPr>
          <w:rStyle w:val="17"/>
          <w:rFonts w:hint="default" w:ascii="Times New Roman" w:hAnsi="Times New Roman" w:eastAsia="方正黑体_GBK" w:cs="Times New Roman"/>
          <w:b w:val="0"/>
          <w:bCs w:val="0"/>
        </w:rPr>
        <w:t>第一部分 部门概况</w:t>
      </w:r>
      <w:bookmarkEnd w:id="12"/>
      <w:bookmarkEnd w:id="13"/>
    </w:p>
    <w:p>
      <w:pPr>
        <w:pStyle w:val="2"/>
        <w:rPr>
          <w:rFonts w:hint="default"/>
        </w:rPr>
      </w:pPr>
    </w:p>
    <w:p>
      <w:pPr>
        <w:pStyle w:val="4"/>
        <w:keepNext w:val="0"/>
        <w:keepLines w:val="0"/>
        <w:pageBreakBefore w:val="0"/>
        <w:widowControl w:val="0"/>
        <w:kinsoku/>
        <w:wordWrap/>
        <w:overflowPunct/>
        <w:topLinePunct w:val="0"/>
        <w:autoSpaceDE/>
        <w:autoSpaceDN/>
        <w:bidi w:val="0"/>
        <w:spacing w:before="0" w:after="0" w:line="240" w:lineRule="auto"/>
        <w:ind w:firstLine="660" w:firstLineChars="200"/>
        <w:jc w:val="both"/>
        <w:rPr>
          <w:rStyle w:val="18"/>
          <w:rFonts w:hint="default" w:ascii="Times New Roman" w:hAnsi="Times New Roman" w:eastAsia="方正黑体_GBK" w:cs="Times New Roman"/>
          <w:b w:val="0"/>
          <w:bCs w:val="0"/>
          <w:sz w:val="33"/>
          <w:szCs w:val="33"/>
        </w:rPr>
      </w:pPr>
      <w:bookmarkStart w:id="14" w:name="_Toc15396600"/>
      <w:bookmarkStart w:id="15" w:name="_Toc15377197"/>
      <w:r>
        <w:rPr>
          <w:rFonts w:hint="default" w:ascii="Times New Roman" w:hAnsi="Times New Roman" w:eastAsia="方正黑体_GBK" w:cs="Times New Roman"/>
          <w:b w:val="0"/>
          <w:bCs w:val="0"/>
          <w:sz w:val="33"/>
          <w:szCs w:val="33"/>
        </w:rPr>
        <w:t>一、基</w:t>
      </w:r>
      <w:r>
        <w:rPr>
          <w:rStyle w:val="18"/>
          <w:rFonts w:hint="default" w:ascii="Times New Roman" w:hAnsi="Times New Roman" w:eastAsia="方正黑体_GBK" w:cs="Times New Roman"/>
          <w:b w:val="0"/>
          <w:bCs w:val="0"/>
          <w:sz w:val="33"/>
          <w:szCs w:val="33"/>
        </w:rPr>
        <w:t>本职能及主要工作</w:t>
      </w:r>
    </w:p>
    <w:p>
      <w:pPr>
        <w:keepNext w:val="0"/>
        <w:keepLines w:val="0"/>
        <w:pageBreakBefore w:val="0"/>
        <w:widowControl w:val="0"/>
        <w:kinsoku/>
        <w:wordWrap/>
        <w:overflowPunct/>
        <w:topLinePunct w:val="0"/>
        <w:autoSpaceDE/>
        <w:autoSpaceDN/>
        <w:bidi w:val="0"/>
        <w:ind w:firstLine="663" w:firstLineChars="200"/>
        <w:jc w:val="both"/>
        <w:rPr>
          <w:rFonts w:hint="default" w:ascii="Times New Roman" w:hAnsi="Times New Roman" w:eastAsia="方正仿宋_GBK" w:cs="Times New Roman"/>
          <w:sz w:val="33"/>
          <w:szCs w:val="33"/>
        </w:rPr>
      </w:pPr>
      <w:r>
        <w:rPr>
          <w:rFonts w:hint="default" w:ascii="Times New Roman" w:hAnsi="Times New Roman" w:eastAsia="方正楷体_GBK" w:cs="Times New Roman"/>
          <w:b/>
          <w:bCs/>
          <w:sz w:val="33"/>
          <w:szCs w:val="33"/>
        </w:rPr>
        <w:t>（一）主要职能。</w:t>
      </w:r>
      <w:r>
        <w:rPr>
          <w:rFonts w:hint="default" w:ascii="Times New Roman" w:hAnsi="Times New Roman" w:eastAsia="方正仿宋_GBK" w:cs="Times New Roman"/>
          <w:sz w:val="33"/>
          <w:szCs w:val="33"/>
        </w:rPr>
        <w:t>以马克思列宁主义、毛泽东思想、邓小平理论、“三个代表”重要思想、科学发展观、习近平新时代中国特色社会主义思想为指导，认真学习党的基本理论和基本知识，学习党的路线、方针、政策，提高办学水平；发挥党员干部教育培训中的主渠道作用，有计划地培训乡科级领导干部、后备干部、基层干部、党员、入党积极分子等；开展重大理论和现实问题研究，为区委决策咨询服务，为教学和社会实践服务；根据区委对干部队伍建设的要求，会同相关部门制定各类骨干的培训轮训计划，承担公务员、事业单位人员、党外干部等培训轮训任务；承办区委举办的各类专题研讨班、学习班；完成区委交办的其他工作任务。</w:t>
      </w:r>
    </w:p>
    <w:p>
      <w:pPr>
        <w:pStyle w:val="4"/>
        <w:keepNext w:val="0"/>
        <w:keepLines w:val="0"/>
        <w:pageBreakBefore w:val="0"/>
        <w:widowControl w:val="0"/>
        <w:kinsoku/>
        <w:wordWrap/>
        <w:overflowPunct/>
        <w:topLinePunct w:val="0"/>
        <w:autoSpaceDE/>
        <w:autoSpaceDN/>
        <w:bidi w:val="0"/>
        <w:spacing w:before="0" w:after="0" w:line="240" w:lineRule="auto"/>
        <w:ind w:firstLine="663" w:firstLineChars="200"/>
        <w:jc w:val="both"/>
        <w:rPr>
          <w:rFonts w:hint="default" w:ascii="Times New Roman" w:hAnsi="Times New Roman" w:eastAsia="方正楷体_GBK" w:cs="Times New Roman"/>
          <w:sz w:val="33"/>
          <w:szCs w:val="33"/>
        </w:rPr>
      </w:pPr>
      <w:r>
        <w:rPr>
          <w:rFonts w:hint="default" w:ascii="Times New Roman" w:hAnsi="Times New Roman" w:eastAsia="方正楷体_GBK" w:cs="Times New Roman"/>
          <w:sz w:val="33"/>
          <w:szCs w:val="33"/>
        </w:rPr>
        <w:t>（二）2021年重点工作</w:t>
      </w:r>
      <w:bookmarkEnd w:id="14"/>
      <w:bookmarkEnd w:id="15"/>
      <w:r>
        <w:rPr>
          <w:rFonts w:hint="default" w:ascii="Times New Roman" w:hAnsi="Times New Roman" w:eastAsia="方正楷体_GBK" w:cs="Times New Roman"/>
          <w:sz w:val="33"/>
          <w:szCs w:val="33"/>
        </w:rPr>
        <w:t>完成情况</w:t>
      </w:r>
    </w:p>
    <w:p>
      <w:pPr>
        <w:keepNext w:val="0"/>
        <w:keepLines w:val="0"/>
        <w:pageBreakBefore w:val="0"/>
        <w:widowControl w:val="0"/>
        <w:kinsoku/>
        <w:wordWrap/>
        <w:overflowPunct/>
        <w:topLinePunct w:val="0"/>
        <w:autoSpaceDE/>
        <w:autoSpaceDN/>
        <w:bidi w:val="0"/>
        <w:ind w:firstLine="660" w:firstLineChars="200"/>
        <w:jc w:val="both"/>
        <w:rPr>
          <w:rFonts w:hint="default" w:ascii="Times New Roman" w:hAnsi="Times New Roman" w:eastAsia="方正仿宋_GBK" w:cs="Times New Roman"/>
          <w:sz w:val="33"/>
          <w:szCs w:val="33"/>
        </w:rPr>
      </w:pPr>
      <w:bookmarkStart w:id="16" w:name="_Toc15396602"/>
      <w:bookmarkStart w:id="17" w:name="_Toc15377204"/>
      <w:r>
        <w:rPr>
          <w:rFonts w:hint="default" w:ascii="Times New Roman" w:hAnsi="Times New Roman" w:eastAsia="方正仿宋_GBK" w:cs="Times New Roman"/>
          <w:sz w:val="33"/>
          <w:szCs w:val="33"/>
        </w:rPr>
        <w:t>2021年，党校工作主要围绕1条主线（中央、省、市、区工作要求）、主要做了2个方面的工作（党校工作和信息宣传）、取得了3个方面的成效（党校分类改革理论文章居全市县区第一</w:t>
      </w:r>
      <w:r>
        <w:rPr>
          <w:rFonts w:hint="default" w:ascii="Times New Roman" w:hAnsi="Times New Roman" w:eastAsia="方正仿宋_GBK" w:cs="Times New Roman"/>
          <w:spacing w:val="-6"/>
          <w:sz w:val="33"/>
          <w:szCs w:val="33"/>
        </w:rPr>
        <w:t>；办学质量位居全市县区第二；信息宣传名列前茅）。</w:t>
      </w:r>
    </w:p>
    <w:p>
      <w:pPr>
        <w:keepNext w:val="0"/>
        <w:keepLines w:val="0"/>
        <w:pageBreakBefore w:val="0"/>
        <w:widowControl w:val="0"/>
        <w:kinsoku/>
        <w:wordWrap/>
        <w:overflowPunct/>
        <w:topLinePunct w:val="0"/>
        <w:autoSpaceDE/>
        <w:autoSpaceDN/>
        <w:bidi w:val="0"/>
        <w:ind w:firstLine="660" w:firstLineChars="200"/>
        <w:jc w:val="both"/>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党校工作方面，主要抓了四项工作：一是尽心尽责，全力推动党校基础设施逐步完善。着眼党校职责和功能，划分“教学区”“办公区”“活动区”“接待区”“阅览区”“就餐区”“住宿区”等7个区域，教育培训功能更加优化。主动与相关单位对接，积极推进党校采购工作，采购课桌椅140套，办公用品4套，电脑6台，电视2台，空调16台，均安装完成。改造完成“习风园”“背水小道”改造升级，新建“背水小道”环线1条，新修厕所、储藏室2间，安装太阳能路灯20盏，加大基地维修维护，现场教学特色更加彰显。二是用力用劲，着力推动办学质量逐步提升。制定《中共攀枝花市西区区委党校（攀枝花市西区行政学校）2021年度主体班次办班计划》，规范班次和学制，创新设置“理论宣讲+互动研讨、辅导讲座+专题培训、人物访谈+实物展呈、室内教学+现场体验”等多种教法，采取独立办、一体办、联合办等方式，举办“科级领导干部进修班”“公务员任职培训班”15期，全面完成年度培训任务。在县级党校办学质量初评中，办学质量获得“良好”等次。全年培训学员186期9410人，学员评价为“很好”的占60%，评价为“好”的占40%。三是聚力聚焦，倾力推动培训课程特色逐步彰显。深挖三线历史文化优势资源，串联激活三线建设生产场景，构建起以精品课程为“点”、教学线路为“线”、全域资源为“面”的特色课程体系。“初心园”被市委党校设为现场教学基地（第二批），视频教材《立心花城 恳修人生》于5月29日作为全省党员教育电视片优秀作品在四川广播电视台、四川乡村频道播出。四是全心全意，致力推动师资力量逐步增强。选送4名讲解员赴瑞金市委党校、1名管理人员到沂蒙干部学院学习；选拔党政领导干部、先进模范典型、三线建设亲历者等兼职教师20人，建立优秀兼职师资库1个；下发《2021年区委党校主体班次“领导干部上讲台”讲课计划表》，领导干部上讲台占比达67%，师资教学水平明显逐步增强。</w:t>
      </w:r>
    </w:p>
    <w:p>
      <w:pPr>
        <w:pStyle w:val="4"/>
        <w:keepNext w:val="0"/>
        <w:keepLines w:val="0"/>
        <w:pageBreakBefore w:val="0"/>
        <w:widowControl w:val="0"/>
        <w:kinsoku/>
        <w:wordWrap/>
        <w:overflowPunct/>
        <w:topLinePunct w:val="0"/>
        <w:autoSpaceDE/>
        <w:autoSpaceDN/>
        <w:bidi w:val="0"/>
        <w:spacing w:before="0" w:after="0" w:line="240" w:lineRule="auto"/>
        <w:ind w:firstLine="660" w:firstLineChars="200"/>
        <w:jc w:val="both"/>
        <w:rPr>
          <w:rStyle w:val="18"/>
          <w:rFonts w:hint="default" w:ascii="Times New Roman" w:hAnsi="Times New Roman" w:eastAsia="方正黑体_GBK" w:cs="Times New Roman"/>
          <w:b w:val="0"/>
          <w:bCs w:val="0"/>
          <w:sz w:val="33"/>
          <w:szCs w:val="33"/>
        </w:rPr>
      </w:pPr>
      <w:bookmarkStart w:id="18" w:name="_Toc15396601"/>
      <w:bookmarkStart w:id="19" w:name="_Toc15377200"/>
      <w:r>
        <w:rPr>
          <w:rStyle w:val="18"/>
          <w:rFonts w:hint="default" w:ascii="Times New Roman" w:hAnsi="Times New Roman" w:eastAsia="方正黑体_GBK" w:cs="Times New Roman"/>
          <w:b w:val="0"/>
          <w:bCs w:val="0"/>
          <w:sz w:val="33"/>
          <w:szCs w:val="33"/>
        </w:rPr>
        <w:t>二、机构设置</w:t>
      </w:r>
      <w:bookmarkEnd w:id="18"/>
      <w:bookmarkEnd w:id="19"/>
    </w:p>
    <w:p>
      <w:pPr>
        <w:keepNext w:val="0"/>
        <w:keepLines w:val="0"/>
        <w:pageBreakBefore w:val="0"/>
        <w:widowControl w:val="0"/>
        <w:kinsoku/>
        <w:wordWrap/>
        <w:overflowPunct/>
        <w:topLinePunct w:val="0"/>
        <w:autoSpaceDE/>
        <w:autoSpaceDN/>
        <w:bidi w:val="0"/>
        <w:ind w:firstLine="660" w:firstLineChars="200"/>
        <w:jc w:val="both"/>
        <w:rPr>
          <w:rFonts w:hint="default" w:ascii="Times New Roman" w:hAnsi="Times New Roman" w:eastAsia="方正仿宋_GBK" w:cs="Times New Roman"/>
          <w:sz w:val="33"/>
          <w:szCs w:val="33"/>
        </w:rPr>
      </w:pPr>
      <w:r>
        <w:rPr>
          <w:rFonts w:hint="eastAsia" w:eastAsia="方正仿宋_GBK" w:cs="Times New Roman"/>
          <w:sz w:val="33"/>
          <w:szCs w:val="33"/>
          <w:lang w:eastAsia="zh-CN"/>
        </w:rPr>
        <w:t>区委党校</w:t>
      </w:r>
      <w:r>
        <w:rPr>
          <w:rFonts w:hint="default" w:ascii="Times New Roman" w:hAnsi="Times New Roman" w:eastAsia="方正仿宋_GBK" w:cs="Times New Roman"/>
          <w:sz w:val="33"/>
          <w:szCs w:val="33"/>
        </w:rPr>
        <w:t>下属二级单位</w:t>
      </w:r>
      <w:r>
        <w:rPr>
          <w:rFonts w:hint="eastAsia" w:eastAsia="方正仿宋_GBK" w:cs="Times New Roman"/>
          <w:sz w:val="33"/>
          <w:szCs w:val="33"/>
          <w:lang w:val="en-US" w:eastAsia="zh-CN"/>
        </w:rPr>
        <w:t>0</w:t>
      </w:r>
      <w:r>
        <w:rPr>
          <w:rFonts w:hint="default" w:ascii="Times New Roman" w:hAnsi="Times New Roman" w:eastAsia="方正仿宋_GBK" w:cs="Times New Roman"/>
          <w:sz w:val="33"/>
          <w:szCs w:val="33"/>
        </w:rPr>
        <w:t>个，其中行政单位</w:t>
      </w:r>
      <w:r>
        <w:rPr>
          <w:rFonts w:hint="eastAsia" w:eastAsia="方正仿宋_GBK" w:cs="Times New Roman"/>
          <w:sz w:val="33"/>
          <w:szCs w:val="33"/>
          <w:lang w:val="en-US" w:eastAsia="zh-CN"/>
        </w:rPr>
        <w:t>0</w:t>
      </w:r>
      <w:r>
        <w:rPr>
          <w:rFonts w:hint="default" w:ascii="Times New Roman" w:hAnsi="Times New Roman" w:eastAsia="方正仿宋_GBK" w:cs="Times New Roman"/>
          <w:sz w:val="33"/>
          <w:szCs w:val="33"/>
        </w:rPr>
        <w:t>个，参照公务员法管理的事业单位</w:t>
      </w:r>
      <w:r>
        <w:rPr>
          <w:rFonts w:hint="eastAsia" w:eastAsia="方正仿宋_GBK" w:cs="Times New Roman"/>
          <w:sz w:val="33"/>
          <w:szCs w:val="33"/>
          <w:lang w:val="en-US" w:eastAsia="zh-CN"/>
        </w:rPr>
        <w:t>0</w:t>
      </w:r>
      <w:r>
        <w:rPr>
          <w:rFonts w:hint="default" w:ascii="Times New Roman" w:hAnsi="Times New Roman" w:eastAsia="方正仿宋_GBK" w:cs="Times New Roman"/>
          <w:sz w:val="33"/>
          <w:szCs w:val="33"/>
        </w:rPr>
        <w:t>个，其他事业单位</w:t>
      </w:r>
      <w:r>
        <w:rPr>
          <w:rFonts w:hint="eastAsia" w:eastAsia="方正仿宋_GBK" w:cs="Times New Roman"/>
          <w:sz w:val="33"/>
          <w:szCs w:val="33"/>
          <w:lang w:val="en-US" w:eastAsia="zh-CN"/>
        </w:rPr>
        <w:t>0</w:t>
      </w:r>
      <w:r>
        <w:rPr>
          <w:rFonts w:hint="default" w:ascii="Times New Roman" w:hAnsi="Times New Roman" w:eastAsia="方正仿宋_GBK" w:cs="Times New Roman"/>
          <w:sz w:val="33"/>
          <w:szCs w:val="33"/>
        </w:rPr>
        <w:t>个。</w:t>
      </w:r>
    </w:p>
    <w:p>
      <w:pPr>
        <w:keepNext w:val="0"/>
        <w:keepLines w:val="0"/>
        <w:pageBreakBefore w:val="0"/>
        <w:widowControl w:val="0"/>
        <w:kinsoku/>
        <w:wordWrap/>
        <w:overflowPunct/>
        <w:topLinePunct w:val="0"/>
        <w:autoSpaceDE/>
        <w:autoSpaceDN/>
        <w:bidi w:val="0"/>
        <w:ind w:firstLine="660" w:firstLineChars="200"/>
        <w:jc w:val="both"/>
        <w:rPr>
          <w:rFonts w:hint="default" w:ascii="Times New Roman" w:hAnsi="Times New Roman" w:eastAsia="方正仿宋_GBK" w:cs="Times New Roman"/>
          <w:sz w:val="33"/>
          <w:szCs w:val="33"/>
        </w:rPr>
      </w:pPr>
      <w:r>
        <w:rPr>
          <w:rFonts w:hint="eastAsia" w:eastAsia="方正仿宋_GBK" w:cs="Times New Roman"/>
          <w:sz w:val="33"/>
          <w:szCs w:val="33"/>
          <w:lang w:eastAsia="zh-CN"/>
        </w:rPr>
        <w:t>无</w:t>
      </w:r>
      <w:r>
        <w:rPr>
          <w:rFonts w:hint="default" w:ascii="Times New Roman" w:hAnsi="Times New Roman" w:eastAsia="方正仿宋_GBK" w:cs="Times New Roman"/>
          <w:sz w:val="33"/>
          <w:szCs w:val="33"/>
        </w:rPr>
        <w:t>纳入2021年度部门决算编制范围的二级预算单位。</w:t>
      </w:r>
    </w:p>
    <w:p>
      <w:pPr>
        <w:pStyle w:val="2"/>
        <w:keepNext w:val="0"/>
        <w:keepLines w:val="0"/>
        <w:pageBreakBefore w:val="0"/>
        <w:widowControl w:val="0"/>
        <w:kinsoku/>
        <w:wordWrap/>
        <w:overflowPunct/>
        <w:topLinePunct w:val="0"/>
        <w:autoSpaceDE/>
        <w:autoSpaceDN/>
        <w:bidi w:val="0"/>
        <w:spacing w:beforeLines="0"/>
        <w:jc w:val="both"/>
        <w:rPr>
          <w:rFonts w:hint="default" w:ascii="Times New Roman" w:hAnsi="Times New Roman" w:cs="Times New Roman"/>
          <w:sz w:val="33"/>
          <w:szCs w:val="33"/>
        </w:rPr>
      </w:pPr>
    </w:p>
    <w:p>
      <w:pPr>
        <w:pStyle w:val="3"/>
        <w:keepNext w:val="0"/>
        <w:keepLines w:val="0"/>
        <w:pageBreakBefore w:val="0"/>
        <w:widowControl w:val="0"/>
        <w:kinsoku/>
        <w:wordWrap/>
        <w:overflowPunct/>
        <w:topLinePunct w:val="0"/>
        <w:autoSpaceDE/>
        <w:autoSpaceDN/>
        <w:bidi w:val="0"/>
        <w:spacing w:before="0" w:after="0" w:line="240" w:lineRule="auto"/>
        <w:ind w:right="25"/>
        <w:jc w:val="center"/>
        <w:rPr>
          <w:rStyle w:val="17"/>
          <w:rFonts w:hint="default" w:ascii="Times New Roman" w:hAnsi="Times New Roman" w:eastAsia="方正黑体_GBK" w:cs="Times New Roman"/>
          <w:b w:val="0"/>
          <w:bCs w:val="0"/>
        </w:rPr>
      </w:pPr>
      <w:r>
        <w:rPr>
          <w:rFonts w:hint="default" w:ascii="Times New Roman" w:hAnsi="Times New Roman" w:eastAsia="方正黑体_GBK" w:cs="Times New Roman"/>
          <w:b w:val="0"/>
          <w:bCs w:val="0"/>
        </w:rPr>
        <w:t>第二部分 2021年度</w:t>
      </w:r>
      <w:r>
        <w:rPr>
          <w:rStyle w:val="17"/>
          <w:rFonts w:hint="default" w:ascii="Times New Roman" w:hAnsi="Times New Roman" w:eastAsia="方正黑体_GBK" w:cs="Times New Roman"/>
          <w:b w:val="0"/>
          <w:bCs w:val="0"/>
        </w:rPr>
        <w:t>部门决算情况说明</w:t>
      </w:r>
      <w:bookmarkEnd w:id="16"/>
      <w:bookmarkEnd w:id="17"/>
    </w:p>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sz w:val="33"/>
          <w:szCs w:val="33"/>
        </w:rPr>
      </w:pPr>
    </w:p>
    <w:p>
      <w:pPr>
        <w:pStyle w:val="4"/>
        <w:keepNext w:val="0"/>
        <w:keepLines w:val="0"/>
        <w:pageBreakBefore w:val="0"/>
        <w:widowControl w:val="0"/>
        <w:kinsoku/>
        <w:wordWrap/>
        <w:overflowPunct/>
        <w:topLinePunct w:val="0"/>
        <w:autoSpaceDE/>
        <w:autoSpaceDN/>
        <w:bidi w:val="0"/>
        <w:spacing w:before="0" w:after="0" w:line="240" w:lineRule="auto"/>
        <w:ind w:firstLine="660" w:firstLineChars="200"/>
        <w:jc w:val="both"/>
        <w:rPr>
          <w:rStyle w:val="18"/>
          <w:rFonts w:hint="default" w:ascii="Times New Roman" w:hAnsi="Times New Roman" w:eastAsia="方正黑体_GBK" w:cs="Times New Roman"/>
          <w:b w:val="0"/>
          <w:bCs w:val="0"/>
          <w:sz w:val="33"/>
          <w:szCs w:val="33"/>
        </w:rPr>
      </w:pPr>
      <w:bookmarkStart w:id="20" w:name="_Toc15377205"/>
      <w:bookmarkStart w:id="21" w:name="_Toc15396603"/>
      <w:r>
        <w:rPr>
          <w:rStyle w:val="18"/>
          <w:rFonts w:hint="default" w:ascii="Times New Roman" w:hAnsi="Times New Roman" w:eastAsia="方正黑体_GBK" w:cs="Times New Roman"/>
          <w:b w:val="0"/>
          <w:bCs w:val="0"/>
          <w:sz w:val="33"/>
          <w:szCs w:val="33"/>
        </w:rPr>
        <w:t>一、收入支出决算总体情况说明</w:t>
      </w:r>
      <w:bookmarkEnd w:id="20"/>
      <w:bookmarkEnd w:id="21"/>
    </w:p>
    <w:p>
      <w:pPr>
        <w:keepNext w:val="0"/>
        <w:keepLines w:val="0"/>
        <w:pageBreakBefore w:val="0"/>
        <w:widowControl w:val="0"/>
        <w:kinsoku/>
        <w:wordWrap/>
        <w:overflowPunct/>
        <w:topLinePunct w:val="0"/>
        <w:autoSpaceDE/>
        <w:autoSpaceDN/>
        <w:bidi w:val="0"/>
        <w:ind w:firstLine="660" w:firstLineChars="200"/>
        <w:jc w:val="both"/>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2021年度收、支总计137.80万元。本单位为今年新增单位，没有去年同期数可比。</w:t>
      </w:r>
    </w:p>
    <w:p>
      <w:pPr>
        <w:pStyle w:val="4"/>
        <w:keepNext w:val="0"/>
        <w:keepLines w:val="0"/>
        <w:pageBreakBefore w:val="0"/>
        <w:widowControl w:val="0"/>
        <w:kinsoku/>
        <w:wordWrap/>
        <w:overflowPunct/>
        <w:topLinePunct w:val="0"/>
        <w:autoSpaceDE/>
        <w:autoSpaceDN/>
        <w:bidi w:val="0"/>
        <w:spacing w:before="0" w:after="0" w:line="240" w:lineRule="auto"/>
        <w:ind w:firstLine="660" w:firstLineChars="200"/>
        <w:jc w:val="both"/>
        <w:rPr>
          <w:rStyle w:val="18"/>
          <w:rFonts w:hint="default" w:ascii="Times New Roman" w:hAnsi="Times New Roman" w:eastAsia="方正黑体_GBK" w:cs="Times New Roman"/>
          <w:b w:val="0"/>
          <w:bCs w:val="0"/>
          <w:sz w:val="33"/>
          <w:szCs w:val="33"/>
        </w:rPr>
      </w:pPr>
      <w:bookmarkStart w:id="22" w:name="_Toc15396604"/>
      <w:bookmarkStart w:id="23" w:name="_Toc15377206"/>
      <w:r>
        <w:rPr>
          <w:rStyle w:val="18"/>
          <w:rFonts w:hint="default" w:ascii="Times New Roman" w:hAnsi="Times New Roman" w:eastAsia="方正黑体_GBK" w:cs="Times New Roman"/>
          <w:b w:val="0"/>
          <w:bCs w:val="0"/>
          <w:sz w:val="33"/>
          <w:szCs w:val="33"/>
        </w:rPr>
        <w:t>二、收入决算情况说明</w:t>
      </w:r>
      <w:bookmarkEnd w:id="22"/>
      <w:bookmarkEnd w:id="23"/>
    </w:p>
    <w:p>
      <w:pPr>
        <w:keepNext w:val="0"/>
        <w:keepLines w:val="0"/>
        <w:pageBreakBefore w:val="0"/>
        <w:widowControl w:val="0"/>
        <w:kinsoku/>
        <w:wordWrap/>
        <w:overflowPunct/>
        <w:topLinePunct w:val="0"/>
        <w:autoSpaceDE/>
        <w:autoSpaceDN/>
        <w:bidi w:val="0"/>
        <w:ind w:firstLine="660" w:firstLineChars="200"/>
        <w:jc w:val="both"/>
        <w:outlineLvl w:val="1"/>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2021年本年收入合计137.80万元，其中：一般公共预算财政拨款收入129.20万元，占94%；政府性基金预算财政拨款收入8.60万元，占6%。</w:t>
      </w:r>
    </w:p>
    <w:p>
      <w:pPr>
        <w:keepNext w:val="0"/>
        <w:keepLines w:val="0"/>
        <w:pageBreakBefore w:val="0"/>
        <w:widowControl w:val="0"/>
        <w:kinsoku/>
        <w:wordWrap/>
        <w:overflowPunct/>
        <w:topLinePunct w:val="0"/>
        <w:autoSpaceDE/>
        <w:autoSpaceDN/>
        <w:bidi w:val="0"/>
        <w:ind w:firstLine="660" w:firstLineChars="200"/>
        <w:jc w:val="both"/>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（图</w:t>
      </w:r>
      <w:r>
        <w:rPr>
          <w:rFonts w:hint="default" w:ascii="Times New Roman" w:hAnsi="Times New Roman" w:eastAsia="方正仿宋_GBK" w:cs="Times New Roman"/>
          <w:sz w:val="33"/>
          <w:szCs w:val="33"/>
          <w:lang w:val="en-US" w:eastAsia="zh-CN"/>
        </w:rPr>
        <w:t>1</w:t>
      </w:r>
      <w:r>
        <w:rPr>
          <w:rFonts w:hint="default" w:ascii="Times New Roman" w:hAnsi="Times New Roman" w:eastAsia="方正仿宋_GBK" w:cs="Times New Roman"/>
          <w:sz w:val="33"/>
          <w:szCs w:val="33"/>
        </w:rPr>
        <w:t>：收入决算结构图）</w:t>
      </w:r>
    </w:p>
    <w:p>
      <w:pPr>
        <w:pStyle w:val="2"/>
        <w:keepNext w:val="0"/>
        <w:keepLines w:val="0"/>
        <w:pageBreakBefore w:val="0"/>
        <w:widowControl w:val="0"/>
        <w:kinsoku/>
        <w:wordWrap/>
        <w:overflowPunct/>
        <w:topLinePunct w:val="0"/>
        <w:autoSpaceDE/>
        <w:autoSpaceDN/>
        <w:bidi w:val="0"/>
        <w:spacing w:beforeLines="0"/>
        <w:ind w:firstLine="330" w:firstLineChars="100"/>
        <w:jc w:val="both"/>
        <w:rPr>
          <w:rFonts w:hint="default" w:ascii="Times New Roman" w:hAnsi="Times New Roman" w:cs="Times New Roman"/>
          <w:sz w:val="33"/>
          <w:szCs w:val="33"/>
        </w:rPr>
      </w:pPr>
      <w:r>
        <w:rPr>
          <w:rFonts w:hint="default" w:ascii="Times New Roman" w:hAnsi="Times New Roman" w:cs="Times New Roman"/>
          <w:sz w:val="33"/>
          <w:szCs w:val="33"/>
        </w:rPr>
        <w:pict>
          <v:shape id="_x0000_i1025" o:spt="75" type="#_x0000_t75" style="height:159pt;width:394.5pt;" filled="f" o:preferrelative="t" stroked="f" coordsize="21600,21600">
            <v:path/>
            <v:fill on="f" focussize="0,0"/>
            <v:stroke on="f" joinstyle="miter"/>
            <v:imagedata r:id="rId6" o:title=""/>
            <o:lock v:ext="edit" aspectratio="f"/>
            <w10:wrap type="none"/>
            <w10:anchorlock/>
          </v:shape>
        </w:pict>
      </w:r>
    </w:p>
    <w:p>
      <w:pPr>
        <w:pStyle w:val="4"/>
        <w:keepNext w:val="0"/>
        <w:keepLines w:val="0"/>
        <w:pageBreakBefore w:val="0"/>
        <w:widowControl w:val="0"/>
        <w:kinsoku/>
        <w:wordWrap/>
        <w:overflowPunct/>
        <w:topLinePunct w:val="0"/>
        <w:autoSpaceDE/>
        <w:autoSpaceDN/>
        <w:bidi w:val="0"/>
        <w:spacing w:before="0" w:after="0" w:line="240" w:lineRule="auto"/>
        <w:ind w:firstLine="660" w:firstLineChars="200"/>
        <w:jc w:val="both"/>
        <w:rPr>
          <w:rStyle w:val="18"/>
          <w:rFonts w:hint="default" w:ascii="Times New Roman" w:hAnsi="Times New Roman" w:eastAsia="方正黑体_GBK" w:cs="Times New Roman"/>
          <w:b w:val="0"/>
          <w:bCs w:val="0"/>
          <w:sz w:val="33"/>
          <w:szCs w:val="33"/>
        </w:rPr>
      </w:pPr>
      <w:bookmarkStart w:id="24" w:name="_Toc15377207"/>
      <w:bookmarkStart w:id="25" w:name="_Toc15396605"/>
      <w:r>
        <w:rPr>
          <w:rStyle w:val="18"/>
          <w:rFonts w:hint="default" w:ascii="Times New Roman" w:hAnsi="Times New Roman" w:eastAsia="方正黑体_GBK" w:cs="Times New Roman"/>
          <w:b w:val="0"/>
          <w:bCs w:val="0"/>
          <w:sz w:val="33"/>
          <w:szCs w:val="33"/>
        </w:rPr>
        <w:t>三、支出决算情况说明</w:t>
      </w:r>
      <w:bookmarkEnd w:id="24"/>
      <w:bookmarkEnd w:id="25"/>
    </w:p>
    <w:p>
      <w:pPr>
        <w:keepNext w:val="0"/>
        <w:keepLines w:val="0"/>
        <w:pageBreakBefore w:val="0"/>
        <w:widowControl w:val="0"/>
        <w:kinsoku/>
        <w:wordWrap/>
        <w:overflowPunct/>
        <w:topLinePunct w:val="0"/>
        <w:autoSpaceDE/>
        <w:autoSpaceDN/>
        <w:bidi w:val="0"/>
        <w:ind w:firstLine="660" w:firstLineChars="200"/>
        <w:jc w:val="both"/>
        <w:outlineLvl w:val="1"/>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2021年本年支出合计137.80万元，其中：基本支出129.20万元，占94%；项目支出8.60万元，占6%。</w:t>
      </w:r>
    </w:p>
    <w:p>
      <w:pPr>
        <w:keepNext w:val="0"/>
        <w:keepLines w:val="0"/>
        <w:pageBreakBefore w:val="0"/>
        <w:widowControl w:val="0"/>
        <w:kinsoku/>
        <w:wordWrap/>
        <w:overflowPunct/>
        <w:topLinePunct w:val="0"/>
        <w:autoSpaceDE/>
        <w:autoSpaceDN/>
        <w:bidi w:val="0"/>
        <w:ind w:firstLine="660" w:firstLineChars="200"/>
        <w:jc w:val="both"/>
        <w:rPr>
          <w:rFonts w:hint="default" w:ascii="Times New Roman" w:hAnsi="Times New Roman" w:eastAsia="仿宋" w:cs="Times New Roman"/>
          <w:sz w:val="33"/>
          <w:szCs w:val="33"/>
        </w:rPr>
      </w:pPr>
      <w:r>
        <w:rPr>
          <w:rFonts w:hint="default" w:ascii="Times New Roman" w:hAnsi="Times New Roman" w:eastAsia="仿宋" w:cs="Times New Roman"/>
          <w:sz w:val="33"/>
          <w:szCs w:val="33"/>
        </w:rPr>
        <w:t>（图</w:t>
      </w:r>
      <w:r>
        <w:rPr>
          <w:rFonts w:hint="default" w:ascii="Times New Roman" w:hAnsi="Times New Roman" w:eastAsia="仿宋" w:cs="Times New Roman"/>
          <w:sz w:val="33"/>
          <w:szCs w:val="33"/>
          <w:lang w:val="en-US" w:eastAsia="zh-CN"/>
        </w:rPr>
        <w:t>2</w:t>
      </w:r>
      <w:r>
        <w:rPr>
          <w:rFonts w:hint="default" w:ascii="Times New Roman" w:hAnsi="Times New Roman" w:eastAsia="仿宋" w:cs="Times New Roman"/>
          <w:sz w:val="33"/>
          <w:szCs w:val="33"/>
        </w:rPr>
        <w:t>：支出决算结构图）</w:t>
      </w:r>
    </w:p>
    <w:p>
      <w:pPr>
        <w:pStyle w:val="2"/>
        <w:keepNext w:val="0"/>
        <w:keepLines w:val="0"/>
        <w:pageBreakBefore w:val="0"/>
        <w:widowControl w:val="0"/>
        <w:kinsoku/>
        <w:wordWrap/>
        <w:overflowPunct/>
        <w:topLinePunct w:val="0"/>
        <w:autoSpaceDE/>
        <w:autoSpaceDN/>
        <w:bidi w:val="0"/>
        <w:spacing w:beforeLines="0"/>
        <w:ind w:firstLine="495" w:firstLineChars="150"/>
        <w:jc w:val="both"/>
        <w:rPr>
          <w:rFonts w:hint="default" w:ascii="Times New Roman" w:hAnsi="Times New Roman" w:cs="Times New Roman"/>
          <w:sz w:val="33"/>
          <w:szCs w:val="33"/>
        </w:rPr>
      </w:pPr>
      <w:r>
        <w:rPr>
          <w:rFonts w:hint="default" w:ascii="Times New Roman" w:hAnsi="Times New Roman" w:cs="Times New Roman"/>
          <w:sz w:val="33"/>
          <w:szCs w:val="33"/>
        </w:rPr>
        <w:pict>
          <v:shape id="_x0000_i1026" o:spt="75" type="#_x0000_t75" style="height:163.5pt;width:393pt;" filled="f" o:preferrelative="t" stroked="f" coordsize="21600,21600">
            <v:path/>
            <v:fill on="f" focussize="0,0"/>
            <v:stroke on="f" joinstyle="miter"/>
            <v:imagedata r:id="rId7" o:title=""/>
            <o:lock v:ext="edit" aspectratio="f"/>
            <w10:wrap type="none"/>
            <w10:anchorlock/>
          </v:shape>
        </w:pict>
      </w:r>
    </w:p>
    <w:p>
      <w:pPr>
        <w:keepNext w:val="0"/>
        <w:keepLines w:val="0"/>
        <w:pageBreakBefore w:val="0"/>
        <w:widowControl w:val="0"/>
        <w:kinsoku/>
        <w:wordWrap/>
        <w:overflowPunct/>
        <w:topLinePunct w:val="0"/>
        <w:autoSpaceDE/>
        <w:autoSpaceDN/>
        <w:bidi w:val="0"/>
        <w:ind w:firstLine="660" w:firstLineChars="200"/>
        <w:jc w:val="both"/>
        <w:outlineLvl w:val="1"/>
        <w:rPr>
          <w:rStyle w:val="18"/>
          <w:rFonts w:hint="default" w:ascii="Times New Roman" w:hAnsi="Times New Roman" w:eastAsia="方正黑体_GBK" w:cs="Times New Roman"/>
          <w:b w:val="0"/>
          <w:bCs w:val="0"/>
          <w:sz w:val="33"/>
          <w:szCs w:val="33"/>
        </w:rPr>
      </w:pPr>
      <w:bookmarkStart w:id="26" w:name="_Toc15377208"/>
      <w:bookmarkStart w:id="27" w:name="_Toc15396606"/>
      <w:r>
        <w:rPr>
          <w:rStyle w:val="18"/>
          <w:rFonts w:hint="default" w:ascii="Times New Roman" w:hAnsi="Times New Roman" w:eastAsia="方正黑体_GBK" w:cs="Times New Roman"/>
          <w:b w:val="0"/>
          <w:bCs w:val="0"/>
          <w:sz w:val="33"/>
          <w:szCs w:val="33"/>
        </w:rPr>
        <w:t>四、财政拨款收入支出决算总体情况说明</w:t>
      </w:r>
      <w:bookmarkEnd w:id="26"/>
      <w:bookmarkEnd w:id="27"/>
    </w:p>
    <w:p>
      <w:pPr>
        <w:keepNext w:val="0"/>
        <w:keepLines w:val="0"/>
        <w:pageBreakBefore w:val="0"/>
        <w:widowControl w:val="0"/>
        <w:kinsoku/>
        <w:wordWrap/>
        <w:overflowPunct/>
        <w:topLinePunct w:val="0"/>
        <w:autoSpaceDE/>
        <w:autoSpaceDN/>
        <w:bidi w:val="0"/>
        <w:ind w:firstLine="640"/>
        <w:jc w:val="both"/>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2021年财政拨款收、支总计137.80万元。本单位为今年新增单位，没有去年同期数可比。</w:t>
      </w:r>
    </w:p>
    <w:p>
      <w:pPr>
        <w:keepNext w:val="0"/>
        <w:keepLines w:val="0"/>
        <w:pageBreakBefore w:val="0"/>
        <w:widowControl w:val="0"/>
        <w:kinsoku/>
        <w:wordWrap/>
        <w:overflowPunct/>
        <w:topLinePunct w:val="0"/>
        <w:autoSpaceDE/>
        <w:autoSpaceDN/>
        <w:bidi w:val="0"/>
        <w:ind w:firstLine="660" w:firstLineChars="200"/>
        <w:jc w:val="both"/>
        <w:outlineLvl w:val="1"/>
        <w:rPr>
          <w:rStyle w:val="18"/>
          <w:rFonts w:hint="default" w:ascii="Times New Roman" w:hAnsi="Times New Roman" w:eastAsia="方正黑体_GBK" w:cs="Times New Roman"/>
          <w:b w:val="0"/>
          <w:bCs w:val="0"/>
          <w:sz w:val="33"/>
          <w:szCs w:val="33"/>
        </w:rPr>
      </w:pPr>
      <w:bookmarkStart w:id="28" w:name="_Toc15396607"/>
      <w:bookmarkStart w:id="29" w:name="_Toc15377209"/>
      <w:r>
        <w:rPr>
          <w:rStyle w:val="18"/>
          <w:rFonts w:hint="default" w:ascii="Times New Roman" w:hAnsi="Times New Roman" w:eastAsia="方正黑体_GBK" w:cs="Times New Roman"/>
          <w:b w:val="0"/>
          <w:bCs w:val="0"/>
          <w:sz w:val="33"/>
          <w:szCs w:val="33"/>
        </w:rPr>
        <w:t>五、一般公共预算财政拨款支出决算情况说明</w:t>
      </w:r>
      <w:bookmarkEnd w:id="28"/>
      <w:bookmarkEnd w:id="29"/>
    </w:p>
    <w:p>
      <w:pPr>
        <w:keepNext w:val="0"/>
        <w:keepLines w:val="0"/>
        <w:pageBreakBefore w:val="0"/>
        <w:widowControl w:val="0"/>
        <w:kinsoku/>
        <w:wordWrap/>
        <w:overflowPunct/>
        <w:topLinePunct w:val="0"/>
        <w:autoSpaceDE/>
        <w:autoSpaceDN/>
        <w:bidi w:val="0"/>
        <w:ind w:firstLine="663" w:firstLineChars="200"/>
        <w:jc w:val="both"/>
        <w:outlineLvl w:val="2"/>
        <w:rPr>
          <w:rFonts w:hint="default" w:ascii="Times New Roman" w:hAnsi="Times New Roman" w:eastAsia="方正楷体_GBK" w:cs="Times New Roman"/>
          <w:b/>
          <w:bCs/>
          <w:sz w:val="33"/>
          <w:szCs w:val="33"/>
        </w:rPr>
      </w:pPr>
      <w:bookmarkStart w:id="30" w:name="_Toc15377210"/>
      <w:r>
        <w:rPr>
          <w:rFonts w:hint="default" w:ascii="Times New Roman" w:hAnsi="Times New Roman" w:eastAsia="方正楷体_GBK" w:cs="Times New Roman"/>
          <w:b/>
          <w:bCs/>
          <w:sz w:val="33"/>
          <w:szCs w:val="33"/>
        </w:rPr>
        <w:t>（一）一般公共预算财政拨款支出决算总体情况</w:t>
      </w:r>
      <w:bookmarkEnd w:id="30"/>
    </w:p>
    <w:p>
      <w:pPr>
        <w:keepNext w:val="0"/>
        <w:keepLines w:val="0"/>
        <w:pageBreakBefore w:val="0"/>
        <w:widowControl w:val="0"/>
        <w:kinsoku/>
        <w:wordWrap/>
        <w:overflowPunct/>
        <w:topLinePunct w:val="0"/>
        <w:autoSpaceDE/>
        <w:autoSpaceDN/>
        <w:bidi w:val="0"/>
        <w:ind w:firstLine="640"/>
        <w:jc w:val="both"/>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2021年一般公共预算财政拨款支出129.20万元，占本年</w:t>
      </w:r>
      <w:r>
        <w:rPr>
          <w:rFonts w:hint="default" w:ascii="Times New Roman" w:hAnsi="Times New Roman" w:eastAsia="方正仿宋_GBK" w:cs="Times New Roman"/>
          <w:spacing w:val="-6"/>
          <w:sz w:val="33"/>
          <w:szCs w:val="33"/>
        </w:rPr>
        <w:t>支出合计的94%。本单位为今年新增单位，没有去年同期数可比。</w:t>
      </w:r>
    </w:p>
    <w:p>
      <w:pPr>
        <w:keepNext w:val="0"/>
        <w:keepLines w:val="0"/>
        <w:pageBreakBefore w:val="0"/>
        <w:widowControl w:val="0"/>
        <w:kinsoku/>
        <w:wordWrap/>
        <w:overflowPunct/>
        <w:topLinePunct w:val="0"/>
        <w:autoSpaceDE/>
        <w:autoSpaceDN/>
        <w:bidi w:val="0"/>
        <w:ind w:firstLine="663" w:firstLineChars="200"/>
        <w:jc w:val="both"/>
        <w:outlineLvl w:val="2"/>
        <w:rPr>
          <w:rFonts w:hint="default" w:ascii="Times New Roman" w:hAnsi="Times New Roman" w:eastAsia="方正楷体_GBK" w:cs="Times New Roman"/>
          <w:b/>
          <w:bCs/>
          <w:sz w:val="33"/>
          <w:szCs w:val="33"/>
        </w:rPr>
      </w:pPr>
      <w:bookmarkStart w:id="31" w:name="_Toc15377211"/>
      <w:r>
        <w:rPr>
          <w:rFonts w:hint="default" w:ascii="Times New Roman" w:hAnsi="Times New Roman" w:eastAsia="方正楷体_GBK" w:cs="Times New Roman"/>
          <w:b/>
          <w:bCs/>
          <w:sz w:val="33"/>
          <w:szCs w:val="33"/>
        </w:rPr>
        <w:t>（二）一般公共预算财政拨款支出决算结构情况</w:t>
      </w:r>
      <w:bookmarkEnd w:id="31"/>
    </w:p>
    <w:p>
      <w:pPr>
        <w:keepNext w:val="0"/>
        <w:keepLines w:val="0"/>
        <w:pageBreakBefore w:val="0"/>
        <w:widowControl w:val="0"/>
        <w:kinsoku/>
        <w:wordWrap/>
        <w:overflowPunct/>
        <w:topLinePunct w:val="0"/>
        <w:autoSpaceDE/>
        <w:autoSpaceDN/>
        <w:bidi w:val="0"/>
        <w:ind w:firstLine="640"/>
        <w:jc w:val="both"/>
        <w:rPr>
          <w:rFonts w:hint="default" w:ascii="Times New Roman" w:hAnsi="Times New Roman" w:eastAsia="方正仿宋_GBK" w:cs="Times New Roman"/>
          <w:b/>
          <w:bCs/>
          <w:sz w:val="33"/>
          <w:szCs w:val="33"/>
        </w:rPr>
      </w:pPr>
      <w:r>
        <w:rPr>
          <w:rFonts w:hint="default" w:ascii="Times New Roman" w:hAnsi="Times New Roman" w:eastAsia="方正仿宋_GBK" w:cs="Times New Roman"/>
          <w:sz w:val="33"/>
          <w:szCs w:val="33"/>
        </w:rPr>
        <w:t>2021年一般公共预算财政拨款支出129.20万元，主要用于以下方面:</w:t>
      </w:r>
      <w:r>
        <w:rPr>
          <w:rFonts w:hint="default" w:ascii="Times New Roman" w:hAnsi="Times New Roman" w:eastAsia="方正仿宋_GBK" w:cs="Times New Roman"/>
          <w:b/>
          <w:bCs/>
          <w:sz w:val="33"/>
          <w:szCs w:val="33"/>
        </w:rPr>
        <w:t>一般公共服务（类）</w:t>
      </w:r>
      <w:r>
        <w:rPr>
          <w:rFonts w:hint="default" w:ascii="Times New Roman" w:hAnsi="Times New Roman" w:eastAsia="方正仿宋_GBK" w:cs="Times New Roman"/>
          <w:sz w:val="33"/>
          <w:szCs w:val="33"/>
        </w:rPr>
        <w:t>支出99.85万元，占77%；</w:t>
      </w:r>
      <w:r>
        <w:rPr>
          <w:rFonts w:hint="default" w:ascii="Times New Roman" w:hAnsi="Times New Roman" w:eastAsia="方正仿宋_GBK" w:cs="Times New Roman"/>
          <w:b/>
          <w:bCs/>
          <w:sz w:val="33"/>
          <w:szCs w:val="33"/>
        </w:rPr>
        <w:t>社会保障和就业（类）</w:t>
      </w:r>
      <w:r>
        <w:rPr>
          <w:rFonts w:hint="default" w:ascii="Times New Roman" w:hAnsi="Times New Roman" w:eastAsia="方正仿宋_GBK" w:cs="Times New Roman"/>
          <w:sz w:val="33"/>
          <w:szCs w:val="33"/>
        </w:rPr>
        <w:t>支出8.75万元，占7%；</w:t>
      </w:r>
      <w:r>
        <w:rPr>
          <w:rFonts w:hint="default" w:ascii="Times New Roman" w:hAnsi="Times New Roman" w:eastAsia="方正仿宋_GBK" w:cs="Times New Roman"/>
          <w:b/>
          <w:bCs/>
          <w:sz w:val="33"/>
          <w:szCs w:val="33"/>
        </w:rPr>
        <w:t>卫生健康（类）</w:t>
      </w:r>
      <w:r>
        <w:rPr>
          <w:rFonts w:hint="default" w:ascii="Times New Roman" w:hAnsi="Times New Roman" w:eastAsia="方正仿宋_GBK" w:cs="Times New Roman"/>
          <w:sz w:val="33"/>
          <w:szCs w:val="33"/>
        </w:rPr>
        <w:t>支出7.42万元，占6%；</w:t>
      </w:r>
      <w:r>
        <w:rPr>
          <w:rFonts w:hint="default" w:ascii="Times New Roman" w:hAnsi="Times New Roman" w:eastAsia="方正仿宋_GBK" w:cs="Times New Roman"/>
          <w:b/>
          <w:bCs/>
          <w:sz w:val="33"/>
          <w:szCs w:val="33"/>
        </w:rPr>
        <w:t>住房保障（类）</w:t>
      </w:r>
      <w:r>
        <w:rPr>
          <w:rFonts w:hint="default" w:ascii="Times New Roman" w:hAnsi="Times New Roman" w:eastAsia="方正仿宋_GBK" w:cs="Times New Roman"/>
          <w:sz w:val="33"/>
          <w:szCs w:val="33"/>
        </w:rPr>
        <w:t>支出13.18万元，占10%。</w:t>
      </w:r>
    </w:p>
    <w:p>
      <w:pPr>
        <w:keepNext w:val="0"/>
        <w:keepLines w:val="0"/>
        <w:pageBreakBefore w:val="0"/>
        <w:widowControl w:val="0"/>
        <w:kinsoku/>
        <w:wordWrap/>
        <w:overflowPunct/>
        <w:topLinePunct w:val="0"/>
        <w:autoSpaceDE/>
        <w:autoSpaceDN/>
        <w:bidi w:val="0"/>
        <w:ind w:firstLine="660" w:firstLineChars="200"/>
        <w:jc w:val="both"/>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（图</w:t>
      </w:r>
      <w:r>
        <w:rPr>
          <w:rFonts w:hint="default"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rPr>
        <w:t>：一般公共预算财政拨款支出决算结构）</w:t>
      </w:r>
    </w:p>
    <w:p>
      <w:pPr>
        <w:pStyle w:val="2"/>
        <w:keepNext w:val="0"/>
        <w:keepLines w:val="0"/>
        <w:pageBreakBefore w:val="0"/>
        <w:widowControl w:val="0"/>
        <w:kinsoku/>
        <w:wordWrap/>
        <w:overflowPunct/>
        <w:topLinePunct w:val="0"/>
        <w:autoSpaceDE/>
        <w:autoSpaceDN/>
        <w:bidi w:val="0"/>
        <w:spacing w:beforeLines="0"/>
        <w:ind w:firstLine="495" w:firstLineChars="150"/>
        <w:jc w:val="both"/>
        <w:rPr>
          <w:rFonts w:hint="default" w:ascii="Times New Roman" w:hAnsi="Times New Roman" w:eastAsia="仿宋" w:cs="Times New Roman"/>
          <w:sz w:val="33"/>
          <w:szCs w:val="33"/>
        </w:rPr>
      </w:pPr>
      <w:r>
        <w:rPr>
          <w:rFonts w:hint="default" w:ascii="Times New Roman" w:hAnsi="Times New Roman" w:eastAsia="仿宋" w:cs="Times New Roman"/>
          <w:sz w:val="33"/>
          <w:szCs w:val="33"/>
        </w:rPr>
        <w:pict>
          <v:shape id="_x0000_i1027" o:spt="75" type="#_x0000_t75" style="height:164.25pt;width:393pt;" filled="f" o:preferrelative="t" stroked="f" coordsize="21600,21600">
            <v:path/>
            <v:fill on="f" focussize="0,0"/>
            <v:stroke on="f" joinstyle="miter"/>
            <v:imagedata r:id="rId8" o:title=""/>
            <o:lock v:ext="edit" aspectratio="f"/>
            <w10:wrap type="none"/>
            <w10:anchorlock/>
          </v:shape>
        </w:pict>
      </w:r>
    </w:p>
    <w:p>
      <w:pPr>
        <w:keepNext w:val="0"/>
        <w:keepLines w:val="0"/>
        <w:pageBreakBefore w:val="0"/>
        <w:widowControl w:val="0"/>
        <w:kinsoku/>
        <w:wordWrap/>
        <w:overflowPunct/>
        <w:topLinePunct w:val="0"/>
        <w:autoSpaceDE/>
        <w:autoSpaceDN/>
        <w:bidi w:val="0"/>
        <w:ind w:firstLine="663" w:firstLineChars="200"/>
        <w:jc w:val="both"/>
        <w:outlineLvl w:val="2"/>
        <w:rPr>
          <w:rFonts w:hint="default" w:ascii="Times New Roman" w:hAnsi="Times New Roman" w:eastAsia="方正仿宋_GBK" w:cs="Times New Roman"/>
          <w:b/>
          <w:bCs/>
          <w:sz w:val="33"/>
          <w:szCs w:val="33"/>
        </w:rPr>
      </w:pPr>
      <w:bookmarkStart w:id="32" w:name="_Toc15377212"/>
      <w:r>
        <w:rPr>
          <w:rFonts w:hint="default" w:ascii="Times New Roman" w:hAnsi="Times New Roman" w:eastAsia="方正楷体_GBK" w:cs="Times New Roman"/>
          <w:b/>
          <w:bCs/>
          <w:sz w:val="33"/>
          <w:szCs w:val="33"/>
        </w:rPr>
        <w:t>（三）一般公共预算财政拨款支出决算具体情况</w:t>
      </w:r>
      <w:bookmarkEnd w:id="32"/>
    </w:p>
    <w:p>
      <w:pPr>
        <w:keepNext w:val="0"/>
        <w:keepLines w:val="0"/>
        <w:pageBreakBefore w:val="0"/>
        <w:widowControl w:val="0"/>
        <w:kinsoku/>
        <w:wordWrap/>
        <w:overflowPunct/>
        <w:topLinePunct w:val="0"/>
        <w:autoSpaceDE/>
        <w:autoSpaceDN/>
        <w:bidi w:val="0"/>
        <w:ind w:firstLine="663" w:firstLineChars="200"/>
        <w:jc w:val="both"/>
        <w:outlineLvl w:val="2"/>
        <w:rPr>
          <w:rFonts w:hint="default" w:ascii="Times New Roman" w:hAnsi="Times New Roman" w:eastAsia="方正仿宋_GBK" w:cs="Times New Roman"/>
          <w:sz w:val="33"/>
          <w:szCs w:val="33"/>
        </w:rPr>
      </w:pPr>
      <w:bookmarkStart w:id="33" w:name="_Toc15378460"/>
      <w:bookmarkStart w:id="34" w:name="_Toc15377444"/>
      <w:bookmarkStart w:id="35" w:name="_Toc15377213"/>
      <w:r>
        <w:rPr>
          <w:rFonts w:hint="default" w:ascii="Times New Roman" w:hAnsi="Times New Roman" w:eastAsia="方正仿宋_GBK" w:cs="Times New Roman"/>
          <w:b/>
          <w:bCs/>
          <w:sz w:val="33"/>
          <w:szCs w:val="33"/>
        </w:rPr>
        <w:t>2021年一般公共预算支出决算数为</w:t>
      </w:r>
      <w:r>
        <w:rPr>
          <w:rFonts w:hint="default" w:ascii="Times New Roman" w:hAnsi="Times New Roman" w:eastAsia="方正仿宋_GBK" w:cs="Times New Roman"/>
          <w:sz w:val="33"/>
          <w:szCs w:val="33"/>
        </w:rPr>
        <w:t>129.20万元，</w:t>
      </w:r>
      <w:r>
        <w:rPr>
          <w:rStyle w:val="14"/>
          <w:rFonts w:hint="default" w:ascii="Times New Roman" w:hAnsi="Times New Roman" w:eastAsia="方正仿宋_GBK" w:cs="Times New Roman"/>
          <w:sz w:val="33"/>
          <w:szCs w:val="33"/>
        </w:rPr>
        <w:t>完成预算100%。其中：</w:t>
      </w:r>
      <w:bookmarkEnd w:id="33"/>
      <w:bookmarkEnd w:id="34"/>
      <w:bookmarkEnd w:id="35"/>
    </w:p>
    <w:p>
      <w:pPr>
        <w:keepNext w:val="0"/>
        <w:keepLines w:val="0"/>
        <w:pageBreakBefore w:val="0"/>
        <w:widowControl w:val="0"/>
        <w:kinsoku/>
        <w:wordWrap/>
        <w:overflowPunct/>
        <w:topLinePunct w:val="0"/>
        <w:autoSpaceDE/>
        <w:autoSpaceDN/>
        <w:bidi w:val="0"/>
        <w:ind w:firstLine="663" w:firstLineChars="200"/>
        <w:jc w:val="both"/>
        <w:rPr>
          <w:rFonts w:hint="default" w:ascii="Times New Roman" w:hAnsi="Times New Roman" w:eastAsia="方正仿宋_GBK" w:cs="Times New Roman"/>
          <w:b/>
          <w:bCs/>
          <w:sz w:val="33"/>
          <w:szCs w:val="33"/>
        </w:rPr>
      </w:pPr>
      <w:r>
        <w:rPr>
          <w:rStyle w:val="14"/>
          <w:rFonts w:hint="default" w:ascii="Times New Roman" w:hAnsi="Times New Roman" w:eastAsia="方正仿宋_GBK" w:cs="Times New Roman"/>
          <w:sz w:val="33"/>
          <w:szCs w:val="33"/>
        </w:rPr>
        <w:t>1.一般公共服务（类）</w:t>
      </w:r>
      <w:r>
        <w:rPr>
          <w:rStyle w:val="14"/>
          <w:rFonts w:hint="default" w:ascii="Times New Roman" w:hAnsi="Times New Roman" w:eastAsia="方正仿宋_GBK" w:cs="Times New Roman"/>
          <w:color w:val="000000"/>
          <w:sz w:val="33"/>
          <w:szCs w:val="33"/>
        </w:rPr>
        <w:t>组织事务（款）事业运行</w:t>
      </w:r>
      <w:r>
        <w:rPr>
          <w:rStyle w:val="14"/>
          <w:rFonts w:hint="default" w:ascii="Times New Roman" w:hAnsi="Times New Roman" w:eastAsia="方正仿宋_GBK" w:cs="Times New Roman"/>
          <w:sz w:val="33"/>
          <w:szCs w:val="33"/>
        </w:rPr>
        <w:t>（项）:</w:t>
      </w:r>
      <w:r>
        <w:rPr>
          <w:rStyle w:val="14"/>
          <w:rFonts w:hint="default" w:ascii="Times New Roman" w:hAnsi="Times New Roman" w:eastAsia="方正仿宋_GBK" w:cs="Times New Roman"/>
          <w:b w:val="0"/>
          <w:bCs w:val="0"/>
          <w:sz w:val="33"/>
          <w:szCs w:val="33"/>
        </w:rPr>
        <w:t>支出决算为99.85万元，完成预算100%。</w:t>
      </w:r>
    </w:p>
    <w:p>
      <w:pPr>
        <w:keepNext w:val="0"/>
        <w:keepLines w:val="0"/>
        <w:pageBreakBefore w:val="0"/>
        <w:widowControl w:val="0"/>
        <w:kinsoku/>
        <w:wordWrap/>
        <w:overflowPunct/>
        <w:topLinePunct w:val="0"/>
        <w:autoSpaceDE/>
        <w:autoSpaceDN/>
        <w:bidi w:val="0"/>
        <w:ind w:firstLine="663" w:firstLineChars="200"/>
        <w:jc w:val="both"/>
        <w:rPr>
          <w:rStyle w:val="14"/>
          <w:rFonts w:hint="default" w:ascii="Times New Roman" w:hAnsi="Times New Roman" w:eastAsia="方正仿宋_GBK" w:cs="Times New Roman"/>
          <w:color w:val="000000"/>
          <w:sz w:val="33"/>
          <w:szCs w:val="33"/>
        </w:rPr>
      </w:pPr>
      <w:r>
        <w:rPr>
          <w:rStyle w:val="14"/>
          <w:rFonts w:hint="default" w:ascii="Times New Roman" w:hAnsi="Times New Roman" w:eastAsia="方正仿宋_GBK" w:cs="Times New Roman"/>
          <w:color w:val="000000"/>
          <w:sz w:val="33"/>
          <w:szCs w:val="33"/>
        </w:rPr>
        <w:t>2.社会保障和就业支出（类）行政事业单位养老支出（款）机关事业单位基本养老保险缴费支出（项）:</w:t>
      </w:r>
      <w:r>
        <w:rPr>
          <w:rStyle w:val="14"/>
          <w:rFonts w:hint="default" w:ascii="Times New Roman" w:hAnsi="Times New Roman" w:eastAsia="方正仿宋_GBK" w:cs="Times New Roman"/>
          <w:b w:val="0"/>
          <w:bCs w:val="0"/>
          <w:color w:val="000000"/>
          <w:sz w:val="33"/>
          <w:szCs w:val="33"/>
        </w:rPr>
        <w:t xml:space="preserve"> 支出决算为8.75万元，完成预算100%。</w:t>
      </w:r>
    </w:p>
    <w:p>
      <w:pPr>
        <w:keepNext w:val="0"/>
        <w:keepLines w:val="0"/>
        <w:pageBreakBefore w:val="0"/>
        <w:widowControl w:val="0"/>
        <w:kinsoku/>
        <w:wordWrap/>
        <w:overflowPunct/>
        <w:topLinePunct w:val="0"/>
        <w:autoSpaceDE/>
        <w:autoSpaceDN/>
        <w:bidi w:val="0"/>
        <w:ind w:firstLine="663" w:firstLineChars="200"/>
        <w:jc w:val="both"/>
        <w:rPr>
          <w:rStyle w:val="14"/>
          <w:rFonts w:hint="default" w:ascii="Times New Roman" w:hAnsi="Times New Roman" w:eastAsia="方正仿宋_GBK" w:cs="Times New Roman"/>
          <w:b w:val="0"/>
          <w:bCs w:val="0"/>
          <w:color w:val="000000"/>
          <w:sz w:val="33"/>
          <w:szCs w:val="33"/>
        </w:rPr>
      </w:pPr>
      <w:r>
        <w:rPr>
          <w:rStyle w:val="14"/>
          <w:rFonts w:hint="default" w:ascii="Times New Roman" w:hAnsi="Times New Roman" w:eastAsia="方正仿宋_GBK" w:cs="Times New Roman"/>
          <w:sz w:val="33"/>
          <w:szCs w:val="33"/>
        </w:rPr>
        <w:t>3.</w:t>
      </w:r>
      <w:r>
        <w:rPr>
          <w:rFonts w:hint="default" w:ascii="Times New Roman" w:hAnsi="Times New Roman" w:eastAsia="方正仿宋_GBK" w:cs="Times New Roman"/>
          <w:b/>
          <w:bCs/>
          <w:color w:val="000000"/>
          <w:sz w:val="33"/>
          <w:szCs w:val="33"/>
        </w:rPr>
        <w:t>卫生健康支出</w:t>
      </w:r>
      <w:r>
        <w:rPr>
          <w:rStyle w:val="14"/>
          <w:rFonts w:hint="default" w:ascii="Times New Roman" w:hAnsi="Times New Roman" w:eastAsia="方正仿宋_GBK" w:cs="Times New Roman"/>
          <w:color w:val="000000"/>
          <w:sz w:val="33"/>
          <w:szCs w:val="33"/>
        </w:rPr>
        <w:t>（类）行政事业单位医疗（款）事业单位医疗（项）:</w:t>
      </w:r>
      <w:r>
        <w:rPr>
          <w:rStyle w:val="14"/>
          <w:rFonts w:hint="default" w:ascii="Times New Roman" w:hAnsi="Times New Roman" w:eastAsia="方正仿宋_GBK" w:cs="Times New Roman"/>
          <w:b w:val="0"/>
          <w:bCs w:val="0"/>
          <w:color w:val="000000"/>
          <w:sz w:val="33"/>
          <w:szCs w:val="33"/>
        </w:rPr>
        <w:t>支出决算为6.77万元，完成预算100%；</w:t>
      </w:r>
      <w:r>
        <w:rPr>
          <w:rStyle w:val="14"/>
          <w:rFonts w:hint="default" w:ascii="Times New Roman" w:hAnsi="Times New Roman" w:eastAsia="方正仿宋_GBK" w:cs="Times New Roman"/>
          <w:color w:val="000000"/>
          <w:sz w:val="33"/>
          <w:szCs w:val="33"/>
        </w:rPr>
        <w:t>公务员医疗补助（项）:</w:t>
      </w:r>
      <w:r>
        <w:rPr>
          <w:rStyle w:val="14"/>
          <w:rFonts w:hint="default" w:ascii="Times New Roman" w:hAnsi="Times New Roman" w:eastAsia="方正仿宋_GBK" w:cs="Times New Roman"/>
          <w:b w:val="0"/>
          <w:bCs w:val="0"/>
          <w:color w:val="000000"/>
          <w:sz w:val="33"/>
          <w:szCs w:val="33"/>
        </w:rPr>
        <w:t>支出决算为0.65万元，完成预算100%。</w:t>
      </w:r>
    </w:p>
    <w:p>
      <w:pPr>
        <w:keepNext w:val="0"/>
        <w:keepLines w:val="0"/>
        <w:pageBreakBefore w:val="0"/>
        <w:widowControl w:val="0"/>
        <w:kinsoku/>
        <w:wordWrap/>
        <w:overflowPunct/>
        <w:topLinePunct w:val="0"/>
        <w:autoSpaceDE/>
        <w:autoSpaceDN/>
        <w:bidi w:val="0"/>
        <w:ind w:firstLine="663" w:firstLineChars="200"/>
        <w:jc w:val="both"/>
        <w:rPr>
          <w:rFonts w:hint="default" w:ascii="Times New Roman" w:hAnsi="Times New Roman" w:eastAsia="方正仿宋_GBK" w:cs="Times New Roman"/>
          <w:color w:val="000000"/>
          <w:kern w:val="0"/>
          <w:sz w:val="33"/>
          <w:szCs w:val="33"/>
        </w:rPr>
      </w:pPr>
      <w:r>
        <w:rPr>
          <w:rStyle w:val="14"/>
          <w:rFonts w:hint="default" w:ascii="Times New Roman" w:hAnsi="Times New Roman" w:eastAsia="方正仿宋_GBK" w:cs="Times New Roman"/>
          <w:sz w:val="33"/>
          <w:szCs w:val="33"/>
        </w:rPr>
        <w:t>4</w:t>
      </w:r>
      <w:r>
        <w:rPr>
          <w:rFonts w:hint="default" w:ascii="Times New Roman" w:hAnsi="Times New Roman" w:eastAsia="方正仿宋_GBK" w:cs="Times New Roman"/>
          <w:sz w:val="33"/>
          <w:szCs w:val="33"/>
        </w:rPr>
        <w:t>.</w:t>
      </w:r>
      <w:r>
        <w:rPr>
          <w:rStyle w:val="14"/>
          <w:rFonts w:hint="default" w:ascii="Times New Roman" w:hAnsi="Times New Roman" w:eastAsia="方正仿宋_GBK" w:cs="Times New Roman"/>
          <w:color w:val="000000"/>
          <w:sz w:val="33"/>
          <w:szCs w:val="33"/>
        </w:rPr>
        <w:t>住房保障支出（类）住房改革支出（款）住房公积金（项）:</w:t>
      </w:r>
      <w:r>
        <w:rPr>
          <w:rStyle w:val="14"/>
          <w:rFonts w:hint="default" w:ascii="Times New Roman" w:hAnsi="Times New Roman" w:eastAsia="方正仿宋_GBK" w:cs="Times New Roman"/>
          <w:b w:val="0"/>
          <w:bCs w:val="0"/>
          <w:color w:val="000000"/>
          <w:sz w:val="33"/>
          <w:szCs w:val="33"/>
        </w:rPr>
        <w:t>支出决算为</w:t>
      </w:r>
      <w:r>
        <w:rPr>
          <w:rStyle w:val="14"/>
          <w:rFonts w:hint="default" w:ascii="Times New Roman" w:hAnsi="Times New Roman" w:eastAsia="方正仿宋_GBK" w:cs="Times New Roman"/>
          <w:b w:val="0"/>
          <w:bCs w:val="0"/>
          <w:sz w:val="33"/>
          <w:szCs w:val="33"/>
        </w:rPr>
        <w:t>13.18</w:t>
      </w:r>
      <w:r>
        <w:rPr>
          <w:rStyle w:val="14"/>
          <w:rFonts w:hint="default" w:ascii="Times New Roman" w:hAnsi="Times New Roman" w:eastAsia="方正仿宋_GBK" w:cs="Times New Roman"/>
          <w:b w:val="0"/>
          <w:bCs w:val="0"/>
          <w:color w:val="000000"/>
          <w:sz w:val="33"/>
          <w:szCs w:val="33"/>
        </w:rPr>
        <w:t>万元，完成预算100%。</w:t>
      </w:r>
    </w:p>
    <w:p>
      <w:pPr>
        <w:pStyle w:val="4"/>
        <w:keepNext w:val="0"/>
        <w:keepLines w:val="0"/>
        <w:pageBreakBefore w:val="0"/>
        <w:widowControl w:val="0"/>
        <w:kinsoku/>
        <w:wordWrap/>
        <w:overflowPunct/>
        <w:topLinePunct w:val="0"/>
        <w:autoSpaceDE/>
        <w:autoSpaceDN/>
        <w:bidi w:val="0"/>
        <w:spacing w:before="0" w:after="0" w:line="240" w:lineRule="auto"/>
        <w:ind w:firstLine="660" w:firstLineChars="200"/>
        <w:jc w:val="both"/>
        <w:rPr>
          <w:rStyle w:val="18"/>
          <w:rFonts w:hint="default" w:ascii="Times New Roman" w:hAnsi="Times New Roman" w:eastAsia="方正黑体_GBK" w:cs="Times New Roman"/>
          <w:b w:val="0"/>
          <w:bCs w:val="0"/>
          <w:sz w:val="33"/>
          <w:szCs w:val="33"/>
        </w:rPr>
      </w:pPr>
      <w:bookmarkStart w:id="36" w:name="_Toc15377214"/>
      <w:bookmarkStart w:id="37" w:name="_Toc15396608"/>
      <w:r>
        <w:rPr>
          <w:rStyle w:val="18"/>
          <w:rFonts w:hint="default" w:ascii="Times New Roman" w:hAnsi="Times New Roman" w:eastAsia="方正黑体_GBK" w:cs="Times New Roman"/>
          <w:b w:val="0"/>
          <w:bCs w:val="0"/>
          <w:sz w:val="33"/>
          <w:szCs w:val="33"/>
        </w:rPr>
        <w:t>六、一般公共预算财政拨款基本支出决算情况说明</w:t>
      </w:r>
      <w:bookmarkEnd w:id="36"/>
      <w:bookmarkEnd w:id="37"/>
      <w:r>
        <w:rPr>
          <w:rStyle w:val="18"/>
          <w:rFonts w:hint="default" w:ascii="Times New Roman" w:hAnsi="Times New Roman" w:eastAsia="方正黑体_GBK" w:cs="Times New Roman"/>
          <w:b w:val="0"/>
          <w:bCs w:val="0"/>
          <w:sz w:val="33"/>
          <w:szCs w:val="33"/>
        </w:rPr>
        <w:tab/>
      </w:r>
    </w:p>
    <w:p>
      <w:pPr>
        <w:keepNext w:val="0"/>
        <w:keepLines w:val="0"/>
        <w:pageBreakBefore w:val="0"/>
        <w:widowControl w:val="0"/>
        <w:kinsoku/>
        <w:wordWrap/>
        <w:overflowPunct/>
        <w:topLinePunct w:val="0"/>
        <w:autoSpaceDE/>
        <w:autoSpaceDN/>
        <w:bidi w:val="0"/>
        <w:ind w:firstLine="645"/>
        <w:jc w:val="both"/>
        <w:rPr>
          <w:rFonts w:hint="default" w:ascii="Times New Roman" w:hAnsi="Times New Roman" w:eastAsia="方正仿宋_GBK" w:cs="Times New Roman"/>
          <w:spacing w:val="-6"/>
          <w:sz w:val="33"/>
          <w:szCs w:val="33"/>
        </w:rPr>
      </w:pPr>
      <w:r>
        <w:rPr>
          <w:rFonts w:hint="default" w:ascii="Times New Roman" w:hAnsi="Times New Roman" w:eastAsia="方正仿宋_GBK" w:cs="Times New Roman"/>
          <w:spacing w:val="-6"/>
          <w:sz w:val="33"/>
          <w:szCs w:val="33"/>
        </w:rPr>
        <w:t>2021年一般公共预算财政拨款基本支出129.20万元，其中：</w:t>
      </w:r>
    </w:p>
    <w:p>
      <w:pPr>
        <w:keepNext w:val="0"/>
        <w:keepLines w:val="0"/>
        <w:pageBreakBefore w:val="0"/>
        <w:widowControl w:val="0"/>
        <w:kinsoku/>
        <w:wordWrap/>
        <w:overflowPunct/>
        <w:topLinePunct w:val="0"/>
        <w:autoSpaceDE/>
        <w:autoSpaceDN/>
        <w:bidi w:val="0"/>
        <w:ind w:firstLine="645"/>
        <w:jc w:val="both"/>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人员经费124.33万元，主要包括：基本工资、津贴补贴、奖金、绩效工资、机关事业单位基本养老保险缴费、职工基本医疗保险缴费、公务员医疗补助缴费、其他社会保障缴费、住房公积金。</w:t>
      </w:r>
      <w:r>
        <w:rPr>
          <w:rFonts w:hint="default" w:ascii="Times New Roman" w:hAnsi="Times New Roman" w:eastAsia="方正仿宋_GBK" w:cs="Times New Roman"/>
          <w:sz w:val="33"/>
          <w:szCs w:val="33"/>
        </w:rPr>
        <w:br w:type="textWrapping"/>
      </w:r>
      <w:r>
        <w:rPr>
          <w:rFonts w:hint="default" w:ascii="Times New Roman" w:hAnsi="Times New Roman" w:eastAsia="方正仿宋_GBK" w:cs="Times New Roman"/>
          <w:sz w:val="33"/>
          <w:szCs w:val="33"/>
        </w:rPr>
        <w:t>　　公用经费4.87万元，主要包括：办公费、手续费、水费、差旅费、培训费、劳务费、工会经费。</w:t>
      </w:r>
    </w:p>
    <w:p>
      <w:pPr>
        <w:pStyle w:val="4"/>
        <w:keepNext w:val="0"/>
        <w:keepLines w:val="0"/>
        <w:pageBreakBefore w:val="0"/>
        <w:widowControl w:val="0"/>
        <w:kinsoku/>
        <w:wordWrap/>
        <w:overflowPunct/>
        <w:topLinePunct w:val="0"/>
        <w:autoSpaceDE/>
        <w:autoSpaceDN/>
        <w:bidi w:val="0"/>
        <w:spacing w:before="0" w:after="0" w:line="240" w:lineRule="auto"/>
        <w:ind w:firstLine="660" w:firstLineChars="200"/>
        <w:jc w:val="both"/>
        <w:rPr>
          <w:rStyle w:val="18"/>
          <w:rFonts w:hint="default" w:ascii="Times New Roman" w:hAnsi="Times New Roman" w:eastAsia="方正黑体_GBK" w:cs="Times New Roman"/>
          <w:b w:val="0"/>
          <w:bCs w:val="0"/>
          <w:sz w:val="33"/>
          <w:szCs w:val="33"/>
        </w:rPr>
      </w:pPr>
      <w:bookmarkStart w:id="38" w:name="_Toc15377215"/>
      <w:bookmarkStart w:id="39" w:name="_Toc15396609"/>
      <w:r>
        <w:rPr>
          <w:rStyle w:val="18"/>
          <w:rFonts w:hint="default" w:ascii="Times New Roman" w:hAnsi="Times New Roman" w:eastAsia="方正黑体_GBK" w:cs="Times New Roman"/>
          <w:b w:val="0"/>
          <w:bCs w:val="0"/>
          <w:sz w:val="33"/>
          <w:szCs w:val="33"/>
        </w:rPr>
        <w:t>七、“三公”经费财政拨款支出决算情况说明</w:t>
      </w:r>
      <w:bookmarkEnd w:id="38"/>
      <w:bookmarkEnd w:id="39"/>
    </w:p>
    <w:p>
      <w:pPr>
        <w:keepNext w:val="0"/>
        <w:keepLines w:val="0"/>
        <w:pageBreakBefore w:val="0"/>
        <w:widowControl w:val="0"/>
        <w:kinsoku/>
        <w:wordWrap/>
        <w:overflowPunct/>
        <w:topLinePunct w:val="0"/>
        <w:autoSpaceDE/>
        <w:autoSpaceDN/>
        <w:bidi w:val="0"/>
        <w:ind w:firstLine="640"/>
        <w:jc w:val="both"/>
        <w:outlineLvl w:val="2"/>
        <w:rPr>
          <w:rFonts w:hint="default" w:ascii="Times New Roman" w:hAnsi="Times New Roman" w:eastAsia="方正楷体_GBK" w:cs="Times New Roman"/>
          <w:b/>
          <w:bCs/>
          <w:sz w:val="33"/>
          <w:szCs w:val="33"/>
        </w:rPr>
      </w:pPr>
      <w:bookmarkStart w:id="40" w:name="_Toc15377216"/>
      <w:r>
        <w:rPr>
          <w:rFonts w:hint="default" w:ascii="Times New Roman" w:hAnsi="Times New Roman" w:eastAsia="方正楷体_GBK" w:cs="Times New Roman"/>
          <w:b/>
          <w:bCs/>
          <w:sz w:val="33"/>
          <w:szCs w:val="33"/>
        </w:rPr>
        <w:t>（一）“三公”经费财政拨款支出决算总体情况说明</w:t>
      </w:r>
      <w:bookmarkEnd w:id="40"/>
    </w:p>
    <w:p>
      <w:pPr>
        <w:keepNext w:val="0"/>
        <w:keepLines w:val="0"/>
        <w:pageBreakBefore w:val="0"/>
        <w:widowControl w:val="0"/>
        <w:kinsoku/>
        <w:wordWrap/>
        <w:overflowPunct/>
        <w:topLinePunct w:val="0"/>
        <w:autoSpaceDE/>
        <w:autoSpaceDN/>
        <w:bidi w:val="0"/>
        <w:ind w:firstLine="640"/>
        <w:jc w:val="both"/>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2021年“三公”经费财政拨款支出决算为0万元</w:t>
      </w:r>
      <w:r>
        <w:rPr>
          <w:rFonts w:hint="eastAsia" w:eastAsia="方正仿宋_GBK" w:cs="Times New Roman"/>
          <w:sz w:val="33"/>
          <w:szCs w:val="33"/>
          <w:lang w:eastAsia="zh-CN"/>
        </w:rPr>
        <w:t>，完成预算</w:t>
      </w:r>
      <w:r>
        <w:rPr>
          <w:rFonts w:hint="eastAsia" w:eastAsia="方正仿宋_GBK" w:cs="Times New Roman"/>
          <w:sz w:val="33"/>
          <w:szCs w:val="33"/>
          <w:lang w:val="en-US" w:eastAsia="zh-CN"/>
        </w:rPr>
        <w:t>100</w:t>
      </w:r>
      <w:r>
        <w:rPr>
          <w:rFonts w:hint="eastAsia" w:eastAsia="方正仿宋_GBK" w:cs="Times New Roman"/>
          <w:sz w:val="33"/>
          <w:szCs w:val="33"/>
          <w:lang w:eastAsia="zh-CN"/>
        </w:rPr>
        <w:t>%，决算数与预算数持平的主要原因为我单位无“三公”经费预算</w:t>
      </w:r>
      <w:r>
        <w:rPr>
          <w:rFonts w:hint="default" w:ascii="Times New Roman" w:hAnsi="Times New Roman" w:eastAsia="方正仿宋_GBK" w:cs="Times New Roman"/>
          <w:sz w:val="33"/>
          <w:szCs w:val="33"/>
        </w:rPr>
        <w:t>。</w:t>
      </w:r>
    </w:p>
    <w:p>
      <w:pPr>
        <w:keepNext w:val="0"/>
        <w:keepLines w:val="0"/>
        <w:pageBreakBefore w:val="0"/>
        <w:widowControl w:val="0"/>
        <w:kinsoku/>
        <w:wordWrap/>
        <w:overflowPunct/>
        <w:topLinePunct w:val="0"/>
        <w:autoSpaceDE/>
        <w:autoSpaceDN/>
        <w:bidi w:val="0"/>
        <w:ind w:firstLine="640"/>
        <w:jc w:val="both"/>
        <w:outlineLvl w:val="2"/>
        <w:rPr>
          <w:rFonts w:hint="default" w:ascii="Times New Roman" w:hAnsi="Times New Roman" w:eastAsia="方正楷体_GBK" w:cs="Times New Roman"/>
          <w:b/>
          <w:bCs/>
          <w:sz w:val="33"/>
          <w:szCs w:val="33"/>
        </w:rPr>
      </w:pPr>
      <w:bookmarkStart w:id="41" w:name="_Toc15377217"/>
      <w:r>
        <w:rPr>
          <w:rFonts w:hint="default" w:ascii="Times New Roman" w:hAnsi="Times New Roman" w:eastAsia="方正楷体_GBK" w:cs="Times New Roman"/>
          <w:b/>
          <w:bCs/>
          <w:sz w:val="33"/>
          <w:szCs w:val="33"/>
        </w:rPr>
        <w:t>（二）“三公”经费财政拨款支出决算具体情况说明</w:t>
      </w:r>
      <w:bookmarkEnd w:id="41"/>
    </w:p>
    <w:p>
      <w:pPr>
        <w:keepNext w:val="0"/>
        <w:keepLines w:val="0"/>
        <w:pageBreakBefore w:val="0"/>
        <w:widowControl w:val="0"/>
        <w:kinsoku/>
        <w:wordWrap/>
        <w:overflowPunct/>
        <w:topLinePunct w:val="0"/>
        <w:autoSpaceDE/>
        <w:autoSpaceDN/>
        <w:bidi w:val="0"/>
        <w:adjustRightInd/>
        <w:snapToGrid/>
        <w:ind w:firstLine="660" w:firstLineChars="200"/>
        <w:jc w:val="both"/>
        <w:textAlignment w:val="auto"/>
        <w:outlineLvl w:val="9"/>
        <w:rPr>
          <w:rFonts w:hint="default" w:ascii="Times New Roman" w:hAnsi="Times New Roman" w:eastAsia="方正仿宋_GBK" w:cs="Times New Roman"/>
          <w:color w:val="000000"/>
          <w:sz w:val="33"/>
          <w:szCs w:val="33"/>
        </w:rPr>
      </w:pPr>
      <w:r>
        <w:rPr>
          <w:rFonts w:hint="default" w:ascii="Times New Roman" w:hAnsi="Times New Roman" w:eastAsia="方正仿宋_GBK" w:cs="Times New Roman"/>
          <w:color w:val="000000"/>
          <w:sz w:val="33"/>
          <w:szCs w:val="33"/>
        </w:rPr>
        <w:t>2021年“三公”经费财政拨款支出决算中，因公出国（境）费支出决算</w:t>
      </w:r>
      <w:r>
        <w:rPr>
          <w:rFonts w:hint="eastAsia"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万元，占</w:t>
      </w:r>
      <w:r>
        <w:rPr>
          <w:rFonts w:hint="eastAsia"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%；公务用车购置及运行维护费支出决算</w:t>
      </w:r>
      <w:r>
        <w:rPr>
          <w:rFonts w:hint="eastAsia"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万元，占</w:t>
      </w:r>
      <w:r>
        <w:rPr>
          <w:rFonts w:hint="eastAsia"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%；公务接待费支出决算</w:t>
      </w:r>
      <w:r>
        <w:rPr>
          <w:rFonts w:hint="eastAsia"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万元，占</w:t>
      </w:r>
      <w:r>
        <w:rPr>
          <w:rFonts w:hint="eastAsia"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%。具体情况如下：</w:t>
      </w:r>
    </w:p>
    <w:p>
      <w:pPr>
        <w:keepNext w:val="0"/>
        <w:keepLines w:val="0"/>
        <w:pageBreakBefore w:val="0"/>
        <w:widowControl w:val="0"/>
        <w:kinsoku/>
        <w:wordWrap/>
        <w:overflowPunct/>
        <w:topLinePunct w:val="0"/>
        <w:autoSpaceDE/>
        <w:autoSpaceDN/>
        <w:bidi w:val="0"/>
        <w:adjustRightInd/>
        <w:snapToGrid/>
        <w:ind w:firstLine="663" w:firstLineChars="200"/>
        <w:jc w:val="both"/>
        <w:textAlignment w:val="auto"/>
        <w:outlineLvl w:val="9"/>
        <w:rPr>
          <w:rFonts w:hint="default" w:ascii="Times New Roman" w:hAnsi="Times New Roman" w:eastAsia="方正仿宋_GBK" w:cs="Times New Roman"/>
          <w:color w:val="000000"/>
          <w:sz w:val="33"/>
          <w:szCs w:val="33"/>
        </w:rPr>
      </w:pPr>
      <w:r>
        <w:rPr>
          <w:rFonts w:hint="default" w:ascii="Times New Roman" w:hAnsi="Times New Roman" w:eastAsia="方正仿宋_GBK" w:cs="Times New Roman"/>
          <w:b/>
          <w:bCs/>
          <w:color w:val="000000"/>
          <w:sz w:val="33"/>
          <w:szCs w:val="33"/>
        </w:rPr>
        <w:t>1.因公出国（境）经费支出</w:t>
      </w:r>
      <w:r>
        <w:rPr>
          <w:rFonts w:hint="eastAsia"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万元，完成预算</w:t>
      </w:r>
      <w:r>
        <w:rPr>
          <w:rFonts w:hint="eastAsia" w:eastAsia="方正仿宋_GBK" w:cs="Times New Roman"/>
          <w:color w:val="000000"/>
          <w:sz w:val="33"/>
          <w:szCs w:val="33"/>
          <w:lang w:val="en-US" w:eastAsia="zh-CN"/>
        </w:rPr>
        <w:t>100</w:t>
      </w:r>
      <w:r>
        <w:rPr>
          <w:rFonts w:hint="default" w:ascii="Times New Roman" w:hAnsi="Times New Roman" w:eastAsia="方正仿宋_GBK" w:cs="Times New Roman"/>
          <w:color w:val="000000"/>
          <w:sz w:val="33"/>
          <w:szCs w:val="33"/>
        </w:rPr>
        <w:t>%。全年安排因公出国（境）团组</w:t>
      </w:r>
      <w:r>
        <w:rPr>
          <w:rFonts w:hint="eastAsia"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次，出国（境）</w:t>
      </w:r>
      <w:r>
        <w:rPr>
          <w:rFonts w:hint="eastAsia"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人。本单位为</w:t>
      </w:r>
      <w:r>
        <w:rPr>
          <w:rFonts w:hint="eastAsia" w:eastAsia="方正仿宋_GBK" w:cs="Times New Roman"/>
          <w:color w:val="000000"/>
          <w:sz w:val="33"/>
          <w:szCs w:val="33"/>
          <w:lang w:val="en-US" w:eastAsia="zh-CN"/>
        </w:rPr>
        <w:t>2021</w:t>
      </w:r>
      <w:r>
        <w:rPr>
          <w:rFonts w:hint="default" w:ascii="Times New Roman" w:hAnsi="Times New Roman" w:eastAsia="方正仿宋_GBK" w:cs="Times New Roman"/>
          <w:color w:val="000000"/>
          <w:sz w:val="33"/>
          <w:szCs w:val="33"/>
        </w:rPr>
        <w:t>年新增</w:t>
      </w:r>
      <w:r>
        <w:rPr>
          <w:rFonts w:hint="eastAsia" w:eastAsia="方正仿宋_GBK" w:cs="Times New Roman"/>
          <w:color w:val="000000"/>
          <w:sz w:val="33"/>
          <w:szCs w:val="33"/>
          <w:lang w:eastAsia="zh-CN"/>
        </w:rPr>
        <w:t>独立预算核算</w:t>
      </w:r>
      <w:r>
        <w:rPr>
          <w:rFonts w:hint="default" w:ascii="Times New Roman" w:hAnsi="Times New Roman" w:eastAsia="方正仿宋_GBK" w:cs="Times New Roman"/>
          <w:color w:val="000000"/>
          <w:sz w:val="33"/>
          <w:szCs w:val="33"/>
        </w:rPr>
        <w:t>单位，没有去年同期数可比。</w:t>
      </w:r>
    </w:p>
    <w:p>
      <w:pPr>
        <w:keepNext w:val="0"/>
        <w:keepLines w:val="0"/>
        <w:pageBreakBefore w:val="0"/>
        <w:widowControl w:val="0"/>
        <w:kinsoku/>
        <w:wordWrap/>
        <w:overflowPunct/>
        <w:topLinePunct w:val="0"/>
        <w:autoSpaceDE/>
        <w:autoSpaceDN/>
        <w:bidi w:val="0"/>
        <w:adjustRightInd/>
        <w:snapToGrid/>
        <w:ind w:firstLine="663" w:firstLineChars="200"/>
        <w:jc w:val="both"/>
        <w:textAlignment w:val="auto"/>
        <w:outlineLvl w:val="9"/>
        <w:rPr>
          <w:rFonts w:hint="default" w:ascii="Times New Roman" w:hAnsi="Times New Roman" w:eastAsia="方正仿宋_GBK" w:cs="Times New Roman"/>
          <w:color w:val="000000"/>
          <w:sz w:val="33"/>
          <w:szCs w:val="33"/>
        </w:rPr>
      </w:pPr>
      <w:r>
        <w:rPr>
          <w:rFonts w:hint="default" w:ascii="Times New Roman" w:hAnsi="Times New Roman" w:eastAsia="方正仿宋_GBK" w:cs="Times New Roman"/>
          <w:b/>
          <w:bCs/>
          <w:color w:val="000000"/>
          <w:sz w:val="33"/>
          <w:szCs w:val="33"/>
        </w:rPr>
        <w:t>2.公务用车购置及运行维护费支出</w:t>
      </w:r>
      <w:r>
        <w:rPr>
          <w:rFonts w:hint="eastAsia"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万元,完成预算</w:t>
      </w:r>
      <w:r>
        <w:rPr>
          <w:rFonts w:hint="eastAsia" w:eastAsia="方正仿宋_GBK" w:cs="Times New Roman"/>
          <w:color w:val="000000"/>
          <w:sz w:val="33"/>
          <w:szCs w:val="33"/>
          <w:lang w:val="en-US" w:eastAsia="zh-CN"/>
        </w:rPr>
        <w:t>100</w:t>
      </w:r>
      <w:r>
        <w:rPr>
          <w:rFonts w:hint="default" w:ascii="Times New Roman" w:hAnsi="Times New Roman" w:eastAsia="方正仿宋_GBK" w:cs="Times New Roman"/>
          <w:color w:val="000000"/>
          <w:sz w:val="33"/>
          <w:szCs w:val="33"/>
        </w:rPr>
        <w:t>%。</w:t>
      </w:r>
      <w:r>
        <w:rPr>
          <w:rFonts w:hint="default" w:ascii="Times New Roman" w:hAnsi="Times New Roman" w:eastAsia="方正仿宋_GBK" w:cs="Times New Roman"/>
          <w:color w:val="000000"/>
          <w:spacing w:val="-6"/>
          <w:sz w:val="33"/>
          <w:szCs w:val="33"/>
        </w:rPr>
        <w:t>本单位为</w:t>
      </w:r>
      <w:r>
        <w:rPr>
          <w:rFonts w:hint="eastAsia" w:eastAsia="方正仿宋_GBK" w:cs="Times New Roman"/>
          <w:color w:val="000000"/>
          <w:spacing w:val="-6"/>
          <w:sz w:val="33"/>
          <w:szCs w:val="33"/>
          <w:lang w:val="en-US" w:eastAsia="zh-CN"/>
        </w:rPr>
        <w:t>2021</w:t>
      </w:r>
      <w:r>
        <w:rPr>
          <w:rFonts w:hint="default" w:ascii="Times New Roman" w:hAnsi="Times New Roman" w:eastAsia="方正仿宋_GBK" w:cs="Times New Roman"/>
          <w:color w:val="000000"/>
          <w:spacing w:val="-6"/>
          <w:sz w:val="33"/>
          <w:szCs w:val="33"/>
        </w:rPr>
        <w:t>年新增</w:t>
      </w:r>
      <w:r>
        <w:rPr>
          <w:rFonts w:hint="eastAsia" w:eastAsia="方正仿宋_GBK" w:cs="Times New Roman"/>
          <w:color w:val="000000"/>
          <w:spacing w:val="-6"/>
          <w:sz w:val="33"/>
          <w:szCs w:val="33"/>
          <w:lang w:eastAsia="zh-CN"/>
        </w:rPr>
        <w:t>独立预算核算</w:t>
      </w:r>
      <w:r>
        <w:rPr>
          <w:rFonts w:hint="default" w:ascii="Times New Roman" w:hAnsi="Times New Roman" w:eastAsia="方正仿宋_GBK" w:cs="Times New Roman"/>
          <w:color w:val="000000"/>
          <w:spacing w:val="-6"/>
          <w:sz w:val="33"/>
          <w:szCs w:val="33"/>
        </w:rPr>
        <w:t>单位，没有去年同期数可比。</w:t>
      </w:r>
    </w:p>
    <w:p>
      <w:pPr>
        <w:keepNext w:val="0"/>
        <w:keepLines w:val="0"/>
        <w:pageBreakBefore w:val="0"/>
        <w:widowControl w:val="0"/>
        <w:kinsoku/>
        <w:wordWrap/>
        <w:overflowPunct/>
        <w:topLinePunct w:val="0"/>
        <w:autoSpaceDE/>
        <w:autoSpaceDN/>
        <w:bidi w:val="0"/>
        <w:adjustRightInd/>
        <w:snapToGrid/>
        <w:ind w:firstLine="660" w:firstLineChars="200"/>
        <w:jc w:val="both"/>
        <w:textAlignment w:val="auto"/>
        <w:outlineLvl w:val="9"/>
        <w:rPr>
          <w:rFonts w:hint="default" w:ascii="Times New Roman" w:hAnsi="Times New Roman" w:eastAsia="方正仿宋_GBK" w:cs="Times New Roman"/>
          <w:color w:val="000000"/>
          <w:sz w:val="33"/>
          <w:szCs w:val="33"/>
        </w:rPr>
      </w:pPr>
      <w:r>
        <w:rPr>
          <w:rFonts w:hint="default" w:ascii="Times New Roman" w:hAnsi="Times New Roman" w:eastAsia="方正仿宋_GBK" w:cs="Times New Roman"/>
          <w:color w:val="000000"/>
          <w:sz w:val="33"/>
          <w:szCs w:val="33"/>
        </w:rPr>
        <w:t>其中：</w:t>
      </w:r>
      <w:r>
        <w:rPr>
          <w:rFonts w:hint="default" w:ascii="Times New Roman" w:hAnsi="Times New Roman" w:eastAsia="方正仿宋_GBK" w:cs="Times New Roman"/>
          <w:b/>
          <w:bCs/>
          <w:color w:val="000000"/>
          <w:sz w:val="33"/>
          <w:szCs w:val="33"/>
        </w:rPr>
        <w:t>公务用车购置支出</w:t>
      </w:r>
      <w:r>
        <w:rPr>
          <w:rFonts w:hint="eastAsia"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万元。全年按规定更新购置公务用车</w:t>
      </w:r>
      <w:r>
        <w:rPr>
          <w:rFonts w:hint="eastAsia"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辆，其中：轿车</w:t>
      </w:r>
      <w:r>
        <w:rPr>
          <w:rFonts w:hint="eastAsia"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辆、金额</w:t>
      </w:r>
      <w:r>
        <w:rPr>
          <w:rFonts w:hint="eastAsia"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万元，越野车</w:t>
      </w:r>
      <w:r>
        <w:rPr>
          <w:rFonts w:hint="eastAsia"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辆、金额</w:t>
      </w:r>
      <w:r>
        <w:rPr>
          <w:rFonts w:hint="eastAsia"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万元，载客汽车</w:t>
      </w:r>
      <w:r>
        <w:rPr>
          <w:rFonts w:hint="eastAsia"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辆、金额</w:t>
      </w:r>
      <w:r>
        <w:rPr>
          <w:rFonts w:hint="eastAsia"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万元。截至2021年12月底，单位共有公务用车</w:t>
      </w:r>
      <w:r>
        <w:rPr>
          <w:rFonts w:hint="eastAsia"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辆，其中：轿车</w:t>
      </w:r>
      <w:r>
        <w:rPr>
          <w:rFonts w:hint="eastAsia"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辆、越野车</w:t>
      </w:r>
      <w:r>
        <w:rPr>
          <w:rFonts w:hint="eastAsia"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辆、载客汽车</w:t>
      </w:r>
      <w:r>
        <w:rPr>
          <w:rFonts w:hint="eastAsia"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辆。</w:t>
      </w:r>
    </w:p>
    <w:p>
      <w:pPr>
        <w:keepNext w:val="0"/>
        <w:keepLines w:val="0"/>
        <w:pageBreakBefore w:val="0"/>
        <w:widowControl w:val="0"/>
        <w:kinsoku/>
        <w:wordWrap/>
        <w:overflowPunct/>
        <w:topLinePunct w:val="0"/>
        <w:autoSpaceDE/>
        <w:autoSpaceDN/>
        <w:bidi w:val="0"/>
        <w:adjustRightInd/>
        <w:snapToGrid/>
        <w:ind w:firstLine="663" w:firstLineChars="200"/>
        <w:jc w:val="both"/>
        <w:textAlignment w:val="auto"/>
        <w:outlineLvl w:val="9"/>
        <w:rPr>
          <w:rFonts w:hint="default" w:ascii="Times New Roman" w:hAnsi="Times New Roman" w:eastAsia="方正仿宋_GBK" w:cs="Times New Roman"/>
          <w:color w:val="000000"/>
          <w:sz w:val="33"/>
          <w:szCs w:val="33"/>
        </w:rPr>
      </w:pPr>
      <w:r>
        <w:rPr>
          <w:rFonts w:hint="default" w:ascii="Times New Roman" w:hAnsi="Times New Roman" w:eastAsia="方正仿宋_GBK" w:cs="Times New Roman"/>
          <w:b/>
          <w:bCs/>
          <w:color w:val="000000"/>
          <w:sz w:val="33"/>
          <w:szCs w:val="33"/>
        </w:rPr>
        <w:t>公务用车运行维护费支出</w:t>
      </w:r>
      <w:r>
        <w:rPr>
          <w:rFonts w:hint="eastAsia"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万元。</w:t>
      </w:r>
    </w:p>
    <w:p>
      <w:pPr>
        <w:keepNext w:val="0"/>
        <w:keepLines w:val="0"/>
        <w:pageBreakBefore w:val="0"/>
        <w:widowControl w:val="0"/>
        <w:kinsoku/>
        <w:wordWrap/>
        <w:overflowPunct/>
        <w:topLinePunct w:val="0"/>
        <w:autoSpaceDE/>
        <w:autoSpaceDN/>
        <w:bidi w:val="0"/>
        <w:adjustRightInd/>
        <w:snapToGrid/>
        <w:ind w:firstLine="663" w:firstLineChars="200"/>
        <w:jc w:val="both"/>
        <w:textAlignment w:val="auto"/>
        <w:outlineLvl w:val="9"/>
        <w:rPr>
          <w:rFonts w:hint="default" w:ascii="Times New Roman" w:hAnsi="Times New Roman" w:eastAsia="方正仿宋_GBK" w:cs="Times New Roman"/>
          <w:color w:val="000000"/>
          <w:sz w:val="33"/>
          <w:szCs w:val="33"/>
        </w:rPr>
      </w:pPr>
      <w:r>
        <w:rPr>
          <w:rFonts w:hint="default" w:ascii="Times New Roman" w:hAnsi="Times New Roman" w:eastAsia="方正仿宋_GBK" w:cs="Times New Roman"/>
          <w:b/>
          <w:bCs/>
          <w:color w:val="000000"/>
          <w:sz w:val="33"/>
          <w:szCs w:val="33"/>
        </w:rPr>
        <w:t>3.公务接待费支出</w:t>
      </w:r>
      <w:r>
        <w:rPr>
          <w:rFonts w:hint="eastAsia"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万元，完成预算</w:t>
      </w:r>
      <w:r>
        <w:rPr>
          <w:rFonts w:hint="eastAsia" w:eastAsia="方正仿宋_GBK" w:cs="Times New Roman"/>
          <w:color w:val="000000"/>
          <w:sz w:val="33"/>
          <w:szCs w:val="33"/>
          <w:lang w:val="en-US" w:eastAsia="zh-CN"/>
        </w:rPr>
        <w:t>100</w:t>
      </w:r>
      <w:r>
        <w:rPr>
          <w:rFonts w:hint="default" w:ascii="Times New Roman" w:hAnsi="Times New Roman" w:eastAsia="方正仿宋_GBK" w:cs="Times New Roman"/>
          <w:color w:val="000000"/>
          <w:sz w:val="33"/>
          <w:szCs w:val="33"/>
        </w:rPr>
        <w:t>%。本单位为</w:t>
      </w:r>
      <w:r>
        <w:rPr>
          <w:rFonts w:hint="eastAsia" w:eastAsia="方正仿宋_GBK" w:cs="Times New Roman"/>
          <w:color w:val="000000"/>
          <w:sz w:val="33"/>
          <w:szCs w:val="33"/>
          <w:lang w:val="en-US" w:eastAsia="zh-CN"/>
        </w:rPr>
        <w:t>2021</w:t>
      </w:r>
      <w:r>
        <w:rPr>
          <w:rFonts w:hint="default" w:ascii="Times New Roman" w:hAnsi="Times New Roman" w:eastAsia="方正仿宋_GBK" w:cs="Times New Roman"/>
          <w:color w:val="000000"/>
          <w:sz w:val="33"/>
          <w:szCs w:val="33"/>
        </w:rPr>
        <w:t>年新增</w:t>
      </w:r>
      <w:r>
        <w:rPr>
          <w:rFonts w:hint="eastAsia" w:eastAsia="方正仿宋_GBK" w:cs="Times New Roman"/>
          <w:color w:val="000000"/>
          <w:sz w:val="33"/>
          <w:szCs w:val="33"/>
          <w:lang w:eastAsia="zh-CN"/>
        </w:rPr>
        <w:t>独立预算核算</w:t>
      </w:r>
      <w:r>
        <w:rPr>
          <w:rFonts w:hint="default" w:ascii="Times New Roman" w:hAnsi="Times New Roman" w:eastAsia="方正仿宋_GBK" w:cs="Times New Roman"/>
          <w:color w:val="000000"/>
          <w:sz w:val="33"/>
          <w:szCs w:val="33"/>
        </w:rPr>
        <w:t>单位，没有去年同期数可比。</w:t>
      </w:r>
    </w:p>
    <w:p>
      <w:pPr>
        <w:keepNext w:val="0"/>
        <w:keepLines w:val="0"/>
        <w:pageBreakBefore w:val="0"/>
        <w:widowControl w:val="0"/>
        <w:kinsoku/>
        <w:wordWrap/>
        <w:overflowPunct/>
        <w:topLinePunct w:val="0"/>
        <w:autoSpaceDE/>
        <w:autoSpaceDN/>
        <w:bidi w:val="0"/>
        <w:adjustRightInd/>
        <w:snapToGrid/>
        <w:ind w:firstLine="663" w:firstLineChars="200"/>
        <w:jc w:val="both"/>
        <w:textAlignment w:val="auto"/>
        <w:outlineLvl w:val="9"/>
        <w:rPr>
          <w:rFonts w:hint="default" w:ascii="Times New Roman" w:hAnsi="Times New Roman" w:eastAsia="方正仿宋_GBK" w:cs="Times New Roman"/>
          <w:color w:val="000000"/>
          <w:sz w:val="33"/>
          <w:szCs w:val="33"/>
        </w:rPr>
      </w:pPr>
      <w:r>
        <w:rPr>
          <w:rFonts w:hint="default" w:ascii="Times New Roman" w:hAnsi="Times New Roman" w:eastAsia="方正仿宋_GBK" w:cs="Times New Roman"/>
          <w:b/>
          <w:bCs/>
          <w:color w:val="000000"/>
          <w:sz w:val="33"/>
          <w:szCs w:val="33"/>
        </w:rPr>
        <w:t>国内公务接待支出</w:t>
      </w:r>
      <w:r>
        <w:rPr>
          <w:rFonts w:hint="eastAsia"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万元。国内公务接待</w:t>
      </w:r>
      <w:r>
        <w:rPr>
          <w:rFonts w:hint="eastAsia"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批次，</w:t>
      </w:r>
      <w:r>
        <w:rPr>
          <w:rFonts w:hint="eastAsia"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人次，共计支出</w:t>
      </w:r>
      <w:r>
        <w:rPr>
          <w:rFonts w:hint="eastAsia"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万元。</w:t>
      </w:r>
    </w:p>
    <w:p>
      <w:pPr>
        <w:keepNext w:val="0"/>
        <w:keepLines w:val="0"/>
        <w:pageBreakBefore w:val="0"/>
        <w:widowControl w:val="0"/>
        <w:kinsoku/>
        <w:wordWrap/>
        <w:overflowPunct/>
        <w:topLinePunct w:val="0"/>
        <w:autoSpaceDE/>
        <w:autoSpaceDN/>
        <w:bidi w:val="0"/>
        <w:adjustRightInd/>
        <w:snapToGrid/>
        <w:ind w:firstLine="663" w:firstLineChars="200"/>
        <w:jc w:val="both"/>
        <w:textAlignment w:val="auto"/>
        <w:outlineLvl w:val="9"/>
        <w:rPr>
          <w:rFonts w:hint="eastAsia" w:ascii="Times New Roman" w:hAnsi="Times New Roman" w:eastAsia="方正仿宋_GBK" w:cs="Times New Roman"/>
          <w:sz w:val="33"/>
          <w:szCs w:val="33"/>
          <w:lang w:eastAsia="zh-CN"/>
        </w:rPr>
      </w:pPr>
      <w:r>
        <w:rPr>
          <w:rFonts w:hint="default" w:ascii="Times New Roman" w:hAnsi="Times New Roman" w:eastAsia="方正仿宋_GBK" w:cs="Times New Roman"/>
          <w:b/>
          <w:bCs/>
          <w:color w:val="000000"/>
          <w:sz w:val="33"/>
          <w:szCs w:val="33"/>
        </w:rPr>
        <w:t>外事接待支出</w:t>
      </w:r>
      <w:r>
        <w:rPr>
          <w:rFonts w:hint="eastAsia"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万元，外事接待</w:t>
      </w:r>
      <w:r>
        <w:rPr>
          <w:rFonts w:hint="eastAsia"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批次，</w:t>
      </w:r>
      <w:r>
        <w:rPr>
          <w:rFonts w:hint="eastAsia"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人，共计支出</w:t>
      </w:r>
      <w:r>
        <w:rPr>
          <w:rFonts w:hint="eastAsia"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万元</w:t>
      </w:r>
      <w:r>
        <w:rPr>
          <w:rFonts w:hint="eastAsia" w:eastAsia="方正仿宋_GBK" w:cs="Times New Roman"/>
          <w:color w:val="000000"/>
          <w:sz w:val="33"/>
          <w:szCs w:val="33"/>
          <w:lang w:eastAsia="zh-CN"/>
        </w:rPr>
        <w:t>。</w:t>
      </w:r>
    </w:p>
    <w:p>
      <w:pPr>
        <w:pStyle w:val="4"/>
        <w:keepNext w:val="0"/>
        <w:keepLines w:val="0"/>
        <w:pageBreakBefore w:val="0"/>
        <w:widowControl w:val="0"/>
        <w:kinsoku/>
        <w:wordWrap/>
        <w:overflowPunct/>
        <w:topLinePunct w:val="0"/>
        <w:autoSpaceDE/>
        <w:autoSpaceDN/>
        <w:bidi w:val="0"/>
        <w:spacing w:before="0" w:after="0" w:line="240" w:lineRule="auto"/>
        <w:ind w:firstLine="660" w:firstLineChars="200"/>
        <w:jc w:val="both"/>
        <w:rPr>
          <w:rStyle w:val="18"/>
          <w:rFonts w:hint="default" w:ascii="Times New Roman" w:hAnsi="Times New Roman" w:eastAsia="方正黑体_GBK" w:cs="Times New Roman"/>
          <w:b w:val="0"/>
          <w:bCs w:val="0"/>
          <w:sz w:val="33"/>
          <w:szCs w:val="33"/>
        </w:rPr>
      </w:pPr>
      <w:bookmarkStart w:id="42" w:name="_Toc15377218"/>
      <w:bookmarkStart w:id="43" w:name="_Toc15396610"/>
      <w:r>
        <w:rPr>
          <w:rStyle w:val="18"/>
          <w:rFonts w:hint="default" w:ascii="Times New Roman" w:hAnsi="Times New Roman" w:eastAsia="方正黑体_GBK" w:cs="Times New Roman"/>
          <w:b w:val="0"/>
          <w:bCs w:val="0"/>
          <w:sz w:val="33"/>
          <w:szCs w:val="33"/>
        </w:rPr>
        <w:t>八、政府性基金预算支出决算情况说明</w:t>
      </w:r>
      <w:bookmarkEnd w:id="42"/>
      <w:bookmarkEnd w:id="43"/>
    </w:p>
    <w:p>
      <w:pPr>
        <w:keepNext w:val="0"/>
        <w:keepLines w:val="0"/>
        <w:pageBreakBefore w:val="0"/>
        <w:widowControl w:val="0"/>
        <w:kinsoku/>
        <w:wordWrap/>
        <w:overflowPunct/>
        <w:topLinePunct w:val="0"/>
        <w:autoSpaceDE/>
        <w:autoSpaceDN/>
        <w:bidi w:val="0"/>
        <w:ind w:firstLine="640"/>
        <w:jc w:val="both"/>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2021年政府性基金预算财政拨款支出8.60万元。</w:t>
      </w:r>
    </w:p>
    <w:p>
      <w:pPr>
        <w:pStyle w:val="4"/>
        <w:keepNext w:val="0"/>
        <w:keepLines w:val="0"/>
        <w:pageBreakBefore w:val="0"/>
        <w:widowControl w:val="0"/>
        <w:kinsoku/>
        <w:wordWrap/>
        <w:overflowPunct/>
        <w:topLinePunct w:val="0"/>
        <w:autoSpaceDE/>
        <w:autoSpaceDN/>
        <w:bidi w:val="0"/>
        <w:spacing w:before="0" w:after="0" w:line="240" w:lineRule="auto"/>
        <w:ind w:firstLine="660" w:firstLineChars="200"/>
        <w:jc w:val="both"/>
        <w:rPr>
          <w:rStyle w:val="18"/>
          <w:rFonts w:hint="default" w:ascii="Times New Roman" w:hAnsi="Times New Roman" w:eastAsia="方正黑体_GBK" w:cs="Times New Roman"/>
          <w:b w:val="0"/>
          <w:bCs w:val="0"/>
          <w:sz w:val="33"/>
          <w:szCs w:val="33"/>
        </w:rPr>
      </w:pPr>
      <w:bookmarkStart w:id="44" w:name="_Toc15396611"/>
      <w:bookmarkStart w:id="45" w:name="_Toc15377219"/>
      <w:r>
        <w:rPr>
          <w:rStyle w:val="18"/>
          <w:rFonts w:hint="default" w:ascii="Times New Roman" w:hAnsi="Times New Roman" w:eastAsia="方正黑体_GBK" w:cs="Times New Roman"/>
          <w:b w:val="0"/>
          <w:bCs w:val="0"/>
          <w:sz w:val="33"/>
          <w:szCs w:val="33"/>
        </w:rPr>
        <w:t>九、国有资本经营预算支出决算情况说明</w:t>
      </w:r>
      <w:bookmarkEnd w:id="44"/>
      <w:bookmarkEnd w:id="45"/>
    </w:p>
    <w:p>
      <w:pPr>
        <w:keepNext w:val="0"/>
        <w:keepLines w:val="0"/>
        <w:pageBreakBefore w:val="0"/>
        <w:widowControl w:val="0"/>
        <w:kinsoku/>
        <w:wordWrap/>
        <w:overflowPunct/>
        <w:topLinePunct w:val="0"/>
        <w:autoSpaceDE/>
        <w:autoSpaceDN/>
        <w:bidi w:val="0"/>
        <w:ind w:firstLine="640"/>
        <w:jc w:val="both"/>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2021年国有资本经营预算财政拨款支出0万元。</w:t>
      </w:r>
    </w:p>
    <w:p>
      <w:pPr>
        <w:pStyle w:val="4"/>
        <w:keepNext w:val="0"/>
        <w:keepLines w:val="0"/>
        <w:pageBreakBefore w:val="0"/>
        <w:widowControl w:val="0"/>
        <w:kinsoku/>
        <w:wordWrap/>
        <w:overflowPunct/>
        <w:topLinePunct w:val="0"/>
        <w:autoSpaceDE/>
        <w:autoSpaceDN/>
        <w:bidi w:val="0"/>
        <w:spacing w:before="0" w:after="0" w:line="240" w:lineRule="auto"/>
        <w:ind w:firstLine="660" w:firstLineChars="200"/>
        <w:jc w:val="both"/>
        <w:rPr>
          <w:rStyle w:val="18"/>
          <w:rFonts w:hint="default" w:ascii="Times New Roman" w:hAnsi="Times New Roman" w:eastAsia="方正黑体_GBK" w:cs="Times New Roman"/>
          <w:b w:val="0"/>
          <w:bCs w:val="0"/>
          <w:sz w:val="33"/>
          <w:szCs w:val="33"/>
        </w:rPr>
      </w:pPr>
      <w:bookmarkStart w:id="46" w:name="_Toc15396612"/>
      <w:bookmarkStart w:id="47" w:name="_Toc15377221"/>
      <w:r>
        <w:rPr>
          <w:rStyle w:val="18"/>
          <w:rFonts w:hint="default" w:ascii="Times New Roman" w:hAnsi="Times New Roman" w:eastAsia="方正黑体_GBK" w:cs="Times New Roman"/>
          <w:b w:val="0"/>
          <w:bCs w:val="0"/>
          <w:sz w:val="33"/>
          <w:szCs w:val="33"/>
        </w:rPr>
        <w:t>十、其他重要事项的情况说明</w:t>
      </w:r>
      <w:bookmarkEnd w:id="46"/>
      <w:bookmarkEnd w:id="47"/>
    </w:p>
    <w:p>
      <w:pPr>
        <w:keepNext w:val="0"/>
        <w:keepLines w:val="0"/>
        <w:pageBreakBefore w:val="0"/>
        <w:widowControl w:val="0"/>
        <w:kinsoku/>
        <w:wordWrap/>
        <w:overflowPunct/>
        <w:topLinePunct w:val="0"/>
        <w:autoSpaceDE/>
        <w:autoSpaceDN/>
        <w:bidi w:val="0"/>
        <w:ind w:firstLine="640"/>
        <w:jc w:val="both"/>
        <w:outlineLvl w:val="2"/>
        <w:rPr>
          <w:rFonts w:hint="default" w:ascii="Times New Roman" w:hAnsi="Times New Roman" w:eastAsia="方正楷体_GBK" w:cs="Times New Roman"/>
          <w:b/>
          <w:bCs/>
          <w:sz w:val="33"/>
          <w:szCs w:val="33"/>
        </w:rPr>
      </w:pPr>
      <w:bookmarkStart w:id="48" w:name="_Toc15377222"/>
      <w:r>
        <w:rPr>
          <w:rFonts w:hint="default" w:ascii="Times New Roman" w:hAnsi="Times New Roman" w:eastAsia="方正楷体_GBK" w:cs="Times New Roman"/>
          <w:b/>
          <w:bCs/>
          <w:sz w:val="33"/>
          <w:szCs w:val="33"/>
        </w:rPr>
        <w:t>（一）机关运行经费支出情况</w:t>
      </w:r>
      <w:bookmarkEnd w:id="48"/>
    </w:p>
    <w:p>
      <w:pPr>
        <w:keepNext w:val="0"/>
        <w:keepLines w:val="0"/>
        <w:pageBreakBefore w:val="0"/>
        <w:widowControl w:val="0"/>
        <w:kinsoku/>
        <w:wordWrap/>
        <w:overflowPunct/>
        <w:topLinePunct w:val="0"/>
        <w:autoSpaceDE/>
        <w:autoSpaceDN/>
        <w:bidi w:val="0"/>
        <w:ind w:firstLine="660" w:firstLineChars="200"/>
        <w:jc w:val="both"/>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2021年，中共</w:t>
      </w:r>
      <w:r>
        <w:rPr>
          <w:rFonts w:hint="default" w:ascii="Times New Roman" w:hAnsi="Times New Roman" w:eastAsia="方正仿宋_GBK" w:cs="Times New Roman"/>
          <w:color w:val="000000"/>
          <w:sz w:val="33"/>
          <w:szCs w:val="33"/>
        </w:rPr>
        <w:t>攀枝花市西区</w:t>
      </w:r>
      <w:bookmarkStart w:id="49" w:name="_Toc15377223"/>
      <w:r>
        <w:rPr>
          <w:rFonts w:hint="default" w:ascii="Times New Roman" w:hAnsi="Times New Roman" w:eastAsia="方正仿宋_GBK" w:cs="Times New Roman"/>
          <w:color w:val="000000"/>
          <w:sz w:val="33"/>
          <w:szCs w:val="33"/>
        </w:rPr>
        <w:t>区委党校（攀枝花市西区行政学校）为事业单位没有</w:t>
      </w:r>
      <w:r>
        <w:rPr>
          <w:rFonts w:hint="default" w:ascii="Times New Roman" w:hAnsi="Times New Roman" w:eastAsia="方正仿宋_GBK" w:cs="Times New Roman"/>
          <w:sz w:val="33"/>
          <w:szCs w:val="33"/>
        </w:rPr>
        <w:t>机关运行经费支出。</w:t>
      </w:r>
    </w:p>
    <w:p>
      <w:pPr>
        <w:keepNext w:val="0"/>
        <w:keepLines w:val="0"/>
        <w:pageBreakBefore w:val="0"/>
        <w:widowControl w:val="0"/>
        <w:kinsoku/>
        <w:wordWrap/>
        <w:overflowPunct/>
        <w:topLinePunct w:val="0"/>
        <w:autoSpaceDE/>
        <w:autoSpaceDN/>
        <w:bidi w:val="0"/>
        <w:ind w:firstLine="640"/>
        <w:jc w:val="both"/>
        <w:outlineLvl w:val="2"/>
        <w:rPr>
          <w:rFonts w:hint="default" w:ascii="Times New Roman" w:hAnsi="Times New Roman" w:eastAsia="方正楷体_GBK" w:cs="Times New Roman"/>
          <w:b/>
          <w:bCs/>
          <w:sz w:val="33"/>
          <w:szCs w:val="33"/>
        </w:rPr>
      </w:pPr>
      <w:r>
        <w:rPr>
          <w:rFonts w:hint="default" w:ascii="Times New Roman" w:hAnsi="Times New Roman" w:eastAsia="方正楷体_GBK" w:cs="Times New Roman"/>
          <w:b/>
          <w:bCs/>
          <w:sz w:val="33"/>
          <w:szCs w:val="33"/>
        </w:rPr>
        <w:t>（二）政府采购支出情况</w:t>
      </w:r>
      <w:bookmarkEnd w:id="49"/>
    </w:p>
    <w:p>
      <w:pPr>
        <w:keepNext w:val="0"/>
        <w:keepLines w:val="0"/>
        <w:pageBreakBefore w:val="0"/>
        <w:widowControl w:val="0"/>
        <w:kinsoku/>
        <w:wordWrap/>
        <w:overflowPunct/>
        <w:topLinePunct w:val="0"/>
        <w:autoSpaceDE/>
        <w:autoSpaceDN/>
        <w:bidi w:val="0"/>
        <w:ind w:firstLine="660" w:firstLineChars="200"/>
        <w:jc w:val="both"/>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2021年，中共</w:t>
      </w:r>
      <w:r>
        <w:rPr>
          <w:rFonts w:hint="default" w:ascii="Times New Roman" w:hAnsi="Times New Roman" w:eastAsia="方正仿宋_GBK" w:cs="Times New Roman"/>
          <w:color w:val="000000"/>
          <w:sz w:val="33"/>
          <w:szCs w:val="33"/>
        </w:rPr>
        <w:t>攀枝花市西区区委党校（攀枝花市西区行政学校）没有</w:t>
      </w:r>
      <w:r>
        <w:rPr>
          <w:rFonts w:hint="default" w:ascii="Times New Roman" w:hAnsi="Times New Roman" w:eastAsia="方正仿宋_GBK" w:cs="Times New Roman"/>
          <w:sz w:val="33"/>
          <w:szCs w:val="33"/>
        </w:rPr>
        <w:t>政府采购支出。</w:t>
      </w:r>
    </w:p>
    <w:p>
      <w:pPr>
        <w:keepNext w:val="0"/>
        <w:keepLines w:val="0"/>
        <w:pageBreakBefore w:val="0"/>
        <w:widowControl w:val="0"/>
        <w:kinsoku/>
        <w:wordWrap/>
        <w:overflowPunct/>
        <w:topLinePunct w:val="0"/>
        <w:autoSpaceDE/>
        <w:autoSpaceDN/>
        <w:bidi w:val="0"/>
        <w:ind w:firstLine="640"/>
        <w:jc w:val="both"/>
        <w:outlineLvl w:val="2"/>
        <w:rPr>
          <w:rFonts w:hint="default" w:ascii="Times New Roman" w:hAnsi="Times New Roman" w:eastAsia="方正楷体_GBK" w:cs="Times New Roman"/>
          <w:b/>
          <w:bCs/>
          <w:sz w:val="33"/>
          <w:szCs w:val="33"/>
        </w:rPr>
      </w:pPr>
      <w:bookmarkStart w:id="50" w:name="_Toc15377224"/>
      <w:r>
        <w:rPr>
          <w:rFonts w:hint="default" w:ascii="Times New Roman" w:hAnsi="Times New Roman" w:eastAsia="方正楷体_GBK" w:cs="Times New Roman"/>
          <w:b/>
          <w:bCs/>
          <w:sz w:val="33"/>
          <w:szCs w:val="33"/>
        </w:rPr>
        <w:t>（三）国有资产占有使用情况</w:t>
      </w:r>
      <w:bookmarkEnd w:id="50"/>
    </w:p>
    <w:p>
      <w:pPr>
        <w:keepNext w:val="0"/>
        <w:keepLines w:val="0"/>
        <w:pageBreakBefore w:val="0"/>
        <w:widowControl w:val="0"/>
        <w:kinsoku/>
        <w:wordWrap/>
        <w:overflowPunct/>
        <w:topLinePunct w:val="0"/>
        <w:autoSpaceDE/>
        <w:autoSpaceDN/>
        <w:bidi w:val="0"/>
        <w:adjustRightInd w:val="0"/>
        <w:ind w:firstLine="660" w:firstLineChars="200"/>
        <w:jc w:val="both"/>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截至2021年12月31日，中共</w:t>
      </w:r>
      <w:r>
        <w:rPr>
          <w:rFonts w:hint="default" w:ascii="Times New Roman" w:hAnsi="Times New Roman" w:eastAsia="方正仿宋_GBK" w:cs="Times New Roman"/>
          <w:color w:val="000000"/>
          <w:sz w:val="33"/>
          <w:szCs w:val="33"/>
        </w:rPr>
        <w:t>攀枝花市西区区委党校（攀枝花市西区行政学校）</w:t>
      </w:r>
      <w:r>
        <w:rPr>
          <w:rFonts w:hint="default" w:ascii="Times New Roman" w:hAnsi="Times New Roman" w:eastAsia="方正仿宋_GBK" w:cs="Times New Roman"/>
          <w:sz w:val="33"/>
          <w:szCs w:val="33"/>
        </w:rPr>
        <w:t>没有公务车辆，也没有单价50万元以上通用设备和单价100万元以上专用设备。</w:t>
      </w:r>
    </w:p>
    <w:p>
      <w:pPr>
        <w:keepNext w:val="0"/>
        <w:keepLines w:val="0"/>
        <w:pageBreakBefore w:val="0"/>
        <w:widowControl w:val="0"/>
        <w:kinsoku/>
        <w:wordWrap/>
        <w:overflowPunct/>
        <w:topLinePunct w:val="0"/>
        <w:autoSpaceDE/>
        <w:autoSpaceDN/>
        <w:bidi w:val="0"/>
        <w:ind w:firstLine="640"/>
        <w:jc w:val="both"/>
        <w:outlineLvl w:val="2"/>
        <w:rPr>
          <w:rFonts w:hint="default" w:ascii="Times New Roman" w:hAnsi="Times New Roman" w:eastAsia="方正楷体_GBK" w:cs="Times New Roman"/>
          <w:b/>
          <w:bCs/>
          <w:sz w:val="33"/>
          <w:szCs w:val="33"/>
        </w:rPr>
      </w:pPr>
      <w:r>
        <w:rPr>
          <w:rFonts w:hint="default" w:ascii="Times New Roman" w:hAnsi="Times New Roman" w:eastAsia="方正楷体_GBK" w:cs="Times New Roman"/>
          <w:b/>
          <w:bCs/>
          <w:sz w:val="33"/>
          <w:szCs w:val="33"/>
        </w:rPr>
        <w:t>（四）预算绩效管理情况</w:t>
      </w:r>
    </w:p>
    <w:p>
      <w:pPr>
        <w:keepNext w:val="0"/>
        <w:keepLines w:val="0"/>
        <w:pageBreakBefore w:val="0"/>
        <w:widowControl w:val="0"/>
        <w:kinsoku/>
        <w:wordWrap/>
        <w:overflowPunct/>
        <w:topLinePunct w:val="0"/>
        <w:autoSpaceDE/>
        <w:autoSpaceDN/>
        <w:bidi w:val="0"/>
        <w:ind w:firstLine="660" w:firstLineChars="200"/>
        <w:jc w:val="both"/>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根据预算绩效管理要求，本单位在2021年度预算编制阶段，组织对党校运行项目1个项目开展了预算事前绩效评估，对党校运行1个项目编制了绩效目标，预算执行过程中，选取党校运行1个项目开展绩效监控，年终执行完毕后，对党校运行等2个项目开展了绩效自评，2021年特定目标类部门预算项目绩效目标自评表见附件（第四部分）。</w:t>
      </w:r>
    </w:p>
    <w:p>
      <w:pPr>
        <w:keepNext w:val="0"/>
        <w:keepLines w:val="0"/>
        <w:pageBreakBefore w:val="0"/>
        <w:widowControl w:val="0"/>
        <w:kinsoku/>
        <w:wordWrap/>
        <w:overflowPunct/>
        <w:topLinePunct w:val="0"/>
        <w:autoSpaceDE/>
        <w:autoSpaceDN/>
        <w:bidi w:val="0"/>
        <w:jc w:val="left"/>
        <w:rPr>
          <w:rFonts w:hint="default" w:ascii="Times New Roman" w:hAnsi="Times New Roman" w:eastAsia="仿宋_GB2312" w:cs="Times New Roman"/>
          <w:b/>
          <w:bCs/>
          <w:sz w:val="33"/>
          <w:szCs w:val="33"/>
        </w:rPr>
      </w:pPr>
    </w:p>
    <w:p>
      <w:pPr>
        <w:keepNext w:val="0"/>
        <w:keepLines w:val="0"/>
        <w:pageBreakBefore w:val="0"/>
        <w:widowControl w:val="0"/>
        <w:numPr>
          <w:ilvl w:val="0"/>
          <w:numId w:val="1"/>
        </w:numPr>
        <w:kinsoku/>
        <w:wordWrap/>
        <w:overflowPunct/>
        <w:topLinePunct w:val="0"/>
        <w:autoSpaceDE/>
        <w:autoSpaceDN/>
        <w:bidi w:val="0"/>
        <w:adjustRightInd/>
        <w:snapToGrid/>
        <w:ind w:firstLine="0" w:firstLineChars="0"/>
        <w:jc w:val="center"/>
        <w:textAlignment w:val="auto"/>
        <w:outlineLvl w:val="0"/>
        <w:rPr>
          <w:rStyle w:val="17"/>
          <w:rFonts w:hint="default" w:ascii="Times New Roman" w:hAnsi="Times New Roman" w:eastAsia="方正黑体_GBK" w:cs="Times New Roman"/>
          <w:b w:val="0"/>
          <w:bCs w:val="0"/>
        </w:rPr>
      </w:pPr>
      <w:bookmarkStart w:id="51" w:name="_Toc15396613"/>
      <w:bookmarkStart w:id="52" w:name="_Toc15377225"/>
      <w:r>
        <w:rPr>
          <w:rFonts w:hint="default" w:ascii="Times New Roman" w:hAnsi="Times New Roman" w:eastAsia="方正黑体_GBK" w:cs="Times New Roman"/>
          <w:sz w:val="44"/>
          <w:szCs w:val="44"/>
        </w:rPr>
        <w:t>名</w:t>
      </w:r>
      <w:r>
        <w:rPr>
          <w:rStyle w:val="17"/>
          <w:rFonts w:hint="default" w:ascii="Times New Roman" w:hAnsi="Times New Roman" w:eastAsia="方正黑体_GBK" w:cs="Times New Roman"/>
          <w:b w:val="0"/>
          <w:bCs w:val="0"/>
        </w:rPr>
        <w:t>词解释</w:t>
      </w:r>
      <w:bookmarkEnd w:id="51"/>
      <w:bookmarkEnd w:id="52"/>
    </w:p>
    <w:p>
      <w:pPr>
        <w:keepNext w:val="0"/>
        <w:keepLines w:val="0"/>
        <w:pageBreakBefore w:val="0"/>
        <w:widowControl w:val="0"/>
        <w:kinsoku/>
        <w:wordWrap/>
        <w:overflowPunct/>
        <w:topLinePunct w:val="0"/>
        <w:autoSpaceDE/>
        <w:autoSpaceDN/>
        <w:bidi w:val="0"/>
        <w:jc w:val="left"/>
        <w:rPr>
          <w:rFonts w:hint="default" w:ascii="Times New Roman" w:hAnsi="Times New Roman" w:cs="Times New Roman"/>
          <w:b/>
          <w:bCs/>
          <w:sz w:val="33"/>
          <w:szCs w:val="33"/>
        </w:rPr>
      </w:pPr>
    </w:p>
    <w:p>
      <w:pPr>
        <w:pStyle w:val="28"/>
        <w:keepNext w:val="0"/>
        <w:keepLines w:val="0"/>
        <w:pageBreakBefore w:val="0"/>
        <w:widowControl w:val="0"/>
        <w:kinsoku/>
        <w:wordWrap/>
        <w:overflowPunct/>
        <w:topLinePunct w:val="0"/>
        <w:autoSpaceDE/>
        <w:autoSpaceDN/>
        <w:bidi w:val="0"/>
        <w:ind w:firstLine="660" w:firstLineChars="200"/>
        <w:jc w:val="both"/>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1.财政拨款收入：指单位从同级财政部门取得的财政预算资金。</w:t>
      </w:r>
    </w:p>
    <w:p>
      <w:pPr>
        <w:pStyle w:val="28"/>
        <w:keepNext w:val="0"/>
        <w:keepLines w:val="0"/>
        <w:pageBreakBefore w:val="0"/>
        <w:widowControl w:val="0"/>
        <w:kinsoku/>
        <w:wordWrap/>
        <w:overflowPunct/>
        <w:topLinePunct w:val="0"/>
        <w:autoSpaceDE/>
        <w:autoSpaceDN/>
        <w:bidi w:val="0"/>
        <w:ind w:firstLine="660" w:firstLineChars="200"/>
        <w:jc w:val="both"/>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一般公共服务（类）组织事务（款）行政运行（项）：反映行政单位（包括实行公务员管理的事业单位）的基本支出；一般行政管理事务（项）：反映行政单位（包括实行公务员管理的事业单位）未单独设置项级科目的其他项目支出；事业运行（项）：反映事业单位的基本支出，不包括行政单位（包括实行公务员管理的事业单位）后勤服务中心、医务室等附属事业单位。</w:t>
      </w:r>
    </w:p>
    <w:p>
      <w:pPr>
        <w:keepNext w:val="0"/>
        <w:keepLines w:val="0"/>
        <w:pageBreakBefore w:val="0"/>
        <w:widowControl w:val="0"/>
        <w:kinsoku/>
        <w:wordWrap/>
        <w:overflowPunct/>
        <w:topLinePunct w:val="0"/>
        <w:autoSpaceDE/>
        <w:autoSpaceDN/>
        <w:bidi w:val="0"/>
        <w:ind w:firstLine="660" w:firstLineChars="200"/>
        <w:jc w:val="both"/>
        <w:rPr>
          <w:rFonts w:hint="default" w:ascii="Times New Roman" w:hAnsi="Times New Roman" w:eastAsia="方正仿宋_GBK" w:cs="Times New Roman"/>
          <w:sz w:val="33"/>
          <w:szCs w:val="33"/>
        </w:rPr>
      </w:pPr>
      <w:r>
        <w:rPr>
          <w:rFonts w:hint="eastAsia" w:eastAsia="方正仿宋_GBK" w:cs="Times New Roman"/>
          <w:sz w:val="33"/>
          <w:szCs w:val="33"/>
          <w:lang w:val="en-US" w:eastAsia="zh-CN"/>
        </w:rPr>
        <w:t>3</w:t>
      </w:r>
      <w:r>
        <w:rPr>
          <w:rFonts w:hint="default" w:ascii="Times New Roman" w:hAnsi="Times New Roman" w:eastAsia="方正仿宋_GBK" w:cs="Times New Roman"/>
          <w:sz w:val="33"/>
          <w:szCs w:val="33"/>
        </w:rPr>
        <w:t>.社会保障和就业支出（类）行政事业单位养老支出（款）行政单位离退休（项）：反映行政单位（包括实行公务员管理的事业单位）开支的离退休经费；机关事业单位基本养老保险缴费支出（项）：反映机关事业单位实施养老保险制度由单位缴纳的基本养老保险费支出；机关事业单位职业年金缴费支出（项）：反映机关事业单位实施养老保险制度由单位实际缴纳的职业年金支出。</w:t>
      </w:r>
    </w:p>
    <w:p>
      <w:pPr>
        <w:keepNext w:val="0"/>
        <w:keepLines w:val="0"/>
        <w:pageBreakBefore w:val="0"/>
        <w:widowControl w:val="0"/>
        <w:kinsoku/>
        <w:wordWrap/>
        <w:overflowPunct/>
        <w:topLinePunct w:val="0"/>
        <w:autoSpaceDE/>
        <w:autoSpaceDN/>
        <w:bidi w:val="0"/>
        <w:ind w:firstLine="660" w:firstLineChars="200"/>
        <w:jc w:val="both"/>
        <w:rPr>
          <w:rFonts w:hint="default" w:ascii="Times New Roman" w:hAnsi="Times New Roman" w:eastAsia="方正仿宋_GBK" w:cs="Times New Roman"/>
          <w:sz w:val="33"/>
          <w:szCs w:val="33"/>
        </w:rPr>
      </w:pPr>
      <w:r>
        <w:rPr>
          <w:rFonts w:hint="eastAsia" w:eastAsia="方正仿宋_GBK" w:cs="Times New Roman"/>
          <w:sz w:val="33"/>
          <w:szCs w:val="33"/>
          <w:lang w:val="en-US" w:eastAsia="zh-CN"/>
        </w:rPr>
        <w:t>4</w:t>
      </w:r>
      <w:r>
        <w:rPr>
          <w:rFonts w:hint="default" w:ascii="Times New Roman" w:hAnsi="Times New Roman" w:eastAsia="方正仿宋_GBK" w:cs="Times New Roman"/>
          <w:sz w:val="33"/>
          <w:szCs w:val="33"/>
        </w:rPr>
        <w:t>.卫生健康支出（类）行政事业单位医疗（款）行政单位医疗（项）：反映财政部门集中安排的行政单位基本医疗保险缴费经费，未参加医疗保险的行政单位的公费医疗保险经费，按国家规定享受离休人员和红军老战士待遇人员的医疗经费；事业单位医疗（项）：反映财政部门集中安排的事业单位基本医疗保险缴费经费，未参加医疗保险的事业单位公费医疗经费，按国家规定享受离休人员待遇人员的医疗经费；公务员医疗补助（项）：反映财政部门集中安排的公务员医疗补助经费。</w:t>
      </w:r>
    </w:p>
    <w:p>
      <w:pPr>
        <w:keepNext w:val="0"/>
        <w:keepLines w:val="0"/>
        <w:pageBreakBefore w:val="0"/>
        <w:widowControl w:val="0"/>
        <w:kinsoku/>
        <w:wordWrap/>
        <w:overflowPunct/>
        <w:topLinePunct w:val="0"/>
        <w:autoSpaceDE/>
        <w:autoSpaceDN/>
        <w:bidi w:val="0"/>
        <w:ind w:firstLine="660" w:firstLineChars="200"/>
        <w:jc w:val="both"/>
        <w:rPr>
          <w:rFonts w:hint="default" w:ascii="Times New Roman" w:hAnsi="Times New Roman" w:eastAsia="方正仿宋_GBK" w:cs="Times New Roman"/>
          <w:sz w:val="33"/>
          <w:szCs w:val="33"/>
        </w:rPr>
      </w:pPr>
      <w:r>
        <w:rPr>
          <w:rFonts w:hint="eastAsia" w:eastAsia="方正仿宋_GBK" w:cs="Times New Roman"/>
          <w:sz w:val="33"/>
          <w:szCs w:val="33"/>
          <w:lang w:val="en-US" w:eastAsia="zh-CN"/>
        </w:rPr>
        <w:t>5</w:t>
      </w:r>
      <w:r>
        <w:rPr>
          <w:rFonts w:hint="default" w:ascii="Times New Roman" w:hAnsi="Times New Roman" w:eastAsia="方正仿宋_GBK" w:cs="Times New Roman"/>
          <w:sz w:val="33"/>
          <w:szCs w:val="33"/>
        </w:rPr>
        <w:t>.城乡社区支出（类）国有土地使用权出让收入及对应专项债务收入安排的支出（款）土地开发支出（项）：反映新疆生产建设兵团和地方政府用于前期土地开发性支出以及与前期土地开发相关的费用等支出。</w:t>
      </w:r>
      <w:r>
        <w:rPr>
          <w:rFonts w:hint="default" w:ascii="Times New Roman" w:hAnsi="Times New Roman" w:eastAsia="方正仿宋_GBK" w:cs="Times New Roman"/>
          <w:sz w:val="33"/>
          <w:szCs w:val="33"/>
        </w:rPr>
        <w:tab/>
      </w:r>
    </w:p>
    <w:p>
      <w:pPr>
        <w:keepNext w:val="0"/>
        <w:keepLines w:val="0"/>
        <w:pageBreakBefore w:val="0"/>
        <w:widowControl w:val="0"/>
        <w:kinsoku/>
        <w:wordWrap/>
        <w:overflowPunct/>
        <w:topLinePunct w:val="0"/>
        <w:autoSpaceDE/>
        <w:autoSpaceDN/>
        <w:bidi w:val="0"/>
        <w:ind w:firstLine="660" w:firstLineChars="200"/>
        <w:jc w:val="both"/>
        <w:rPr>
          <w:rFonts w:hint="default" w:ascii="Times New Roman" w:hAnsi="Times New Roman" w:eastAsia="方正仿宋_GBK" w:cs="Times New Roman"/>
          <w:sz w:val="33"/>
          <w:szCs w:val="33"/>
        </w:rPr>
      </w:pPr>
      <w:r>
        <w:rPr>
          <w:rFonts w:hint="eastAsia" w:eastAsia="方正仿宋_GBK" w:cs="Times New Roman"/>
          <w:sz w:val="33"/>
          <w:szCs w:val="33"/>
          <w:lang w:val="en-US" w:eastAsia="zh-CN"/>
        </w:rPr>
        <w:t>6</w:t>
      </w:r>
      <w:r>
        <w:rPr>
          <w:rFonts w:hint="default" w:ascii="Times New Roman" w:hAnsi="Times New Roman" w:eastAsia="方正仿宋_GBK" w:cs="Times New Roman"/>
          <w:sz w:val="33"/>
          <w:szCs w:val="33"/>
        </w:rPr>
        <w:t>.住房保障支出（类）住房改革支出（款）住房公积金（项）：指行政事业单位按人力资源和社会保障部、财政部规定的基本工资和津贴补贴以及规定比例为职工缴纳的住房公积金。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ind w:firstLine="660" w:firstLineChars="200"/>
        <w:jc w:val="both"/>
        <w:textAlignment w:val="auto"/>
        <w:outlineLvl w:val="9"/>
        <w:rPr>
          <w:rFonts w:hint="default" w:ascii="Times New Roman" w:hAnsi="Times New Roman" w:eastAsia="方正仿宋_GBK" w:cs="Times New Roman"/>
          <w:sz w:val="33"/>
          <w:szCs w:val="33"/>
        </w:rPr>
      </w:pPr>
      <w:r>
        <w:rPr>
          <w:rFonts w:hint="eastAsia" w:eastAsia="方正仿宋_GBK" w:cs="Times New Roman"/>
          <w:sz w:val="33"/>
          <w:szCs w:val="33"/>
          <w:lang w:val="en-US" w:eastAsia="zh-CN"/>
        </w:rPr>
        <w:t>7</w:t>
      </w:r>
      <w:r>
        <w:rPr>
          <w:rFonts w:hint="default" w:ascii="Times New Roman" w:hAnsi="Times New Roman" w:eastAsia="方正仿宋_GBK" w:cs="Times New Roman"/>
          <w:sz w:val="33"/>
          <w:szCs w:val="33"/>
        </w:rPr>
        <w:t>.基本支出：指为保障机构正常运转、完成日常工作任务而发生的人员支出和公用支出。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ind w:firstLine="660" w:firstLineChars="200"/>
        <w:jc w:val="both"/>
        <w:textAlignment w:val="auto"/>
        <w:outlineLvl w:val="9"/>
        <w:rPr>
          <w:rFonts w:hint="default" w:ascii="Times New Roman" w:hAnsi="Times New Roman" w:eastAsia="方正仿宋_GBK" w:cs="Times New Roman"/>
          <w:sz w:val="33"/>
          <w:szCs w:val="33"/>
        </w:rPr>
      </w:pPr>
      <w:r>
        <w:rPr>
          <w:rFonts w:hint="eastAsia" w:eastAsia="方正仿宋_GBK" w:cs="Times New Roman"/>
          <w:sz w:val="33"/>
          <w:szCs w:val="33"/>
          <w:lang w:val="en-US" w:eastAsia="zh-CN"/>
        </w:rPr>
        <w:t>8</w:t>
      </w:r>
      <w:r>
        <w:rPr>
          <w:rFonts w:hint="default" w:ascii="Times New Roman" w:hAnsi="Times New Roman" w:eastAsia="方正仿宋_GBK" w:cs="Times New Roman"/>
          <w:sz w:val="33"/>
          <w:szCs w:val="33"/>
        </w:rPr>
        <w:t>.项目支出：指在基本支出之外为完成特定行政任务和事业发展目标所发生的支出。</w:t>
      </w:r>
    </w:p>
    <w:p>
      <w:pPr>
        <w:pStyle w:val="2"/>
        <w:ind w:firstLine="660" w:firstLineChars="200"/>
        <w:rPr>
          <w:rFonts w:hint="eastAsia" w:eastAsia="方正仿宋_GBK"/>
          <w:lang w:val="en-US" w:eastAsia="zh-CN"/>
        </w:rPr>
      </w:pPr>
      <w:r>
        <w:rPr>
          <w:rFonts w:hint="eastAsia" w:ascii="Times New Roman" w:eastAsia="方正仿宋_GBK" w:cs="Times New Roman"/>
          <w:sz w:val="33"/>
          <w:szCs w:val="33"/>
          <w:lang w:val="en-US" w:eastAsia="zh-CN"/>
        </w:rPr>
        <w:t>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jc w:val="center"/>
        <w:outlineLvl w:val="0"/>
        <w:rPr>
          <w:rFonts w:hint="default" w:ascii="Times New Roman" w:hAnsi="Times New Roman" w:eastAsia="黑体" w:cs="Times New Roman"/>
          <w:sz w:val="33"/>
          <w:szCs w:val="33"/>
        </w:rPr>
      </w:pPr>
      <w:bookmarkStart w:id="53" w:name="_Toc15396614"/>
    </w:p>
    <w:p>
      <w:pPr>
        <w:keepNext w:val="0"/>
        <w:keepLines w:val="0"/>
        <w:pageBreakBefore w:val="0"/>
        <w:widowControl w:val="0"/>
        <w:kinsoku/>
        <w:wordWrap/>
        <w:overflowPunct/>
        <w:topLinePunct w:val="0"/>
        <w:autoSpaceDE/>
        <w:autoSpaceDN/>
        <w:bidi w:val="0"/>
        <w:spacing w:line="240" w:lineRule="atLeast"/>
        <w:jc w:val="center"/>
        <w:outlineLvl w:val="0"/>
        <w:rPr>
          <w:rStyle w:val="17"/>
          <w:rFonts w:hint="default" w:ascii="Times New Roman" w:hAnsi="Times New Roman" w:eastAsia="方正黑体_GBK" w:cs="Times New Roman"/>
          <w:b w:val="0"/>
          <w:bCs w:val="0"/>
        </w:rPr>
      </w:pPr>
      <w:r>
        <w:rPr>
          <w:rFonts w:hint="default" w:ascii="Times New Roman" w:hAnsi="Times New Roman" w:eastAsia="方正黑体_GBK" w:cs="Times New Roman"/>
          <w:sz w:val="44"/>
          <w:szCs w:val="44"/>
        </w:rPr>
        <w:t>第</w:t>
      </w:r>
      <w:r>
        <w:rPr>
          <w:rStyle w:val="17"/>
          <w:rFonts w:hint="default" w:ascii="Times New Roman" w:hAnsi="Times New Roman" w:eastAsia="方正黑体_GBK" w:cs="Times New Roman"/>
          <w:b w:val="0"/>
          <w:bCs w:val="0"/>
        </w:rPr>
        <w:t>四部分 附件</w:t>
      </w:r>
      <w:bookmarkEnd w:id="53"/>
    </w:p>
    <w:p>
      <w:pPr>
        <w:keepNext w:val="0"/>
        <w:keepLines w:val="0"/>
        <w:pageBreakBefore w:val="0"/>
        <w:widowControl w:val="0"/>
        <w:kinsoku/>
        <w:wordWrap/>
        <w:overflowPunct/>
        <w:topLinePunct w:val="0"/>
        <w:autoSpaceDE/>
        <w:autoSpaceDN/>
        <w:bidi w:val="0"/>
        <w:adjustRightInd/>
        <w:snapToGrid/>
        <w:spacing w:line="0" w:lineRule="atLeast"/>
        <w:jc w:val="left"/>
        <w:textAlignment w:val="auto"/>
        <w:outlineLvl w:val="0"/>
        <w:rPr>
          <w:rFonts w:hint="default" w:ascii="Times New Roman" w:hAnsi="Times New Roman" w:eastAsia="黑体" w:cs="Times New Roman"/>
          <w:sz w:val="33"/>
          <w:szCs w:val="33"/>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_GBK" w:cs="Times New Roman"/>
          <w:b/>
          <w:bCs/>
          <w:kern w:val="0"/>
          <w:sz w:val="38"/>
          <w:szCs w:val="38"/>
          <w:lang w:val="zh-CN"/>
        </w:rPr>
      </w:pPr>
      <w:r>
        <w:rPr>
          <w:rFonts w:hint="default" w:ascii="Times New Roman" w:hAnsi="Times New Roman" w:eastAsia="方正小标宋_GBK" w:cs="Times New Roman"/>
          <w:b/>
          <w:bCs/>
          <w:kern w:val="0"/>
          <w:sz w:val="38"/>
          <w:szCs w:val="38"/>
        </w:rPr>
        <w:t>2021年中共攀枝花市西区区委党校整体绩效评价报告</w:t>
      </w:r>
    </w:p>
    <w:p>
      <w:pPr>
        <w:keepNext w:val="0"/>
        <w:keepLines w:val="0"/>
        <w:pageBreakBefore w:val="0"/>
        <w:widowControl w:val="0"/>
        <w:kinsoku/>
        <w:wordWrap/>
        <w:overflowPunct/>
        <w:topLinePunct w:val="0"/>
        <w:autoSpaceDE/>
        <w:autoSpaceDN/>
        <w:bidi w:val="0"/>
        <w:adjustRightInd w:val="0"/>
        <w:snapToGrid w:val="0"/>
        <w:spacing w:line="572" w:lineRule="exact"/>
        <w:ind w:firstLine="480" w:firstLineChars="200"/>
        <w:jc w:val="left"/>
        <w:rPr>
          <w:rFonts w:hint="default" w:ascii="Times New Roman" w:hAnsi="Times New Roman" w:eastAsia="黑体" w:cs="Times New Roman"/>
          <w:kern w:val="0"/>
          <w:sz w:val="24"/>
          <w:szCs w:val="24"/>
          <w:shd w:val="clear" w:color="auto" w:fill="FFFFFF"/>
        </w:rPr>
      </w:pPr>
    </w:p>
    <w:p>
      <w:pPr>
        <w:keepNext w:val="0"/>
        <w:keepLines w:val="0"/>
        <w:pageBreakBefore w:val="0"/>
        <w:widowControl w:val="0"/>
        <w:kinsoku/>
        <w:wordWrap/>
        <w:overflowPunct/>
        <w:topLinePunct w:val="0"/>
        <w:autoSpaceDE/>
        <w:autoSpaceDN/>
        <w:bidi w:val="0"/>
        <w:ind w:firstLine="660" w:firstLineChars="200"/>
        <w:jc w:val="both"/>
        <w:rPr>
          <w:rFonts w:hint="default" w:ascii="Times New Roman" w:hAnsi="Times New Roman" w:eastAsia="方正黑体_GBK" w:cs="Times New Roman"/>
          <w:kern w:val="0"/>
          <w:sz w:val="33"/>
          <w:szCs w:val="33"/>
          <w:shd w:val="clear" w:color="auto" w:fill="FFFFFF"/>
          <w:lang w:val="zh-CN"/>
        </w:rPr>
      </w:pPr>
      <w:r>
        <w:rPr>
          <w:rFonts w:hint="default" w:ascii="Times New Roman" w:hAnsi="Times New Roman" w:eastAsia="方正黑体_GBK" w:cs="Times New Roman"/>
          <w:kern w:val="0"/>
          <w:sz w:val="33"/>
          <w:szCs w:val="33"/>
          <w:shd w:val="clear" w:color="auto" w:fill="FFFFFF"/>
        </w:rPr>
        <w:t>一、</w:t>
      </w:r>
      <w:r>
        <w:rPr>
          <w:rFonts w:hint="default" w:ascii="Times New Roman" w:hAnsi="Times New Roman" w:eastAsia="方正黑体_GBK" w:cs="Times New Roman"/>
          <w:kern w:val="0"/>
          <w:sz w:val="33"/>
          <w:szCs w:val="33"/>
          <w:shd w:val="clear" w:color="auto" w:fill="FFFFFF"/>
          <w:lang w:val="zh-CN"/>
        </w:rPr>
        <w:t>部门概况</w:t>
      </w:r>
    </w:p>
    <w:p>
      <w:pPr>
        <w:keepNext w:val="0"/>
        <w:keepLines w:val="0"/>
        <w:pageBreakBefore w:val="0"/>
        <w:widowControl w:val="0"/>
        <w:kinsoku/>
        <w:wordWrap/>
        <w:overflowPunct/>
        <w:topLinePunct w:val="0"/>
        <w:autoSpaceDE/>
        <w:autoSpaceDN/>
        <w:bidi w:val="0"/>
        <w:ind w:firstLine="663" w:firstLineChars="200"/>
        <w:jc w:val="both"/>
        <w:rPr>
          <w:rFonts w:hint="default" w:ascii="Times New Roman" w:hAnsi="Times New Roman" w:eastAsia="方正仿宋_GBK" w:cs="Times New Roman"/>
          <w:sz w:val="33"/>
          <w:szCs w:val="33"/>
        </w:rPr>
      </w:pPr>
      <w:r>
        <w:rPr>
          <w:rFonts w:hint="default" w:ascii="Times New Roman" w:hAnsi="Times New Roman" w:eastAsia="方正楷体_GBK" w:cs="Times New Roman"/>
          <w:b/>
          <w:bCs/>
          <w:kern w:val="0"/>
          <w:sz w:val="33"/>
          <w:szCs w:val="33"/>
          <w:shd w:val="clear" w:color="auto" w:fill="FFFFFF"/>
          <w:lang w:val="zh-CN"/>
        </w:rPr>
        <w:t>（一）机构组成。</w:t>
      </w:r>
      <w:r>
        <w:rPr>
          <w:rFonts w:hint="default" w:ascii="Times New Roman" w:hAnsi="Times New Roman" w:eastAsia="方正仿宋_GBK" w:cs="Times New Roman"/>
          <w:sz w:val="33"/>
          <w:szCs w:val="33"/>
        </w:rPr>
        <w:t>中共攀枝花市西区区委党校（攀枝花市西区行政学校）于2020年6月成立，为区委直属公益一类事业单位，由区委组织部代管。</w:t>
      </w:r>
    </w:p>
    <w:p>
      <w:pPr>
        <w:keepNext w:val="0"/>
        <w:keepLines w:val="0"/>
        <w:pageBreakBefore w:val="0"/>
        <w:widowControl w:val="0"/>
        <w:kinsoku/>
        <w:wordWrap/>
        <w:overflowPunct/>
        <w:topLinePunct w:val="0"/>
        <w:autoSpaceDE/>
        <w:autoSpaceDN/>
        <w:bidi w:val="0"/>
        <w:ind w:firstLine="663" w:firstLineChars="200"/>
        <w:jc w:val="both"/>
        <w:rPr>
          <w:rFonts w:hint="default" w:ascii="Times New Roman" w:hAnsi="Times New Roman" w:eastAsia="仿宋_GB2312" w:cs="Times New Roman"/>
          <w:kern w:val="0"/>
          <w:sz w:val="33"/>
          <w:szCs w:val="33"/>
          <w:shd w:val="clear" w:color="auto" w:fill="FFFFFF"/>
          <w:lang w:val="zh-CN"/>
        </w:rPr>
      </w:pPr>
      <w:r>
        <w:rPr>
          <w:rFonts w:hint="default" w:ascii="Times New Roman" w:hAnsi="Times New Roman" w:eastAsia="方正楷体_GBK" w:cs="Times New Roman"/>
          <w:b/>
          <w:bCs/>
          <w:kern w:val="0"/>
          <w:sz w:val="33"/>
          <w:szCs w:val="33"/>
          <w:shd w:val="clear" w:color="auto" w:fill="FFFFFF"/>
          <w:lang w:val="zh-CN"/>
        </w:rPr>
        <w:t>（二）机构职能。</w:t>
      </w:r>
      <w:r>
        <w:rPr>
          <w:rFonts w:hint="default" w:ascii="Times New Roman" w:hAnsi="Times New Roman" w:eastAsia="方正仿宋_GBK" w:cs="Times New Roman"/>
          <w:sz w:val="33"/>
          <w:szCs w:val="33"/>
        </w:rPr>
        <w:t>以马克思列宁主义、毛泽东思想、邓小平理论、“三个代表”重要思想、科学发展观、习近平新时代中国特色社会主义思想为指导，认真学习党的基本理论和基本知识，学习党的路线、方针、政策，提高办学水平；发挥党员干部教育培训中的主渠道作用，有计划地培训乡科级领导干部、后备干部、基层干部、党员、入党积极分子等；开展重大理论和现实问题研究，为区委决策咨询服务，为教学和社会实践服务；根据区委对干部队伍建设的要求，会同相关部门制定各类骨干的培训轮训计划，承担公务员、事业单位人员、党外干部等培训轮训任务；承办区委举办的各类专题研讨班、学习班；完成区委交办的其他工作任务。</w:t>
      </w:r>
    </w:p>
    <w:p>
      <w:pPr>
        <w:keepNext w:val="0"/>
        <w:keepLines w:val="0"/>
        <w:pageBreakBefore w:val="0"/>
        <w:widowControl w:val="0"/>
        <w:kinsoku/>
        <w:wordWrap/>
        <w:overflowPunct/>
        <w:topLinePunct w:val="0"/>
        <w:autoSpaceDE/>
        <w:autoSpaceDN/>
        <w:bidi w:val="0"/>
        <w:ind w:firstLine="663" w:firstLineChars="200"/>
        <w:jc w:val="both"/>
        <w:rPr>
          <w:rFonts w:hint="default" w:ascii="Times New Roman" w:hAnsi="Times New Roman" w:eastAsia="仿宋_GB2312" w:cs="Times New Roman"/>
          <w:kern w:val="0"/>
          <w:sz w:val="33"/>
          <w:szCs w:val="33"/>
          <w:shd w:val="clear" w:color="auto" w:fill="FFFFFF"/>
          <w:lang w:val="zh-CN"/>
        </w:rPr>
      </w:pPr>
      <w:r>
        <w:rPr>
          <w:rFonts w:hint="default" w:ascii="Times New Roman" w:hAnsi="Times New Roman" w:eastAsia="方正楷体_GBK" w:cs="Times New Roman"/>
          <w:b/>
          <w:bCs/>
          <w:kern w:val="0"/>
          <w:sz w:val="33"/>
          <w:szCs w:val="33"/>
          <w:shd w:val="clear" w:color="auto" w:fill="FFFFFF"/>
          <w:lang w:val="zh-CN"/>
        </w:rPr>
        <w:t>（三）人员概况。</w:t>
      </w:r>
      <w:r>
        <w:rPr>
          <w:rFonts w:hint="default" w:ascii="Times New Roman" w:hAnsi="Times New Roman" w:eastAsia="方正仿宋_GBK" w:cs="Times New Roman"/>
          <w:spacing w:val="-4"/>
          <w:kern w:val="34"/>
          <w:sz w:val="33"/>
          <w:szCs w:val="33"/>
        </w:rPr>
        <w:t>截至2021年12月，区委党校有</w:t>
      </w:r>
      <w:r>
        <w:rPr>
          <w:rFonts w:hint="default" w:ascii="Times New Roman" w:hAnsi="Times New Roman" w:eastAsia="方正仿宋_GBK" w:cs="Times New Roman"/>
          <w:kern w:val="34"/>
          <w:sz w:val="33"/>
          <w:szCs w:val="33"/>
        </w:rPr>
        <w:t>事业编制9名，实有8人。</w:t>
      </w:r>
    </w:p>
    <w:p>
      <w:pPr>
        <w:keepNext w:val="0"/>
        <w:keepLines w:val="0"/>
        <w:pageBreakBefore w:val="0"/>
        <w:widowControl w:val="0"/>
        <w:kinsoku/>
        <w:wordWrap/>
        <w:overflowPunct/>
        <w:topLinePunct w:val="0"/>
        <w:autoSpaceDE/>
        <w:autoSpaceDN/>
        <w:bidi w:val="0"/>
        <w:ind w:firstLine="660" w:firstLineChars="200"/>
        <w:jc w:val="both"/>
        <w:rPr>
          <w:rFonts w:hint="default" w:ascii="Times New Roman" w:hAnsi="Times New Roman" w:eastAsia="方正黑体_GBK" w:cs="Times New Roman"/>
          <w:kern w:val="0"/>
          <w:sz w:val="33"/>
          <w:szCs w:val="33"/>
          <w:shd w:val="clear" w:color="auto" w:fill="FFFFFF"/>
        </w:rPr>
      </w:pPr>
      <w:r>
        <w:rPr>
          <w:rFonts w:hint="default" w:ascii="Times New Roman" w:hAnsi="Times New Roman" w:eastAsia="方正黑体_GBK" w:cs="Times New Roman"/>
          <w:kern w:val="0"/>
          <w:sz w:val="33"/>
          <w:szCs w:val="33"/>
          <w:shd w:val="clear" w:color="auto" w:fill="FFFFFF"/>
        </w:rPr>
        <w:t>二、部门财政资金收支情况</w:t>
      </w:r>
    </w:p>
    <w:p>
      <w:pPr>
        <w:keepNext w:val="0"/>
        <w:keepLines w:val="0"/>
        <w:pageBreakBefore w:val="0"/>
        <w:widowControl w:val="0"/>
        <w:kinsoku/>
        <w:wordWrap/>
        <w:overflowPunct/>
        <w:topLinePunct w:val="0"/>
        <w:autoSpaceDE/>
        <w:autoSpaceDN/>
        <w:bidi w:val="0"/>
        <w:ind w:firstLine="663" w:firstLineChars="200"/>
        <w:jc w:val="both"/>
        <w:rPr>
          <w:rFonts w:hint="default" w:ascii="Times New Roman" w:hAnsi="Times New Roman" w:eastAsia="方正楷体_GBK" w:cs="Times New Roman"/>
          <w:b/>
          <w:bCs/>
          <w:color w:val="000000"/>
          <w:kern w:val="34"/>
          <w:sz w:val="33"/>
          <w:szCs w:val="33"/>
          <w:shd w:val="clear" w:color="auto" w:fill="FFFFFF"/>
          <w:lang w:val="zh-CN"/>
        </w:rPr>
      </w:pPr>
      <w:r>
        <w:rPr>
          <w:rFonts w:hint="default" w:ascii="Times New Roman" w:hAnsi="Times New Roman" w:eastAsia="方正楷体_GBK" w:cs="Times New Roman"/>
          <w:b/>
          <w:bCs/>
          <w:color w:val="000000"/>
          <w:kern w:val="34"/>
          <w:sz w:val="33"/>
          <w:szCs w:val="33"/>
          <w:shd w:val="clear" w:color="auto" w:fill="FFFFFF"/>
          <w:lang w:val="zh-CN"/>
        </w:rPr>
        <w:t>（一）部门财政资金收入情况</w:t>
      </w:r>
    </w:p>
    <w:p>
      <w:pPr>
        <w:keepNext w:val="0"/>
        <w:keepLines w:val="0"/>
        <w:pageBreakBefore w:val="0"/>
        <w:widowControl w:val="0"/>
        <w:kinsoku/>
        <w:wordWrap/>
        <w:overflowPunct/>
        <w:topLinePunct w:val="0"/>
        <w:autoSpaceDE/>
        <w:autoSpaceDN/>
        <w:bidi w:val="0"/>
        <w:ind w:firstLine="660" w:firstLineChars="200"/>
        <w:jc w:val="both"/>
        <w:rPr>
          <w:rFonts w:hint="default" w:ascii="Times New Roman" w:hAnsi="Times New Roman" w:eastAsia="方正仿宋_GBK" w:cs="Times New Roman"/>
          <w:color w:val="000000"/>
          <w:kern w:val="34"/>
          <w:sz w:val="33"/>
          <w:szCs w:val="33"/>
          <w:shd w:val="clear" w:color="auto" w:fill="FFFFFF"/>
          <w:lang w:val="zh-CN"/>
        </w:rPr>
      </w:pPr>
      <w:r>
        <w:rPr>
          <w:rFonts w:hint="default" w:ascii="Times New Roman" w:hAnsi="Times New Roman" w:eastAsia="方正仿宋_GBK" w:cs="Times New Roman"/>
          <w:color w:val="000000"/>
          <w:kern w:val="34"/>
          <w:sz w:val="33"/>
          <w:szCs w:val="33"/>
          <w:shd w:val="clear" w:color="auto" w:fill="FFFFFF"/>
        </w:rPr>
        <w:t>2021年</w:t>
      </w:r>
      <w:r>
        <w:rPr>
          <w:rFonts w:hint="default" w:ascii="Times New Roman" w:hAnsi="Times New Roman" w:eastAsia="方正仿宋_GBK" w:cs="Times New Roman"/>
          <w:color w:val="000000"/>
          <w:kern w:val="34"/>
          <w:sz w:val="33"/>
          <w:szCs w:val="33"/>
          <w:shd w:val="clear" w:color="auto" w:fill="FFFFFF"/>
          <w:lang w:val="zh-CN"/>
        </w:rPr>
        <w:t>财政拨款收入</w:t>
      </w:r>
      <w:r>
        <w:rPr>
          <w:rFonts w:hint="default" w:ascii="Times New Roman" w:hAnsi="Times New Roman" w:eastAsia="方正仿宋_GBK" w:cs="Times New Roman"/>
          <w:color w:val="000000"/>
          <w:kern w:val="34"/>
          <w:sz w:val="33"/>
          <w:szCs w:val="33"/>
          <w:shd w:val="clear" w:color="auto" w:fill="FFFFFF"/>
        </w:rPr>
        <w:t>137.8万元，其中：一般公共预算财</w:t>
      </w:r>
      <w:r>
        <w:rPr>
          <w:rFonts w:hint="default" w:ascii="Times New Roman" w:hAnsi="Times New Roman" w:eastAsia="方正仿宋_GBK" w:cs="Times New Roman"/>
          <w:color w:val="000000"/>
          <w:spacing w:val="-6"/>
          <w:kern w:val="34"/>
          <w:sz w:val="33"/>
          <w:szCs w:val="33"/>
          <w:shd w:val="clear" w:color="auto" w:fill="FFFFFF"/>
        </w:rPr>
        <w:t>政拨款收入129.2万元，政府性基金预算财政拨款收入8.6万元</w:t>
      </w:r>
      <w:r>
        <w:rPr>
          <w:rFonts w:hint="default" w:ascii="Times New Roman" w:hAnsi="Times New Roman" w:eastAsia="方正仿宋_GBK" w:cs="Times New Roman"/>
          <w:spacing w:val="-6"/>
          <w:sz w:val="33"/>
          <w:szCs w:val="33"/>
        </w:rPr>
        <w:t>。</w:t>
      </w:r>
    </w:p>
    <w:p>
      <w:pPr>
        <w:keepNext w:val="0"/>
        <w:keepLines w:val="0"/>
        <w:pageBreakBefore w:val="0"/>
        <w:widowControl w:val="0"/>
        <w:kinsoku/>
        <w:wordWrap/>
        <w:overflowPunct/>
        <w:topLinePunct w:val="0"/>
        <w:autoSpaceDE/>
        <w:autoSpaceDN/>
        <w:bidi w:val="0"/>
        <w:ind w:firstLine="663" w:firstLineChars="200"/>
        <w:jc w:val="both"/>
        <w:rPr>
          <w:rFonts w:hint="default" w:ascii="Times New Roman" w:hAnsi="Times New Roman" w:eastAsia="方正楷体_GBK" w:cs="Times New Roman"/>
          <w:b/>
          <w:bCs/>
          <w:color w:val="000000"/>
          <w:kern w:val="34"/>
          <w:sz w:val="33"/>
          <w:szCs w:val="33"/>
          <w:shd w:val="clear" w:color="auto" w:fill="FFFFFF"/>
          <w:lang w:val="zh-CN"/>
        </w:rPr>
      </w:pPr>
      <w:r>
        <w:rPr>
          <w:rFonts w:hint="default" w:ascii="Times New Roman" w:hAnsi="Times New Roman" w:eastAsia="方正楷体_GBK" w:cs="Times New Roman"/>
          <w:b/>
          <w:bCs/>
          <w:color w:val="000000"/>
          <w:kern w:val="34"/>
          <w:sz w:val="33"/>
          <w:szCs w:val="33"/>
          <w:shd w:val="clear" w:color="auto" w:fill="FFFFFF"/>
          <w:lang w:val="zh-CN"/>
        </w:rPr>
        <w:t>（二）部门财政资金支出情况</w:t>
      </w:r>
    </w:p>
    <w:p>
      <w:pPr>
        <w:keepNext w:val="0"/>
        <w:keepLines w:val="0"/>
        <w:pageBreakBefore w:val="0"/>
        <w:widowControl w:val="0"/>
        <w:kinsoku/>
        <w:wordWrap/>
        <w:overflowPunct/>
        <w:topLinePunct w:val="0"/>
        <w:autoSpaceDE/>
        <w:autoSpaceDN/>
        <w:bidi w:val="0"/>
        <w:ind w:firstLine="660" w:firstLineChars="200"/>
        <w:jc w:val="both"/>
        <w:rPr>
          <w:rFonts w:hint="default" w:ascii="Times New Roman" w:hAnsi="Times New Roman" w:eastAsia="方正仿宋_GBK" w:cs="Times New Roman"/>
          <w:color w:val="000000"/>
          <w:kern w:val="34"/>
          <w:sz w:val="33"/>
          <w:szCs w:val="33"/>
          <w:shd w:val="clear" w:color="auto" w:fill="FFFFFF"/>
        </w:rPr>
      </w:pPr>
      <w:r>
        <w:rPr>
          <w:rFonts w:hint="default" w:ascii="Times New Roman" w:hAnsi="Times New Roman" w:eastAsia="方正仿宋_GBK" w:cs="Times New Roman"/>
          <w:color w:val="000000"/>
          <w:kern w:val="34"/>
          <w:sz w:val="33"/>
          <w:szCs w:val="33"/>
          <w:shd w:val="clear" w:color="auto" w:fill="FFFFFF"/>
        </w:rPr>
        <w:t>2021年</w:t>
      </w:r>
      <w:r>
        <w:rPr>
          <w:rFonts w:hint="default" w:ascii="Times New Roman" w:hAnsi="Times New Roman" w:eastAsia="方正仿宋_GBK" w:cs="Times New Roman"/>
          <w:color w:val="000000"/>
          <w:kern w:val="34"/>
          <w:sz w:val="33"/>
          <w:szCs w:val="33"/>
          <w:shd w:val="clear" w:color="auto" w:fill="FFFFFF"/>
          <w:lang w:val="zh-CN"/>
        </w:rPr>
        <w:t>财政拨款支出</w:t>
      </w:r>
      <w:r>
        <w:rPr>
          <w:rFonts w:hint="default" w:ascii="Times New Roman" w:hAnsi="Times New Roman" w:eastAsia="方正仿宋_GBK" w:cs="Times New Roman"/>
          <w:color w:val="000000"/>
          <w:kern w:val="34"/>
          <w:sz w:val="33"/>
          <w:szCs w:val="33"/>
          <w:shd w:val="clear" w:color="auto" w:fill="FFFFFF"/>
        </w:rPr>
        <w:t>137.8万元，其中：一般公共预算财</w:t>
      </w:r>
      <w:r>
        <w:rPr>
          <w:rFonts w:hint="default" w:ascii="Times New Roman" w:hAnsi="Times New Roman" w:eastAsia="方正仿宋_GBK" w:cs="Times New Roman"/>
          <w:color w:val="000000"/>
          <w:spacing w:val="-6"/>
          <w:kern w:val="34"/>
          <w:sz w:val="33"/>
          <w:szCs w:val="33"/>
          <w:shd w:val="clear" w:color="auto" w:fill="FFFFFF"/>
        </w:rPr>
        <w:t>政拨款支出129.2万元，政府性基金预算财政拨款支出8.6万元。</w:t>
      </w:r>
    </w:p>
    <w:p>
      <w:pPr>
        <w:keepNext w:val="0"/>
        <w:keepLines w:val="0"/>
        <w:pageBreakBefore w:val="0"/>
        <w:widowControl w:val="0"/>
        <w:kinsoku/>
        <w:wordWrap/>
        <w:overflowPunct/>
        <w:topLinePunct w:val="0"/>
        <w:autoSpaceDE/>
        <w:autoSpaceDN/>
        <w:bidi w:val="0"/>
        <w:ind w:firstLine="660" w:firstLineChars="200"/>
        <w:jc w:val="both"/>
        <w:rPr>
          <w:rFonts w:hint="default" w:ascii="Times New Roman" w:hAnsi="Times New Roman" w:eastAsia="方正黑体_GBK" w:cs="Times New Roman"/>
          <w:kern w:val="0"/>
          <w:sz w:val="33"/>
          <w:szCs w:val="33"/>
          <w:shd w:val="clear" w:color="auto" w:fill="FFFFFF"/>
        </w:rPr>
      </w:pPr>
      <w:r>
        <w:rPr>
          <w:rFonts w:hint="default" w:ascii="Times New Roman" w:hAnsi="Times New Roman" w:eastAsia="方正黑体_GBK" w:cs="Times New Roman"/>
          <w:kern w:val="0"/>
          <w:sz w:val="33"/>
          <w:szCs w:val="33"/>
          <w:shd w:val="clear" w:color="auto" w:fill="FFFFFF"/>
        </w:rPr>
        <w:t>三、部门整体预算绩效管理情况</w:t>
      </w:r>
    </w:p>
    <w:p>
      <w:pPr>
        <w:pStyle w:val="7"/>
        <w:keepNext w:val="0"/>
        <w:keepLines w:val="0"/>
        <w:pageBreakBefore w:val="0"/>
        <w:widowControl w:val="0"/>
        <w:kinsoku/>
        <w:wordWrap/>
        <w:overflowPunct/>
        <w:topLinePunct w:val="0"/>
        <w:autoSpaceDE/>
        <w:autoSpaceDN/>
        <w:bidi w:val="0"/>
        <w:ind w:firstLine="663" w:firstLineChars="200"/>
        <w:jc w:val="both"/>
        <w:rPr>
          <w:rFonts w:hint="default" w:ascii="Times New Roman" w:hAnsi="Times New Roman" w:eastAsia="方正仿宋_GBK" w:cs="Times New Roman"/>
          <w:b/>
          <w:bCs/>
          <w:sz w:val="33"/>
          <w:szCs w:val="33"/>
        </w:rPr>
      </w:pPr>
      <w:r>
        <w:rPr>
          <w:rFonts w:hint="default" w:ascii="Times New Roman" w:hAnsi="Times New Roman" w:eastAsia="方正仿宋_GBK" w:cs="Times New Roman"/>
          <w:b/>
          <w:bCs/>
          <w:sz w:val="33"/>
          <w:szCs w:val="33"/>
        </w:rPr>
        <w:t>1.年初部门预算绩效目标完成情况</w:t>
      </w:r>
    </w:p>
    <w:p>
      <w:pPr>
        <w:pStyle w:val="7"/>
        <w:keepNext w:val="0"/>
        <w:keepLines w:val="0"/>
        <w:pageBreakBefore w:val="0"/>
        <w:widowControl w:val="0"/>
        <w:kinsoku/>
        <w:wordWrap/>
        <w:overflowPunct/>
        <w:topLinePunct w:val="0"/>
        <w:autoSpaceDE/>
        <w:autoSpaceDN/>
        <w:bidi w:val="0"/>
        <w:ind w:firstLine="663" w:firstLineChars="200"/>
        <w:jc w:val="both"/>
        <w:rPr>
          <w:rFonts w:hint="default" w:ascii="Times New Roman" w:hAnsi="Times New Roman" w:eastAsia="方正仿宋_GBK" w:cs="Times New Roman"/>
          <w:b/>
          <w:bCs/>
          <w:sz w:val="33"/>
          <w:szCs w:val="33"/>
        </w:rPr>
      </w:pPr>
      <w:r>
        <w:rPr>
          <w:rFonts w:hint="default" w:ascii="Times New Roman" w:hAnsi="Times New Roman" w:eastAsia="方正仿宋_GBK" w:cs="Times New Roman"/>
          <w:b/>
          <w:bCs/>
          <w:sz w:val="33"/>
          <w:szCs w:val="33"/>
        </w:rPr>
        <w:t>（1）产出指标完成情况分析</w:t>
      </w:r>
    </w:p>
    <w:p>
      <w:pPr>
        <w:pStyle w:val="7"/>
        <w:keepNext w:val="0"/>
        <w:keepLines w:val="0"/>
        <w:pageBreakBefore w:val="0"/>
        <w:widowControl w:val="0"/>
        <w:kinsoku/>
        <w:wordWrap/>
        <w:overflowPunct/>
        <w:topLinePunct w:val="0"/>
        <w:autoSpaceDE/>
        <w:autoSpaceDN/>
        <w:bidi w:val="0"/>
        <w:ind w:firstLine="660" w:firstLineChars="200"/>
        <w:jc w:val="both"/>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2021年年初部门预算产出指标完成情况：数量指标、成本指标、时效指标和质量指标均按计划完成，保障单位正常开展业务工作，年初预算的1个项目按计划开展，完成基本支出129.2万元，项目支出7.6万元，绩效目标完成情况良好。</w:t>
      </w:r>
    </w:p>
    <w:p>
      <w:pPr>
        <w:pStyle w:val="7"/>
        <w:keepNext w:val="0"/>
        <w:keepLines w:val="0"/>
        <w:pageBreakBefore w:val="0"/>
        <w:widowControl w:val="0"/>
        <w:kinsoku/>
        <w:wordWrap/>
        <w:overflowPunct/>
        <w:topLinePunct w:val="0"/>
        <w:autoSpaceDE/>
        <w:autoSpaceDN/>
        <w:bidi w:val="0"/>
        <w:ind w:firstLine="663" w:firstLineChars="200"/>
        <w:jc w:val="both"/>
        <w:rPr>
          <w:rFonts w:hint="default" w:ascii="Times New Roman" w:hAnsi="Times New Roman" w:eastAsia="方正仿宋_GBK" w:cs="Times New Roman"/>
          <w:b/>
          <w:bCs/>
          <w:sz w:val="33"/>
          <w:szCs w:val="33"/>
        </w:rPr>
      </w:pPr>
      <w:r>
        <w:rPr>
          <w:rFonts w:hint="default" w:ascii="Times New Roman" w:hAnsi="Times New Roman" w:eastAsia="方正仿宋_GBK" w:cs="Times New Roman"/>
          <w:b/>
          <w:bCs/>
          <w:sz w:val="33"/>
          <w:szCs w:val="33"/>
        </w:rPr>
        <w:t>（2）效益指标完成情况分析</w:t>
      </w:r>
    </w:p>
    <w:p>
      <w:pPr>
        <w:pStyle w:val="7"/>
        <w:keepNext w:val="0"/>
        <w:keepLines w:val="0"/>
        <w:pageBreakBefore w:val="0"/>
        <w:widowControl w:val="0"/>
        <w:kinsoku/>
        <w:wordWrap/>
        <w:overflowPunct/>
        <w:topLinePunct w:val="0"/>
        <w:autoSpaceDE/>
        <w:autoSpaceDN/>
        <w:bidi w:val="0"/>
        <w:ind w:firstLine="660" w:firstLineChars="200"/>
        <w:jc w:val="both"/>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保障单位正常运行，确保完成年度职能目标任务，保障各项工作顺利开展。</w:t>
      </w:r>
    </w:p>
    <w:p>
      <w:pPr>
        <w:pStyle w:val="7"/>
        <w:keepNext w:val="0"/>
        <w:keepLines w:val="0"/>
        <w:pageBreakBefore w:val="0"/>
        <w:widowControl w:val="0"/>
        <w:kinsoku/>
        <w:wordWrap/>
        <w:overflowPunct/>
        <w:topLinePunct w:val="0"/>
        <w:autoSpaceDE/>
        <w:autoSpaceDN/>
        <w:bidi w:val="0"/>
        <w:ind w:firstLine="663" w:firstLineChars="200"/>
        <w:jc w:val="both"/>
        <w:rPr>
          <w:rFonts w:hint="default" w:ascii="Times New Roman" w:hAnsi="Times New Roman" w:eastAsia="方正仿宋_GBK" w:cs="Times New Roman"/>
          <w:b/>
          <w:bCs/>
          <w:sz w:val="33"/>
          <w:szCs w:val="33"/>
        </w:rPr>
      </w:pPr>
      <w:r>
        <w:rPr>
          <w:rFonts w:hint="default" w:ascii="Times New Roman" w:hAnsi="Times New Roman" w:eastAsia="方正仿宋_GBK" w:cs="Times New Roman"/>
          <w:b/>
          <w:bCs/>
          <w:sz w:val="33"/>
          <w:szCs w:val="33"/>
        </w:rPr>
        <w:t>（3）满意度指标完成情况分析</w:t>
      </w:r>
    </w:p>
    <w:p>
      <w:pPr>
        <w:pStyle w:val="7"/>
        <w:keepNext w:val="0"/>
        <w:keepLines w:val="0"/>
        <w:pageBreakBefore w:val="0"/>
        <w:widowControl w:val="0"/>
        <w:kinsoku/>
        <w:wordWrap/>
        <w:overflowPunct/>
        <w:topLinePunct w:val="0"/>
        <w:autoSpaceDE/>
        <w:autoSpaceDN/>
        <w:bidi w:val="0"/>
        <w:ind w:firstLine="660" w:firstLineChars="200"/>
        <w:jc w:val="both"/>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服务对象满意度抽查达到基本满意以上。</w:t>
      </w:r>
    </w:p>
    <w:p>
      <w:pPr>
        <w:pStyle w:val="7"/>
        <w:keepNext w:val="0"/>
        <w:keepLines w:val="0"/>
        <w:pageBreakBefore w:val="0"/>
        <w:widowControl w:val="0"/>
        <w:kinsoku/>
        <w:wordWrap/>
        <w:overflowPunct/>
        <w:topLinePunct w:val="0"/>
        <w:autoSpaceDE/>
        <w:autoSpaceDN/>
        <w:bidi w:val="0"/>
        <w:ind w:firstLine="663" w:firstLineChars="200"/>
        <w:jc w:val="both"/>
        <w:rPr>
          <w:rFonts w:hint="default" w:ascii="Times New Roman" w:hAnsi="Times New Roman" w:eastAsia="方正仿宋_GBK" w:cs="Times New Roman"/>
          <w:b/>
          <w:bCs/>
          <w:sz w:val="33"/>
          <w:szCs w:val="33"/>
        </w:rPr>
      </w:pPr>
      <w:r>
        <w:rPr>
          <w:rFonts w:hint="default" w:ascii="Times New Roman" w:hAnsi="Times New Roman" w:eastAsia="方正仿宋_GBK" w:cs="Times New Roman"/>
          <w:b/>
          <w:bCs/>
          <w:sz w:val="33"/>
          <w:szCs w:val="33"/>
        </w:rPr>
        <w:t>2.区级专项（项目）资金绩效目标完成情况</w:t>
      </w:r>
    </w:p>
    <w:p>
      <w:pPr>
        <w:pStyle w:val="7"/>
        <w:keepNext w:val="0"/>
        <w:keepLines w:val="0"/>
        <w:pageBreakBefore w:val="0"/>
        <w:widowControl w:val="0"/>
        <w:kinsoku/>
        <w:wordWrap/>
        <w:overflowPunct/>
        <w:topLinePunct w:val="0"/>
        <w:autoSpaceDE/>
        <w:autoSpaceDN/>
        <w:bidi w:val="0"/>
        <w:ind w:firstLine="663" w:firstLineChars="200"/>
        <w:jc w:val="both"/>
        <w:rPr>
          <w:rFonts w:hint="default" w:ascii="Times New Roman" w:hAnsi="Times New Roman" w:eastAsia="方正仿宋_GBK" w:cs="Times New Roman"/>
          <w:b/>
          <w:bCs/>
          <w:sz w:val="33"/>
          <w:szCs w:val="33"/>
        </w:rPr>
      </w:pPr>
      <w:r>
        <w:rPr>
          <w:rFonts w:hint="default" w:ascii="Times New Roman" w:hAnsi="Times New Roman" w:eastAsia="方正仿宋_GBK" w:cs="Times New Roman"/>
          <w:b/>
          <w:bCs/>
          <w:sz w:val="33"/>
          <w:szCs w:val="33"/>
        </w:rPr>
        <w:t>（1）产出指标完成情况分析</w:t>
      </w:r>
    </w:p>
    <w:p>
      <w:pPr>
        <w:pStyle w:val="7"/>
        <w:keepNext w:val="0"/>
        <w:keepLines w:val="0"/>
        <w:pageBreakBefore w:val="0"/>
        <w:widowControl w:val="0"/>
        <w:kinsoku/>
        <w:wordWrap/>
        <w:overflowPunct/>
        <w:topLinePunct w:val="0"/>
        <w:autoSpaceDE/>
        <w:autoSpaceDN/>
        <w:bidi w:val="0"/>
        <w:ind w:firstLine="663" w:firstLineChars="200"/>
        <w:jc w:val="both"/>
        <w:rPr>
          <w:rFonts w:hint="default" w:ascii="Times New Roman" w:hAnsi="Times New Roman" w:eastAsia="方正仿宋_GBK" w:cs="Times New Roman"/>
          <w:sz w:val="33"/>
          <w:szCs w:val="33"/>
        </w:rPr>
      </w:pPr>
      <w:r>
        <w:rPr>
          <w:rFonts w:hint="default" w:ascii="Times New Roman" w:hAnsi="Times New Roman" w:eastAsia="方正仿宋_GBK" w:cs="Times New Roman"/>
          <w:b/>
          <w:bCs/>
          <w:sz w:val="33"/>
          <w:szCs w:val="33"/>
        </w:rPr>
        <w:t>党校运行经费：</w:t>
      </w:r>
      <w:r>
        <w:rPr>
          <w:rFonts w:hint="default" w:ascii="Times New Roman" w:hAnsi="Times New Roman" w:eastAsia="方正仿宋_GBK" w:cs="Times New Roman"/>
          <w:sz w:val="33"/>
          <w:szCs w:val="33"/>
        </w:rPr>
        <w:t>数量指标：举办“科级领导干部进修班”“新任基层党组织书记培训班”“入党积极分子示范培训班”“公务员任职培训班”“重大决策部署专题研讨班”等各类班次13期；有兼职教师20人，建立优秀兼职师资库1个，选送4名讲解员和管理教师赴瑞金市委党校学习，培养金牌“讲解员”3名；教学点培训学员184期9358人次。党校信息化建设、课程开发1项，党校基础设施建设、维修、维护、党校运转及校内氛围提升1项。质量指标：主体培训班次按计划完成，“背水小道”特色体验项目质量进一步提升。时效指标：2021年全年。成本指标：7.6万元。</w:t>
      </w:r>
    </w:p>
    <w:p>
      <w:pPr>
        <w:pStyle w:val="7"/>
        <w:keepNext w:val="0"/>
        <w:keepLines w:val="0"/>
        <w:pageBreakBefore w:val="0"/>
        <w:widowControl w:val="0"/>
        <w:kinsoku/>
        <w:wordWrap/>
        <w:overflowPunct/>
        <w:topLinePunct w:val="0"/>
        <w:autoSpaceDE/>
        <w:autoSpaceDN/>
        <w:bidi w:val="0"/>
        <w:ind w:firstLine="663" w:firstLineChars="200"/>
        <w:jc w:val="both"/>
        <w:rPr>
          <w:rFonts w:hint="default" w:ascii="Times New Roman" w:hAnsi="Times New Roman" w:eastAsia="方正仿宋_GBK" w:cs="Times New Roman"/>
          <w:kern w:val="34"/>
          <w:sz w:val="33"/>
          <w:szCs w:val="33"/>
          <w:lang w:eastAsia="zh-CN"/>
        </w:rPr>
      </w:pPr>
      <w:r>
        <w:rPr>
          <w:rFonts w:hint="default" w:ascii="Times New Roman" w:hAnsi="Times New Roman" w:eastAsia="方正仿宋_GBK" w:cs="Times New Roman"/>
          <w:b/>
          <w:bCs/>
          <w:kern w:val="34"/>
          <w:sz w:val="33"/>
          <w:szCs w:val="33"/>
        </w:rPr>
        <w:t>干部队伍建设经费—区委党校干部教育经费：</w:t>
      </w:r>
      <w:r>
        <w:rPr>
          <w:rFonts w:hint="default" w:ascii="Times New Roman" w:hAnsi="Times New Roman" w:eastAsia="方正仿宋_GBK" w:cs="Times New Roman"/>
          <w:kern w:val="34"/>
          <w:sz w:val="33"/>
          <w:szCs w:val="33"/>
        </w:rPr>
        <w:t>数量指标：干部教育培训1项。质量指标：保障区委党校干部教育培训工作顺利开展。时效指标：2021年。成本指标：1万元</w:t>
      </w:r>
      <w:r>
        <w:rPr>
          <w:rFonts w:hint="default" w:ascii="Times New Roman" w:hAnsi="Times New Roman" w:eastAsia="方正仿宋_GBK" w:cs="Times New Roman"/>
          <w:kern w:val="34"/>
          <w:sz w:val="33"/>
          <w:szCs w:val="33"/>
          <w:lang w:eastAsia="zh-CN"/>
        </w:rPr>
        <w:t>。</w:t>
      </w:r>
    </w:p>
    <w:p>
      <w:pPr>
        <w:pStyle w:val="7"/>
        <w:keepNext w:val="0"/>
        <w:keepLines w:val="0"/>
        <w:pageBreakBefore w:val="0"/>
        <w:widowControl w:val="0"/>
        <w:kinsoku/>
        <w:wordWrap/>
        <w:overflowPunct/>
        <w:topLinePunct w:val="0"/>
        <w:autoSpaceDE/>
        <w:autoSpaceDN/>
        <w:bidi w:val="0"/>
        <w:ind w:firstLine="663" w:firstLineChars="200"/>
        <w:jc w:val="both"/>
        <w:rPr>
          <w:rFonts w:hint="default" w:ascii="Times New Roman" w:hAnsi="Times New Roman" w:eastAsia="方正仿宋_GBK" w:cs="Times New Roman"/>
          <w:b/>
          <w:bCs/>
          <w:sz w:val="33"/>
          <w:szCs w:val="33"/>
        </w:rPr>
      </w:pPr>
      <w:r>
        <w:rPr>
          <w:rFonts w:hint="default" w:ascii="Times New Roman" w:hAnsi="Times New Roman" w:eastAsia="方正仿宋_GBK" w:cs="Times New Roman"/>
          <w:b/>
          <w:bCs/>
          <w:sz w:val="33"/>
          <w:szCs w:val="33"/>
        </w:rPr>
        <w:t>（2）效益指标完成情况分析</w:t>
      </w:r>
    </w:p>
    <w:p>
      <w:pPr>
        <w:pStyle w:val="7"/>
        <w:keepNext w:val="0"/>
        <w:keepLines w:val="0"/>
        <w:pageBreakBefore w:val="0"/>
        <w:widowControl w:val="0"/>
        <w:kinsoku/>
        <w:wordWrap/>
        <w:overflowPunct/>
        <w:topLinePunct w:val="0"/>
        <w:autoSpaceDE/>
        <w:autoSpaceDN/>
        <w:bidi w:val="0"/>
        <w:ind w:firstLine="663" w:firstLineChars="200"/>
        <w:jc w:val="both"/>
        <w:rPr>
          <w:rFonts w:hint="default" w:ascii="Times New Roman" w:hAnsi="Times New Roman" w:eastAsia="方正仿宋_GBK" w:cs="Times New Roman"/>
          <w:sz w:val="33"/>
          <w:szCs w:val="33"/>
        </w:rPr>
      </w:pPr>
      <w:r>
        <w:rPr>
          <w:rFonts w:hint="default" w:ascii="Times New Roman" w:hAnsi="Times New Roman" w:eastAsia="方正仿宋_GBK" w:cs="Times New Roman"/>
          <w:b/>
          <w:bCs/>
          <w:sz w:val="33"/>
          <w:szCs w:val="33"/>
        </w:rPr>
        <w:t>党校运行经费</w:t>
      </w:r>
      <w:r>
        <w:rPr>
          <w:rFonts w:hint="default" w:ascii="Times New Roman" w:hAnsi="Times New Roman" w:eastAsia="方正仿宋_GBK" w:cs="Times New Roman"/>
          <w:b/>
          <w:bCs/>
          <w:sz w:val="33"/>
          <w:szCs w:val="33"/>
          <w:lang w:eastAsia="zh-CN"/>
        </w:rPr>
        <w:t>：</w:t>
      </w:r>
      <w:r>
        <w:rPr>
          <w:rFonts w:hint="default" w:ascii="Times New Roman" w:hAnsi="Times New Roman" w:eastAsia="方正仿宋_GBK" w:cs="Times New Roman"/>
          <w:sz w:val="33"/>
          <w:szCs w:val="33"/>
        </w:rPr>
        <w:t>社会效益指标：增强党性意识，保持党员先进性；改进教学手段，丰富教学形式，提高办学水平。</w:t>
      </w:r>
    </w:p>
    <w:p>
      <w:pPr>
        <w:pStyle w:val="7"/>
        <w:keepNext w:val="0"/>
        <w:keepLines w:val="0"/>
        <w:pageBreakBefore w:val="0"/>
        <w:widowControl w:val="0"/>
        <w:kinsoku/>
        <w:wordWrap/>
        <w:overflowPunct/>
        <w:topLinePunct w:val="0"/>
        <w:autoSpaceDE/>
        <w:autoSpaceDN/>
        <w:bidi w:val="0"/>
        <w:ind w:firstLine="663" w:firstLineChars="200"/>
        <w:jc w:val="both"/>
        <w:rPr>
          <w:rFonts w:hint="default" w:ascii="Times New Roman" w:hAnsi="Times New Roman" w:eastAsia="方正仿宋_GBK" w:cs="Times New Roman"/>
          <w:sz w:val="33"/>
          <w:szCs w:val="33"/>
        </w:rPr>
      </w:pPr>
      <w:r>
        <w:rPr>
          <w:rFonts w:hint="default" w:ascii="Times New Roman" w:hAnsi="Times New Roman" w:eastAsia="方正仿宋_GBK" w:cs="Times New Roman"/>
          <w:b/>
          <w:bCs/>
          <w:sz w:val="33"/>
          <w:szCs w:val="33"/>
        </w:rPr>
        <w:t>干部队伍建设经费—区委党校干部教育经费</w:t>
      </w:r>
      <w:r>
        <w:rPr>
          <w:rFonts w:hint="default" w:ascii="Times New Roman" w:hAnsi="Times New Roman" w:eastAsia="方正仿宋_GBK" w:cs="Times New Roman"/>
          <w:b/>
          <w:bCs/>
          <w:sz w:val="33"/>
          <w:szCs w:val="33"/>
          <w:lang w:eastAsia="zh-CN"/>
        </w:rPr>
        <w:t>：</w:t>
      </w:r>
      <w:r>
        <w:rPr>
          <w:rFonts w:hint="default" w:ascii="Times New Roman" w:hAnsi="Times New Roman" w:eastAsia="方正仿宋_GBK" w:cs="Times New Roman"/>
          <w:sz w:val="33"/>
          <w:szCs w:val="33"/>
        </w:rPr>
        <w:t>社会效益指标：干部队伍综合能力素质得到较大提高，更好为西区经济社会发展服务。</w:t>
      </w:r>
    </w:p>
    <w:p>
      <w:pPr>
        <w:pStyle w:val="7"/>
        <w:keepNext w:val="0"/>
        <w:keepLines w:val="0"/>
        <w:pageBreakBefore w:val="0"/>
        <w:widowControl w:val="0"/>
        <w:kinsoku/>
        <w:wordWrap/>
        <w:overflowPunct/>
        <w:topLinePunct w:val="0"/>
        <w:autoSpaceDE/>
        <w:autoSpaceDN/>
        <w:bidi w:val="0"/>
        <w:ind w:firstLine="663" w:firstLineChars="200"/>
        <w:jc w:val="both"/>
        <w:rPr>
          <w:rFonts w:hint="default" w:ascii="Times New Roman" w:hAnsi="Times New Roman" w:eastAsia="方正仿宋_GBK" w:cs="Times New Roman"/>
          <w:b/>
          <w:bCs/>
          <w:sz w:val="33"/>
          <w:szCs w:val="33"/>
        </w:rPr>
      </w:pPr>
      <w:r>
        <w:rPr>
          <w:rFonts w:hint="default" w:ascii="Times New Roman" w:hAnsi="Times New Roman" w:eastAsia="方正仿宋_GBK" w:cs="Times New Roman"/>
          <w:b/>
          <w:bCs/>
          <w:sz w:val="33"/>
          <w:szCs w:val="33"/>
        </w:rPr>
        <w:t>（3）满意度指标完成情况分析</w:t>
      </w:r>
    </w:p>
    <w:p>
      <w:pPr>
        <w:pStyle w:val="7"/>
        <w:keepNext w:val="0"/>
        <w:keepLines w:val="0"/>
        <w:pageBreakBefore w:val="0"/>
        <w:widowControl w:val="0"/>
        <w:kinsoku/>
        <w:wordWrap/>
        <w:overflowPunct/>
        <w:topLinePunct w:val="0"/>
        <w:autoSpaceDE/>
        <w:autoSpaceDN/>
        <w:bidi w:val="0"/>
        <w:ind w:firstLine="660" w:firstLineChars="200"/>
        <w:jc w:val="both"/>
        <w:rPr>
          <w:rFonts w:hint="default" w:ascii="Times New Roman" w:hAnsi="Times New Roman" w:eastAsia="方正仿宋_GBK" w:cs="Times New Roman"/>
          <w:sz w:val="33"/>
          <w:szCs w:val="33"/>
          <w:lang w:eastAsia="zh-CN"/>
        </w:rPr>
      </w:pPr>
      <w:r>
        <w:rPr>
          <w:rFonts w:hint="default" w:ascii="Times New Roman" w:hAnsi="Times New Roman" w:eastAsia="方正仿宋_GBK" w:cs="Times New Roman"/>
          <w:sz w:val="33"/>
          <w:szCs w:val="33"/>
        </w:rPr>
        <w:t>服务对象满意率：抽样调查满意度达到基本满意以上</w:t>
      </w:r>
      <w:r>
        <w:rPr>
          <w:rFonts w:hint="default" w:ascii="Times New Roman" w:hAnsi="Times New Roman" w:eastAsia="方正仿宋_GBK" w:cs="Times New Roman"/>
          <w:sz w:val="33"/>
          <w:szCs w:val="33"/>
          <w:lang w:eastAsia="zh-CN"/>
        </w:rPr>
        <w:t>。</w:t>
      </w:r>
    </w:p>
    <w:p>
      <w:pPr>
        <w:keepNext w:val="0"/>
        <w:keepLines w:val="0"/>
        <w:pageBreakBefore w:val="0"/>
        <w:widowControl w:val="0"/>
        <w:kinsoku/>
        <w:wordWrap/>
        <w:overflowPunct/>
        <w:topLinePunct w:val="0"/>
        <w:autoSpaceDE/>
        <w:autoSpaceDN/>
        <w:bidi w:val="0"/>
        <w:ind w:firstLine="663" w:firstLineChars="200"/>
        <w:jc w:val="both"/>
        <w:rPr>
          <w:rFonts w:hint="default" w:ascii="Times New Roman" w:hAnsi="Times New Roman" w:eastAsia="仿宋_GB2312" w:cs="Times New Roman"/>
          <w:kern w:val="0"/>
          <w:sz w:val="33"/>
          <w:szCs w:val="33"/>
          <w:shd w:val="clear" w:color="auto" w:fill="FFFFFF"/>
          <w:lang w:val="zh-CN"/>
        </w:rPr>
      </w:pPr>
      <w:r>
        <w:rPr>
          <w:rFonts w:hint="default" w:ascii="Times New Roman" w:hAnsi="Times New Roman" w:eastAsia="方正楷体_GBK" w:cs="Times New Roman"/>
          <w:b/>
          <w:bCs/>
          <w:kern w:val="0"/>
          <w:sz w:val="33"/>
          <w:szCs w:val="33"/>
          <w:shd w:val="clear" w:color="auto" w:fill="FFFFFF"/>
          <w:lang w:val="zh-CN"/>
        </w:rPr>
        <w:t>（二）结果应用情况</w:t>
      </w:r>
    </w:p>
    <w:p>
      <w:pPr>
        <w:keepNext w:val="0"/>
        <w:keepLines w:val="0"/>
        <w:pageBreakBefore w:val="0"/>
        <w:widowControl w:val="0"/>
        <w:kinsoku/>
        <w:wordWrap/>
        <w:overflowPunct/>
        <w:topLinePunct w:val="0"/>
        <w:autoSpaceDE/>
        <w:autoSpaceDN/>
        <w:bidi w:val="0"/>
        <w:adjustRightInd/>
        <w:snapToGrid/>
        <w:ind w:firstLine="660" w:firstLineChars="200"/>
        <w:jc w:val="both"/>
        <w:textAlignment w:val="auto"/>
        <w:outlineLvl w:val="9"/>
        <w:rPr>
          <w:rFonts w:hint="default" w:ascii="Times New Roman" w:hAnsi="Times New Roman" w:eastAsia="方正仿宋_GBK" w:cs="Times New Roman"/>
          <w:kern w:val="2"/>
          <w:sz w:val="33"/>
          <w:szCs w:val="33"/>
          <w:lang w:val="zh-CN" w:eastAsia="zh-CN" w:bidi="ar-SA"/>
        </w:rPr>
      </w:pPr>
      <w:r>
        <w:rPr>
          <w:rFonts w:hint="default" w:ascii="Times New Roman" w:hAnsi="Times New Roman" w:eastAsia="方正仿宋_GBK" w:cs="Times New Roman"/>
          <w:kern w:val="2"/>
          <w:sz w:val="33"/>
          <w:szCs w:val="33"/>
          <w:lang w:val="en-US" w:eastAsia="zh-CN" w:bidi="ar-SA"/>
        </w:rPr>
        <w:t>本单位严格按照相关文件，在西区人民政府网站上公开了部门绩效评价等信息。</w:t>
      </w:r>
    </w:p>
    <w:p>
      <w:pPr>
        <w:keepNext w:val="0"/>
        <w:keepLines w:val="0"/>
        <w:pageBreakBefore w:val="0"/>
        <w:widowControl w:val="0"/>
        <w:kinsoku/>
        <w:wordWrap/>
        <w:overflowPunct/>
        <w:topLinePunct w:val="0"/>
        <w:autoSpaceDE/>
        <w:autoSpaceDN/>
        <w:bidi w:val="0"/>
        <w:adjustRightInd/>
        <w:snapToGrid/>
        <w:ind w:firstLine="663" w:firstLineChars="200"/>
        <w:jc w:val="both"/>
        <w:textAlignment w:val="auto"/>
        <w:outlineLvl w:val="9"/>
        <w:rPr>
          <w:rFonts w:hint="default" w:ascii="Times New Roman" w:hAnsi="Times New Roman" w:eastAsia="方正楷体_GBK" w:cs="Times New Roman"/>
          <w:b/>
          <w:bCs/>
          <w:kern w:val="0"/>
          <w:sz w:val="33"/>
          <w:szCs w:val="33"/>
          <w:shd w:val="clear" w:color="auto" w:fill="FFFFFF"/>
          <w:lang w:val="zh-CN"/>
        </w:rPr>
      </w:pPr>
      <w:r>
        <w:rPr>
          <w:rFonts w:hint="default" w:ascii="Times New Roman" w:hAnsi="Times New Roman" w:eastAsia="方正楷体_GBK" w:cs="Times New Roman"/>
          <w:b/>
          <w:bCs/>
          <w:kern w:val="0"/>
          <w:sz w:val="33"/>
          <w:szCs w:val="33"/>
          <w:shd w:val="clear" w:color="auto" w:fill="FFFFFF"/>
          <w:lang w:val="zh-CN"/>
        </w:rPr>
        <w:t>（三）自评质量</w:t>
      </w:r>
    </w:p>
    <w:p>
      <w:pPr>
        <w:keepNext w:val="0"/>
        <w:keepLines w:val="0"/>
        <w:pageBreakBefore w:val="0"/>
        <w:widowControl w:val="0"/>
        <w:kinsoku/>
        <w:wordWrap/>
        <w:overflowPunct/>
        <w:topLinePunct w:val="0"/>
        <w:autoSpaceDE/>
        <w:autoSpaceDN/>
        <w:bidi w:val="0"/>
        <w:adjustRightInd/>
        <w:snapToGrid/>
        <w:ind w:firstLine="660" w:firstLineChars="200"/>
        <w:jc w:val="both"/>
        <w:textAlignment w:val="auto"/>
        <w:outlineLvl w:val="9"/>
        <w:rPr>
          <w:rFonts w:hint="default" w:ascii="Times New Roman" w:hAnsi="Times New Roman" w:eastAsia="方正仿宋_GBK" w:cs="Times New Roman"/>
          <w:kern w:val="2"/>
          <w:sz w:val="33"/>
          <w:szCs w:val="33"/>
          <w:lang w:val="en-US" w:eastAsia="zh-CN" w:bidi="ar-SA"/>
        </w:rPr>
      </w:pPr>
      <w:r>
        <w:rPr>
          <w:rFonts w:hint="default" w:ascii="Times New Roman" w:hAnsi="Times New Roman" w:eastAsia="方正仿宋_GBK" w:cs="Times New Roman"/>
          <w:kern w:val="2"/>
          <w:sz w:val="33"/>
          <w:szCs w:val="33"/>
          <w:lang w:val="en-US" w:eastAsia="zh-CN" w:bidi="ar-SA"/>
        </w:rPr>
        <w:t>按照预算绩效管理要求，本单位对整体支出进行了自查自</w:t>
      </w:r>
      <w:r>
        <w:rPr>
          <w:rFonts w:hint="default" w:ascii="Times New Roman" w:hAnsi="Times New Roman" w:eastAsia="方正仿宋_GBK" w:cs="Times New Roman"/>
          <w:spacing w:val="-6"/>
          <w:kern w:val="2"/>
          <w:sz w:val="33"/>
          <w:szCs w:val="33"/>
          <w:lang w:val="en-US" w:eastAsia="zh-CN" w:bidi="ar-SA"/>
        </w:rPr>
        <w:t>评，并对照绩效指标评价标准进行了评分，各项指标均达标完成。</w:t>
      </w:r>
    </w:p>
    <w:p>
      <w:pPr>
        <w:keepNext w:val="0"/>
        <w:keepLines w:val="0"/>
        <w:pageBreakBefore w:val="0"/>
        <w:widowControl w:val="0"/>
        <w:kinsoku/>
        <w:wordWrap/>
        <w:overflowPunct/>
        <w:topLinePunct w:val="0"/>
        <w:autoSpaceDE/>
        <w:autoSpaceDN/>
        <w:bidi w:val="0"/>
        <w:ind w:firstLine="660" w:firstLineChars="200"/>
        <w:jc w:val="both"/>
        <w:rPr>
          <w:rFonts w:hint="default" w:ascii="Times New Roman" w:hAnsi="Times New Roman" w:eastAsia="方正黑体_GBK" w:cs="Times New Roman"/>
          <w:kern w:val="0"/>
          <w:sz w:val="33"/>
          <w:szCs w:val="33"/>
          <w:shd w:val="clear" w:color="auto" w:fill="FFFFFF"/>
        </w:rPr>
      </w:pPr>
      <w:r>
        <w:rPr>
          <w:rFonts w:hint="default" w:ascii="Times New Roman" w:hAnsi="Times New Roman" w:eastAsia="方正黑体_GBK" w:cs="Times New Roman"/>
          <w:kern w:val="0"/>
          <w:sz w:val="33"/>
          <w:szCs w:val="33"/>
          <w:shd w:val="clear" w:color="auto" w:fill="FFFFFF"/>
        </w:rPr>
        <w:t>四、评价结论及建议</w:t>
      </w:r>
    </w:p>
    <w:p>
      <w:pPr>
        <w:keepNext w:val="0"/>
        <w:keepLines w:val="0"/>
        <w:pageBreakBefore w:val="0"/>
        <w:widowControl w:val="0"/>
        <w:kinsoku/>
        <w:wordWrap/>
        <w:overflowPunct/>
        <w:topLinePunct w:val="0"/>
        <w:autoSpaceDE/>
        <w:autoSpaceDN/>
        <w:bidi w:val="0"/>
        <w:ind w:firstLine="663" w:firstLineChars="200"/>
        <w:jc w:val="both"/>
        <w:rPr>
          <w:rFonts w:hint="default" w:ascii="Times New Roman" w:hAnsi="Times New Roman" w:eastAsia="方正楷体_GBK" w:cs="Times New Roman"/>
          <w:b/>
          <w:bCs/>
          <w:kern w:val="0"/>
          <w:sz w:val="33"/>
          <w:szCs w:val="33"/>
          <w:shd w:val="clear" w:color="auto" w:fill="FFFFFF"/>
          <w:lang w:val="zh-CN"/>
        </w:rPr>
      </w:pPr>
      <w:r>
        <w:rPr>
          <w:rFonts w:hint="default" w:ascii="Times New Roman" w:hAnsi="Times New Roman" w:eastAsia="方正楷体_GBK" w:cs="Times New Roman"/>
          <w:b/>
          <w:bCs/>
          <w:kern w:val="0"/>
          <w:sz w:val="33"/>
          <w:szCs w:val="33"/>
          <w:shd w:val="clear" w:color="auto" w:fill="FFFFFF"/>
          <w:lang w:val="zh-CN"/>
        </w:rPr>
        <w:t>（一）评价结论</w:t>
      </w:r>
    </w:p>
    <w:p>
      <w:pPr>
        <w:pStyle w:val="2"/>
        <w:keepNext w:val="0"/>
        <w:keepLines w:val="0"/>
        <w:pageBreakBefore w:val="0"/>
        <w:widowControl w:val="0"/>
        <w:kinsoku/>
        <w:wordWrap/>
        <w:overflowPunct/>
        <w:topLinePunct w:val="0"/>
        <w:autoSpaceDE/>
        <w:autoSpaceDN/>
        <w:bidi w:val="0"/>
        <w:spacing w:beforeLines="0"/>
        <w:ind w:firstLine="660" w:firstLineChars="200"/>
        <w:jc w:val="both"/>
        <w:rPr>
          <w:rFonts w:hint="default" w:ascii="Times New Roman" w:hAnsi="Times New Roman" w:eastAsia="方正仿宋_GBK" w:cs="Times New Roman"/>
          <w:sz w:val="33"/>
          <w:szCs w:val="33"/>
          <w:lang w:val="zh-CN"/>
        </w:rPr>
      </w:pPr>
      <w:r>
        <w:rPr>
          <w:rFonts w:hint="default" w:ascii="Times New Roman" w:hAnsi="Times New Roman" w:eastAsia="方正仿宋_GBK" w:cs="Times New Roman"/>
          <w:sz w:val="33"/>
          <w:szCs w:val="33"/>
          <w:lang w:val="zh-CN"/>
        </w:rPr>
        <w:t>全年通过加强预算收支管理，健全内部管理制度，严格内部管理流程，部门整体支出控制在预算范围内，财务收支平衡，有效保障了单位各项工作有序开展。</w:t>
      </w:r>
    </w:p>
    <w:p>
      <w:pPr>
        <w:keepNext w:val="0"/>
        <w:keepLines w:val="0"/>
        <w:pageBreakBefore w:val="0"/>
        <w:widowControl w:val="0"/>
        <w:kinsoku/>
        <w:wordWrap/>
        <w:overflowPunct/>
        <w:topLinePunct w:val="0"/>
        <w:autoSpaceDE/>
        <w:autoSpaceDN/>
        <w:bidi w:val="0"/>
        <w:ind w:firstLine="663" w:firstLineChars="200"/>
        <w:jc w:val="both"/>
        <w:rPr>
          <w:rFonts w:hint="default" w:ascii="Times New Roman" w:hAnsi="Times New Roman" w:eastAsia="方正楷体_GBK" w:cs="Times New Roman"/>
          <w:b/>
          <w:bCs/>
          <w:kern w:val="0"/>
          <w:sz w:val="33"/>
          <w:szCs w:val="33"/>
          <w:shd w:val="clear" w:color="auto" w:fill="FFFFFF"/>
          <w:lang w:val="zh-CN"/>
        </w:rPr>
      </w:pPr>
      <w:r>
        <w:rPr>
          <w:rFonts w:hint="default" w:ascii="Times New Roman" w:hAnsi="Times New Roman" w:eastAsia="方正楷体_GBK" w:cs="Times New Roman"/>
          <w:b/>
          <w:bCs/>
          <w:kern w:val="0"/>
          <w:sz w:val="33"/>
          <w:szCs w:val="33"/>
          <w:shd w:val="clear" w:color="auto" w:fill="FFFFFF"/>
          <w:lang w:val="zh-CN"/>
        </w:rPr>
        <w:t>（二）存在问题</w:t>
      </w:r>
    </w:p>
    <w:p>
      <w:pPr>
        <w:pStyle w:val="2"/>
        <w:keepNext w:val="0"/>
        <w:keepLines w:val="0"/>
        <w:pageBreakBefore w:val="0"/>
        <w:widowControl w:val="0"/>
        <w:kinsoku/>
        <w:wordWrap/>
        <w:overflowPunct/>
        <w:topLinePunct w:val="0"/>
        <w:autoSpaceDE/>
        <w:autoSpaceDN/>
        <w:bidi w:val="0"/>
        <w:spacing w:beforeLines="0"/>
        <w:ind w:firstLine="660" w:firstLineChars="200"/>
        <w:jc w:val="both"/>
        <w:rPr>
          <w:rFonts w:hint="default" w:ascii="Times New Roman" w:hAnsi="Times New Roman" w:eastAsia="方正仿宋_GBK" w:cs="Times New Roman"/>
          <w:sz w:val="33"/>
          <w:szCs w:val="33"/>
          <w:lang w:val="zh-CN"/>
        </w:rPr>
      </w:pPr>
      <w:r>
        <w:rPr>
          <w:rFonts w:hint="default" w:ascii="Times New Roman" w:hAnsi="Times New Roman" w:eastAsia="方正仿宋_GBK" w:cs="Times New Roman"/>
          <w:sz w:val="33"/>
          <w:szCs w:val="33"/>
          <w:lang w:val="zh-CN"/>
        </w:rPr>
        <w:t>无</w:t>
      </w:r>
    </w:p>
    <w:p>
      <w:pPr>
        <w:keepNext w:val="0"/>
        <w:keepLines w:val="0"/>
        <w:pageBreakBefore w:val="0"/>
        <w:widowControl w:val="0"/>
        <w:kinsoku/>
        <w:wordWrap/>
        <w:overflowPunct/>
        <w:topLinePunct w:val="0"/>
        <w:autoSpaceDE/>
        <w:autoSpaceDN/>
        <w:bidi w:val="0"/>
        <w:ind w:firstLine="663" w:firstLineChars="200"/>
        <w:jc w:val="both"/>
        <w:rPr>
          <w:rFonts w:hint="default" w:ascii="Times New Roman" w:hAnsi="Times New Roman" w:eastAsia="方正楷体_GBK" w:cs="Times New Roman"/>
          <w:b/>
          <w:bCs/>
          <w:kern w:val="0"/>
          <w:sz w:val="33"/>
          <w:szCs w:val="33"/>
          <w:shd w:val="clear" w:color="auto" w:fill="FFFFFF"/>
          <w:lang w:val="zh-CN"/>
        </w:rPr>
      </w:pPr>
      <w:r>
        <w:rPr>
          <w:rFonts w:hint="default" w:ascii="Times New Roman" w:hAnsi="Times New Roman" w:eastAsia="方正楷体_GBK" w:cs="Times New Roman"/>
          <w:b/>
          <w:bCs/>
          <w:kern w:val="0"/>
          <w:sz w:val="33"/>
          <w:szCs w:val="33"/>
          <w:shd w:val="clear" w:color="auto" w:fill="FFFFFF"/>
          <w:lang w:val="zh-CN"/>
        </w:rPr>
        <w:t>（三）改进建议</w:t>
      </w:r>
    </w:p>
    <w:p>
      <w:pPr>
        <w:pStyle w:val="2"/>
        <w:keepNext w:val="0"/>
        <w:keepLines w:val="0"/>
        <w:pageBreakBefore w:val="0"/>
        <w:widowControl w:val="0"/>
        <w:kinsoku/>
        <w:wordWrap/>
        <w:overflowPunct/>
        <w:topLinePunct w:val="0"/>
        <w:autoSpaceDE/>
        <w:autoSpaceDN/>
        <w:bidi w:val="0"/>
        <w:spacing w:beforeLines="0"/>
        <w:ind w:firstLine="660" w:firstLineChars="200"/>
        <w:jc w:val="both"/>
        <w:rPr>
          <w:rFonts w:hint="default" w:ascii="Times New Roman" w:hAnsi="Times New Roman" w:eastAsia="方正仿宋_GBK" w:cs="Times New Roman"/>
          <w:sz w:val="33"/>
          <w:szCs w:val="33"/>
          <w:shd w:val="clear" w:color="auto" w:fill="FFFFFF"/>
          <w:lang w:val="zh-CN"/>
        </w:rPr>
      </w:pPr>
      <w:r>
        <w:rPr>
          <w:rFonts w:hint="default" w:ascii="Times New Roman" w:hAnsi="Times New Roman" w:eastAsia="方正仿宋_GBK" w:cs="Times New Roman"/>
          <w:sz w:val="33"/>
          <w:szCs w:val="33"/>
        </w:rPr>
        <w:t>本单位无偏离绩效目标的情况，不存在改进建议。</w:t>
      </w:r>
    </w:p>
    <w:p>
      <w:pPr>
        <w:pStyle w:val="2"/>
        <w:keepNext w:val="0"/>
        <w:keepLines w:val="0"/>
        <w:pageBreakBefore w:val="0"/>
        <w:widowControl w:val="0"/>
        <w:kinsoku/>
        <w:wordWrap/>
        <w:overflowPunct/>
        <w:topLinePunct w:val="0"/>
        <w:autoSpaceDE/>
        <w:autoSpaceDN/>
        <w:bidi w:val="0"/>
        <w:spacing w:before="173"/>
        <w:rPr>
          <w:rFonts w:hint="default" w:ascii="Times New Roman" w:hAnsi="Times New Roman" w:eastAsia="黑体" w:cs="Times New Roman"/>
          <w:sz w:val="33"/>
          <w:szCs w:val="33"/>
        </w:rPr>
      </w:pPr>
    </w:p>
    <w:tbl>
      <w:tblPr>
        <w:tblStyle w:val="16"/>
        <w:tblW w:w="9675" w:type="dxa"/>
        <w:tblInd w:w="-13" w:type="dxa"/>
        <w:tblLayout w:type="fixed"/>
        <w:tblCellMar>
          <w:top w:w="15" w:type="dxa"/>
          <w:left w:w="15" w:type="dxa"/>
          <w:bottom w:w="15" w:type="dxa"/>
          <w:right w:w="15" w:type="dxa"/>
        </w:tblCellMar>
      </w:tblPr>
      <w:tblGrid>
        <w:gridCol w:w="600"/>
        <w:gridCol w:w="249"/>
        <w:gridCol w:w="350"/>
        <w:gridCol w:w="196"/>
        <w:gridCol w:w="521"/>
        <w:gridCol w:w="8"/>
        <w:gridCol w:w="1655"/>
        <w:gridCol w:w="16"/>
        <w:gridCol w:w="645"/>
        <w:gridCol w:w="277"/>
        <w:gridCol w:w="668"/>
        <w:gridCol w:w="254"/>
        <w:gridCol w:w="1117"/>
        <w:gridCol w:w="526"/>
        <w:gridCol w:w="838"/>
        <w:gridCol w:w="720"/>
        <w:gridCol w:w="234"/>
        <w:gridCol w:w="801"/>
      </w:tblGrid>
      <w:tr>
        <w:tblPrEx>
          <w:tblLayout w:type="fixed"/>
          <w:tblCellMar>
            <w:top w:w="15" w:type="dxa"/>
            <w:left w:w="15" w:type="dxa"/>
            <w:bottom w:w="15" w:type="dxa"/>
            <w:right w:w="15" w:type="dxa"/>
          </w:tblCellMar>
        </w:tblPrEx>
        <w:trPr>
          <w:gridAfter w:val="1"/>
          <w:wAfter w:w="801" w:type="dxa"/>
          <w:trHeight w:val="978" w:hRule="atLeast"/>
        </w:trPr>
        <w:tc>
          <w:tcPr>
            <w:tcW w:w="8874" w:type="dxa"/>
            <w:gridSpan w:val="17"/>
            <w:vAlign w:val="center"/>
          </w:tcPr>
          <w:p>
            <w:pPr>
              <w:keepNext w:val="0"/>
              <w:keepLines w:val="0"/>
              <w:pageBreakBefore w:val="0"/>
              <w:widowControl w:val="0"/>
              <w:kinsoku/>
              <w:wordWrap/>
              <w:overflowPunct/>
              <w:topLinePunct w:val="0"/>
              <w:autoSpaceDE/>
              <w:autoSpaceDN/>
              <w:bidi w:val="0"/>
              <w:spacing w:line="240" w:lineRule="atLeast"/>
              <w:jc w:val="center"/>
              <w:textAlignment w:val="center"/>
              <w:rPr>
                <w:rFonts w:hint="default" w:ascii="Times New Roman" w:hAnsi="Times New Roman" w:cs="Times New Roman"/>
                <w:b/>
                <w:bCs/>
                <w:color w:val="000000"/>
                <w:sz w:val="18"/>
                <w:szCs w:val="18"/>
              </w:rPr>
            </w:pPr>
            <w:r>
              <w:rPr>
                <w:rFonts w:hint="default" w:ascii="Times New Roman" w:hAnsi="Times New Roman" w:eastAsia="方正小标宋_GBK" w:cs="Times New Roman"/>
                <w:b/>
                <w:bCs/>
                <w:color w:val="000000"/>
                <w:kern w:val="0"/>
                <w:sz w:val="38"/>
                <w:szCs w:val="38"/>
              </w:rPr>
              <w:t>2021年部门预算项目绩效目标自评表</w:t>
            </w:r>
          </w:p>
        </w:tc>
      </w:tr>
      <w:tr>
        <w:tblPrEx>
          <w:tblLayout w:type="fixed"/>
          <w:tblCellMar>
            <w:top w:w="15" w:type="dxa"/>
            <w:left w:w="15" w:type="dxa"/>
            <w:bottom w:w="15" w:type="dxa"/>
            <w:right w:w="15" w:type="dxa"/>
          </w:tblCellMar>
        </w:tblPrEx>
        <w:trPr>
          <w:gridAfter w:val="1"/>
          <w:wAfter w:w="801" w:type="dxa"/>
          <w:trHeight w:val="286" w:hRule="atLeast"/>
        </w:trPr>
        <w:tc>
          <w:tcPr>
            <w:tcW w:w="8874" w:type="dxa"/>
            <w:gridSpan w:val="17"/>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p>
        </w:tc>
      </w:tr>
      <w:tr>
        <w:tblPrEx>
          <w:tblLayout w:type="fixed"/>
          <w:tblCellMar>
            <w:top w:w="15" w:type="dxa"/>
            <w:left w:w="15" w:type="dxa"/>
            <w:bottom w:w="15" w:type="dxa"/>
            <w:right w:w="15" w:type="dxa"/>
          </w:tblCellMar>
        </w:tblPrEx>
        <w:trPr>
          <w:gridAfter w:val="1"/>
          <w:wAfter w:w="801" w:type="dxa"/>
          <w:trHeight w:val="925" w:hRule="atLeast"/>
        </w:trPr>
        <w:tc>
          <w:tcPr>
            <w:tcW w:w="1924"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cs="Times New Roman"/>
                <w:sz w:val="24"/>
                <w:szCs w:val="24"/>
              </w:rPr>
            </w:pPr>
            <w:r>
              <w:rPr>
                <w:rFonts w:hint="default" w:ascii="Times New Roman" w:hAnsi="Times New Roman" w:cs="Times New Roman"/>
                <w:kern w:val="0"/>
                <w:sz w:val="24"/>
                <w:szCs w:val="24"/>
              </w:rPr>
              <w:t>主管部门及代码</w:t>
            </w:r>
          </w:p>
        </w:tc>
        <w:tc>
          <w:tcPr>
            <w:tcW w:w="23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20" w:lineRule="exact"/>
              <w:textAlignment w:val="center"/>
              <w:rPr>
                <w:rFonts w:hint="default" w:ascii="Times New Roman" w:hAnsi="Times New Roman" w:cs="Times New Roman"/>
              </w:rPr>
            </w:pPr>
            <w:r>
              <w:rPr>
                <w:rFonts w:hint="default" w:ascii="Times New Roman" w:hAnsi="Times New Roman" w:cs="Times New Roman"/>
              </w:rPr>
              <w:t>中共攀枝花市西区区委党校（攀枝花市西区行政学校)</w:t>
            </w:r>
            <w:r>
              <w:rPr>
                <w:rFonts w:hint="default" w:ascii="Times New Roman" w:hAnsi="Times New Roman" w:cs="Times New Roman"/>
                <w:color w:val="000000"/>
                <w:kern w:val="0"/>
                <w:sz w:val="18"/>
                <w:szCs w:val="18"/>
              </w:rPr>
              <w:t>106001</w:t>
            </w:r>
          </w:p>
        </w:tc>
        <w:tc>
          <w:tcPr>
            <w:tcW w:w="231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cs="Times New Roman"/>
                <w:sz w:val="24"/>
                <w:szCs w:val="24"/>
              </w:rPr>
            </w:pPr>
            <w:r>
              <w:rPr>
                <w:rFonts w:hint="default" w:ascii="Times New Roman" w:hAnsi="Times New Roman" w:cs="Times New Roman"/>
                <w:kern w:val="0"/>
                <w:sz w:val="24"/>
                <w:szCs w:val="24"/>
              </w:rPr>
              <w:t>实施单位</w:t>
            </w:r>
          </w:p>
        </w:tc>
        <w:tc>
          <w:tcPr>
            <w:tcW w:w="23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cs="Times New Roman"/>
                <w:sz w:val="24"/>
                <w:szCs w:val="24"/>
              </w:rPr>
            </w:pPr>
            <w:r>
              <w:rPr>
                <w:rFonts w:hint="default" w:ascii="Times New Roman" w:hAnsi="Times New Roman" w:cs="Times New Roman"/>
                <w:color w:val="000000"/>
                <w:kern w:val="0"/>
                <w:sz w:val="18"/>
                <w:szCs w:val="18"/>
              </w:rPr>
              <w:t>中共攀枝花市西区区委党校（攀枝花市西区行政学校)</w:t>
            </w:r>
          </w:p>
        </w:tc>
      </w:tr>
      <w:tr>
        <w:tblPrEx>
          <w:tblLayout w:type="fixed"/>
          <w:tblCellMar>
            <w:top w:w="15" w:type="dxa"/>
            <w:left w:w="15" w:type="dxa"/>
            <w:bottom w:w="15" w:type="dxa"/>
            <w:right w:w="15" w:type="dxa"/>
          </w:tblCellMar>
        </w:tblPrEx>
        <w:trPr>
          <w:gridAfter w:val="1"/>
          <w:wAfter w:w="801" w:type="dxa"/>
          <w:trHeight w:val="365" w:hRule="atLeast"/>
        </w:trPr>
        <w:tc>
          <w:tcPr>
            <w:tcW w:w="1924" w:type="dxa"/>
            <w:gridSpan w:val="6"/>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r>
              <w:rPr>
                <w:rFonts w:hint="default" w:ascii="Times New Roman" w:hAnsi="Times New Roman" w:cs="Times New Roman"/>
                <w:kern w:val="0"/>
                <w:sz w:val="24"/>
                <w:szCs w:val="24"/>
              </w:rPr>
              <w:t>项目预算</w:t>
            </w:r>
            <w:r>
              <w:rPr>
                <w:rFonts w:hint="default" w:ascii="Times New Roman" w:hAnsi="Times New Roman" w:cs="Times New Roman"/>
                <w:kern w:val="0"/>
                <w:sz w:val="24"/>
                <w:szCs w:val="24"/>
              </w:rPr>
              <w:br w:type="textWrapping"/>
            </w:r>
            <w:r>
              <w:rPr>
                <w:rFonts w:hint="default" w:ascii="Times New Roman" w:hAnsi="Times New Roman" w:cs="Times New Roman"/>
                <w:kern w:val="0"/>
                <w:sz w:val="24"/>
                <w:szCs w:val="24"/>
              </w:rPr>
              <w:t>执行情况</w:t>
            </w:r>
            <w:r>
              <w:rPr>
                <w:rFonts w:hint="default" w:ascii="Times New Roman" w:hAnsi="Times New Roman" w:cs="Times New Roman"/>
                <w:kern w:val="0"/>
                <w:sz w:val="24"/>
                <w:szCs w:val="24"/>
              </w:rPr>
              <w:br w:type="textWrapping"/>
            </w:r>
            <w:r>
              <w:rPr>
                <w:rFonts w:hint="default" w:ascii="Times New Roman" w:hAnsi="Times New Roman" w:cs="Times New Roman"/>
                <w:kern w:val="0"/>
                <w:sz w:val="24"/>
                <w:szCs w:val="24"/>
              </w:rPr>
              <w:t>（万元）</w:t>
            </w:r>
          </w:p>
        </w:tc>
        <w:tc>
          <w:tcPr>
            <w:tcW w:w="16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2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kern w:val="0"/>
                <w:sz w:val="24"/>
                <w:szCs w:val="24"/>
              </w:rPr>
              <w:t>预算数：</w:t>
            </w:r>
          </w:p>
        </w:tc>
        <w:tc>
          <w:tcPr>
            <w:tcW w:w="186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153.47</w:t>
            </w:r>
          </w:p>
        </w:tc>
        <w:tc>
          <w:tcPr>
            <w:tcW w:w="164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20" w:lineRule="exact"/>
              <w:jc w:val="left"/>
              <w:textAlignment w:val="center"/>
              <w:rPr>
                <w:rFonts w:hint="default" w:ascii="Times New Roman" w:hAnsi="Times New Roman" w:cs="Times New Roman"/>
                <w:sz w:val="24"/>
                <w:szCs w:val="24"/>
              </w:rPr>
            </w:pPr>
            <w:r>
              <w:rPr>
                <w:rFonts w:hint="default" w:ascii="Times New Roman" w:hAnsi="Times New Roman" w:cs="Times New Roman"/>
                <w:kern w:val="0"/>
                <w:sz w:val="24"/>
                <w:szCs w:val="24"/>
              </w:rPr>
              <w:t>执行数：</w:t>
            </w:r>
          </w:p>
        </w:tc>
        <w:tc>
          <w:tcPr>
            <w:tcW w:w="179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137.8</w:t>
            </w:r>
          </w:p>
        </w:tc>
      </w:tr>
      <w:tr>
        <w:tblPrEx>
          <w:tblLayout w:type="fixed"/>
          <w:tblCellMar>
            <w:top w:w="15" w:type="dxa"/>
            <w:left w:w="15" w:type="dxa"/>
            <w:bottom w:w="15" w:type="dxa"/>
            <w:right w:w="15" w:type="dxa"/>
          </w:tblCellMar>
        </w:tblPrEx>
        <w:trPr>
          <w:gridAfter w:val="1"/>
          <w:wAfter w:w="801" w:type="dxa"/>
          <w:trHeight w:val="395" w:hRule="atLeast"/>
        </w:trPr>
        <w:tc>
          <w:tcPr>
            <w:tcW w:w="1924" w:type="dxa"/>
            <w:gridSpan w:val="6"/>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16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20" w:lineRule="exact"/>
              <w:jc w:val="left"/>
              <w:textAlignment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其中：</w:t>
            </w:r>
          </w:p>
          <w:p>
            <w:pPr>
              <w:keepNext w:val="0"/>
              <w:keepLines w:val="0"/>
              <w:pageBreakBefore w:val="0"/>
              <w:widowControl w:val="0"/>
              <w:kinsoku/>
              <w:wordWrap/>
              <w:overflowPunct/>
              <w:topLinePunct w:val="0"/>
              <w:autoSpaceDE/>
              <w:autoSpaceDN/>
              <w:bidi w:val="0"/>
              <w:spacing w:line="32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kern w:val="0"/>
                <w:sz w:val="24"/>
                <w:szCs w:val="24"/>
              </w:rPr>
              <w:t>财政拨款</w:t>
            </w:r>
          </w:p>
        </w:tc>
        <w:tc>
          <w:tcPr>
            <w:tcW w:w="186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153.47</w:t>
            </w:r>
          </w:p>
        </w:tc>
        <w:tc>
          <w:tcPr>
            <w:tcW w:w="164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20" w:lineRule="exact"/>
              <w:jc w:val="left"/>
              <w:textAlignment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其中：</w:t>
            </w:r>
          </w:p>
          <w:p>
            <w:pPr>
              <w:keepNext w:val="0"/>
              <w:keepLines w:val="0"/>
              <w:pageBreakBefore w:val="0"/>
              <w:widowControl w:val="0"/>
              <w:kinsoku/>
              <w:wordWrap/>
              <w:overflowPunct/>
              <w:topLinePunct w:val="0"/>
              <w:autoSpaceDE/>
              <w:autoSpaceDN/>
              <w:bidi w:val="0"/>
              <w:spacing w:line="320" w:lineRule="exact"/>
              <w:jc w:val="left"/>
              <w:textAlignment w:val="center"/>
              <w:rPr>
                <w:rFonts w:hint="default" w:ascii="Times New Roman" w:hAnsi="Times New Roman" w:cs="Times New Roman"/>
                <w:sz w:val="24"/>
                <w:szCs w:val="24"/>
              </w:rPr>
            </w:pPr>
            <w:r>
              <w:rPr>
                <w:rFonts w:hint="default" w:ascii="Times New Roman" w:hAnsi="Times New Roman" w:cs="Times New Roman"/>
                <w:kern w:val="0"/>
                <w:sz w:val="24"/>
                <w:szCs w:val="24"/>
              </w:rPr>
              <w:t>财政拨款</w:t>
            </w:r>
          </w:p>
        </w:tc>
        <w:tc>
          <w:tcPr>
            <w:tcW w:w="179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137.8</w:t>
            </w:r>
          </w:p>
        </w:tc>
      </w:tr>
      <w:tr>
        <w:tblPrEx>
          <w:tblLayout w:type="fixed"/>
          <w:tblCellMar>
            <w:top w:w="15" w:type="dxa"/>
            <w:left w:w="15" w:type="dxa"/>
            <w:bottom w:w="15" w:type="dxa"/>
            <w:right w:w="15" w:type="dxa"/>
          </w:tblCellMar>
        </w:tblPrEx>
        <w:trPr>
          <w:gridAfter w:val="1"/>
          <w:wAfter w:w="801" w:type="dxa"/>
          <w:trHeight w:val="340" w:hRule="atLeast"/>
        </w:trPr>
        <w:tc>
          <w:tcPr>
            <w:tcW w:w="1924" w:type="dxa"/>
            <w:gridSpan w:val="6"/>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16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2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kern w:val="0"/>
                <w:sz w:val="24"/>
                <w:szCs w:val="24"/>
              </w:rPr>
              <w:t>其他资金</w:t>
            </w:r>
          </w:p>
        </w:tc>
        <w:tc>
          <w:tcPr>
            <w:tcW w:w="186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0</w:t>
            </w:r>
          </w:p>
        </w:tc>
        <w:tc>
          <w:tcPr>
            <w:tcW w:w="164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20" w:lineRule="exact"/>
              <w:jc w:val="left"/>
              <w:textAlignment w:val="center"/>
              <w:rPr>
                <w:rFonts w:hint="default" w:ascii="Times New Roman" w:hAnsi="Times New Roman" w:cs="Times New Roman"/>
                <w:sz w:val="24"/>
                <w:szCs w:val="24"/>
              </w:rPr>
            </w:pPr>
            <w:r>
              <w:rPr>
                <w:rFonts w:hint="default" w:ascii="Times New Roman" w:hAnsi="Times New Roman" w:cs="Times New Roman"/>
                <w:kern w:val="0"/>
                <w:sz w:val="24"/>
                <w:szCs w:val="24"/>
              </w:rPr>
              <w:t>其他资金</w:t>
            </w:r>
          </w:p>
        </w:tc>
        <w:tc>
          <w:tcPr>
            <w:tcW w:w="179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0</w:t>
            </w:r>
          </w:p>
        </w:tc>
      </w:tr>
      <w:tr>
        <w:tblPrEx>
          <w:tblLayout w:type="fixed"/>
          <w:tblCellMar>
            <w:top w:w="15" w:type="dxa"/>
            <w:left w:w="15" w:type="dxa"/>
            <w:bottom w:w="15" w:type="dxa"/>
            <w:right w:w="15" w:type="dxa"/>
          </w:tblCellMar>
        </w:tblPrEx>
        <w:trPr>
          <w:gridAfter w:val="1"/>
          <w:wAfter w:w="801" w:type="dxa"/>
          <w:trHeight w:val="395" w:hRule="atLeast"/>
        </w:trPr>
        <w:tc>
          <w:tcPr>
            <w:tcW w:w="849"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年度总体目标</w:t>
            </w:r>
          </w:p>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kern w:val="0"/>
                <w:sz w:val="24"/>
                <w:szCs w:val="24"/>
              </w:rPr>
              <w:t>完成情况</w:t>
            </w:r>
          </w:p>
        </w:tc>
        <w:tc>
          <w:tcPr>
            <w:tcW w:w="3668"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kern w:val="0"/>
                <w:sz w:val="24"/>
                <w:szCs w:val="24"/>
              </w:rPr>
              <w:t>预期目标</w:t>
            </w:r>
          </w:p>
        </w:tc>
        <w:tc>
          <w:tcPr>
            <w:tcW w:w="4357"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kern w:val="0"/>
                <w:sz w:val="24"/>
                <w:szCs w:val="24"/>
              </w:rPr>
              <w:t>目标实际完成情况</w:t>
            </w:r>
          </w:p>
        </w:tc>
      </w:tr>
      <w:tr>
        <w:tblPrEx>
          <w:tblLayout w:type="fixed"/>
          <w:tblCellMar>
            <w:top w:w="15" w:type="dxa"/>
            <w:left w:w="15" w:type="dxa"/>
            <w:bottom w:w="15" w:type="dxa"/>
            <w:right w:w="15" w:type="dxa"/>
          </w:tblCellMar>
        </w:tblPrEx>
        <w:trPr>
          <w:gridAfter w:val="1"/>
          <w:wAfter w:w="801" w:type="dxa"/>
          <w:trHeight w:val="576" w:hRule="atLeast"/>
        </w:trPr>
        <w:tc>
          <w:tcPr>
            <w:tcW w:w="849"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3668"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保障党校运行，党校分类改革工作顺利开展，办学质量评估通过检查</w:t>
            </w:r>
          </w:p>
        </w:tc>
        <w:tc>
          <w:tcPr>
            <w:tcW w:w="4357"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Style w:val="34"/>
                <w:rFonts w:hint="default" w:ascii="Times New Roman" w:hAnsi="Times New Roman" w:cs="Times New Roman"/>
                <w:sz w:val="18"/>
                <w:szCs w:val="18"/>
              </w:rPr>
              <w:t>已按相关要求全部完成</w:t>
            </w:r>
          </w:p>
        </w:tc>
      </w:tr>
      <w:tr>
        <w:tblPrEx>
          <w:tblLayout w:type="fixed"/>
          <w:tblCellMar>
            <w:top w:w="15" w:type="dxa"/>
            <w:left w:w="15" w:type="dxa"/>
            <w:bottom w:w="15" w:type="dxa"/>
            <w:right w:w="15" w:type="dxa"/>
          </w:tblCellMar>
        </w:tblPrEx>
        <w:trPr>
          <w:gridAfter w:val="1"/>
          <w:wAfter w:w="801" w:type="dxa"/>
          <w:trHeight w:val="600" w:hRule="atLeast"/>
        </w:trPr>
        <w:tc>
          <w:tcPr>
            <w:tcW w:w="849"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Style w:val="34"/>
                <w:rFonts w:hint="default" w:ascii="Times New Roman" w:hAnsi="Times New Roman" w:cs="Times New Roman"/>
                <w:sz w:val="18"/>
                <w:szCs w:val="18"/>
              </w:rPr>
              <w:t>绩</w:t>
            </w:r>
            <w:r>
              <w:rPr>
                <w:rStyle w:val="33"/>
                <w:rFonts w:hint="default" w:ascii="Times New Roman" w:hAnsi="Times New Roman" w:cs="Times New Roman"/>
                <w:sz w:val="18"/>
                <w:szCs w:val="18"/>
              </w:rPr>
              <w:br w:type="textWrapping"/>
            </w:r>
            <w:r>
              <w:rPr>
                <w:rStyle w:val="34"/>
                <w:rFonts w:hint="default" w:ascii="Times New Roman" w:hAnsi="Times New Roman" w:cs="Times New Roman"/>
                <w:sz w:val="18"/>
                <w:szCs w:val="18"/>
              </w:rPr>
              <w:t>效</w:t>
            </w:r>
            <w:r>
              <w:rPr>
                <w:rStyle w:val="33"/>
                <w:rFonts w:hint="default" w:ascii="Times New Roman" w:hAnsi="Times New Roman" w:cs="Times New Roman"/>
                <w:sz w:val="18"/>
                <w:szCs w:val="18"/>
              </w:rPr>
              <w:br w:type="textWrapping"/>
            </w:r>
            <w:r>
              <w:rPr>
                <w:rStyle w:val="34"/>
                <w:rFonts w:hint="default" w:ascii="Times New Roman" w:hAnsi="Times New Roman" w:cs="Times New Roman"/>
                <w:sz w:val="18"/>
                <w:szCs w:val="18"/>
              </w:rPr>
              <w:t>指</w:t>
            </w:r>
            <w:r>
              <w:rPr>
                <w:rStyle w:val="33"/>
                <w:rFonts w:hint="default" w:ascii="Times New Roman" w:hAnsi="Times New Roman" w:cs="Times New Roman"/>
                <w:sz w:val="18"/>
                <w:szCs w:val="18"/>
              </w:rPr>
              <w:br w:type="textWrapping"/>
            </w:r>
            <w:r>
              <w:rPr>
                <w:rStyle w:val="34"/>
                <w:rFonts w:hint="default" w:ascii="Times New Roman" w:hAnsi="Times New Roman" w:cs="Times New Roman"/>
                <w:sz w:val="18"/>
                <w:szCs w:val="18"/>
              </w:rPr>
              <w:t>标</w:t>
            </w:r>
          </w:p>
        </w:tc>
        <w:tc>
          <w:tcPr>
            <w:tcW w:w="54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Style w:val="34"/>
                <w:rFonts w:hint="default" w:ascii="Times New Roman" w:hAnsi="Times New Roman" w:cs="Times New Roman"/>
                <w:sz w:val="18"/>
                <w:szCs w:val="18"/>
              </w:rPr>
              <w:t>一级</w:t>
            </w:r>
            <w:r>
              <w:rPr>
                <w:rStyle w:val="33"/>
                <w:rFonts w:hint="default" w:ascii="Times New Roman" w:hAnsi="Times New Roman" w:cs="Times New Roman"/>
                <w:sz w:val="18"/>
                <w:szCs w:val="18"/>
              </w:rPr>
              <w:br w:type="textWrapping"/>
            </w:r>
            <w:r>
              <w:rPr>
                <w:rStyle w:val="34"/>
                <w:rFonts w:hint="default" w:ascii="Times New Roman" w:hAnsi="Times New Roman" w:cs="Times New Roman"/>
                <w:sz w:val="18"/>
                <w:szCs w:val="18"/>
              </w:rPr>
              <w:t>指标</w:t>
            </w:r>
          </w:p>
        </w:tc>
        <w:tc>
          <w:tcPr>
            <w:tcW w:w="5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Style w:val="34"/>
                <w:rFonts w:hint="default" w:ascii="Times New Roman" w:hAnsi="Times New Roman" w:cs="Times New Roman"/>
                <w:sz w:val="18"/>
                <w:szCs w:val="18"/>
              </w:rPr>
              <w:t>二级指标</w:t>
            </w:r>
          </w:p>
        </w:tc>
        <w:tc>
          <w:tcPr>
            <w:tcW w:w="259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Style w:val="34"/>
                <w:rFonts w:hint="default" w:ascii="Times New Roman" w:hAnsi="Times New Roman" w:cs="Times New Roman"/>
                <w:sz w:val="18"/>
                <w:szCs w:val="18"/>
              </w:rPr>
              <w:t>三级指标</w:t>
            </w:r>
          </w:p>
        </w:tc>
        <w:tc>
          <w:tcPr>
            <w:tcW w:w="256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Style w:val="34"/>
                <w:rFonts w:hint="default" w:ascii="Times New Roman" w:hAnsi="Times New Roman" w:cs="Times New Roman"/>
                <w:sz w:val="18"/>
                <w:szCs w:val="18"/>
              </w:rPr>
              <w:t>年度指标值</w:t>
            </w:r>
          </w:p>
        </w:tc>
        <w:tc>
          <w:tcPr>
            <w:tcW w:w="179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Style w:val="34"/>
                <w:rFonts w:hint="default" w:ascii="Times New Roman" w:hAnsi="Times New Roman" w:cs="Times New Roman"/>
                <w:sz w:val="18"/>
                <w:szCs w:val="18"/>
              </w:rPr>
              <w:t>实际完成数</w:t>
            </w:r>
          </w:p>
        </w:tc>
      </w:tr>
      <w:tr>
        <w:tblPrEx>
          <w:tblLayout w:type="fixed"/>
          <w:tblCellMar>
            <w:top w:w="15" w:type="dxa"/>
            <w:left w:w="15" w:type="dxa"/>
            <w:bottom w:w="15" w:type="dxa"/>
            <w:right w:w="15" w:type="dxa"/>
          </w:tblCellMar>
        </w:tblPrEx>
        <w:trPr>
          <w:gridAfter w:val="1"/>
          <w:wAfter w:w="801" w:type="dxa"/>
          <w:trHeight w:val="530" w:hRule="atLeast"/>
        </w:trPr>
        <w:tc>
          <w:tcPr>
            <w:tcW w:w="849"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546"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Style w:val="34"/>
                <w:rFonts w:hint="default" w:ascii="Times New Roman" w:hAnsi="Times New Roman" w:cs="Times New Roman"/>
                <w:sz w:val="18"/>
                <w:szCs w:val="18"/>
              </w:rPr>
              <w:t>项目完成</w:t>
            </w:r>
          </w:p>
        </w:tc>
        <w:tc>
          <w:tcPr>
            <w:tcW w:w="529"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Style w:val="34"/>
                <w:rFonts w:hint="default" w:ascii="Times New Roman" w:hAnsi="Times New Roman" w:cs="Times New Roman"/>
                <w:sz w:val="18"/>
                <w:szCs w:val="18"/>
              </w:rPr>
              <w:t>数量指标</w:t>
            </w:r>
          </w:p>
        </w:tc>
        <w:tc>
          <w:tcPr>
            <w:tcW w:w="259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保障党校人员的各项工资福利待遇等</w:t>
            </w:r>
          </w:p>
        </w:tc>
        <w:tc>
          <w:tcPr>
            <w:tcW w:w="256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保障党校</w:t>
            </w:r>
            <w:r>
              <w:rPr>
                <w:rStyle w:val="33"/>
                <w:rFonts w:hint="default" w:ascii="Times New Roman" w:hAnsi="Times New Roman" w:cs="Times New Roman"/>
                <w:sz w:val="18"/>
                <w:szCs w:val="18"/>
              </w:rPr>
              <w:t>8</w:t>
            </w:r>
            <w:r>
              <w:rPr>
                <w:rStyle w:val="34"/>
                <w:rFonts w:hint="default" w:ascii="Times New Roman" w:hAnsi="Times New Roman" w:cs="Times New Roman"/>
                <w:sz w:val="18"/>
                <w:szCs w:val="18"/>
              </w:rPr>
              <w:t>人各项工资福利待遇</w:t>
            </w:r>
          </w:p>
        </w:tc>
        <w:tc>
          <w:tcPr>
            <w:tcW w:w="179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Style w:val="34"/>
                <w:rFonts w:hint="default" w:ascii="Times New Roman" w:hAnsi="Times New Roman" w:cs="Times New Roman"/>
                <w:sz w:val="18"/>
                <w:szCs w:val="18"/>
              </w:rPr>
              <w:t>全部完成</w:t>
            </w:r>
          </w:p>
        </w:tc>
      </w:tr>
      <w:tr>
        <w:tblPrEx>
          <w:tblLayout w:type="fixed"/>
          <w:tblCellMar>
            <w:top w:w="15" w:type="dxa"/>
            <w:left w:w="15" w:type="dxa"/>
            <w:bottom w:w="15" w:type="dxa"/>
            <w:right w:w="15" w:type="dxa"/>
          </w:tblCellMar>
        </w:tblPrEx>
        <w:trPr>
          <w:gridAfter w:val="1"/>
          <w:wAfter w:w="801" w:type="dxa"/>
          <w:trHeight w:val="510" w:hRule="atLeast"/>
        </w:trPr>
        <w:tc>
          <w:tcPr>
            <w:tcW w:w="849"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529"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259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保障党校运行</w:t>
            </w:r>
          </w:p>
        </w:tc>
        <w:tc>
          <w:tcPr>
            <w:tcW w:w="256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党校运行1个项目工作顺利推进</w:t>
            </w:r>
          </w:p>
        </w:tc>
        <w:tc>
          <w:tcPr>
            <w:tcW w:w="179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Style w:val="34"/>
                <w:rFonts w:hint="default" w:ascii="Times New Roman" w:hAnsi="Times New Roman" w:cs="Times New Roman"/>
                <w:sz w:val="18"/>
                <w:szCs w:val="18"/>
              </w:rPr>
              <w:t>全部完成</w:t>
            </w:r>
          </w:p>
        </w:tc>
      </w:tr>
      <w:tr>
        <w:tblPrEx>
          <w:tblLayout w:type="fixed"/>
          <w:tblCellMar>
            <w:top w:w="15" w:type="dxa"/>
            <w:left w:w="15" w:type="dxa"/>
            <w:bottom w:w="15" w:type="dxa"/>
            <w:right w:w="15" w:type="dxa"/>
          </w:tblCellMar>
        </w:tblPrEx>
        <w:trPr>
          <w:gridAfter w:val="1"/>
          <w:wAfter w:w="801" w:type="dxa"/>
          <w:trHeight w:val="635" w:hRule="atLeast"/>
        </w:trPr>
        <w:tc>
          <w:tcPr>
            <w:tcW w:w="849"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529"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Style w:val="34"/>
                <w:rFonts w:hint="default" w:ascii="Times New Roman" w:hAnsi="Times New Roman" w:cs="Times New Roman"/>
                <w:sz w:val="18"/>
                <w:szCs w:val="18"/>
              </w:rPr>
              <w:t>质量指标</w:t>
            </w:r>
          </w:p>
        </w:tc>
        <w:tc>
          <w:tcPr>
            <w:tcW w:w="259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党校人员的各项工资福利待遇等不滞后</w:t>
            </w:r>
          </w:p>
        </w:tc>
        <w:tc>
          <w:tcPr>
            <w:tcW w:w="256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Style w:val="34"/>
                <w:rFonts w:hint="default" w:ascii="Times New Roman" w:hAnsi="Times New Roman" w:cs="Times New Roman"/>
                <w:sz w:val="18"/>
                <w:szCs w:val="18"/>
              </w:rPr>
              <w:t>按照相关规定发放各项工资福利待遇等</w:t>
            </w:r>
          </w:p>
        </w:tc>
        <w:tc>
          <w:tcPr>
            <w:tcW w:w="179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Style w:val="34"/>
                <w:rFonts w:hint="default" w:ascii="Times New Roman" w:hAnsi="Times New Roman" w:cs="Times New Roman"/>
                <w:sz w:val="18"/>
                <w:szCs w:val="18"/>
              </w:rPr>
              <w:t>全部完成</w:t>
            </w:r>
          </w:p>
        </w:tc>
      </w:tr>
      <w:tr>
        <w:tblPrEx>
          <w:tblLayout w:type="fixed"/>
          <w:tblCellMar>
            <w:top w:w="15" w:type="dxa"/>
            <w:left w:w="15" w:type="dxa"/>
            <w:bottom w:w="15" w:type="dxa"/>
            <w:right w:w="15" w:type="dxa"/>
          </w:tblCellMar>
        </w:tblPrEx>
        <w:trPr>
          <w:gridAfter w:val="1"/>
          <w:wAfter w:w="801" w:type="dxa"/>
          <w:trHeight w:val="515" w:hRule="atLeast"/>
        </w:trPr>
        <w:tc>
          <w:tcPr>
            <w:tcW w:w="849"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529"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259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党校运行工作有序推进</w:t>
            </w:r>
          </w:p>
        </w:tc>
        <w:tc>
          <w:tcPr>
            <w:tcW w:w="256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有序推进党校运行工作</w:t>
            </w:r>
          </w:p>
        </w:tc>
        <w:tc>
          <w:tcPr>
            <w:tcW w:w="179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Style w:val="34"/>
                <w:rFonts w:hint="default" w:ascii="Times New Roman" w:hAnsi="Times New Roman" w:cs="Times New Roman"/>
                <w:sz w:val="18"/>
                <w:szCs w:val="18"/>
              </w:rPr>
              <w:t>全部完成</w:t>
            </w:r>
          </w:p>
        </w:tc>
      </w:tr>
      <w:tr>
        <w:tblPrEx>
          <w:tblLayout w:type="fixed"/>
          <w:tblCellMar>
            <w:top w:w="15" w:type="dxa"/>
            <w:left w:w="15" w:type="dxa"/>
            <w:bottom w:w="15" w:type="dxa"/>
            <w:right w:w="15" w:type="dxa"/>
          </w:tblCellMar>
        </w:tblPrEx>
        <w:trPr>
          <w:gridAfter w:val="1"/>
          <w:wAfter w:w="801" w:type="dxa"/>
          <w:trHeight w:val="535" w:hRule="atLeast"/>
        </w:trPr>
        <w:tc>
          <w:tcPr>
            <w:tcW w:w="849"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529"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Style w:val="34"/>
                <w:rFonts w:hint="default" w:ascii="Times New Roman" w:hAnsi="Times New Roman" w:cs="Times New Roman"/>
                <w:sz w:val="18"/>
                <w:szCs w:val="18"/>
              </w:rPr>
              <w:t>时效指标</w:t>
            </w:r>
          </w:p>
        </w:tc>
        <w:tc>
          <w:tcPr>
            <w:tcW w:w="259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按月发放党校人员各项工资福利待遇</w:t>
            </w:r>
          </w:p>
        </w:tc>
        <w:tc>
          <w:tcPr>
            <w:tcW w:w="256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2021年全年</w:t>
            </w:r>
          </w:p>
        </w:tc>
        <w:tc>
          <w:tcPr>
            <w:tcW w:w="179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Style w:val="34"/>
                <w:rFonts w:hint="default" w:ascii="Times New Roman" w:hAnsi="Times New Roman" w:cs="Times New Roman"/>
                <w:sz w:val="18"/>
                <w:szCs w:val="18"/>
              </w:rPr>
              <w:t>全年</w:t>
            </w:r>
          </w:p>
        </w:tc>
      </w:tr>
      <w:tr>
        <w:tblPrEx>
          <w:tblLayout w:type="fixed"/>
          <w:tblCellMar>
            <w:top w:w="15" w:type="dxa"/>
            <w:left w:w="15" w:type="dxa"/>
            <w:bottom w:w="15" w:type="dxa"/>
            <w:right w:w="15" w:type="dxa"/>
          </w:tblCellMar>
        </w:tblPrEx>
        <w:trPr>
          <w:gridAfter w:val="1"/>
          <w:wAfter w:w="801" w:type="dxa"/>
          <w:trHeight w:val="525" w:hRule="atLeast"/>
        </w:trPr>
        <w:tc>
          <w:tcPr>
            <w:tcW w:w="849"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529"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259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根据工作需要及相关政策要求，顺利推进党校运行工作</w:t>
            </w:r>
          </w:p>
        </w:tc>
        <w:tc>
          <w:tcPr>
            <w:tcW w:w="256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2021年全年</w:t>
            </w:r>
          </w:p>
        </w:tc>
        <w:tc>
          <w:tcPr>
            <w:tcW w:w="179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Style w:val="34"/>
                <w:rFonts w:hint="default" w:ascii="Times New Roman" w:hAnsi="Times New Roman" w:cs="Times New Roman"/>
                <w:sz w:val="18"/>
                <w:szCs w:val="18"/>
              </w:rPr>
              <w:t>全年</w:t>
            </w:r>
          </w:p>
        </w:tc>
      </w:tr>
      <w:tr>
        <w:tblPrEx>
          <w:tblLayout w:type="fixed"/>
          <w:tblCellMar>
            <w:top w:w="15" w:type="dxa"/>
            <w:left w:w="15" w:type="dxa"/>
            <w:bottom w:w="15" w:type="dxa"/>
            <w:right w:w="15" w:type="dxa"/>
          </w:tblCellMar>
        </w:tblPrEx>
        <w:trPr>
          <w:gridAfter w:val="1"/>
          <w:wAfter w:w="801" w:type="dxa"/>
          <w:trHeight w:val="370" w:hRule="atLeast"/>
        </w:trPr>
        <w:tc>
          <w:tcPr>
            <w:tcW w:w="849"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529"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Style w:val="34"/>
                <w:rFonts w:hint="default" w:ascii="Times New Roman" w:hAnsi="Times New Roman" w:cs="Times New Roman"/>
                <w:sz w:val="18"/>
                <w:szCs w:val="18"/>
              </w:rPr>
              <w:t>成本指标</w:t>
            </w:r>
          </w:p>
        </w:tc>
        <w:tc>
          <w:tcPr>
            <w:tcW w:w="259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Style w:val="34"/>
                <w:rFonts w:hint="default" w:ascii="Times New Roman" w:hAnsi="Times New Roman" w:cs="Times New Roman"/>
                <w:sz w:val="18"/>
                <w:szCs w:val="18"/>
              </w:rPr>
              <w:t>各项工资福利待遇等基本支出</w:t>
            </w:r>
          </w:p>
        </w:tc>
        <w:tc>
          <w:tcPr>
            <w:tcW w:w="256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132.47</w:t>
            </w:r>
            <w:r>
              <w:rPr>
                <w:rStyle w:val="34"/>
                <w:rFonts w:hint="default" w:ascii="Times New Roman" w:hAnsi="Times New Roman" w:cs="Times New Roman"/>
                <w:sz w:val="18"/>
                <w:szCs w:val="18"/>
              </w:rPr>
              <w:t>万元</w:t>
            </w:r>
          </w:p>
        </w:tc>
        <w:tc>
          <w:tcPr>
            <w:tcW w:w="179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129.2</w:t>
            </w:r>
            <w:r>
              <w:rPr>
                <w:rStyle w:val="34"/>
                <w:rFonts w:hint="default" w:ascii="Times New Roman" w:hAnsi="Times New Roman" w:cs="Times New Roman"/>
                <w:sz w:val="18"/>
                <w:szCs w:val="18"/>
              </w:rPr>
              <w:t>万元</w:t>
            </w:r>
          </w:p>
        </w:tc>
      </w:tr>
      <w:tr>
        <w:tblPrEx>
          <w:tblLayout w:type="fixed"/>
          <w:tblCellMar>
            <w:top w:w="15" w:type="dxa"/>
            <w:left w:w="15" w:type="dxa"/>
            <w:bottom w:w="15" w:type="dxa"/>
            <w:right w:w="15" w:type="dxa"/>
          </w:tblCellMar>
        </w:tblPrEx>
        <w:trPr>
          <w:gridAfter w:val="1"/>
          <w:wAfter w:w="801" w:type="dxa"/>
          <w:trHeight w:val="360" w:hRule="atLeast"/>
        </w:trPr>
        <w:tc>
          <w:tcPr>
            <w:tcW w:w="849"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529"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259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党校运行经费等支出</w:t>
            </w:r>
          </w:p>
        </w:tc>
        <w:tc>
          <w:tcPr>
            <w:tcW w:w="256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21</w:t>
            </w:r>
            <w:r>
              <w:rPr>
                <w:rStyle w:val="34"/>
                <w:rFonts w:hint="default" w:ascii="Times New Roman" w:hAnsi="Times New Roman" w:cs="Times New Roman"/>
                <w:sz w:val="18"/>
                <w:szCs w:val="18"/>
              </w:rPr>
              <w:t>万元</w:t>
            </w:r>
          </w:p>
        </w:tc>
        <w:tc>
          <w:tcPr>
            <w:tcW w:w="179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8.6</w:t>
            </w:r>
            <w:r>
              <w:rPr>
                <w:rStyle w:val="34"/>
                <w:rFonts w:hint="default" w:ascii="Times New Roman" w:hAnsi="Times New Roman" w:cs="Times New Roman"/>
                <w:sz w:val="18"/>
                <w:szCs w:val="18"/>
              </w:rPr>
              <w:t>万元</w:t>
            </w:r>
          </w:p>
        </w:tc>
      </w:tr>
      <w:tr>
        <w:tblPrEx>
          <w:tblLayout w:type="fixed"/>
          <w:tblCellMar>
            <w:top w:w="15" w:type="dxa"/>
            <w:left w:w="15" w:type="dxa"/>
            <w:bottom w:w="15" w:type="dxa"/>
            <w:right w:w="15" w:type="dxa"/>
          </w:tblCellMar>
        </w:tblPrEx>
        <w:trPr>
          <w:gridAfter w:val="1"/>
          <w:wAfter w:w="801" w:type="dxa"/>
          <w:trHeight w:val="475" w:hRule="atLeast"/>
        </w:trPr>
        <w:tc>
          <w:tcPr>
            <w:tcW w:w="849"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546"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Style w:val="34"/>
                <w:rFonts w:hint="default" w:ascii="Times New Roman" w:hAnsi="Times New Roman" w:cs="Times New Roman"/>
                <w:sz w:val="18"/>
                <w:szCs w:val="18"/>
              </w:rPr>
              <w:t>项目效益</w:t>
            </w:r>
          </w:p>
        </w:tc>
        <w:tc>
          <w:tcPr>
            <w:tcW w:w="529"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Style w:val="34"/>
                <w:rFonts w:hint="default" w:ascii="Times New Roman" w:hAnsi="Times New Roman" w:cs="Times New Roman"/>
                <w:sz w:val="18"/>
                <w:szCs w:val="18"/>
              </w:rPr>
              <w:t>社会效益</w:t>
            </w:r>
            <w:r>
              <w:rPr>
                <w:rStyle w:val="33"/>
                <w:rFonts w:hint="default" w:ascii="Times New Roman" w:hAnsi="Times New Roman" w:cs="Times New Roman"/>
                <w:sz w:val="18"/>
                <w:szCs w:val="18"/>
              </w:rPr>
              <w:br w:type="textWrapping"/>
            </w:r>
            <w:r>
              <w:rPr>
                <w:rStyle w:val="34"/>
                <w:rFonts w:hint="default" w:ascii="Times New Roman" w:hAnsi="Times New Roman" w:cs="Times New Roman"/>
                <w:sz w:val="18"/>
                <w:szCs w:val="18"/>
              </w:rPr>
              <w:t>指标</w:t>
            </w:r>
          </w:p>
        </w:tc>
        <w:tc>
          <w:tcPr>
            <w:tcW w:w="259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Style w:val="34"/>
                <w:rFonts w:hint="default" w:ascii="Times New Roman" w:hAnsi="Times New Roman" w:cs="Times New Roman"/>
                <w:sz w:val="18"/>
                <w:szCs w:val="18"/>
              </w:rPr>
              <w:t>相关人员各项工资福利待遇得到有效保障</w:t>
            </w:r>
          </w:p>
        </w:tc>
        <w:tc>
          <w:tcPr>
            <w:tcW w:w="256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保障相关人员各项工资福利待遇</w:t>
            </w:r>
          </w:p>
        </w:tc>
        <w:tc>
          <w:tcPr>
            <w:tcW w:w="179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Style w:val="34"/>
                <w:rFonts w:hint="default" w:ascii="Times New Roman" w:hAnsi="Times New Roman" w:cs="Times New Roman"/>
                <w:sz w:val="18"/>
                <w:szCs w:val="18"/>
              </w:rPr>
              <w:t>全部完成</w:t>
            </w:r>
          </w:p>
        </w:tc>
      </w:tr>
      <w:tr>
        <w:tblPrEx>
          <w:tblLayout w:type="fixed"/>
          <w:tblCellMar>
            <w:top w:w="15" w:type="dxa"/>
            <w:left w:w="15" w:type="dxa"/>
            <w:bottom w:w="15" w:type="dxa"/>
            <w:right w:w="15" w:type="dxa"/>
          </w:tblCellMar>
        </w:tblPrEx>
        <w:trPr>
          <w:gridAfter w:val="1"/>
          <w:wAfter w:w="801" w:type="dxa"/>
          <w:trHeight w:val="320" w:hRule="atLeast"/>
        </w:trPr>
        <w:tc>
          <w:tcPr>
            <w:tcW w:w="849"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529"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259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党校作用得到进一步发挥</w:t>
            </w:r>
          </w:p>
        </w:tc>
        <w:tc>
          <w:tcPr>
            <w:tcW w:w="256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党校作用得到进一步发挥</w:t>
            </w:r>
          </w:p>
        </w:tc>
        <w:tc>
          <w:tcPr>
            <w:tcW w:w="179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Style w:val="34"/>
                <w:rFonts w:hint="default" w:ascii="Times New Roman" w:hAnsi="Times New Roman" w:cs="Times New Roman"/>
                <w:sz w:val="18"/>
                <w:szCs w:val="18"/>
              </w:rPr>
              <w:t>全部完成</w:t>
            </w:r>
          </w:p>
        </w:tc>
      </w:tr>
      <w:tr>
        <w:tblPrEx>
          <w:tblLayout w:type="fixed"/>
          <w:tblCellMar>
            <w:top w:w="15" w:type="dxa"/>
            <w:left w:w="15" w:type="dxa"/>
            <w:bottom w:w="15" w:type="dxa"/>
            <w:right w:w="15" w:type="dxa"/>
          </w:tblCellMar>
        </w:tblPrEx>
        <w:trPr>
          <w:gridAfter w:val="1"/>
          <w:wAfter w:w="801" w:type="dxa"/>
          <w:trHeight w:val="560" w:hRule="atLeast"/>
        </w:trPr>
        <w:tc>
          <w:tcPr>
            <w:tcW w:w="849"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546"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Style w:val="34"/>
                <w:rFonts w:hint="default" w:ascii="Times New Roman" w:hAnsi="Times New Roman" w:cs="Times New Roman"/>
                <w:sz w:val="18"/>
                <w:szCs w:val="18"/>
              </w:rPr>
              <w:t>满意度指标</w:t>
            </w:r>
          </w:p>
        </w:tc>
        <w:tc>
          <w:tcPr>
            <w:tcW w:w="529"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Style w:val="34"/>
                <w:rFonts w:hint="default" w:ascii="Times New Roman" w:hAnsi="Times New Roman" w:cs="Times New Roman"/>
                <w:sz w:val="18"/>
                <w:szCs w:val="18"/>
              </w:rPr>
              <w:t>满意度指标</w:t>
            </w:r>
          </w:p>
        </w:tc>
        <w:tc>
          <w:tcPr>
            <w:tcW w:w="259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Style w:val="34"/>
                <w:rFonts w:hint="default" w:ascii="Times New Roman" w:hAnsi="Times New Roman" w:cs="Times New Roman"/>
                <w:sz w:val="18"/>
                <w:szCs w:val="18"/>
              </w:rPr>
              <w:t>群众满意度抽样调查</w:t>
            </w:r>
          </w:p>
        </w:tc>
        <w:tc>
          <w:tcPr>
            <w:tcW w:w="256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Style w:val="34"/>
                <w:rFonts w:hint="default" w:ascii="Times New Roman" w:hAnsi="Times New Roman" w:cs="Times New Roman"/>
                <w:sz w:val="18"/>
                <w:szCs w:val="18"/>
              </w:rPr>
              <w:t>抽样调查满意度达到基本满意及以上</w:t>
            </w:r>
          </w:p>
        </w:tc>
        <w:tc>
          <w:tcPr>
            <w:tcW w:w="179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Style w:val="34"/>
                <w:rFonts w:hint="default" w:ascii="Times New Roman" w:hAnsi="Times New Roman" w:cs="Times New Roman"/>
                <w:sz w:val="18"/>
                <w:szCs w:val="18"/>
              </w:rPr>
              <w:t>抽样调查满意度为满意及以上</w:t>
            </w:r>
          </w:p>
        </w:tc>
      </w:tr>
      <w:tr>
        <w:tblPrEx>
          <w:tblLayout w:type="fixed"/>
          <w:tblCellMar>
            <w:top w:w="15" w:type="dxa"/>
            <w:left w:w="15" w:type="dxa"/>
            <w:bottom w:w="15" w:type="dxa"/>
            <w:right w:w="15" w:type="dxa"/>
          </w:tblCellMar>
        </w:tblPrEx>
        <w:trPr>
          <w:gridAfter w:val="1"/>
          <w:wAfter w:w="801" w:type="dxa"/>
          <w:trHeight w:val="615" w:hRule="atLeast"/>
        </w:trPr>
        <w:tc>
          <w:tcPr>
            <w:tcW w:w="849"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529"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259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Style w:val="34"/>
                <w:rFonts w:hint="default" w:ascii="Times New Roman" w:hAnsi="Times New Roman" w:cs="Times New Roman"/>
                <w:sz w:val="18"/>
                <w:szCs w:val="18"/>
              </w:rPr>
              <w:t>服务对象满意度抽样调查</w:t>
            </w:r>
          </w:p>
        </w:tc>
        <w:tc>
          <w:tcPr>
            <w:tcW w:w="256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Style w:val="34"/>
                <w:rFonts w:hint="default" w:ascii="Times New Roman" w:hAnsi="Times New Roman" w:cs="Times New Roman"/>
                <w:sz w:val="18"/>
                <w:szCs w:val="18"/>
              </w:rPr>
              <w:t>抽样调查满意度达到基本满意及以上</w:t>
            </w:r>
          </w:p>
        </w:tc>
        <w:tc>
          <w:tcPr>
            <w:tcW w:w="179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Style w:val="34"/>
                <w:rFonts w:hint="default" w:ascii="Times New Roman" w:hAnsi="Times New Roman" w:cs="Times New Roman"/>
                <w:sz w:val="18"/>
                <w:szCs w:val="18"/>
              </w:rPr>
              <w:t>抽样调查满意度为满意及以上</w:t>
            </w:r>
          </w:p>
        </w:tc>
      </w:tr>
      <w:tr>
        <w:tblPrEx>
          <w:tblLayout w:type="fixed"/>
          <w:tblCellMar>
            <w:top w:w="15" w:type="dxa"/>
            <w:left w:w="15" w:type="dxa"/>
            <w:bottom w:w="15" w:type="dxa"/>
            <w:right w:w="15" w:type="dxa"/>
          </w:tblCellMar>
        </w:tblPrEx>
        <w:trPr>
          <w:trHeight w:val="675" w:hRule="atLeast"/>
        </w:trPr>
        <w:tc>
          <w:tcPr>
            <w:tcW w:w="9675" w:type="dxa"/>
            <w:gridSpan w:val="18"/>
            <w:vAlign w:val="center"/>
          </w:tcPr>
          <w:p>
            <w:pPr>
              <w:keepNext w:val="0"/>
              <w:keepLines w:val="0"/>
              <w:pageBreakBefore w:val="0"/>
              <w:widowControl w:val="0"/>
              <w:kinsoku/>
              <w:wordWrap/>
              <w:overflowPunct/>
              <w:topLinePunct w:val="0"/>
              <w:autoSpaceDE/>
              <w:autoSpaceDN/>
              <w:bidi w:val="0"/>
              <w:spacing w:line="240" w:lineRule="atLeast"/>
              <w:jc w:val="center"/>
              <w:textAlignment w:val="center"/>
              <w:rPr>
                <w:rFonts w:hint="default" w:ascii="Times New Roman" w:hAnsi="Times New Roman" w:cs="Times New Roman"/>
                <w:b/>
                <w:bCs/>
                <w:color w:val="000000"/>
                <w:sz w:val="18"/>
                <w:szCs w:val="18"/>
              </w:rPr>
            </w:pPr>
            <w:r>
              <w:rPr>
                <w:rFonts w:hint="default" w:ascii="Times New Roman" w:hAnsi="Times New Roman" w:eastAsia="方正小标宋_GBK" w:cs="Times New Roman"/>
                <w:b/>
                <w:bCs/>
                <w:color w:val="000000"/>
                <w:kern w:val="0"/>
                <w:sz w:val="38"/>
                <w:szCs w:val="38"/>
              </w:rPr>
              <w:t>项目（政策）资金绩效自评表</w:t>
            </w:r>
          </w:p>
        </w:tc>
      </w:tr>
      <w:tr>
        <w:tblPrEx>
          <w:tblLayout w:type="fixed"/>
          <w:tblCellMar>
            <w:top w:w="15" w:type="dxa"/>
            <w:left w:w="15" w:type="dxa"/>
            <w:bottom w:w="15" w:type="dxa"/>
            <w:right w:w="15" w:type="dxa"/>
          </w:tblCellMar>
        </w:tblPrEx>
        <w:trPr>
          <w:trHeight w:val="286" w:hRule="atLeast"/>
        </w:trPr>
        <w:tc>
          <w:tcPr>
            <w:tcW w:w="9675" w:type="dxa"/>
            <w:gridSpan w:val="18"/>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Style w:val="35"/>
                <w:rFonts w:hint="default" w:ascii="Times New Roman" w:hAnsi="Times New Roman" w:cs="Times New Roman"/>
                <w:sz w:val="18"/>
                <w:szCs w:val="18"/>
              </w:rPr>
              <w:t>（</w:t>
            </w:r>
            <w:r>
              <w:rPr>
                <w:rFonts w:hint="default" w:ascii="Times New Roman" w:hAnsi="Times New Roman" w:cs="Times New Roman"/>
                <w:color w:val="000000"/>
                <w:kern w:val="0"/>
                <w:sz w:val="18"/>
                <w:szCs w:val="18"/>
              </w:rPr>
              <w:t>2021</w:t>
            </w:r>
            <w:r>
              <w:rPr>
                <w:rStyle w:val="35"/>
                <w:rFonts w:hint="default" w:ascii="Times New Roman" w:hAnsi="Times New Roman" w:cs="Times New Roman"/>
                <w:sz w:val="18"/>
                <w:szCs w:val="18"/>
              </w:rPr>
              <w:t>年度）</w:t>
            </w:r>
          </w:p>
        </w:tc>
      </w:tr>
      <w:tr>
        <w:tblPrEx>
          <w:tblLayout w:type="fixed"/>
          <w:tblCellMar>
            <w:top w:w="15" w:type="dxa"/>
            <w:left w:w="15" w:type="dxa"/>
            <w:bottom w:w="15" w:type="dxa"/>
            <w:right w:w="15" w:type="dxa"/>
          </w:tblCellMar>
        </w:tblPrEx>
        <w:trPr>
          <w:trHeight w:val="365" w:hRule="atLeast"/>
        </w:trPr>
        <w:tc>
          <w:tcPr>
            <w:tcW w:w="191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专项（项目）名称</w:t>
            </w:r>
          </w:p>
        </w:tc>
        <w:tc>
          <w:tcPr>
            <w:tcW w:w="7759" w:type="dxa"/>
            <w:gridSpan w:val="13"/>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党校运行经费</w:t>
            </w:r>
          </w:p>
        </w:tc>
      </w:tr>
      <w:tr>
        <w:tblPrEx>
          <w:tblLayout w:type="fixed"/>
          <w:tblCellMar>
            <w:top w:w="15" w:type="dxa"/>
            <w:left w:w="15" w:type="dxa"/>
            <w:bottom w:w="15" w:type="dxa"/>
            <w:right w:w="15" w:type="dxa"/>
          </w:tblCellMar>
        </w:tblPrEx>
        <w:trPr>
          <w:trHeight w:val="335" w:hRule="atLeast"/>
        </w:trPr>
        <w:tc>
          <w:tcPr>
            <w:tcW w:w="191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项目主管单位</w:t>
            </w:r>
          </w:p>
        </w:tc>
        <w:tc>
          <w:tcPr>
            <w:tcW w:w="7759" w:type="dxa"/>
            <w:gridSpan w:val="13"/>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中共攀枝花市西区区委党校（攀枝花市西区行政学校)</w:t>
            </w:r>
          </w:p>
        </w:tc>
      </w:tr>
      <w:tr>
        <w:tblPrEx>
          <w:tblLayout w:type="fixed"/>
          <w:tblCellMar>
            <w:top w:w="15" w:type="dxa"/>
            <w:left w:w="15" w:type="dxa"/>
            <w:bottom w:w="15" w:type="dxa"/>
            <w:right w:w="15" w:type="dxa"/>
          </w:tblCellMar>
        </w:tblPrEx>
        <w:trPr>
          <w:trHeight w:val="305" w:hRule="atLeast"/>
        </w:trPr>
        <w:tc>
          <w:tcPr>
            <w:tcW w:w="191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项目实施单位</w:t>
            </w:r>
          </w:p>
        </w:tc>
        <w:tc>
          <w:tcPr>
            <w:tcW w:w="7759"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中共攀枝花市西区区委党校（攀枝花市西区行政学校)</w:t>
            </w:r>
          </w:p>
        </w:tc>
      </w:tr>
      <w:tr>
        <w:tblPrEx>
          <w:tblLayout w:type="fixed"/>
          <w:tblCellMar>
            <w:top w:w="15" w:type="dxa"/>
            <w:left w:w="15" w:type="dxa"/>
            <w:bottom w:w="15" w:type="dxa"/>
            <w:right w:w="15" w:type="dxa"/>
          </w:tblCellMar>
        </w:tblPrEx>
        <w:trPr>
          <w:trHeight w:val="380" w:hRule="atLeast"/>
        </w:trPr>
        <w:tc>
          <w:tcPr>
            <w:tcW w:w="1916"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项目资金</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（万元）</w:t>
            </w:r>
          </w:p>
        </w:tc>
        <w:tc>
          <w:tcPr>
            <w:tcW w:w="167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159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全年预算数</w:t>
            </w:r>
          </w:p>
        </w:tc>
        <w:tc>
          <w:tcPr>
            <w:tcW w:w="273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实际完成数</w:t>
            </w:r>
          </w:p>
        </w:tc>
        <w:tc>
          <w:tcPr>
            <w:tcW w:w="17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执行率（%）</w:t>
            </w:r>
          </w:p>
        </w:tc>
      </w:tr>
      <w:tr>
        <w:tblPrEx>
          <w:tblLayout w:type="fixed"/>
          <w:tblCellMar>
            <w:top w:w="15" w:type="dxa"/>
            <w:left w:w="15" w:type="dxa"/>
            <w:bottom w:w="15" w:type="dxa"/>
            <w:right w:w="15" w:type="dxa"/>
          </w:tblCellMar>
        </w:tblPrEx>
        <w:trPr>
          <w:trHeight w:val="365" w:hRule="atLeast"/>
        </w:trPr>
        <w:tc>
          <w:tcPr>
            <w:tcW w:w="1916"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167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 xml:space="preserve"> 年度资金总额：</w:t>
            </w:r>
          </w:p>
        </w:tc>
        <w:tc>
          <w:tcPr>
            <w:tcW w:w="159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20</w:t>
            </w:r>
          </w:p>
        </w:tc>
        <w:tc>
          <w:tcPr>
            <w:tcW w:w="273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7.6</w:t>
            </w:r>
          </w:p>
        </w:tc>
        <w:tc>
          <w:tcPr>
            <w:tcW w:w="17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38%</w:t>
            </w:r>
          </w:p>
        </w:tc>
      </w:tr>
      <w:tr>
        <w:tblPrEx>
          <w:tblLayout w:type="fixed"/>
          <w:tblCellMar>
            <w:top w:w="15" w:type="dxa"/>
            <w:left w:w="15" w:type="dxa"/>
            <w:bottom w:w="15" w:type="dxa"/>
            <w:right w:w="15" w:type="dxa"/>
          </w:tblCellMar>
        </w:tblPrEx>
        <w:trPr>
          <w:trHeight w:val="365" w:hRule="atLeast"/>
        </w:trPr>
        <w:tc>
          <w:tcPr>
            <w:tcW w:w="1916"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167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 xml:space="preserve"> 其中：上级财政资金</w:t>
            </w:r>
          </w:p>
        </w:tc>
        <w:tc>
          <w:tcPr>
            <w:tcW w:w="159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273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17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r>
      <w:tr>
        <w:tblPrEx>
          <w:tblLayout w:type="fixed"/>
          <w:tblCellMar>
            <w:top w:w="15" w:type="dxa"/>
            <w:left w:w="15" w:type="dxa"/>
            <w:bottom w:w="15" w:type="dxa"/>
            <w:right w:w="15" w:type="dxa"/>
          </w:tblCellMar>
        </w:tblPrEx>
        <w:trPr>
          <w:trHeight w:val="320" w:hRule="atLeast"/>
        </w:trPr>
        <w:tc>
          <w:tcPr>
            <w:tcW w:w="1916"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167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 xml:space="preserve">      本级财政资金</w:t>
            </w:r>
          </w:p>
        </w:tc>
        <w:tc>
          <w:tcPr>
            <w:tcW w:w="159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20</w:t>
            </w:r>
          </w:p>
        </w:tc>
        <w:tc>
          <w:tcPr>
            <w:tcW w:w="273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7.6</w:t>
            </w:r>
          </w:p>
        </w:tc>
        <w:tc>
          <w:tcPr>
            <w:tcW w:w="17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38%</w:t>
            </w:r>
          </w:p>
        </w:tc>
      </w:tr>
      <w:tr>
        <w:tblPrEx>
          <w:tblLayout w:type="fixed"/>
          <w:tblCellMar>
            <w:top w:w="15" w:type="dxa"/>
            <w:left w:w="15" w:type="dxa"/>
            <w:bottom w:w="15" w:type="dxa"/>
            <w:right w:w="15" w:type="dxa"/>
          </w:tblCellMar>
        </w:tblPrEx>
        <w:trPr>
          <w:trHeight w:val="350" w:hRule="atLeast"/>
        </w:trPr>
        <w:tc>
          <w:tcPr>
            <w:tcW w:w="1916"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167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 xml:space="preserve">        其他资金</w:t>
            </w:r>
          </w:p>
        </w:tc>
        <w:tc>
          <w:tcPr>
            <w:tcW w:w="159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rPr>
                <w:rFonts w:hint="default" w:ascii="Times New Roman" w:hAnsi="Times New Roman" w:cs="Times New Roman"/>
                <w:color w:val="000000"/>
                <w:sz w:val="18"/>
                <w:szCs w:val="18"/>
              </w:rPr>
            </w:pPr>
          </w:p>
        </w:tc>
        <w:tc>
          <w:tcPr>
            <w:tcW w:w="273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rPr>
                <w:rFonts w:hint="default" w:ascii="Times New Roman" w:hAnsi="Times New Roman" w:cs="Times New Roman"/>
                <w:color w:val="000000"/>
                <w:sz w:val="18"/>
                <w:szCs w:val="18"/>
              </w:rPr>
            </w:pPr>
          </w:p>
        </w:tc>
        <w:tc>
          <w:tcPr>
            <w:tcW w:w="17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r>
      <w:tr>
        <w:tblPrEx>
          <w:tblLayout w:type="fixed"/>
          <w:tblCellMar>
            <w:top w:w="15" w:type="dxa"/>
            <w:left w:w="15" w:type="dxa"/>
            <w:bottom w:w="15" w:type="dxa"/>
            <w:right w:w="15" w:type="dxa"/>
          </w:tblCellMar>
        </w:tblPrEx>
        <w:trPr>
          <w:trHeight w:val="435" w:hRule="atLeast"/>
        </w:trPr>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总</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体</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目</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标</w:t>
            </w:r>
          </w:p>
        </w:tc>
        <w:tc>
          <w:tcPr>
            <w:tcW w:w="2995"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年度设定目标</w:t>
            </w:r>
          </w:p>
        </w:tc>
        <w:tc>
          <w:tcPr>
            <w:tcW w:w="6080"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实际完成情况</w:t>
            </w:r>
          </w:p>
        </w:tc>
      </w:tr>
      <w:tr>
        <w:tblPrEx>
          <w:tblLayout w:type="fixed"/>
          <w:tblCellMar>
            <w:top w:w="15" w:type="dxa"/>
            <w:left w:w="15" w:type="dxa"/>
            <w:bottom w:w="15" w:type="dxa"/>
            <w:right w:w="15" w:type="dxa"/>
          </w:tblCellMar>
        </w:tblPrEx>
        <w:trPr>
          <w:trHeight w:val="1266"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2995" w:type="dxa"/>
            <w:gridSpan w:val="7"/>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spacing w:line="240" w:lineRule="exact"/>
              <w:jc w:val="center"/>
              <w:textAlignment w:val="top"/>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保障党校主体班班次办学、党校师资培训，促进“背水小道”特色体验项目提升，加强党校信息化建设、课程开发，做好党校基础设施建设、维修、维护、党校运转及校内氛围提升等。</w:t>
            </w:r>
          </w:p>
        </w:tc>
        <w:tc>
          <w:tcPr>
            <w:tcW w:w="6080"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教学基础设施逐步完善，基础建设有力推进，功能分区更加优化，基地建设如期完成；干部教育培训质量逐步提高，学制更加规范，课程体系更加鲜明，办学实力显著增强，办学质量节节攀升；干部教师队伍建设逐步加强，夯实“基本盘”，建强“师资库”。</w:t>
            </w:r>
          </w:p>
        </w:tc>
      </w:tr>
      <w:tr>
        <w:tblPrEx>
          <w:tblLayout w:type="fixed"/>
          <w:tblCellMar>
            <w:top w:w="15" w:type="dxa"/>
            <w:left w:w="15" w:type="dxa"/>
            <w:bottom w:w="15" w:type="dxa"/>
            <w:right w:w="15" w:type="dxa"/>
          </w:tblCellMar>
        </w:tblPrEx>
        <w:trPr>
          <w:trHeight w:val="570" w:hRule="atLeast"/>
        </w:trPr>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绩</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效</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指</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标</w:t>
            </w:r>
          </w:p>
        </w:tc>
        <w:tc>
          <w:tcPr>
            <w:tcW w:w="5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一级</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指标</w:t>
            </w:r>
          </w:p>
        </w:tc>
        <w:tc>
          <w:tcPr>
            <w:tcW w:w="71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二级指标</w:t>
            </w:r>
          </w:p>
        </w:tc>
        <w:tc>
          <w:tcPr>
            <w:tcW w:w="167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三级指标</w:t>
            </w:r>
          </w:p>
        </w:tc>
        <w:tc>
          <w:tcPr>
            <w:tcW w:w="159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年度指标值</w:t>
            </w:r>
          </w:p>
        </w:tc>
        <w:tc>
          <w:tcPr>
            <w:tcW w:w="273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实际完成数</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完成率（%）</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未完成原因和改进措施</w:t>
            </w:r>
          </w:p>
        </w:tc>
      </w:tr>
      <w:tr>
        <w:tblPrEx>
          <w:tblLayout w:type="fixed"/>
          <w:tblCellMar>
            <w:top w:w="15" w:type="dxa"/>
            <w:left w:w="15" w:type="dxa"/>
            <w:bottom w:w="15" w:type="dxa"/>
            <w:right w:w="15" w:type="dxa"/>
          </w:tblCellMar>
        </w:tblPrEx>
        <w:trPr>
          <w:trHeight w:val="1906"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599"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项目完成</w:t>
            </w:r>
          </w:p>
        </w:tc>
        <w:tc>
          <w:tcPr>
            <w:tcW w:w="717"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数量指标</w:t>
            </w:r>
          </w:p>
        </w:tc>
        <w:tc>
          <w:tcPr>
            <w:tcW w:w="167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党校主体班班次办学、党校师资培训</w:t>
            </w:r>
          </w:p>
        </w:tc>
        <w:tc>
          <w:tcPr>
            <w:tcW w:w="159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1项</w:t>
            </w:r>
          </w:p>
        </w:tc>
        <w:tc>
          <w:tcPr>
            <w:tcW w:w="273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举办“科级领导干部进修班”“新任基层党组织书记培训班”“入党积极分子示范培训班”“公务员任职培训班”“重大决策部署专题研讨班”等各类班次13期；有兼职教师20人，建立优秀兼职师资库1个，选送4名讲解员和管理教师赴瑞金市委党校学习，培养金牌“讲解员”3名；教学点培训学员184期9358人次。</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100%</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rPr>
                <w:rFonts w:hint="default" w:ascii="Times New Roman" w:hAnsi="Times New Roman" w:cs="Times New Roman"/>
                <w:color w:val="000000"/>
                <w:sz w:val="18"/>
                <w:szCs w:val="18"/>
              </w:rPr>
            </w:pPr>
          </w:p>
        </w:tc>
      </w:tr>
      <w:tr>
        <w:tblPrEx>
          <w:tblLayout w:type="fixed"/>
          <w:tblCellMar>
            <w:top w:w="15" w:type="dxa"/>
            <w:left w:w="15" w:type="dxa"/>
            <w:bottom w:w="15" w:type="dxa"/>
            <w:right w:w="15"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599"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167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党校信息化建设、课程开发</w:t>
            </w:r>
          </w:p>
        </w:tc>
        <w:tc>
          <w:tcPr>
            <w:tcW w:w="159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1项</w:t>
            </w:r>
          </w:p>
        </w:tc>
        <w:tc>
          <w:tcPr>
            <w:tcW w:w="273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1项</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100%</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rPr>
                <w:rFonts w:hint="default" w:ascii="Times New Roman" w:hAnsi="Times New Roman" w:cs="Times New Roman"/>
                <w:color w:val="000000"/>
                <w:sz w:val="18"/>
                <w:szCs w:val="18"/>
              </w:rPr>
            </w:pPr>
          </w:p>
        </w:tc>
      </w:tr>
      <w:tr>
        <w:tblPrEx>
          <w:tblLayout w:type="fixed"/>
          <w:tblCellMar>
            <w:top w:w="15" w:type="dxa"/>
            <w:left w:w="15" w:type="dxa"/>
            <w:bottom w:w="15" w:type="dxa"/>
            <w:right w:w="15"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599"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167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党校基础设施建设、维修、维护、党校运转及校内氛围提升</w:t>
            </w:r>
          </w:p>
        </w:tc>
        <w:tc>
          <w:tcPr>
            <w:tcW w:w="159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1项</w:t>
            </w:r>
          </w:p>
        </w:tc>
        <w:tc>
          <w:tcPr>
            <w:tcW w:w="273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1项</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100%</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rPr>
                <w:rFonts w:hint="default" w:ascii="Times New Roman" w:hAnsi="Times New Roman" w:cs="Times New Roman"/>
                <w:color w:val="000000"/>
                <w:sz w:val="18"/>
                <w:szCs w:val="18"/>
              </w:rPr>
            </w:pPr>
          </w:p>
        </w:tc>
      </w:tr>
      <w:tr>
        <w:tblPrEx>
          <w:tblLayout w:type="fixed"/>
          <w:tblCellMar>
            <w:top w:w="15" w:type="dxa"/>
            <w:left w:w="15" w:type="dxa"/>
            <w:bottom w:w="15" w:type="dxa"/>
            <w:right w:w="15" w:type="dxa"/>
          </w:tblCellMar>
        </w:tblPrEx>
        <w:trPr>
          <w:trHeight w:val="435"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599"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717"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质量指标</w:t>
            </w:r>
          </w:p>
        </w:tc>
        <w:tc>
          <w:tcPr>
            <w:tcW w:w="167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按计划的开展主体班次培训</w:t>
            </w:r>
          </w:p>
        </w:tc>
        <w:tc>
          <w:tcPr>
            <w:tcW w:w="159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主体培训班次按计划完成</w:t>
            </w:r>
          </w:p>
        </w:tc>
        <w:tc>
          <w:tcPr>
            <w:tcW w:w="273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主体培训班次按计划完成</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100%</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rPr>
                <w:rFonts w:hint="default" w:ascii="Times New Roman" w:hAnsi="Times New Roman" w:cs="Times New Roman"/>
                <w:color w:val="000000"/>
                <w:sz w:val="18"/>
                <w:szCs w:val="18"/>
              </w:rPr>
            </w:pPr>
          </w:p>
        </w:tc>
      </w:tr>
      <w:tr>
        <w:tblPrEx>
          <w:tblLayout w:type="fixed"/>
          <w:tblCellMar>
            <w:top w:w="15" w:type="dxa"/>
            <w:left w:w="15" w:type="dxa"/>
            <w:bottom w:w="15" w:type="dxa"/>
            <w:right w:w="15" w:type="dxa"/>
          </w:tblCellMar>
        </w:tblPrEx>
        <w:trPr>
          <w:trHeight w:val="435"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599"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167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“背水小道”特色体验项目</w:t>
            </w:r>
          </w:p>
        </w:tc>
        <w:tc>
          <w:tcPr>
            <w:tcW w:w="159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项目质量进一步提升</w:t>
            </w:r>
          </w:p>
        </w:tc>
        <w:tc>
          <w:tcPr>
            <w:tcW w:w="273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项目质量进一步提升</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100%</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rPr>
                <w:rFonts w:hint="default" w:ascii="Times New Roman" w:hAnsi="Times New Roman" w:cs="Times New Roman"/>
                <w:color w:val="000000"/>
                <w:sz w:val="18"/>
                <w:szCs w:val="18"/>
              </w:rPr>
            </w:pPr>
          </w:p>
        </w:tc>
      </w:tr>
      <w:tr>
        <w:tblPrEx>
          <w:tblLayout w:type="fixed"/>
          <w:tblCellMar>
            <w:top w:w="15" w:type="dxa"/>
            <w:left w:w="15" w:type="dxa"/>
            <w:bottom w:w="15" w:type="dxa"/>
            <w:right w:w="15" w:type="dxa"/>
          </w:tblCellMar>
        </w:tblPrEx>
        <w:trPr>
          <w:trHeight w:val="435"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599"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717"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时效指标</w:t>
            </w:r>
          </w:p>
        </w:tc>
        <w:tc>
          <w:tcPr>
            <w:tcW w:w="167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按计划的开展主体班次培训</w:t>
            </w:r>
          </w:p>
        </w:tc>
        <w:tc>
          <w:tcPr>
            <w:tcW w:w="159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2021年全年</w:t>
            </w:r>
          </w:p>
        </w:tc>
        <w:tc>
          <w:tcPr>
            <w:tcW w:w="273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2021年全年</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100%</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rPr>
                <w:rFonts w:hint="default" w:ascii="Times New Roman" w:hAnsi="Times New Roman" w:cs="Times New Roman"/>
                <w:color w:val="000000"/>
                <w:sz w:val="18"/>
                <w:szCs w:val="18"/>
              </w:rPr>
            </w:pPr>
          </w:p>
        </w:tc>
      </w:tr>
      <w:tr>
        <w:tblPrEx>
          <w:tblLayout w:type="fixed"/>
          <w:tblCellMar>
            <w:top w:w="15" w:type="dxa"/>
            <w:left w:w="15" w:type="dxa"/>
            <w:bottom w:w="15" w:type="dxa"/>
            <w:right w:w="15" w:type="dxa"/>
          </w:tblCellMar>
        </w:tblPrEx>
        <w:trPr>
          <w:trHeight w:val="435"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599"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167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“背水小道”特色体验项目</w:t>
            </w:r>
          </w:p>
        </w:tc>
        <w:tc>
          <w:tcPr>
            <w:tcW w:w="159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2021年全年</w:t>
            </w:r>
          </w:p>
        </w:tc>
        <w:tc>
          <w:tcPr>
            <w:tcW w:w="273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2021年全年</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100%</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rPr>
                <w:rFonts w:hint="default" w:ascii="Times New Roman" w:hAnsi="Times New Roman" w:cs="Times New Roman"/>
                <w:color w:val="000000"/>
                <w:sz w:val="18"/>
                <w:szCs w:val="18"/>
              </w:rPr>
            </w:pPr>
          </w:p>
        </w:tc>
      </w:tr>
      <w:tr>
        <w:tblPrEx>
          <w:tblLayout w:type="fixed"/>
          <w:tblCellMar>
            <w:top w:w="15" w:type="dxa"/>
            <w:left w:w="15" w:type="dxa"/>
            <w:bottom w:w="15" w:type="dxa"/>
            <w:right w:w="15" w:type="dxa"/>
          </w:tblCellMar>
        </w:tblPrEx>
        <w:trPr>
          <w:trHeight w:val="435"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599"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71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成本指标</w:t>
            </w:r>
          </w:p>
        </w:tc>
        <w:tc>
          <w:tcPr>
            <w:tcW w:w="167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党校运行经费</w:t>
            </w:r>
          </w:p>
        </w:tc>
        <w:tc>
          <w:tcPr>
            <w:tcW w:w="159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20万元</w:t>
            </w:r>
          </w:p>
        </w:tc>
        <w:tc>
          <w:tcPr>
            <w:tcW w:w="273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7.6万元</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38%</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rPr>
                <w:rFonts w:hint="default" w:ascii="Times New Roman" w:hAnsi="Times New Roman" w:cs="Times New Roman"/>
                <w:color w:val="000000"/>
                <w:sz w:val="18"/>
                <w:szCs w:val="18"/>
              </w:rPr>
            </w:pPr>
          </w:p>
        </w:tc>
      </w:tr>
      <w:tr>
        <w:tblPrEx>
          <w:tblLayout w:type="fixed"/>
          <w:tblCellMar>
            <w:top w:w="15" w:type="dxa"/>
            <w:left w:w="15" w:type="dxa"/>
            <w:bottom w:w="15" w:type="dxa"/>
            <w:right w:w="15" w:type="dxa"/>
          </w:tblCellMar>
        </w:tblPrEx>
        <w:trPr>
          <w:trHeight w:val="570"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599"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项目效益</w:t>
            </w:r>
          </w:p>
        </w:tc>
        <w:tc>
          <w:tcPr>
            <w:tcW w:w="717"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社会效益</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指标</w:t>
            </w:r>
          </w:p>
        </w:tc>
        <w:tc>
          <w:tcPr>
            <w:tcW w:w="167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提升党性修养</w:t>
            </w:r>
          </w:p>
        </w:tc>
        <w:tc>
          <w:tcPr>
            <w:tcW w:w="159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增强党性意识，保持党员先进性</w:t>
            </w:r>
          </w:p>
        </w:tc>
        <w:tc>
          <w:tcPr>
            <w:tcW w:w="273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增强党性意识，保持党员先进性</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100%</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rPr>
                <w:rFonts w:hint="default" w:ascii="Times New Roman" w:hAnsi="Times New Roman" w:cs="Times New Roman"/>
                <w:color w:val="000000"/>
                <w:sz w:val="18"/>
                <w:szCs w:val="18"/>
              </w:rPr>
            </w:pPr>
          </w:p>
        </w:tc>
      </w:tr>
      <w:tr>
        <w:tblPrEx>
          <w:tblLayout w:type="fixed"/>
          <w:tblCellMar>
            <w:top w:w="15" w:type="dxa"/>
            <w:left w:w="15" w:type="dxa"/>
            <w:bottom w:w="15" w:type="dxa"/>
            <w:right w:w="15" w:type="dxa"/>
          </w:tblCellMar>
        </w:tblPrEx>
        <w:trPr>
          <w:trHeight w:val="570"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599"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167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基础设施建设、信息化建设、课程开发</w:t>
            </w:r>
          </w:p>
        </w:tc>
        <w:tc>
          <w:tcPr>
            <w:tcW w:w="159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改进教学手段，丰富教学形式，提高办学水平</w:t>
            </w:r>
          </w:p>
        </w:tc>
        <w:tc>
          <w:tcPr>
            <w:tcW w:w="273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改进教学手段，丰富教学形式，提高办学水平</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100%</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rPr>
                <w:rFonts w:hint="default" w:ascii="Times New Roman" w:hAnsi="Times New Roman" w:cs="Times New Roman"/>
                <w:color w:val="000000"/>
                <w:sz w:val="18"/>
                <w:szCs w:val="18"/>
              </w:rPr>
            </w:pPr>
          </w:p>
        </w:tc>
      </w:tr>
      <w:tr>
        <w:tblPrEx>
          <w:tblLayout w:type="fixed"/>
          <w:tblCellMar>
            <w:top w:w="15" w:type="dxa"/>
            <w:left w:w="15" w:type="dxa"/>
            <w:bottom w:w="15" w:type="dxa"/>
            <w:right w:w="15" w:type="dxa"/>
          </w:tblCellMar>
        </w:tblPrEx>
        <w:trPr>
          <w:trHeight w:val="855"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18"/>
                <w:szCs w:val="18"/>
              </w:rPr>
            </w:pPr>
          </w:p>
        </w:tc>
        <w:tc>
          <w:tcPr>
            <w:tcW w:w="5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满意度指标</w:t>
            </w:r>
          </w:p>
        </w:tc>
        <w:tc>
          <w:tcPr>
            <w:tcW w:w="71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满意度指标</w:t>
            </w:r>
          </w:p>
        </w:tc>
        <w:tc>
          <w:tcPr>
            <w:tcW w:w="167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服务对象满意率</w:t>
            </w:r>
          </w:p>
        </w:tc>
        <w:tc>
          <w:tcPr>
            <w:tcW w:w="159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抽样调查满意度达到基本满意以上</w:t>
            </w:r>
          </w:p>
        </w:tc>
        <w:tc>
          <w:tcPr>
            <w:tcW w:w="273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抽样调查满意度达到基本满意以上</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100%</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rPr>
                <w:rFonts w:hint="default" w:ascii="Times New Roman" w:hAnsi="Times New Roman" w:cs="Times New Roman"/>
                <w:color w:val="000000"/>
                <w:sz w:val="18"/>
                <w:szCs w:val="18"/>
              </w:rPr>
            </w:pPr>
          </w:p>
        </w:tc>
      </w:tr>
    </w:tbl>
    <w:p>
      <w:pPr>
        <w:pStyle w:val="2"/>
        <w:keepNext w:val="0"/>
        <w:keepLines w:val="0"/>
        <w:pageBreakBefore w:val="0"/>
        <w:widowControl w:val="0"/>
        <w:kinsoku/>
        <w:wordWrap/>
        <w:overflowPunct/>
        <w:topLinePunct w:val="0"/>
        <w:autoSpaceDE/>
        <w:autoSpaceDN/>
        <w:bidi w:val="0"/>
        <w:spacing w:beforeLines="0"/>
        <w:rPr>
          <w:rFonts w:hint="default" w:ascii="Times New Roman" w:hAnsi="Times New Roman" w:eastAsia="黑体" w:cs="Times New Roman"/>
          <w:sz w:val="33"/>
          <w:szCs w:val="33"/>
        </w:rPr>
      </w:pPr>
    </w:p>
    <w:tbl>
      <w:tblPr>
        <w:tblStyle w:val="16"/>
        <w:tblW w:w="9705" w:type="dxa"/>
        <w:tblInd w:w="-13" w:type="dxa"/>
        <w:tblLayout w:type="fixed"/>
        <w:tblCellMar>
          <w:top w:w="15" w:type="dxa"/>
          <w:left w:w="15" w:type="dxa"/>
          <w:bottom w:w="15" w:type="dxa"/>
          <w:right w:w="15" w:type="dxa"/>
        </w:tblCellMar>
      </w:tblPr>
      <w:tblGrid>
        <w:gridCol w:w="898"/>
        <w:gridCol w:w="602"/>
        <w:gridCol w:w="945"/>
        <w:gridCol w:w="1965"/>
        <w:gridCol w:w="1635"/>
        <w:gridCol w:w="1740"/>
        <w:gridCol w:w="840"/>
        <w:gridCol w:w="1080"/>
      </w:tblGrid>
      <w:tr>
        <w:tblPrEx>
          <w:tblLayout w:type="fixed"/>
          <w:tblCellMar>
            <w:top w:w="15" w:type="dxa"/>
            <w:left w:w="15" w:type="dxa"/>
            <w:bottom w:w="15" w:type="dxa"/>
            <w:right w:w="15" w:type="dxa"/>
          </w:tblCellMar>
        </w:tblPrEx>
        <w:trPr>
          <w:trHeight w:val="675" w:hRule="atLeast"/>
        </w:trPr>
        <w:tc>
          <w:tcPr>
            <w:tcW w:w="9705" w:type="dxa"/>
            <w:gridSpan w:val="8"/>
            <w:vAlign w:val="center"/>
          </w:tcPr>
          <w:p>
            <w:pPr>
              <w:keepNext w:val="0"/>
              <w:keepLines w:val="0"/>
              <w:pageBreakBefore w:val="0"/>
              <w:widowControl w:val="0"/>
              <w:kinsoku/>
              <w:wordWrap/>
              <w:overflowPunct/>
              <w:topLinePunct w:val="0"/>
              <w:autoSpaceDE/>
              <w:autoSpaceDN/>
              <w:bidi w:val="0"/>
              <w:spacing w:line="240" w:lineRule="atLeast"/>
              <w:jc w:val="center"/>
              <w:textAlignment w:val="center"/>
              <w:rPr>
                <w:rFonts w:hint="default" w:ascii="Times New Roman" w:hAnsi="Times New Roman" w:cs="Times New Roman"/>
                <w:b/>
                <w:bCs/>
                <w:color w:val="000000"/>
                <w:sz w:val="20"/>
                <w:szCs w:val="20"/>
              </w:rPr>
            </w:pPr>
            <w:r>
              <w:rPr>
                <w:rFonts w:hint="default" w:ascii="Times New Roman" w:hAnsi="Times New Roman" w:eastAsia="方正小标宋_GBK" w:cs="Times New Roman"/>
                <w:b/>
                <w:bCs/>
                <w:color w:val="000000"/>
                <w:kern w:val="0"/>
                <w:sz w:val="38"/>
                <w:szCs w:val="38"/>
              </w:rPr>
              <w:t>项目（政策）资金绩效自评表</w:t>
            </w:r>
          </w:p>
        </w:tc>
      </w:tr>
      <w:tr>
        <w:tblPrEx>
          <w:tblLayout w:type="fixed"/>
          <w:tblCellMar>
            <w:top w:w="15" w:type="dxa"/>
            <w:left w:w="15" w:type="dxa"/>
            <w:bottom w:w="15" w:type="dxa"/>
            <w:right w:w="15" w:type="dxa"/>
          </w:tblCellMar>
        </w:tblPrEx>
        <w:trPr>
          <w:trHeight w:val="286" w:hRule="atLeast"/>
        </w:trPr>
        <w:tc>
          <w:tcPr>
            <w:tcW w:w="9705" w:type="dxa"/>
            <w:gridSpan w:val="8"/>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20"/>
                <w:szCs w:val="20"/>
              </w:rPr>
            </w:pPr>
            <w:r>
              <w:rPr>
                <w:rStyle w:val="36"/>
                <w:rFonts w:hint="default" w:ascii="Times New Roman" w:hAnsi="Times New Roman" w:cs="Times New Roman"/>
                <w:sz w:val="20"/>
                <w:szCs w:val="20"/>
              </w:rPr>
              <w:t>（</w:t>
            </w:r>
            <w:r>
              <w:rPr>
                <w:rStyle w:val="37"/>
                <w:rFonts w:hint="default" w:ascii="Times New Roman" w:hAnsi="Times New Roman" w:cs="Times New Roman"/>
                <w:sz w:val="20"/>
                <w:szCs w:val="20"/>
              </w:rPr>
              <w:t>2021</w:t>
            </w:r>
            <w:r>
              <w:rPr>
                <w:rStyle w:val="36"/>
                <w:rFonts w:hint="default" w:ascii="Times New Roman" w:hAnsi="Times New Roman" w:cs="Times New Roman"/>
                <w:sz w:val="20"/>
                <w:szCs w:val="20"/>
              </w:rPr>
              <w:t>年度）</w:t>
            </w:r>
          </w:p>
        </w:tc>
      </w:tr>
      <w:tr>
        <w:tblPrEx>
          <w:tblLayout w:type="fixed"/>
          <w:tblCellMar>
            <w:top w:w="15" w:type="dxa"/>
            <w:left w:w="15" w:type="dxa"/>
            <w:bottom w:w="15" w:type="dxa"/>
            <w:right w:w="15" w:type="dxa"/>
          </w:tblCellMar>
        </w:tblPrEx>
        <w:trPr>
          <w:trHeight w:val="380" w:hRule="atLeast"/>
        </w:trPr>
        <w:tc>
          <w:tcPr>
            <w:tcW w:w="244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专项（项目）名称</w:t>
            </w:r>
          </w:p>
        </w:tc>
        <w:tc>
          <w:tcPr>
            <w:tcW w:w="726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干部队伍建设经费—区委党校干部教育经费</w:t>
            </w:r>
          </w:p>
        </w:tc>
      </w:tr>
      <w:tr>
        <w:tblPrEx>
          <w:tblLayout w:type="fixed"/>
          <w:tblCellMar>
            <w:top w:w="15" w:type="dxa"/>
            <w:left w:w="15" w:type="dxa"/>
            <w:bottom w:w="15" w:type="dxa"/>
            <w:right w:w="15" w:type="dxa"/>
          </w:tblCellMar>
        </w:tblPrEx>
        <w:trPr>
          <w:trHeight w:val="365" w:hRule="atLeast"/>
        </w:trPr>
        <w:tc>
          <w:tcPr>
            <w:tcW w:w="244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项目主管单位</w:t>
            </w:r>
          </w:p>
        </w:tc>
        <w:tc>
          <w:tcPr>
            <w:tcW w:w="726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中共攀枝花市西区区委党校（攀枝花市西区行政学校)</w:t>
            </w:r>
          </w:p>
        </w:tc>
      </w:tr>
      <w:tr>
        <w:tblPrEx>
          <w:tblLayout w:type="fixed"/>
          <w:tblCellMar>
            <w:top w:w="15" w:type="dxa"/>
            <w:left w:w="15" w:type="dxa"/>
            <w:bottom w:w="15" w:type="dxa"/>
            <w:right w:w="15" w:type="dxa"/>
          </w:tblCellMar>
        </w:tblPrEx>
        <w:trPr>
          <w:trHeight w:val="385" w:hRule="atLeast"/>
        </w:trPr>
        <w:tc>
          <w:tcPr>
            <w:tcW w:w="244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项目实施单位</w:t>
            </w:r>
          </w:p>
        </w:tc>
        <w:tc>
          <w:tcPr>
            <w:tcW w:w="726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中共攀枝花市西区区委党校（攀枝花市西区行政学校)</w:t>
            </w:r>
          </w:p>
        </w:tc>
      </w:tr>
      <w:tr>
        <w:tblPrEx>
          <w:tblLayout w:type="fixed"/>
          <w:tblCellMar>
            <w:top w:w="15" w:type="dxa"/>
            <w:left w:w="15" w:type="dxa"/>
            <w:bottom w:w="15" w:type="dxa"/>
            <w:right w:w="15" w:type="dxa"/>
          </w:tblCellMar>
        </w:tblPrEx>
        <w:trPr>
          <w:trHeight w:val="395" w:hRule="atLeast"/>
        </w:trPr>
        <w:tc>
          <w:tcPr>
            <w:tcW w:w="2445"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项目资金</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（万元）</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20"/>
                <w:szCs w:val="20"/>
              </w:rPr>
            </w:pP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全年预算数</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实际完成数</w:t>
            </w:r>
          </w:p>
        </w:tc>
        <w:tc>
          <w:tcPr>
            <w:tcW w:w="19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执行率（%）</w:t>
            </w:r>
          </w:p>
        </w:tc>
      </w:tr>
      <w:tr>
        <w:tblPrEx>
          <w:tblLayout w:type="fixed"/>
          <w:tblCellMar>
            <w:top w:w="15" w:type="dxa"/>
            <w:left w:w="15" w:type="dxa"/>
            <w:bottom w:w="15" w:type="dxa"/>
            <w:right w:w="15" w:type="dxa"/>
          </w:tblCellMar>
        </w:tblPrEx>
        <w:trPr>
          <w:trHeight w:val="395" w:hRule="atLeast"/>
        </w:trPr>
        <w:tc>
          <w:tcPr>
            <w:tcW w:w="2445"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20"/>
                <w:szCs w:val="20"/>
              </w:rPr>
            </w:pP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 xml:space="preserve"> 年度资金总额：</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w:t>
            </w:r>
          </w:p>
        </w:tc>
        <w:tc>
          <w:tcPr>
            <w:tcW w:w="19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100%</w:t>
            </w:r>
          </w:p>
        </w:tc>
      </w:tr>
      <w:tr>
        <w:tblPrEx>
          <w:tblLayout w:type="fixed"/>
          <w:tblCellMar>
            <w:top w:w="15" w:type="dxa"/>
            <w:left w:w="15" w:type="dxa"/>
            <w:bottom w:w="15" w:type="dxa"/>
            <w:right w:w="15" w:type="dxa"/>
          </w:tblCellMar>
        </w:tblPrEx>
        <w:trPr>
          <w:trHeight w:val="410" w:hRule="atLeast"/>
        </w:trPr>
        <w:tc>
          <w:tcPr>
            <w:tcW w:w="2445"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20"/>
                <w:szCs w:val="20"/>
              </w:rPr>
            </w:pP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 xml:space="preserve">  其中：上级财政资金</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20"/>
                <w:szCs w:val="20"/>
              </w:rPr>
            </w:pP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20"/>
                <w:szCs w:val="20"/>
              </w:rPr>
            </w:pPr>
          </w:p>
        </w:tc>
        <w:tc>
          <w:tcPr>
            <w:tcW w:w="19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20"/>
                <w:szCs w:val="20"/>
              </w:rPr>
            </w:pPr>
          </w:p>
        </w:tc>
      </w:tr>
      <w:tr>
        <w:tblPrEx>
          <w:tblLayout w:type="fixed"/>
          <w:tblCellMar>
            <w:top w:w="15" w:type="dxa"/>
            <w:left w:w="15" w:type="dxa"/>
            <w:bottom w:w="15" w:type="dxa"/>
            <w:right w:w="15" w:type="dxa"/>
          </w:tblCellMar>
        </w:tblPrEx>
        <w:trPr>
          <w:trHeight w:val="435" w:hRule="atLeast"/>
        </w:trPr>
        <w:tc>
          <w:tcPr>
            <w:tcW w:w="2445"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20"/>
                <w:szCs w:val="20"/>
              </w:rPr>
            </w:pP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 xml:space="preserve">       本级财政资金</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w:t>
            </w:r>
          </w:p>
        </w:tc>
        <w:tc>
          <w:tcPr>
            <w:tcW w:w="19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100%</w:t>
            </w:r>
          </w:p>
        </w:tc>
      </w:tr>
      <w:tr>
        <w:tblPrEx>
          <w:tblLayout w:type="fixed"/>
          <w:tblCellMar>
            <w:top w:w="15" w:type="dxa"/>
            <w:left w:w="15" w:type="dxa"/>
            <w:bottom w:w="15" w:type="dxa"/>
            <w:right w:w="15" w:type="dxa"/>
          </w:tblCellMar>
        </w:tblPrEx>
        <w:trPr>
          <w:trHeight w:val="435" w:hRule="atLeast"/>
        </w:trPr>
        <w:tc>
          <w:tcPr>
            <w:tcW w:w="2445"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20"/>
                <w:szCs w:val="20"/>
              </w:rPr>
            </w:pP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 xml:space="preserve">          其他资金</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rPr>
                <w:rFonts w:hint="default" w:ascii="Times New Roman" w:hAnsi="Times New Roman" w:cs="Times New Roman"/>
                <w:color w:val="000000"/>
                <w:sz w:val="20"/>
                <w:szCs w:val="20"/>
              </w:rPr>
            </w:pP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rPr>
                <w:rFonts w:hint="default" w:ascii="Times New Roman" w:hAnsi="Times New Roman" w:cs="Times New Roman"/>
                <w:color w:val="000000"/>
                <w:sz w:val="20"/>
                <w:szCs w:val="20"/>
              </w:rPr>
            </w:pPr>
          </w:p>
        </w:tc>
        <w:tc>
          <w:tcPr>
            <w:tcW w:w="19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20"/>
                <w:szCs w:val="20"/>
              </w:rPr>
            </w:pPr>
          </w:p>
        </w:tc>
      </w:tr>
      <w:tr>
        <w:tblPrEx>
          <w:tblLayout w:type="fixed"/>
          <w:tblCellMar>
            <w:top w:w="15" w:type="dxa"/>
            <w:left w:w="15" w:type="dxa"/>
            <w:bottom w:w="15" w:type="dxa"/>
            <w:right w:w="15" w:type="dxa"/>
          </w:tblCellMar>
        </w:tblPrEx>
        <w:trPr>
          <w:trHeight w:val="435" w:hRule="atLeast"/>
        </w:trPr>
        <w:tc>
          <w:tcPr>
            <w:tcW w:w="89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总</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体</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目</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标</w:t>
            </w:r>
          </w:p>
        </w:tc>
        <w:tc>
          <w:tcPr>
            <w:tcW w:w="351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年度设定目标</w:t>
            </w:r>
          </w:p>
        </w:tc>
        <w:tc>
          <w:tcPr>
            <w:tcW w:w="52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实际完成情况</w:t>
            </w:r>
          </w:p>
        </w:tc>
      </w:tr>
      <w:tr>
        <w:tblPrEx>
          <w:tblLayout w:type="fixed"/>
          <w:tblCellMar>
            <w:top w:w="15" w:type="dxa"/>
            <w:left w:w="15" w:type="dxa"/>
            <w:bottom w:w="15" w:type="dxa"/>
            <w:right w:w="15" w:type="dxa"/>
          </w:tblCellMar>
        </w:tblPrEx>
        <w:trPr>
          <w:trHeight w:val="1521" w:hRule="atLeast"/>
        </w:trPr>
        <w:tc>
          <w:tcPr>
            <w:tcW w:w="89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20"/>
                <w:szCs w:val="20"/>
              </w:rPr>
            </w:pPr>
          </w:p>
        </w:tc>
        <w:tc>
          <w:tcPr>
            <w:tcW w:w="3512" w:type="dxa"/>
            <w:gridSpan w:val="3"/>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spacing w:line="240" w:lineRule="exact"/>
              <w:jc w:val="center"/>
              <w:textAlignment w:val="top"/>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根据《县级党校办学质量评估办法（试行）》（川组训〔2020〕29号）和《关于反馈县（区）委党校（行政学校）办学质量初评意见的通知》（攀组通〔2021〕192号）要求，为确保2022年党校办学质量终评达标</w:t>
            </w:r>
          </w:p>
        </w:tc>
        <w:tc>
          <w:tcPr>
            <w:tcW w:w="52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区委党校（行政学校）办学质量初评意见需中关于干部教育经费问题内容已整改完毕。</w:t>
            </w:r>
          </w:p>
        </w:tc>
      </w:tr>
      <w:tr>
        <w:tblPrEx>
          <w:tblLayout w:type="fixed"/>
          <w:tblCellMar>
            <w:top w:w="15" w:type="dxa"/>
            <w:left w:w="15" w:type="dxa"/>
            <w:bottom w:w="15" w:type="dxa"/>
            <w:right w:w="15" w:type="dxa"/>
          </w:tblCellMar>
        </w:tblPrEx>
        <w:trPr>
          <w:trHeight w:val="610" w:hRule="atLeast"/>
        </w:trPr>
        <w:tc>
          <w:tcPr>
            <w:tcW w:w="89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绩</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效</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指</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标</w:t>
            </w:r>
          </w:p>
        </w:tc>
        <w:tc>
          <w:tcPr>
            <w:tcW w:w="6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一级</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指标</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二级指标</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三级指标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年度指标值</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实际完成数</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完成率（%）</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未完成原因和改进措施</w:t>
            </w:r>
          </w:p>
        </w:tc>
      </w:tr>
      <w:tr>
        <w:tblPrEx>
          <w:tblLayout w:type="fixed"/>
          <w:tblCellMar>
            <w:top w:w="15" w:type="dxa"/>
            <w:left w:w="15" w:type="dxa"/>
            <w:bottom w:w="15" w:type="dxa"/>
            <w:right w:w="15" w:type="dxa"/>
          </w:tblCellMar>
        </w:tblPrEx>
        <w:trPr>
          <w:trHeight w:val="525" w:hRule="atLeast"/>
        </w:trPr>
        <w:tc>
          <w:tcPr>
            <w:tcW w:w="89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20"/>
                <w:szCs w:val="20"/>
              </w:rPr>
            </w:pPr>
          </w:p>
        </w:tc>
        <w:tc>
          <w:tcPr>
            <w:tcW w:w="60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项目完成</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数量指标</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干部教育培训</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1项</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1项</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rPr>
                <w:rFonts w:hint="default" w:ascii="Times New Roman" w:hAnsi="Times New Roman" w:cs="Times New Roman"/>
                <w:color w:val="000000"/>
                <w:sz w:val="20"/>
                <w:szCs w:val="20"/>
              </w:rPr>
            </w:pPr>
          </w:p>
        </w:tc>
      </w:tr>
      <w:tr>
        <w:tblPrEx>
          <w:tblLayout w:type="fixed"/>
          <w:tblCellMar>
            <w:top w:w="15" w:type="dxa"/>
            <w:left w:w="15" w:type="dxa"/>
            <w:bottom w:w="15" w:type="dxa"/>
            <w:right w:w="15" w:type="dxa"/>
          </w:tblCellMar>
        </w:tblPrEx>
        <w:trPr>
          <w:trHeight w:val="725" w:hRule="atLeast"/>
        </w:trPr>
        <w:tc>
          <w:tcPr>
            <w:tcW w:w="89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20"/>
                <w:szCs w:val="20"/>
              </w:rPr>
            </w:pP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质量指标</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干部教育培训</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保障区委党校干部教育培训工作顺利开展</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区委党校2021年干部教育培训工作顺利开展</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rPr>
                <w:rFonts w:hint="default" w:ascii="Times New Roman" w:hAnsi="Times New Roman" w:cs="Times New Roman"/>
                <w:color w:val="000000"/>
                <w:sz w:val="20"/>
                <w:szCs w:val="20"/>
              </w:rPr>
            </w:pPr>
          </w:p>
        </w:tc>
      </w:tr>
      <w:tr>
        <w:tblPrEx>
          <w:tblLayout w:type="fixed"/>
          <w:tblCellMar>
            <w:top w:w="15" w:type="dxa"/>
            <w:left w:w="15" w:type="dxa"/>
            <w:bottom w:w="15" w:type="dxa"/>
            <w:right w:w="15" w:type="dxa"/>
          </w:tblCellMar>
        </w:tblPrEx>
        <w:trPr>
          <w:trHeight w:val="470" w:hRule="atLeast"/>
        </w:trPr>
        <w:tc>
          <w:tcPr>
            <w:tcW w:w="89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20"/>
                <w:szCs w:val="20"/>
              </w:rPr>
            </w:pP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时效指标</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干部教育培训</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2021年</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2021年</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rPr>
                <w:rFonts w:hint="default" w:ascii="Times New Roman" w:hAnsi="Times New Roman" w:cs="Times New Roman"/>
                <w:color w:val="000000"/>
                <w:sz w:val="20"/>
                <w:szCs w:val="20"/>
              </w:rPr>
            </w:pPr>
          </w:p>
        </w:tc>
      </w:tr>
      <w:tr>
        <w:tblPrEx>
          <w:tblLayout w:type="fixed"/>
          <w:tblCellMar>
            <w:top w:w="15" w:type="dxa"/>
            <w:left w:w="15" w:type="dxa"/>
            <w:bottom w:w="15" w:type="dxa"/>
            <w:right w:w="15" w:type="dxa"/>
          </w:tblCellMar>
        </w:tblPrEx>
        <w:trPr>
          <w:trHeight w:val="485" w:hRule="atLeast"/>
        </w:trPr>
        <w:tc>
          <w:tcPr>
            <w:tcW w:w="89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20"/>
                <w:szCs w:val="20"/>
              </w:rPr>
            </w:pP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成本指标</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干部教育经费</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1万元</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1万元</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rPr>
                <w:rFonts w:hint="default" w:ascii="Times New Roman" w:hAnsi="Times New Roman" w:cs="Times New Roman"/>
                <w:color w:val="000000"/>
                <w:sz w:val="20"/>
                <w:szCs w:val="20"/>
              </w:rPr>
            </w:pPr>
          </w:p>
        </w:tc>
      </w:tr>
      <w:tr>
        <w:tblPrEx>
          <w:tblLayout w:type="fixed"/>
          <w:tblCellMar>
            <w:top w:w="15" w:type="dxa"/>
            <w:left w:w="15" w:type="dxa"/>
            <w:bottom w:w="15" w:type="dxa"/>
            <w:right w:w="15" w:type="dxa"/>
          </w:tblCellMar>
        </w:tblPrEx>
        <w:trPr>
          <w:trHeight w:val="980" w:hRule="atLeast"/>
        </w:trPr>
        <w:tc>
          <w:tcPr>
            <w:tcW w:w="89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20"/>
                <w:szCs w:val="20"/>
              </w:rPr>
            </w:pPr>
          </w:p>
        </w:tc>
        <w:tc>
          <w:tcPr>
            <w:tcW w:w="6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项目效益</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社会效益</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指标</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干部教育培训</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干部队伍综合能力素质得到较大提高，更好为西区经济社会发展服务</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干部队伍综合能力素质得到较大提高，更好为西区经济社会发展服务</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rPr>
                <w:rFonts w:hint="default" w:ascii="Times New Roman" w:hAnsi="Times New Roman" w:cs="Times New Roman"/>
                <w:color w:val="000000"/>
                <w:sz w:val="20"/>
                <w:szCs w:val="20"/>
              </w:rPr>
            </w:pPr>
          </w:p>
        </w:tc>
      </w:tr>
      <w:tr>
        <w:tblPrEx>
          <w:tblLayout w:type="fixed"/>
          <w:tblCellMar>
            <w:top w:w="15" w:type="dxa"/>
            <w:left w:w="15" w:type="dxa"/>
            <w:bottom w:w="15" w:type="dxa"/>
            <w:right w:w="15" w:type="dxa"/>
          </w:tblCellMar>
        </w:tblPrEx>
        <w:trPr>
          <w:trHeight w:val="885" w:hRule="atLeast"/>
        </w:trPr>
        <w:tc>
          <w:tcPr>
            <w:tcW w:w="89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rPr>
                <w:rFonts w:hint="default" w:ascii="Times New Roman" w:hAnsi="Times New Roman" w:cs="Times New Roman"/>
                <w:color w:val="000000"/>
                <w:sz w:val="20"/>
                <w:szCs w:val="20"/>
              </w:rPr>
            </w:pPr>
          </w:p>
        </w:tc>
        <w:tc>
          <w:tcPr>
            <w:tcW w:w="6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满意度指标</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满意度指标</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服务对象满意率</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抽样调查满意度达到基本满意以上</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抽样调查满意度达到基本满意以上</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100%</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40" w:lineRule="exact"/>
              <w:rPr>
                <w:rFonts w:hint="default" w:ascii="Times New Roman" w:hAnsi="Times New Roman" w:cs="Times New Roman"/>
                <w:color w:val="000000"/>
                <w:sz w:val="20"/>
                <w:szCs w:val="20"/>
              </w:rPr>
            </w:pPr>
          </w:p>
        </w:tc>
      </w:tr>
    </w:tbl>
    <w:p>
      <w:pPr>
        <w:pStyle w:val="2"/>
        <w:keepNext w:val="0"/>
        <w:keepLines w:val="0"/>
        <w:pageBreakBefore w:val="0"/>
        <w:widowControl w:val="0"/>
        <w:kinsoku/>
        <w:wordWrap/>
        <w:overflowPunct/>
        <w:topLinePunct w:val="0"/>
        <w:autoSpaceDE/>
        <w:autoSpaceDN/>
        <w:bidi w:val="0"/>
        <w:spacing w:beforeLines="0"/>
        <w:rPr>
          <w:rFonts w:hint="default" w:ascii="Times New Roman" w:hAnsi="Times New Roman" w:eastAsia="黑体" w:cs="Times New Roman"/>
          <w:sz w:val="33"/>
          <w:szCs w:val="33"/>
        </w:rPr>
      </w:pPr>
    </w:p>
    <w:p>
      <w:pPr>
        <w:pStyle w:val="2"/>
        <w:keepNext w:val="0"/>
        <w:keepLines w:val="0"/>
        <w:pageBreakBefore w:val="0"/>
        <w:widowControl w:val="0"/>
        <w:kinsoku/>
        <w:wordWrap/>
        <w:overflowPunct/>
        <w:topLinePunct w:val="0"/>
        <w:autoSpaceDE/>
        <w:autoSpaceDN/>
        <w:bidi w:val="0"/>
        <w:spacing w:beforeLines="0"/>
        <w:rPr>
          <w:rFonts w:hint="default" w:ascii="Times New Roman" w:hAnsi="Times New Roman" w:eastAsia="黑体" w:cs="Times New Roman"/>
          <w:sz w:val="33"/>
          <w:szCs w:val="33"/>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0"/>
        <w:rPr>
          <w:rStyle w:val="17"/>
          <w:rFonts w:hint="default" w:ascii="Times New Roman" w:hAnsi="Times New Roman" w:eastAsia="方正黑体_GBK" w:cs="Times New Roman"/>
          <w:b w:val="0"/>
          <w:bCs w:val="0"/>
        </w:rPr>
      </w:pPr>
      <w:bookmarkStart w:id="54" w:name="_Toc15396619"/>
      <w:r>
        <w:rPr>
          <w:rFonts w:hint="default" w:ascii="Times New Roman" w:hAnsi="Times New Roman" w:eastAsia="方正黑体_GBK" w:cs="Times New Roman"/>
          <w:sz w:val="44"/>
          <w:szCs w:val="44"/>
        </w:rPr>
        <w:t>第</w:t>
      </w:r>
      <w:r>
        <w:rPr>
          <w:rStyle w:val="17"/>
          <w:rFonts w:hint="default" w:ascii="Times New Roman" w:hAnsi="Times New Roman" w:eastAsia="方正黑体_GBK" w:cs="Times New Roman"/>
          <w:b w:val="0"/>
          <w:bCs w:val="0"/>
        </w:rPr>
        <w:t>五部分 附表</w:t>
      </w:r>
    </w:p>
    <w:p>
      <w:pPr>
        <w:pStyle w:val="2"/>
        <w:rPr>
          <w:rFonts w:hint="default"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snapToGrid/>
        <w:spacing w:before="0" w:after="0" w:line="240" w:lineRule="auto"/>
        <w:textAlignment w:val="auto"/>
        <w:outlineLvl w:val="1"/>
        <w:rPr>
          <w:rFonts w:hint="default" w:ascii="Times New Roman" w:hAnsi="Times New Roman" w:eastAsia="方正仿宋_GBK" w:cs="Times New Roman"/>
          <w:sz w:val="33"/>
          <w:szCs w:val="33"/>
        </w:rPr>
      </w:pPr>
      <w:r>
        <w:rPr>
          <w:rFonts w:hint="default" w:ascii="Times New Roman" w:hAnsi="Times New Roman" w:eastAsia="方正仿宋_GBK" w:cs="Times New Roman"/>
          <w:b w:val="0"/>
          <w:bCs w:val="0"/>
          <w:sz w:val="33"/>
          <w:szCs w:val="33"/>
        </w:rPr>
        <w:t>一、收</w:t>
      </w:r>
      <w:r>
        <w:rPr>
          <w:rStyle w:val="18"/>
          <w:rFonts w:hint="default" w:ascii="Times New Roman" w:hAnsi="Times New Roman" w:eastAsia="方正仿宋_GBK" w:cs="Times New Roman"/>
          <w:b w:val="0"/>
          <w:bCs w:val="0"/>
          <w:sz w:val="33"/>
          <w:szCs w:val="33"/>
        </w:rPr>
        <w:t>入支出决算总表</w:t>
      </w:r>
      <w:bookmarkEnd w:id="54"/>
    </w:p>
    <w:p>
      <w:pPr>
        <w:pStyle w:val="4"/>
        <w:keepNext w:val="0"/>
        <w:keepLines w:val="0"/>
        <w:pageBreakBefore w:val="0"/>
        <w:widowControl w:val="0"/>
        <w:kinsoku/>
        <w:wordWrap/>
        <w:overflowPunct/>
        <w:topLinePunct w:val="0"/>
        <w:autoSpaceDE/>
        <w:autoSpaceDN/>
        <w:bidi w:val="0"/>
        <w:adjustRightInd/>
        <w:snapToGrid/>
        <w:spacing w:before="0" w:after="0" w:line="240" w:lineRule="auto"/>
        <w:textAlignment w:val="auto"/>
        <w:outlineLvl w:val="1"/>
        <w:rPr>
          <w:rFonts w:hint="default" w:ascii="Times New Roman" w:hAnsi="Times New Roman" w:eastAsia="方正仿宋_GBK" w:cs="Times New Roman"/>
          <w:b w:val="0"/>
          <w:bCs w:val="0"/>
          <w:sz w:val="33"/>
          <w:szCs w:val="33"/>
        </w:rPr>
      </w:pPr>
      <w:bookmarkStart w:id="55" w:name="_Toc15396620"/>
      <w:r>
        <w:rPr>
          <w:rFonts w:hint="default" w:ascii="Times New Roman" w:hAnsi="Times New Roman" w:eastAsia="方正仿宋_GBK" w:cs="Times New Roman"/>
          <w:b w:val="0"/>
          <w:bCs w:val="0"/>
          <w:sz w:val="33"/>
          <w:szCs w:val="33"/>
        </w:rPr>
        <w:t>二、收入决算表</w:t>
      </w:r>
      <w:bookmarkEnd w:id="55"/>
    </w:p>
    <w:p>
      <w:pPr>
        <w:pStyle w:val="4"/>
        <w:keepNext w:val="0"/>
        <w:keepLines w:val="0"/>
        <w:pageBreakBefore w:val="0"/>
        <w:widowControl w:val="0"/>
        <w:kinsoku/>
        <w:wordWrap/>
        <w:overflowPunct/>
        <w:topLinePunct w:val="0"/>
        <w:autoSpaceDE/>
        <w:autoSpaceDN/>
        <w:bidi w:val="0"/>
        <w:adjustRightInd/>
        <w:snapToGrid/>
        <w:spacing w:before="0" w:after="0" w:line="240" w:lineRule="auto"/>
        <w:textAlignment w:val="auto"/>
        <w:outlineLvl w:val="1"/>
        <w:rPr>
          <w:rFonts w:hint="default" w:ascii="Times New Roman" w:hAnsi="Times New Roman" w:eastAsia="方正仿宋_GBK" w:cs="Times New Roman"/>
          <w:b w:val="0"/>
          <w:bCs w:val="0"/>
          <w:sz w:val="33"/>
          <w:szCs w:val="33"/>
        </w:rPr>
      </w:pPr>
      <w:bookmarkStart w:id="56" w:name="_Toc15396621"/>
      <w:r>
        <w:rPr>
          <w:rFonts w:hint="default" w:ascii="Times New Roman" w:hAnsi="Times New Roman" w:eastAsia="方正仿宋_GBK" w:cs="Times New Roman"/>
          <w:b w:val="0"/>
          <w:bCs w:val="0"/>
          <w:sz w:val="33"/>
          <w:szCs w:val="33"/>
        </w:rPr>
        <w:t>三、支出决算表</w:t>
      </w:r>
      <w:bookmarkEnd w:id="56"/>
    </w:p>
    <w:p>
      <w:pPr>
        <w:pStyle w:val="4"/>
        <w:keepNext w:val="0"/>
        <w:keepLines w:val="0"/>
        <w:pageBreakBefore w:val="0"/>
        <w:widowControl w:val="0"/>
        <w:kinsoku/>
        <w:wordWrap/>
        <w:overflowPunct/>
        <w:topLinePunct w:val="0"/>
        <w:autoSpaceDE/>
        <w:autoSpaceDN/>
        <w:bidi w:val="0"/>
        <w:adjustRightInd/>
        <w:snapToGrid/>
        <w:spacing w:before="0" w:after="0" w:line="240" w:lineRule="auto"/>
        <w:textAlignment w:val="auto"/>
        <w:outlineLvl w:val="1"/>
        <w:rPr>
          <w:rFonts w:hint="default" w:ascii="Times New Roman" w:hAnsi="Times New Roman" w:eastAsia="方正仿宋_GBK" w:cs="Times New Roman"/>
          <w:b w:val="0"/>
          <w:bCs w:val="0"/>
          <w:sz w:val="33"/>
          <w:szCs w:val="33"/>
        </w:rPr>
      </w:pPr>
      <w:bookmarkStart w:id="57" w:name="_Toc15396622"/>
      <w:r>
        <w:rPr>
          <w:rFonts w:hint="default" w:ascii="Times New Roman" w:hAnsi="Times New Roman" w:eastAsia="方正仿宋_GBK" w:cs="Times New Roman"/>
          <w:b w:val="0"/>
          <w:bCs w:val="0"/>
          <w:sz w:val="33"/>
          <w:szCs w:val="33"/>
        </w:rPr>
        <w:t>四、财政拨款收入支出决算总表</w:t>
      </w:r>
      <w:bookmarkEnd w:id="57"/>
    </w:p>
    <w:p>
      <w:pPr>
        <w:pStyle w:val="4"/>
        <w:keepNext w:val="0"/>
        <w:keepLines w:val="0"/>
        <w:pageBreakBefore w:val="0"/>
        <w:widowControl w:val="0"/>
        <w:kinsoku/>
        <w:wordWrap/>
        <w:overflowPunct/>
        <w:topLinePunct w:val="0"/>
        <w:autoSpaceDE/>
        <w:autoSpaceDN/>
        <w:bidi w:val="0"/>
        <w:adjustRightInd/>
        <w:snapToGrid/>
        <w:spacing w:before="0" w:after="0" w:line="240" w:lineRule="auto"/>
        <w:textAlignment w:val="auto"/>
        <w:outlineLvl w:val="1"/>
        <w:rPr>
          <w:rFonts w:hint="default" w:ascii="Times New Roman" w:hAnsi="Times New Roman" w:eastAsia="方正仿宋_GBK" w:cs="Times New Roman"/>
          <w:b w:val="0"/>
          <w:bCs w:val="0"/>
          <w:sz w:val="33"/>
          <w:szCs w:val="33"/>
        </w:rPr>
      </w:pPr>
      <w:bookmarkStart w:id="58" w:name="_Toc15396623"/>
      <w:r>
        <w:rPr>
          <w:rFonts w:hint="default" w:ascii="Times New Roman" w:hAnsi="Times New Roman" w:eastAsia="方正仿宋_GBK" w:cs="Times New Roman"/>
          <w:b w:val="0"/>
          <w:bCs w:val="0"/>
          <w:sz w:val="33"/>
          <w:szCs w:val="33"/>
        </w:rPr>
        <w:t>五、财政拨款支出决算明细表</w:t>
      </w:r>
      <w:bookmarkEnd w:id="58"/>
      <w:bookmarkStart w:id="59" w:name="_Toc15396624"/>
    </w:p>
    <w:p>
      <w:pPr>
        <w:pStyle w:val="4"/>
        <w:keepNext w:val="0"/>
        <w:keepLines w:val="0"/>
        <w:pageBreakBefore w:val="0"/>
        <w:widowControl w:val="0"/>
        <w:kinsoku/>
        <w:wordWrap/>
        <w:overflowPunct/>
        <w:topLinePunct w:val="0"/>
        <w:autoSpaceDE/>
        <w:autoSpaceDN/>
        <w:bidi w:val="0"/>
        <w:adjustRightInd/>
        <w:snapToGrid/>
        <w:spacing w:before="0" w:after="0" w:line="240" w:lineRule="auto"/>
        <w:textAlignment w:val="auto"/>
        <w:outlineLvl w:val="1"/>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rPr>
        <w:t>六、一般公共预算财政拨款支出决算表</w:t>
      </w:r>
      <w:bookmarkEnd w:id="59"/>
    </w:p>
    <w:p>
      <w:pPr>
        <w:pStyle w:val="4"/>
        <w:keepNext w:val="0"/>
        <w:keepLines w:val="0"/>
        <w:pageBreakBefore w:val="0"/>
        <w:widowControl w:val="0"/>
        <w:kinsoku/>
        <w:wordWrap/>
        <w:overflowPunct/>
        <w:topLinePunct w:val="0"/>
        <w:autoSpaceDE/>
        <w:autoSpaceDN/>
        <w:bidi w:val="0"/>
        <w:adjustRightInd/>
        <w:snapToGrid/>
        <w:spacing w:before="0" w:after="0" w:line="240" w:lineRule="auto"/>
        <w:textAlignment w:val="auto"/>
        <w:outlineLvl w:val="1"/>
        <w:rPr>
          <w:rFonts w:hint="default" w:ascii="Times New Roman" w:hAnsi="Times New Roman" w:eastAsia="方正仿宋_GBK" w:cs="Times New Roman"/>
          <w:b w:val="0"/>
          <w:bCs w:val="0"/>
          <w:sz w:val="33"/>
          <w:szCs w:val="33"/>
        </w:rPr>
      </w:pPr>
      <w:bookmarkStart w:id="60" w:name="_Toc15396625"/>
      <w:r>
        <w:rPr>
          <w:rFonts w:hint="default" w:ascii="Times New Roman" w:hAnsi="Times New Roman" w:eastAsia="方正仿宋_GBK" w:cs="Times New Roman"/>
          <w:b w:val="0"/>
          <w:bCs w:val="0"/>
          <w:sz w:val="33"/>
          <w:szCs w:val="33"/>
        </w:rPr>
        <w:t>七、一般公共预算财政拨款支出决算明细表</w:t>
      </w:r>
      <w:bookmarkEnd w:id="60"/>
    </w:p>
    <w:p>
      <w:pPr>
        <w:pStyle w:val="4"/>
        <w:keepNext w:val="0"/>
        <w:keepLines w:val="0"/>
        <w:pageBreakBefore w:val="0"/>
        <w:widowControl w:val="0"/>
        <w:kinsoku/>
        <w:wordWrap/>
        <w:overflowPunct/>
        <w:topLinePunct w:val="0"/>
        <w:autoSpaceDE/>
        <w:autoSpaceDN/>
        <w:bidi w:val="0"/>
        <w:adjustRightInd/>
        <w:snapToGrid/>
        <w:spacing w:before="0" w:after="0" w:line="240" w:lineRule="auto"/>
        <w:textAlignment w:val="auto"/>
        <w:outlineLvl w:val="1"/>
        <w:rPr>
          <w:rFonts w:hint="default" w:ascii="Times New Roman" w:hAnsi="Times New Roman" w:eastAsia="方正仿宋_GBK" w:cs="Times New Roman"/>
          <w:b w:val="0"/>
          <w:bCs w:val="0"/>
          <w:sz w:val="33"/>
          <w:szCs w:val="33"/>
        </w:rPr>
      </w:pPr>
      <w:bookmarkStart w:id="61" w:name="_Toc15396626"/>
      <w:r>
        <w:rPr>
          <w:rFonts w:hint="default" w:ascii="Times New Roman" w:hAnsi="Times New Roman" w:eastAsia="方正仿宋_GBK" w:cs="Times New Roman"/>
          <w:b w:val="0"/>
          <w:bCs w:val="0"/>
          <w:sz w:val="33"/>
          <w:szCs w:val="33"/>
        </w:rPr>
        <w:t>八、一般公共预算财政拨款基本支出决算表</w:t>
      </w:r>
      <w:bookmarkEnd w:id="61"/>
    </w:p>
    <w:p>
      <w:pPr>
        <w:pStyle w:val="4"/>
        <w:keepNext w:val="0"/>
        <w:keepLines w:val="0"/>
        <w:pageBreakBefore w:val="0"/>
        <w:widowControl w:val="0"/>
        <w:kinsoku/>
        <w:wordWrap/>
        <w:overflowPunct/>
        <w:topLinePunct w:val="0"/>
        <w:autoSpaceDE/>
        <w:autoSpaceDN/>
        <w:bidi w:val="0"/>
        <w:adjustRightInd/>
        <w:snapToGrid/>
        <w:spacing w:before="0" w:after="0" w:line="240" w:lineRule="auto"/>
        <w:textAlignment w:val="auto"/>
        <w:outlineLvl w:val="1"/>
        <w:rPr>
          <w:rFonts w:hint="default" w:ascii="Times New Roman" w:hAnsi="Times New Roman" w:eastAsia="方正仿宋_GBK" w:cs="Times New Roman"/>
          <w:b w:val="0"/>
          <w:bCs w:val="0"/>
          <w:sz w:val="33"/>
          <w:szCs w:val="33"/>
        </w:rPr>
      </w:pPr>
      <w:bookmarkStart w:id="62" w:name="_Toc15396627"/>
      <w:r>
        <w:rPr>
          <w:rFonts w:hint="default" w:ascii="Times New Roman" w:hAnsi="Times New Roman" w:eastAsia="方正仿宋_GBK" w:cs="Times New Roman"/>
          <w:b w:val="0"/>
          <w:bCs w:val="0"/>
          <w:sz w:val="33"/>
          <w:szCs w:val="33"/>
        </w:rPr>
        <w:t>九、一般公共预算财政拨款项目支出决算表</w:t>
      </w:r>
      <w:bookmarkEnd w:id="62"/>
    </w:p>
    <w:p>
      <w:pPr>
        <w:pStyle w:val="4"/>
        <w:keepNext w:val="0"/>
        <w:keepLines w:val="0"/>
        <w:pageBreakBefore w:val="0"/>
        <w:widowControl w:val="0"/>
        <w:kinsoku/>
        <w:wordWrap/>
        <w:overflowPunct/>
        <w:topLinePunct w:val="0"/>
        <w:autoSpaceDE/>
        <w:autoSpaceDN/>
        <w:bidi w:val="0"/>
        <w:adjustRightInd/>
        <w:snapToGrid/>
        <w:spacing w:before="0" w:after="0" w:line="240" w:lineRule="auto"/>
        <w:textAlignment w:val="auto"/>
        <w:outlineLvl w:val="1"/>
        <w:rPr>
          <w:rFonts w:hint="default" w:ascii="Times New Roman" w:hAnsi="Times New Roman" w:eastAsia="方正仿宋_GBK" w:cs="Times New Roman"/>
          <w:b w:val="0"/>
          <w:bCs w:val="0"/>
          <w:sz w:val="33"/>
          <w:szCs w:val="33"/>
        </w:rPr>
      </w:pPr>
      <w:bookmarkStart w:id="63" w:name="_Toc15396628"/>
      <w:r>
        <w:rPr>
          <w:rFonts w:hint="default" w:ascii="Times New Roman" w:hAnsi="Times New Roman" w:eastAsia="方正仿宋_GBK" w:cs="Times New Roman"/>
          <w:b w:val="0"/>
          <w:bCs w:val="0"/>
          <w:sz w:val="33"/>
          <w:szCs w:val="33"/>
        </w:rPr>
        <w:t>十、一般公共预算财政拨款“三公”经费支出决算表</w:t>
      </w:r>
      <w:bookmarkEnd w:id="63"/>
    </w:p>
    <w:p>
      <w:pPr>
        <w:pStyle w:val="4"/>
        <w:keepNext w:val="0"/>
        <w:keepLines w:val="0"/>
        <w:pageBreakBefore w:val="0"/>
        <w:widowControl w:val="0"/>
        <w:kinsoku/>
        <w:wordWrap/>
        <w:overflowPunct/>
        <w:topLinePunct w:val="0"/>
        <w:autoSpaceDE/>
        <w:autoSpaceDN/>
        <w:bidi w:val="0"/>
        <w:adjustRightInd/>
        <w:snapToGrid/>
        <w:spacing w:before="0" w:after="0" w:line="240" w:lineRule="auto"/>
        <w:textAlignment w:val="auto"/>
        <w:outlineLvl w:val="1"/>
        <w:rPr>
          <w:rFonts w:hint="default" w:ascii="Times New Roman" w:hAnsi="Times New Roman" w:eastAsia="方正仿宋_GBK" w:cs="Times New Roman"/>
          <w:b w:val="0"/>
          <w:bCs w:val="0"/>
          <w:sz w:val="33"/>
          <w:szCs w:val="33"/>
        </w:rPr>
      </w:pPr>
      <w:bookmarkStart w:id="64" w:name="_Toc15396629"/>
      <w:r>
        <w:rPr>
          <w:rFonts w:hint="default" w:ascii="Times New Roman" w:hAnsi="Times New Roman" w:eastAsia="方正仿宋_GBK" w:cs="Times New Roman"/>
          <w:b w:val="0"/>
          <w:bCs w:val="0"/>
          <w:sz w:val="33"/>
          <w:szCs w:val="33"/>
        </w:rPr>
        <w:t>十一、政府性基金预算财政拨款收入支出决算表</w:t>
      </w:r>
      <w:bookmarkEnd w:id="64"/>
    </w:p>
    <w:p>
      <w:pPr>
        <w:pStyle w:val="4"/>
        <w:keepNext w:val="0"/>
        <w:keepLines w:val="0"/>
        <w:pageBreakBefore w:val="0"/>
        <w:widowControl w:val="0"/>
        <w:kinsoku/>
        <w:wordWrap/>
        <w:overflowPunct/>
        <w:topLinePunct w:val="0"/>
        <w:autoSpaceDE/>
        <w:autoSpaceDN/>
        <w:bidi w:val="0"/>
        <w:adjustRightInd/>
        <w:snapToGrid/>
        <w:spacing w:before="0" w:after="0" w:line="240" w:lineRule="auto"/>
        <w:textAlignment w:val="auto"/>
        <w:outlineLvl w:val="1"/>
        <w:rPr>
          <w:rFonts w:hint="default" w:ascii="Times New Roman" w:hAnsi="Times New Roman" w:eastAsia="方正仿宋_GBK" w:cs="Times New Roman"/>
          <w:b w:val="0"/>
          <w:bCs w:val="0"/>
          <w:sz w:val="33"/>
          <w:szCs w:val="33"/>
        </w:rPr>
      </w:pPr>
      <w:bookmarkStart w:id="65" w:name="_Toc15396630"/>
      <w:r>
        <w:rPr>
          <w:rFonts w:hint="default" w:ascii="Times New Roman" w:hAnsi="Times New Roman" w:eastAsia="方正仿宋_GBK" w:cs="Times New Roman"/>
          <w:b w:val="0"/>
          <w:bCs w:val="0"/>
          <w:sz w:val="33"/>
          <w:szCs w:val="33"/>
        </w:rPr>
        <w:t>十二、政府性基金预算财政拨款“三公”经费支出决算表</w:t>
      </w:r>
      <w:bookmarkEnd w:id="65"/>
    </w:p>
    <w:p>
      <w:pPr>
        <w:pStyle w:val="4"/>
        <w:keepNext w:val="0"/>
        <w:keepLines w:val="0"/>
        <w:pageBreakBefore w:val="0"/>
        <w:widowControl w:val="0"/>
        <w:kinsoku/>
        <w:wordWrap/>
        <w:overflowPunct/>
        <w:topLinePunct w:val="0"/>
        <w:autoSpaceDE/>
        <w:autoSpaceDN/>
        <w:bidi w:val="0"/>
        <w:adjustRightInd/>
        <w:snapToGrid/>
        <w:spacing w:before="0" w:after="0" w:line="240" w:lineRule="auto"/>
        <w:textAlignment w:val="auto"/>
        <w:outlineLvl w:val="1"/>
        <w:rPr>
          <w:rFonts w:hint="default" w:ascii="Times New Roman" w:hAnsi="Times New Roman" w:eastAsia="方正仿宋_GBK" w:cs="Times New Roman"/>
          <w:b w:val="0"/>
          <w:bCs w:val="0"/>
          <w:sz w:val="33"/>
          <w:szCs w:val="33"/>
        </w:rPr>
      </w:pPr>
      <w:bookmarkStart w:id="66" w:name="_Toc15396631"/>
      <w:r>
        <w:rPr>
          <w:rFonts w:hint="default" w:ascii="Times New Roman" w:hAnsi="Times New Roman" w:eastAsia="方正仿宋_GBK" w:cs="Times New Roman"/>
          <w:b w:val="0"/>
          <w:bCs w:val="0"/>
          <w:sz w:val="33"/>
          <w:szCs w:val="33"/>
        </w:rPr>
        <w:t>十三、国有资本经营预算财政拨款收入支出决算表</w:t>
      </w:r>
      <w:bookmarkEnd w:id="66"/>
    </w:p>
    <w:p>
      <w:pPr>
        <w:pStyle w:val="4"/>
        <w:keepNext w:val="0"/>
        <w:keepLines w:val="0"/>
        <w:pageBreakBefore w:val="0"/>
        <w:widowControl w:val="0"/>
        <w:kinsoku/>
        <w:wordWrap/>
        <w:overflowPunct/>
        <w:topLinePunct w:val="0"/>
        <w:autoSpaceDE/>
        <w:autoSpaceDN/>
        <w:bidi w:val="0"/>
        <w:adjustRightInd/>
        <w:snapToGrid/>
        <w:spacing w:before="0" w:after="0" w:line="240" w:lineRule="auto"/>
        <w:textAlignment w:val="auto"/>
        <w:outlineLvl w:val="1"/>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rPr>
        <w:t>十四、国有资本经营预算财政拨款支出决算表</w:t>
      </w:r>
    </w:p>
    <w:sectPr>
      <w:headerReference r:id="rId3" w:type="default"/>
      <w:footerReference r:id="rId4" w:type="default"/>
      <w:pgSz w:w="11906" w:h="16838"/>
      <w:pgMar w:top="2098" w:right="1474" w:bottom="1984" w:left="1587" w:header="907" w:footer="1644" w:gutter="0"/>
      <w:pgNumType w:start="1"/>
      <w:cols w:space="0" w:num="1"/>
      <w:titlePg/>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4097" o:spid="_x0000_s4097" o:spt="202" type="#_x0000_t202" style="position:absolute;left:0pt;margin-top:0pt;height:18.5pt;width:49.55pt;mso-position-horizontal:outside;mso-position-horizontal-relative:margin;z-index:251660288;mso-width-relative:page;mso-height-relative:page;" filled="f" stroked="f" coordsize="21600,21600">
          <v:path/>
          <v:fill on="f" focussize="0,0"/>
          <v:stroke on="f" joinstyle="miter"/>
          <v:imagedata o:title=""/>
          <o:lock v:ext="edit"/>
          <v:textbox inset="0mm,0mm,0mm,0mm">
            <w:txbxContent>
              <w:p>
                <w:pPr>
                  <w:pStyle w:val="9"/>
                  <w:jc w:val="center"/>
                </w:pPr>
                <w:r>
                  <w:rPr>
                    <w:sz w:val="24"/>
                    <w:szCs w:val="24"/>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4"/>
                    <w:szCs w:val="24"/>
                  </w:rPr>
                  <w:t xml:space="preserve"> —</w:t>
                </w:r>
              </w:p>
            </w:txbxContent>
          </v:textbox>
        </v:shape>
      </w:pic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FA047D"/>
    <w:multiLevelType w:val="singleLevel"/>
    <w:tmpl w:val="E2FA047D"/>
    <w:lvl w:ilvl="0" w:tentative="0">
      <w:start w:val="3"/>
      <w:numFmt w:val="chineseCounting"/>
      <w:suff w:val="space"/>
      <w:lvlText w:val="第%1部分"/>
      <w:lvlJc w:val="left"/>
      <w:rPr>
        <w:rFonts w:hint="eastAsia" w:ascii="黑体" w:hAnsi="黑体" w:eastAsia="黑体"/>
        <w:sz w:val="44"/>
        <w:szCs w:val="4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val="1"/>
  <w:documentProtection w:enforcement="0"/>
  <w:defaultTabStop w:val="420"/>
  <w:doNotHyphenateCaps/>
  <w:drawingGridHorizontalSpacing w:val="105"/>
  <w:drawingGridVerticalSpacing w:val="290"/>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lkYmE1YzlmMGI1ZTk3OTJmY2Q1MzM5OWFlZjc5ND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A7C2D"/>
    <w:rsid w:val="000B047F"/>
    <w:rsid w:val="000B5923"/>
    <w:rsid w:val="000B5A48"/>
    <w:rsid w:val="000B6FF3"/>
    <w:rsid w:val="000B78F5"/>
    <w:rsid w:val="000C3467"/>
    <w:rsid w:val="000C3CA6"/>
    <w:rsid w:val="000D1267"/>
    <w:rsid w:val="000D1D50"/>
    <w:rsid w:val="000D5782"/>
    <w:rsid w:val="000E6613"/>
    <w:rsid w:val="000E7119"/>
    <w:rsid w:val="00114E9B"/>
    <w:rsid w:val="00142216"/>
    <w:rsid w:val="00144D6A"/>
    <w:rsid w:val="0014729F"/>
    <w:rsid w:val="00157BAB"/>
    <w:rsid w:val="00161913"/>
    <w:rsid w:val="001654D1"/>
    <w:rsid w:val="00174518"/>
    <w:rsid w:val="0018106D"/>
    <w:rsid w:val="001877A7"/>
    <w:rsid w:val="00191536"/>
    <w:rsid w:val="00194183"/>
    <w:rsid w:val="00196687"/>
    <w:rsid w:val="001C0962"/>
    <w:rsid w:val="001D7531"/>
    <w:rsid w:val="001E737D"/>
    <w:rsid w:val="001F0592"/>
    <w:rsid w:val="001F4209"/>
    <w:rsid w:val="001F7506"/>
    <w:rsid w:val="002006CD"/>
    <w:rsid w:val="00202B36"/>
    <w:rsid w:val="00204B7A"/>
    <w:rsid w:val="00204CDE"/>
    <w:rsid w:val="0021101A"/>
    <w:rsid w:val="00214B5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3CF8"/>
    <w:rsid w:val="00487E5D"/>
    <w:rsid w:val="004A711F"/>
    <w:rsid w:val="004B199D"/>
    <w:rsid w:val="004B4690"/>
    <w:rsid w:val="004E0A2D"/>
    <w:rsid w:val="004E206B"/>
    <w:rsid w:val="004E6DF7"/>
    <w:rsid w:val="004F0FBD"/>
    <w:rsid w:val="004F5EFD"/>
    <w:rsid w:val="00505A47"/>
    <w:rsid w:val="00512FDA"/>
    <w:rsid w:val="00520DA0"/>
    <w:rsid w:val="005664BB"/>
    <w:rsid w:val="00566FFA"/>
    <w:rsid w:val="0057481D"/>
    <w:rsid w:val="0058486E"/>
    <w:rsid w:val="00585B33"/>
    <w:rsid w:val="0059014D"/>
    <w:rsid w:val="005B0DBD"/>
    <w:rsid w:val="005B5C64"/>
    <w:rsid w:val="005C5337"/>
    <w:rsid w:val="005C6BD0"/>
    <w:rsid w:val="005D1C8B"/>
    <w:rsid w:val="005D468D"/>
    <w:rsid w:val="005D5CED"/>
    <w:rsid w:val="005F1A4C"/>
    <w:rsid w:val="00605688"/>
    <w:rsid w:val="006070AF"/>
    <w:rsid w:val="00607E6C"/>
    <w:rsid w:val="006101B1"/>
    <w:rsid w:val="00613A47"/>
    <w:rsid w:val="00614E44"/>
    <w:rsid w:val="0062270A"/>
    <w:rsid w:val="00622830"/>
    <w:rsid w:val="00623DA0"/>
    <w:rsid w:val="00630AEF"/>
    <w:rsid w:val="006325F8"/>
    <w:rsid w:val="00633463"/>
    <w:rsid w:val="00634C9A"/>
    <w:rsid w:val="006440E4"/>
    <w:rsid w:val="00657C67"/>
    <w:rsid w:val="0066343B"/>
    <w:rsid w:val="00664777"/>
    <w:rsid w:val="006748A4"/>
    <w:rsid w:val="00681A31"/>
    <w:rsid w:val="00683E73"/>
    <w:rsid w:val="006A3141"/>
    <w:rsid w:val="006A5E34"/>
    <w:rsid w:val="006B2422"/>
    <w:rsid w:val="006B2B9A"/>
    <w:rsid w:val="006C1937"/>
    <w:rsid w:val="006F020C"/>
    <w:rsid w:val="00704A49"/>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0782"/>
    <w:rsid w:val="007F1991"/>
    <w:rsid w:val="007F2C2F"/>
    <w:rsid w:val="007F55FC"/>
    <w:rsid w:val="007F5665"/>
    <w:rsid w:val="00800112"/>
    <w:rsid w:val="00813348"/>
    <w:rsid w:val="008253BB"/>
    <w:rsid w:val="0083671E"/>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D1184"/>
    <w:rsid w:val="008E1DE7"/>
    <w:rsid w:val="008E707C"/>
    <w:rsid w:val="00900B08"/>
    <w:rsid w:val="00902155"/>
    <w:rsid w:val="00902FA3"/>
    <w:rsid w:val="00905637"/>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2F0E"/>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1DAC"/>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A1F8F"/>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E35EF"/>
    <w:rsid w:val="00BF5BD6"/>
    <w:rsid w:val="00C03E31"/>
    <w:rsid w:val="00C33E72"/>
    <w:rsid w:val="00C354B2"/>
    <w:rsid w:val="00C35554"/>
    <w:rsid w:val="00C42709"/>
    <w:rsid w:val="00C533CC"/>
    <w:rsid w:val="00C5734A"/>
    <w:rsid w:val="00C5751C"/>
    <w:rsid w:val="00C61BFC"/>
    <w:rsid w:val="00C62B85"/>
    <w:rsid w:val="00C65438"/>
    <w:rsid w:val="00C77911"/>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51712"/>
    <w:rsid w:val="00D7035F"/>
    <w:rsid w:val="00D97824"/>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7FA9"/>
    <w:rsid w:val="00E82267"/>
    <w:rsid w:val="00E853CE"/>
    <w:rsid w:val="00E867B6"/>
    <w:rsid w:val="00EA010F"/>
    <w:rsid w:val="00ED1B63"/>
    <w:rsid w:val="00ED3C1F"/>
    <w:rsid w:val="00ED4085"/>
    <w:rsid w:val="00ED420E"/>
    <w:rsid w:val="00ED6FBE"/>
    <w:rsid w:val="00EE2F57"/>
    <w:rsid w:val="00EF4C34"/>
    <w:rsid w:val="00EF77C6"/>
    <w:rsid w:val="00F003A1"/>
    <w:rsid w:val="00F05438"/>
    <w:rsid w:val="00F10BE6"/>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D3C2F"/>
    <w:rsid w:val="06E31716"/>
    <w:rsid w:val="07845D9C"/>
    <w:rsid w:val="08C76946"/>
    <w:rsid w:val="08F10BBB"/>
    <w:rsid w:val="0A2032A3"/>
    <w:rsid w:val="0B8A37D8"/>
    <w:rsid w:val="0BD96C4B"/>
    <w:rsid w:val="0BE0446D"/>
    <w:rsid w:val="0CE84449"/>
    <w:rsid w:val="10C055FF"/>
    <w:rsid w:val="118107EC"/>
    <w:rsid w:val="11DD6519"/>
    <w:rsid w:val="13F86A1E"/>
    <w:rsid w:val="144F28C7"/>
    <w:rsid w:val="160930B2"/>
    <w:rsid w:val="16BB723D"/>
    <w:rsid w:val="18015F3F"/>
    <w:rsid w:val="1BE8440E"/>
    <w:rsid w:val="1CB710C0"/>
    <w:rsid w:val="1D155CEE"/>
    <w:rsid w:val="20395134"/>
    <w:rsid w:val="20F57F95"/>
    <w:rsid w:val="21102020"/>
    <w:rsid w:val="23AB3D0B"/>
    <w:rsid w:val="240371BF"/>
    <w:rsid w:val="257C650B"/>
    <w:rsid w:val="25C741E6"/>
    <w:rsid w:val="27842671"/>
    <w:rsid w:val="28B12FDA"/>
    <w:rsid w:val="29C83E83"/>
    <w:rsid w:val="29FD04D3"/>
    <w:rsid w:val="2ABE7A3E"/>
    <w:rsid w:val="2EFA178C"/>
    <w:rsid w:val="30B46D73"/>
    <w:rsid w:val="319F7F4E"/>
    <w:rsid w:val="3884234C"/>
    <w:rsid w:val="38B37B56"/>
    <w:rsid w:val="39AE70AB"/>
    <w:rsid w:val="3C0C0783"/>
    <w:rsid w:val="3C3D6F54"/>
    <w:rsid w:val="3CE65D2B"/>
    <w:rsid w:val="3F9F3A96"/>
    <w:rsid w:val="45FB4EE2"/>
    <w:rsid w:val="47170D63"/>
    <w:rsid w:val="47A95F9F"/>
    <w:rsid w:val="47C46B58"/>
    <w:rsid w:val="493C27E9"/>
    <w:rsid w:val="496F39ED"/>
    <w:rsid w:val="49FF41D3"/>
    <w:rsid w:val="4BE068DB"/>
    <w:rsid w:val="4BF6002B"/>
    <w:rsid w:val="4ECE2238"/>
    <w:rsid w:val="509C774A"/>
    <w:rsid w:val="51DB4B86"/>
    <w:rsid w:val="523E6960"/>
    <w:rsid w:val="53B83B7E"/>
    <w:rsid w:val="55333C3E"/>
    <w:rsid w:val="56C4543F"/>
    <w:rsid w:val="59673DEB"/>
    <w:rsid w:val="64CA39A1"/>
    <w:rsid w:val="6722754E"/>
    <w:rsid w:val="6C4A05C8"/>
    <w:rsid w:val="6EB12E94"/>
    <w:rsid w:val="72734D90"/>
    <w:rsid w:val="74357F8F"/>
    <w:rsid w:val="76FC1502"/>
    <w:rsid w:val="77B66E7D"/>
    <w:rsid w:val="784D3AFA"/>
    <w:rsid w:val="79E7B28D"/>
    <w:rsid w:val="7B344091"/>
    <w:rsid w:val="7E2B3666"/>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8"/>
    <w:qFormat/>
    <w:uiPriority w:val="9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3">
    <w:name w:val="Default Paragraph Font"/>
    <w:semiHidden/>
    <w:qFormat/>
    <w:uiPriority w:val="99"/>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7"/>
    <w:qFormat/>
    <w:uiPriority w:val="99"/>
    <w:pPr>
      <w:spacing w:beforeLines="30"/>
    </w:pPr>
    <w:rPr>
      <w:rFonts w:ascii="仿宋_GB2312" w:eastAsia="仿宋_GB2312" w:cs="仿宋_GB2312"/>
      <w:kern w:val="0"/>
      <w:sz w:val="24"/>
      <w:szCs w:val="24"/>
    </w:rPr>
  </w:style>
  <w:style w:type="paragraph" w:styleId="6">
    <w:name w:val="toc 3"/>
    <w:basedOn w:val="1"/>
    <w:next w:val="1"/>
    <w:semiHidden/>
    <w:qFormat/>
    <w:uiPriority w:val="99"/>
    <w:pPr>
      <w:tabs>
        <w:tab w:val="right" w:leader="dot" w:pos="8296"/>
      </w:tabs>
      <w:ind w:left="840" w:leftChars="400"/>
    </w:pPr>
  </w:style>
  <w:style w:type="paragraph" w:styleId="7">
    <w:name w:val="Plain Text"/>
    <w:basedOn w:val="1"/>
    <w:link w:val="21"/>
    <w:uiPriority w:val="99"/>
    <w:rPr>
      <w:rFonts w:ascii="宋体" w:hAnsi="Courier New" w:cs="宋体"/>
    </w:rPr>
  </w:style>
  <w:style w:type="paragraph" w:styleId="8">
    <w:name w:val="Balloon Text"/>
    <w:basedOn w:val="1"/>
    <w:link w:val="22"/>
    <w:semiHidden/>
    <w:qFormat/>
    <w:uiPriority w:val="99"/>
    <w:rPr>
      <w:sz w:val="18"/>
      <w:szCs w:val="18"/>
    </w:rPr>
  </w:style>
  <w:style w:type="paragraph" w:styleId="9">
    <w:name w:val="footer"/>
    <w:basedOn w:val="1"/>
    <w:link w:val="26"/>
    <w:qFormat/>
    <w:uiPriority w:val="99"/>
    <w:pPr>
      <w:tabs>
        <w:tab w:val="center" w:pos="4153"/>
        <w:tab w:val="right" w:pos="8306"/>
      </w:tabs>
      <w:snapToGrid w:val="0"/>
      <w:jc w:val="left"/>
    </w:pPr>
    <w:rPr>
      <w:kern w:val="0"/>
      <w:sz w:val="18"/>
      <w:szCs w:val="18"/>
    </w:rPr>
  </w:style>
  <w:style w:type="paragraph" w:styleId="10">
    <w:name w:val="header"/>
    <w:basedOn w:val="1"/>
    <w:link w:val="25"/>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semiHidden/>
    <w:qFormat/>
    <w:uiPriority w:val="99"/>
    <w:pPr>
      <w:tabs>
        <w:tab w:val="right" w:leader="dot" w:pos="8296"/>
      </w:tabs>
      <w:spacing w:before="93"/>
      <w:jc w:val="center"/>
    </w:pPr>
    <w:rPr>
      <w:rFonts w:ascii="仿宋" w:hAnsi="仿宋" w:eastAsia="仿宋" w:cs="仿宋"/>
      <w:sz w:val="28"/>
      <w:szCs w:val="28"/>
    </w:rPr>
  </w:style>
  <w:style w:type="paragraph" w:styleId="12">
    <w:name w:val="toc 2"/>
    <w:basedOn w:val="1"/>
    <w:next w:val="1"/>
    <w:semiHidden/>
    <w:qFormat/>
    <w:uiPriority w:val="99"/>
    <w:pPr>
      <w:tabs>
        <w:tab w:val="right" w:leader="dot" w:pos="8296"/>
      </w:tabs>
      <w:ind w:left="420" w:leftChars="200"/>
    </w:pPr>
  </w:style>
  <w:style w:type="character" w:styleId="14">
    <w:name w:val="Strong"/>
    <w:basedOn w:val="13"/>
    <w:qFormat/>
    <w:uiPriority w:val="99"/>
    <w:rPr>
      <w:b/>
      <w:bCs/>
    </w:rPr>
  </w:style>
  <w:style w:type="character" w:styleId="15">
    <w:name w:val="Hyperlink"/>
    <w:basedOn w:val="13"/>
    <w:qFormat/>
    <w:uiPriority w:val="99"/>
    <w:rPr>
      <w:color w:val="0000FF"/>
      <w:u w:val="single"/>
    </w:rPr>
  </w:style>
  <w:style w:type="character" w:customStyle="1" w:styleId="17">
    <w:name w:val="Heading 1 Char"/>
    <w:basedOn w:val="13"/>
    <w:link w:val="3"/>
    <w:qFormat/>
    <w:locked/>
    <w:uiPriority w:val="99"/>
    <w:rPr>
      <w:rFonts w:ascii="Times New Roman" w:hAnsi="Times New Roman" w:cs="Times New Roman"/>
      <w:b/>
      <w:bCs/>
      <w:kern w:val="44"/>
      <w:sz w:val="44"/>
      <w:szCs w:val="44"/>
    </w:rPr>
  </w:style>
  <w:style w:type="character" w:customStyle="1" w:styleId="18">
    <w:name w:val="Heading 2 Char"/>
    <w:basedOn w:val="13"/>
    <w:link w:val="4"/>
    <w:qFormat/>
    <w:locked/>
    <w:uiPriority w:val="99"/>
    <w:rPr>
      <w:rFonts w:ascii="Cambria" w:hAnsi="Cambria" w:eastAsia="宋体" w:cs="Cambria"/>
      <w:b/>
      <w:bCs/>
      <w:kern w:val="2"/>
      <w:sz w:val="32"/>
      <w:szCs w:val="32"/>
    </w:rPr>
  </w:style>
  <w:style w:type="character" w:customStyle="1" w:styleId="19">
    <w:name w:val="Heading 3 Char"/>
    <w:basedOn w:val="13"/>
    <w:link w:val="5"/>
    <w:qFormat/>
    <w:locked/>
    <w:uiPriority w:val="99"/>
    <w:rPr>
      <w:rFonts w:ascii="Times New Roman" w:hAnsi="Times New Roman" w:cs="Times New Roman"/>
      <w:b/>
      <w:bCs/>
      <w:kern w:val="2"/>
      <w:sz w:val="32"/>
      <w:szCs w:val="32"/>
    </w:rPr>
  </w:style>
  <w:style w:type="character" w:customStyle="1" w:styleId="20">
    <w:name w:val="Body Text Char"/>
    <w:basedOn w:val="13"/>
    <w:link w:val="2"/>
    <w:semiHidden/>
    <w:qFormat/>
    <w:uiPriority w:val="99"/>
    <w:rPr>
      <w:rFonts w:ascii="Times New Roman" w:hAnsi="Times New Roman" w:cs="Times New Roman"/>
      <w:sz w:val="24"/>
      <w:szCs w:val="24"/>
    </w:rPr>
  </w:style>
  <w:style w:type="character" w:customStyle="1" w:styleId="21">
    <w:name w:val="Plain Text Char"/>
    <w:basedOn w:val="13"/>
    <w:link w:val="7"/>
    <w:semiHidden/>
    <w:qFormat/>
    <w:uiPriority w:val="99"/>
    <w:rPr>
      <w:rFonts w:ascii="宋体" w:hAnsi="Courier New" w:cs="Courier New"/>
      <w:szCs w:val="21"/>
    </w:rPr>
  </w:style>
  <w:style w:type="character" w:customStyle="1" w:styleId="22">
    <w:name w:val="Balloon Text Char"/>
    <w:basedOn w:val="13"/>
    <w:link w:val="8"/>
    <w:semiHidden/>
    <w:qFormat/>
    <w:locked/>
    <w:uiPriority w:val="99"/>
    <w:rPr>
      <w:rFonts w:ascii="Times New Roman" w:hAnsi="Times New Roman" w:cs="Times New Roman"/>
      <w:kern w:val="2"/>
      <w:sz w:val="18"/>
      <w:szCs w:val="18"/>
    </w:rPr>
  </w:style>
  <w:style w:type="character" w:customStyle="1" w:styleId="23">
    <w:name w:val="Footer Char"/>
    <w:basedOn w:val="13"/>
    <w:link w:val="9"/>
    <w:semiHidden/>
    <w:qFormat/>
    <w:uiPriority w:val="99"/>
    <w:rPr>
      <w:rFonts w:ascii="Times New Roman" w:hAnsi="Times New Roman" w:cs="Times New Roman"/>
      <w:sz w:val="18"/>
      <w:szCs w:val="18"/>
    </w:rPr>
  </w:style>
  <w:style w:type="character" w:customStyle="1" w:styleId="24">
    <w:name w:val="Header Char"/>
    <w:basedOn w:val="13"/>
    <w:link w:val="10"/>
    <w:semiHidden/>
    <w:qFormat/>
    <w:uiPriority w:val="99"/>
    <w:rPr>
      <w:rFonts w:ascii="Times New Roman" w:hAnsi="Times New Roman" w:cs="Times New Roman"/>
      <w:sz w:val="18"/>
      <w:szCs w:val="18"/>
    </w:rPr>
  </w:style>
  <w:style w:type="character" w:customStyle="1" w:styleId="25">
    <w:name w:val="Header Char1"/>
    <w:link w:val="10"/>
    <w:semiHidden/>
    <w:qFormat/>
    <w:locked/>
    <w:uiPriority w:val="99"/>
    <w:rPr>
      <w:sz w:val="18"/>
      <w:szCs w:val="18"/>
    </w:rPr>
  </w:style>
  <w:style w:type="character" w:customStyle="1" w:styleId="26">
    <w:name w:val="Footer Char1"/>
    <w:link w:val="9"/>
    <w:qFormat/>
    <w:locked/>
    <w:uiPriority w:val="99"/>
    <w:rPr>
      <w:sz w:val="18"/>
      <w:szCs w:val="18"/>
    </w:rPr>
  </w:style>
  <w:style w:type="character" w:customStyle="1" w:styleId="27">
    <w:name w:val="Body Text Char1"/>
    <w:link w:val="2"/>
    <w:qFormat/>
    <w:locked/>
    <w:uiPriority w:val="99"/>
    <w:rPr>
      <w:rFonts w:ascii="仿宋_GB2312" w:hAnsi="Times New Roman" w:eastAsia="仿宋_GB2312" w:cs="仿宋_GB2312"/>
      <w:sz w:val="24"/>
      <w:szCs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9">
    <w:name w:val="List Paragraph"/>
    <w:basedOn w:val="1"/>
    <w:qFormat/>
    <w:uiPriority w:val="99"/>
    <w:pPr>
      <w:ind w:firstLine="420" w:firstLineChars="200"/>
    </w:pPr>
  </w:style>
  <w:style w:type="paragraph" w:customStyle="1" w:styleId="30">
    <w:name w:val="TOC 标题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31">
    <w:name w:val="TOC 标题2"/>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character" w:customStyle="1" w:styleId="32">
    <w:name w:val="font51"/>
    <w:basedOn w:val="13"/>
    <w:qFormat/>
    <w:uiPriority w:val="99"/>
    <w:rPr>
      <w:rFonts w:ascii="方正小标宋_GBK" w:hAnsi="方正小标宋_GBK" w:eastAsia="方正小标宋_GBK" w:cs="方正小标宋_GBK"/>
      <w:b/>
      <w:bCs/>
      <w:color w:val="000000"/>
      <w:sz w:val="38"/>
      <w:szCs w:val="38"/>
      <w:u w:val="none"/>
    </w:rPr>
  </w:style>
  <w:style w:type="character" w:customStyle="1" w:styleId="33">
    <w:name w:val="font31"/>
    <w:basedOn w:val="13"/>
    <w:qFormat/>
    <w:uiPriority w:val="99"/>
    <w:rPr>
      <w:rFonts w:ascii="Times New Roman" w:hAnsi="Times New Roman" w:cs="Times New Roman"/>
      <w:color w:val="000000"/>
      <w:sz w:val="24"/>
      <w:szCs w:val="24"/>
      <w:u w:val="none"/>
    </w:rPr>
  </w:style>
  <w:style w:type="character" w:customStyle="1" w:styleId="34">
    <w:name w:val="font11"/>
    <w:basedOn w:val="13"/>
    <w:qFormat/>
    <w:uiPriority w:val="99"/>
    <w:rPr>
      <w:rFonts w:ascii="宋体" w:hAnsi="宋体" w:eastAsia="宋体" w:cs="宋体"/>
      <w:color w:val="000000"/>
      <w:sz w:val="24"/>
      <w:szCs w:val="24"/>
      <w:u w:val="none"/>
    </w:rPr>
  </w:style>
  <w:style w:type="character" w:customStyle="1" w:styleId="35">
    <w:name w:val="font61"/>
    <w:basedOn w:val="13"/>
    <w:qFormat/>
    <w:uiPriority w:val="99"/>
    <w:rPr>
      <w:rFonts w:ascii="宋体" w:hAnsi="宋体" w:eastAsia="宋体" w:cs="宋体"/>
      <w:color w:val="000000"/>
      <w:sz w:val="24"/>
      <w:szCs w:val="24"/>
      <w:u w:val="none"/>
    </w:rPr>
  </w:style>
  <w:style w:type="character" w:customStyle="1" w:styleId="36">
    <w:name w:val="font41"/>
    <w:basedOn w:val="13"/>
    <w:qFormat/>
    <w:uiPriority w:val="99"/>
    <w:rPr>
      <w:rFonts w:ascii="宋体" w:hAnsi="宋体" w:eastAsia="宋体" w:cs="宋体"/>
      <w:color w:val="000000"/>
      <w:sz w:val="24"/>
      <w:szCs w:val="24"/>
      <w:u w:val="none"/>
    </w:rPr>
  </w:style>
  <w:style w:type="character" w:customStyle="1" w:styleId="37">
    <w:name w:val="font01"/>
    <w:basedOn w:val="13"/>
    <w:qFormat/>
    <w:uiPriority w:val="99"/>
    <w:rPr>
      <w:rFonts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22</Pages>
  <Words>1435</Words>
  <Characters>8181</Characters>
  <Lines>0</Lines>
  <Paragraphs>0</Paragraphs>
  <TotalTime>6</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浅浅</cp:lastModifiedBy>
  <cp:lastPrinted>2023-10-10T01:14:33Z</cp:lastPrinted>
  <dcterms:modified xsi:type="dcterms:W3CDTF">2023-10-10T01:25:17Z</dcterms:modified>
  <dc:title>四川省***</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D6041E2DC1F64342BCBD384BF75945C3</vt:lpwstr>
  </property>
</Properties>
</file>