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jc w:val="center"/>
        <w:outlineLvl w:val="0"/>
        <w:rPr>
          <w:rFonts w:hint="default" w:ascii="Times New Roman" w:hAnsi="Times New Roman" w:eastAsia="方正小标宋简体" w:cs="Times New Roman"/>
          <w:sz w:val="72"/>
          <w:szCs w:val="72"/>
        </w:rPr>
      </w:pPr>
      <w:bookmarkStart w:id="0" w:name="_Toc15306267"/>
    </w:p>
    <w:p>
      <w:pPr>
        <w:keepNext w:val="0"/>
        <w:keepLines w:val="0"/>
        <w:pageBreakBefore w:val="0"/>
        <w:widowControl w:val="0"/>
        <w:kinsoku/>
        <w:wordWrap/>
        <w:overflowPunct/>
        <w:topLinePunct w:val="0"/>
        <w:bidi w:val="0"/>
        <w:adjustRightInd/>
        <w:snapToGrid/>
        <w:spacing w:line="600" w:lineRule="exact"/>
        <w:jc w:val="center"/>
        <w:outlineLvl w:val="0"/>
        <w:rPr>
          <w:rFonts w:hint="default" w:ascii="Times New Roman" w:hAnsi="Times New Roman" w:eastAsia="方正小标宋简体" w:cs="Times New Roman"/>
          <w:sz w:val="72"/>
          <w:szCs w:val="72"/>
        </w:rPr>
      </w:pPr>
    </w:p>
    <w:p>
      <w:pPr>
        <w:keepNext w:val="0"/>
        <w:keepLines w:val="0"/>
        <w:pageBreakBefore w:val="0"/>
        <w:widowControl w:val="0"/>
        <w:kinsoku/>
        <w:wordWrap/>
        <w:overflowPunct/>
        <w:topLinePunct w:val="0"/>
        <w:bidi w:val="0"/>
        <w:adjustRightInd/>
        <w:snapToGrid/>
        <w:spacing w:line="600" w:lineRule="exact"/>
        <w:jc w:val="center"/>
        <w:outlineLvl w:val="0"/>
        <w:rPr>
          <w:rFonts w:hint="default" w:ascii="Times New Roman" w:hAnsi="Times New Roman" w:eastAsia="方正小标宋简体" w:cs="Times New Roman"/>
          <w:sz w:val="72"/>
          <w:szCs w:val="72"/>
        </w:rPr>
      </w:pPr>
    </w:p>
    <w:p>
      <w:pPr>
        <w:keepNext w:val="0"/>
        <w:keepLines w:val="0"/>
        <w:pageBreakBefore w:val="0"/>
        <w:widowControl w:val="0"/>
        <w:kinsoku/>
        <w:wordWrap/>
        <w:overflowPunct/>
        <w:topLinePunct w:val="0"/>
        <w:bidi w:val="0"/>
        <w:adjustRightInd/>
        <w:snapToGrid/>
        <w:spacing w:line="600" w:lineRule="exact"/>
        <w:jc w:val="center"/>
        <w:outlineLvl w:val="0"/>
        <w:rPr>
          <w:rFonts w:hint="default" w:ascii="Times New Roman" w:hAnsi="Times New Roman" w:eastAsia="方正小标宋简体" w:cs="Times New Roman"/>
          <w:sz w:val="72"/>
          <w:szCs w:val="72"/>
        </w:rPr>
      </w:pPr>
    </w:p>
    <w:p>
      <w:pPr>
        <w:keepNext w:val="0"/>
        <w:keepLines w:val="0"/>
        <w:pageBreakBefore w:val="0"/>
        <w:widowControl w:val="0"/>
        <w:kinsoku/>
        <w:wordWrap/>
        <w:overflowPunct/>
        <w:topLinePunct w:val="0"/>
        <w:bidi w:val="0"/>
        <w:adjustRightInd/>
        <w:snapToGrid/>
        <w:spacing w:line="360" w:lineRule="auto"/>
        <w:jc w:val="center"/>
        <w:outlineLvl w:val="0"/>
        <w:rPr>
          <w:rFonts w:hint="default" w:ascii="Times New Roman" w:hAnsi="Times New Roman" w:eastAsia="方正小标宋简体" w:cs="Times New Roman"/>
          <w:sz w:val="72"/>
          <w:szCs w:val="72"/>
        </w:rPr>
      </w:pPr>
      <w:bookmarkStart w:id="1" w:name="_Toc15377425"/>
      <w:bookmarkStart w:id="2" w:name="_Toc15396475"/>
      <w:bookmarkStart w:id="3" w:name="_Toc15396597"/>
      <w:bookmarkStart w:id="4" w:name="_Toc15377193"/>
      <w:bookmarkStart w:id="5" w:name="_Toc15378441"/>
      <w:r>
        <w:rPr>
          <w:rFonts w:hint="default" w:ascii="Times New Roman" w:hAnsi="Times New Roman" w:eastAsia="方正小标宋简体" w:cs="Times New Roman"/>
          <w:sz w:val="72"/>
          <w:szCs w:val="72"/>
        </w:rPr>
        <w:t>2021年度</w:t>
      </w:r>
      <w:bookmarkEnd w:id="0"/>
      <w:bookmarkEnd w:id="1"/>
      <w:bookmarkEnd w:id="2"/>
      <w:bookmarkEnd w:id="3"/>
      <w:bookmarkEnd w:id="4"/>
      <w:bookmarkEnd w:id="5"/>
      <w:bookmarkStart w:id="6" w:name="_Toc15377194"/>
      <w:bookmarkStart w:id="7" w:name="_Toc15396476"/>
      <w:bookmarkStart w:id="8" w:name="_Toc15378442"/>
      <w:bookmarkStart w:id="9" w:name="_Toc15377426"/>
      <w:bookmarkStart w:id="10" w:name="_Toc15306268"/>
      <w:bookmarkStart w:id="11" w:name="_Toc15396598"/>
    </w:p>
    <w:p>
      <w:pPr>
        <w:keepNext w:val="0"/>
        <w:keepLines w:val="0"/>
        <w:pageBreakBefore w:val="0"/>
        <w:widowControl w:val="0"/>
        <w:kinsoku/>
        <w:wordWrap/>
        <w:overflowPunct/>
        <w:topLinePunct w:val="0"/>
        <w:bidi w:val="0"/>
        <w:adjustRightInd/>
        <w:snapToGrid/>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中国共产党攀枝花市西区</w:t>
      </w:r>
    </w:p>
    <w:p>
      <w:pPr>
        <w:keepNext w:val="0"/>
        <w:keepLines w:val="0"/>
        <w:pageBreakBefore w:val="0"/>
        <w:widowControl w:val="0"/>
        <w:kinsoku/>
        <w:wordWrap/>
        <w:overflowPunct/>
        <w:topLinePunct w:val="0"/>
        <w:bidi w:val="0"/>
        <w:adjustRightInd/>
        <w:snapToGrid/>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委员会组织部</w:t>
      </w:r>
      <w:r>
        <w:rPr>
          <w:rFonts w:hint="default" w:ascii="Times New Roman" w:hAnsi="Times New Roman" w:eastAsia="方正小标宋简体" w:cs="Times New Roman"/>
          <w:sz w:val="72"/>
          <w:szCs w:val="72"/>
          <w:lang w:eastAsia="zh-CN"/>
        </w:rPr>
        <w:t>部门</w:t>
      </w:r>
      <w:r>
        <w:rPr>
          <w:rFonts w:hint="default" w:ascii="Times New Roman" w:hAnsi="Times New Roman" w:eastAsia="方正小标宋简体" w:cs="Times New Roman"/>
          <w:sz w:val="72"/>
          <w:szCs w:val="72"/>
        </w:rPr>
        <w:t>决算</w:t>
      </w:r>
      <w:bookmarkEnd w:id="6"/>
      <w:bookmarkEnd w:id="7"/>
      <w:bookmarkEnd w:id="8"/>
      <w:bookmarkEnd w:id="9"/>
      <w:bookmarkEnd w:id="10"/>
      <w:bookmarkEnd w:id="11"/>
    </w:p>
    <w:p>
      <w:pPr>
        <w:keepNext w:val="0"/>
        <w:keepLines w:val="0"/>
        <w:pageBreakBefore w:val="0"/>
        <w:widowControl w:val="0"/>
        <w:kinsoku/>
        <w:wordWrap/>
        <w:overflowPunct/>
        <w:topLinePunct w:val="0"/>
        <w:bidi w:val="0"/>
        <w:adjustRightInd/>
        <w:snapToGrid/>
        <w:spacing w:line="360" w:lineRule="auto"/>
        <w:jc w:val="center"/>
        <w:outlineLvl w:val="0"/>
        <w:rPr>
          <w:rFonts w:hint="default" w:ascii="Times New Roman" w:hAnsi="Times New Roman" w:eastAsia="方正小标宋简体" w:cs="Times New Roman"/>
          <w:sz w:val="52"/>
          <w:szCs w:val="52"/>
        </w:rPr>
      </w:pPr>
    </w:p>
    <w:p>
      <w:pPr>
        <w:keepNext w:val="0"/>
        <w:keepLines w:val="0"/>
        <w:pageBreakBefore w:val="0"/>
        <w:widowControl w:val="0"/>
        <w:kinsoku/>
        <w:wordWrap/>
        <w:overflowPunct/>
        <w:topLinePunct w:val="0"/>
        <w:bidi w:val="0"/>
        <w:adjustRightInd/>
        <w:snapToGrid/>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w:t>
      </w:r>
      <w:r>
        <w:rPr>
          <w:rFonts w:hint="default" w:ascii="Times New Roman" w:hAnsi="Times New Roman" w:eastAsia="黑体" w:cs="Times New Roman"/>
          <w:sz w:val="48"/>
          <w:szCs w:val="48"/>
          <w:lang w:val="en-US" w:eastAsia="zh-CN"/>
        </w:rPr>
        <w:t xml:space="preserve">  </w:t>
      </w:r>
      <w:r>
        <w:rPr>
          <w:rFonts w:hint="default" w:ascii="Times New Roman" w:hAnsi="Times New Roman" w:eastAsia="黑体" w:cs="Times New Roman"/>
          <w:sz w:val="48"/>
          <w:szCs w:val="48"/>
        </w:rPr>
        <w:t>录</w:t>
      </w:r>
    </w:p>
    <w:p>
      <w:pPr>
        <w:keepNext w:val="0"/>
        <w:keepLines w:val="0"/>
        <w:pageBreakBefore w:val="0"/>
        <w:widowControl w:val="0"/>
        <w:kinsoku/>
        <w:wordWrap/>
        <w:overflowPunct/>
        <w:topLinePunct w:val="0"/>
        <w:bidi w:val="0"/>
        <w:adjustRightInd/>
        <w:snapToGrid/>
        <w:jc w:val="center"/>
        <w:rPr>
          <w:rFonts w:hint="default" w:ascii="Times New Roman" w:hAnsi="Times New Roman" w:eastAsia="黑体" w:cs="Times New Roman"/>
          <w:sz w:val="28"/>
          <w:szCs w:val="28"/>
        </w:rPr>
      </w:pPr>
    </w:p>
    <w:p>
      <w:pPr>
        <w:pStyle w:val="11"/>
        <w:keepNext w:val="0"/>
        <w:keepLines w:val="0"/>
        <w:pageBreakBefore w:val="0"/>
        <w:widowControl w:val="0"/>
        <w:kinsoku/>
        <w:wordWrap/>
        <w:overflowPunct/>
        <w:topLinePunct w:val="0"/>
        <w:bidi w:val="0"/>
        <w:adjustRightInd/>
        <w:snapToGrid/>
        <w:rPr>
          <w:rFonts w:hint="default" w:ascii="Times New Roman" w:hAnsi="Times New Roman" w:cs="Times New Roman"/>
        </w:rPr>
      </w:pPr>
      <w:r>
        <w:rPr>
          <w:rFonts w:hint="default" w:ascii="Times New Roman" w:hAnsi="Times New Roman" w:cs="Times New Roman"/>
        </w:rPr>
        <w:t>公开时间：2022年</w:t>
      </w:r>
      <w:r>
        <w:rPr>
          <w:rFonts w:hint="default" w:ascii="Times New Roman" w:hAnsi="Times New Roman" w:cs="Times New Roman"/>
          <w:lang w:val="en-US" w:eastAsia="zh-CN"/>
        </w:rPr>
        <w:t>10</w:t>
      </w:r>
      <w:r>
        <w:rPr>
          <w:rFonts w:hint="default" w:ascii="Times New Roman" w:hAnsi="Times New Roman" w:cs="Times New Roman"/>
        </w:rPr>
        <w:t>月</w:t>
      </w:r>
      <w:r>
        <w:rPr>
          <w:rFonts w:hint="default" w:ascii="Times New Roman" w:hAnsi="Times New Roman" w:cs="Times New Roman"/>
          <w:lang w:val="en-US" w:eastAsia="zh-CN"/>
        </w:rPr>
        <w:t>9</w:t>
      </w:r>
      <w:r>
        <w:rPr>
          <w:rFonts w:hint="default" w:ascii="Times New Roman" w:hAnsi="Times New Roman" w:cs="Times New Roman"/>
        </w:rPr>
        <w:t>日</w:t>
      </w:r>
    </w:p>
    <w:p>
      <w:pPr>
        <w:keepNext w:val="0"/>
        <w:keepLines w:val="0"/>
        <w:pageBreakBefore w:val="0"/>
        <w:widowControl w:val="0"/>
        <w:kinsoku/>
        <w:wordWrap/>
        <w:overflowPunct/>
        <w:topLinePunct w:val="0"/>
        <w:bidi w:val="0"/>
        <w:adjustRightInd/>
        <w:snapToGrid/>
        <w:rPr>
          <w:rFonts w:hint="default" w:ascii="Times New Roman" w:hAnsi="Times New Roman" w:cs="Times New Roman"/>
        </w:rPr>
      </w:pPr>
    </w:p>
    <w:p>
      <w:pPr>
        <w:pStyle w:val="12"/>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default" w:ascii="Times New Roman" w:hAnsi="Times New Roman" w:cs="Times New Roman"/>
        </w:rPr>
      </w:pPr>
      <w:r>
        <w:rPr>
          <w:rFonts w:hint="default" w:ascii="Times New Roman" w:hAnsi="Times New Roman" w:eastAsia="仿宋" w:cs="Times New Roman"/>
          <w:sz w:val="24"/>
          <w:szCs w:val="24"/>
        </w:rPr>
        <w:t>第一部分</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eastAsia="zh-CN"/>
        </w:rPr>
        <w:t>部门概况</w:t>
      </w:r>
      <w:r>
        <w:rPr>
          <w:rFonts w:hint="default" w:ascii="Times New Roman" w:hAnsi="Times New Roman" w:cs="Times New Roman"/>
          <w:lang w:val="en-US" w:eastAsia="zh-CN"/>
        </w:rPr>
        <w:tab/>
      </w:r>
      <w:r>
        <w:rPr>
          <w:rFonts w:hint="default" w:ascii="Times New Roman" w:hAnsi="Times New Roman" w:cs="Times New Roman"/>
          <w:lang w:eastAsia="zh-CN"/>
        </w:rPr>
        <w:t>4</w:t>
      </w:r>
    </w:p>
    <w:p>
      <w:pPr>
        <w:pStyle w:val="6"/>
        <w:rPr>
          <w:rFonts w:hint="default" w:ascii="Times New Roman" w:hAnsi="Times New Roman" w:cs="Times New Roman"/>
          <w:lang w:val="en-US" w:eastAsia="zh-CN"/>
        </w:rPr>
      </w:pPr>
      <w:r>
        <w:rPr>
          <w:rFonts w:hint="default" w:ascii="Times New Roman" w:hAnsi="Times New Roman" w:cs="Times New Roman"/>
        </w:rPr>
        <w:t>一、基本职能及主要工作</w:t>
      </w:r>
      <w:r>
        <w:rPr>
          <w:rFonts w:hint="default" w:ascii="Times New Roman" w:hAnsi="Times New Roman" w:cs="Times New Roman"/>
          <w:lang w:val="en-US" w:eastAsia="zh-CN"/>
        </w:rPr>
        <w:tab/>
      </w:r>
      <w:r>
        <w:rPr>
          <w:rFonts w:hint="default" w:ascii="Times New Roman" w:hAnsi="Times New Roman" w:cs="Times New Roman"/>
          <w:lang w:val="en-US" w:eastAsia="zh-CN"/>
        </w:rPr>
        <w:t>4</w:t>
      </w:r>
    </w:p>
    <w:p>
      <w:pPr>
        <w:pStyle w:val="6"/>
        <w:rPr>
          <w:rFonts w:hint="default" w:ascii="Times New Roman" w:hAnsi="Times New Roman" w:cs="Times New Roman"/>
          <w:lang w:val="en-US" w:eastAsia="zh-CN"/>
        </w:rPr>
      </w:pPr>
      <w:r>
        <w:rPr>
          <w:rFonts w:hint="default" w:ascii="Times New Roman" w:hAnsi="Times New Roman" w:cs="Times New Roman"/>
        </w:rPr>
        <w:t>二、机构设置</w:t>
      </w:r>
      <w:r>
        <w:rPr>
          <w:rFonts w:hint="default" w:ascii="Times New Roman" w:hAnsi="Times New Roman" w:cs="Times New Roman"/>
          <w:lang w:val="en-US" w:eastAsia="zh-CN"/>
        </w:rPr>
        <w:tab/>
      </w:r>
      <w:r>
        <w:rPr>
          <w:rFonts w:hint="default" w:ascii="Times New Roman" w:hAnsi="Times New Roman" w:cs="Times New Roman"/>
          <w:lang w:val="en-US" w:eastAsia="zh-CN"/>
        </w:rPr>
        <w:t>10</w:t>
      </w:r>
    </w:p>
    <w:p>
      <w:pPr>
        <w:pStyle w:val="12"/>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default" w:ascii="Times New Roman" w:hAnsi="Times New Roman" w:cs="Times New Roman"/>
          <w:lang w:val="en-US" w:eastAsia="zh-CN"/>
        </w:rPr>
      </w:pPr>
      <w:r>
        <w:rPr>
          <w:rFonts w:hint="default" w:ascii="Times New Roman" w:hAnsi="Times New Roman" w:eastAsia="仿宋" w:cs="Times New Roman"/>
          <w:sz w:val="24"/>
          <w:szCs w:val="24"/>
        </w:rPr>
        <w:t>第二部分 2021年度</w:t>
      </w:r>
      <w:r>
        <w:rPr>
          <w:rFonts w:hint="default" w:ascii="Times New Roman" w:hAnsi="Times New Roman" w:eastAsia="仿宋" w:cs="Times New Roman"/>
          <w:sz w:val="24"/>
          <w:szCs w:val="24"/>
          <w:lang w:eastAsia="zh-CN"/>
        </w:rPr>
        <w:t>部门</w:t>
      </w:r>
      <w:r>
        <w:rPr>
          <w:rFonts w:hint="default" w:ascii="Times New Roman" w:hAnsi="Times New Roman" w:eastAsia="仿宋" w:cs="Times New Roman"/>
          <w:sz w:val="24"/>
          <w:szCs w:val="24"/>
        </w:rPr>
        <w:t>决算情况说明</w:t>
      </w:r>
      <w:r>
        <w:rPr>
          <w:rFonts w:hint="default" w:ascii="Times New Roman" w:hAnsi="Times New Roman" w:cs="Times New Roman"/>
          <w:lang w:val="en-US" w:eastAsia="zh-CN"/>
        </w:rPr>
        <w:tab/>
      </w:r>
      <w:r>
        <w:rPr>
          <w:rFonts w:hint="default" w:ascii="Times New Roman" w:hAnsi="Times New Roman" w:cs="Times New Roman"/>
          <w:lang w:val="en-US" w:eastAsia="zh-CN"/>
        </w:rPr>
        <w:t>1</w:t>
      </w:r>
      <w:r>
        <w:rPr>
          <w:rFonts w:hint="eastAsia" w:cs="Times New Roman"/>
          <w:lang w:val="en-US" w:eastAsia="zh-CN"/>
        </w:rPr>
        <w:t>0</w:t>
      </w:r>
    </w:p>
    <w:p>
      <w:pPr>
        <w:pStyle w:val="6"/>
        <w:rPr>
          <w:rFonts w:hint="default" w:ascii="Times New Roman" w:hAnsi="Times New Roman" w:cs="Times New Roman"/>
          <w:lang w:eastAsia="zh-CN"/>
        </w:rPr>
      </w:pPr>
      <w:r>
        <w:rPr>
          <w:rFonts w:hint="default" w:ascii="Times New Roman" w:hAnsi="Times New Roman" w:cs="Times New Roman"/>
        </w:rPr>
        <w:t>一、收入支出决算总体情况说明</w:t>
      </w:r>
      <w:r>
        <w:rPr>
          <w:rFonts w:hint="default" w:ascii="Times New Roman" w:hAnsi="Times New Roman" w:cs="Times New Roman"/>
          <w:lang w:val="en-US" w:eastAsia="zh-CN"/>
        </w:rPr>
        <w:tab/>
      </w:r>
      <w:r>
        <w:rPr>
          <w:rFonts w:hint="default" w:ascii="Times New Roman" w:hAnsi="Times New Roman" w:cs="Times New Roman"/>
        </w:rPr>
        <w:t>1</w:t>
      </w:r>
      <w:r>
        <w:rPr>
          <w:rFonts w:hint="eastAsia" w:cs="Times New Roman"/>
          <w:lang w:val="en-US" w:eastAsia="zh-CN"/>
        </w:rPr>
        <w:t>0</w:t>
      </w:r>
    </w:p>
    <w:p>
      <w:pPr>
        <w:pStyle w:val="6"/>
        <w:rPr>
          <w:rFonts w:hint="default" w:ascii="Times New Roman" w:hAnsi="Times New Roman" w:cs="Times New Roman"/>
          <w:lang w:val="en-US" w:eastAsia="zh-CN"/>
        </w:rPr>
      </w:pPr>
      <w:r>
        <w:rPr>
          <w:rFonts w:hint="default" w:ascii="Times New Roman" w:hAnsi="Times New Roman" w:cs="Times New Roman"/>
        </w:rPr>
        <w:t>二、收入决算情况说明</w:t>
      </w:r>
      <w:r>
        <w:rPr>
          <w:rFonts w:hint="default" w:ascii="Times New Roman" w:hAnsi="Times New Roman" w:cs="Times New Roman"/>
          <w:lang w:val="en-US" w:eastAsia="zh-CN"/>
        </w:rPr>
        <w:tab/>
      </w:r>
      <w:r>
        <w:rPr>
          <w:rFonts w:hint="default" w:ascii="Times New Roman" w:hAnsi="Times New Roman" w:cs="Times New Roman"/>
        </w:rPr>
        <w:t>1</w:t>
      </w:r>
      <w:r>
        <w:rPr>
          <w:rFonts w:hint="default" w:ascii="Times New Roman" w:hAnsi="Times New Roman" w:cs="Times New Roman"/>
          <w:lang w:val="en-US" w:eastAsia="zh-CN"/>
        </w:rPr>
        <w:t>1</w:t>
      </w:r>
    </w:p>
    <w:p>
      <w:pPr>
        <w:pStyle w:val="6"/>
        <w:rPr>
          <w:rFonts w:hint="default" w:ascii="Times New Roman" w:hAnsi="Times New Roman" w:cs="Times New Roman"/>
          <w:lang w:eastAsia="zh-CN"/>
        </w:rPr>
      </w:pPr>
      <w:r>
        <w:rPr>
          <w:rFonts w:hint="default" w:ascii="Times New Roman" w:hAnsi="Times New Roman" w:cs="Times New Roman"/>
        </w:rPr>
        <w:t>三、支出决算情况说明</w:t>
      </w:r>
      <w:r>
        <w:rPr>
          <w:rFonts w:hint="default" w:ascii="Times New Roman" w:hAnsi="Times New Roman" w:cs="Times New Roman"/>
          <w:lang w:val="en-US" w:eastAsia="zh-CN"/>
        </w:rPr>
        <w:tab/>
      </w:r>
      <w:r>
        <w:rPr>
          <w:rFonts w:hint="default" w:ascii="Times New Roman" w:hAnsi="Times New Roman" w:cs="Times New Roman"/>
        </w:rPr>
        <w:t>1</w:t>
      </w:r>
      <w:r>
        <w:rPr>
          <w:rFonts w:hint="default" w:ascii="Times New Roman" w:hAnsi="Times New Roman" w:cs="Times New Roman"/>
          <w:lang w:val="en-US" w:eastAsia="zh-CN"/>
        </w:rPr>
        <w:t>2</w:t>
      </w:r>
    </w:p>
    <w:p>
      <w:pPr>
        <w:pStyle w:val="6"/>
        <w:rPr>
          <w:rFonts w:hint="default" w:ascii="Times New Roman" w:hAnsi="Times New Roman" w:cs="Times New Roman"/>
          <w:lang w:eastAsia="zh-CN"/>
        </w:rPr>
      </w:pPr>
      <w:r>
        <w:rPr>
          <w:rFonts w:hint="default" w:ascii="Times New Roman" w:hAnsi="Times New Roman" w:cs="Times New Roman"/>
        </w:rPr>
        <w:t>四、财政拨款收入支出决算总体情况说明</w:t>
      </w:r>
      <w:r>
        <w:rPr>
          <w:rFonts w:hint="default" w:ascii="Times New Roman" w:hAnsi="Times New Roman" w:cs="Times New Roman"/>
          <w:lang w:val="en-US" w:eastAsia="zh-CN"/>
        </w:rPr>
        <w:tab/>
      </w:r>
      <w:r>
        <w:rPr>
          <w:rFonts w:hint="default" w:ascii="Times New Roman" w:hAnsi="Times New Roman" w:cs="Times New Roman"/>
        </w:rPr>
        <w:t>1</w:t>
      </w:r>
      <w:r>
        <w:rPr>
          <w:rFonts w:hint="default" w:ascii="Times New Roman" w:hAnsi="Times New Roman" w:cs="Times New Roman"/>
          <w:lang w:val="en-US" w:eastAsia="zh-CN"/>
        </w:rPr>
        <w:t>2</w:t>
      </w:r>
    </w:p>
    <w:p>
      <w:pPr>
        <w:pStyle w:val="6"/>
        <w:rPr>
          <w:rFonts w:hint="default" w:ascii="Times New Roman" w:hAnsi="Times New Roman" w:cs="Times New Roman"/>
          <w:lang w:val="en-US" w:eastAsia="zh-CN"/>
        </w:rPr>
      </w:pPr>
      <w:r>
        <w:rPr>
          <w:rFonts w:hint="default" w:ascii="Times New Roman" w:hAnsi="Times New Roman" w:cs="Times New Roman"/>
        </w:rPr>
        <w:t>五、一般公共预算财政拨款支出决算情况说明</w:t>
      </w:r>
      <w:r>
        <w:rPr>
          <w:rFonts w:hint="default" w:ascii="Times New Roman" w:hAnsi="Times New Roman" w:cs="Times New Roman"/>
          <w:lang w:val="en-US" w:eastAsia="zh-CN"/>
        </w:rPr>
        <w:tab/>
      </w:r>
      <w:r>
        <w:rPr>
          <w:rFonts w:hint="default" w:ascii="Times New Roman" w:hAnsi="Times New Roman" w:cs="Times New Roman"/>
          <w:lang w:val="en-US" w:eastAsia="zh-CN"/>
        </w:rPr>
        <w:t>13</w:t>
      </w:r>
    </w:p>
    <w:p>
      <w:pPr>
        <w:pStyle w:val="6"/>
        <w:rPr>
          <w:rFonts w:hint="default" w:ascii="Times New Roman" w:hAnsi="Times New Roman" w:cs="Times New Roman"/>
          <w:lang w:val="en-US" w:eastAsia="zh-CN"/>
        </w:rPr>
      </w:pPr>
      <w:r>
        <w:rPr>
          <w:rFonts w:hint="default" w:ascii="Times New Roman" w:hAnsi="Times New Roman" w:cs="Times New Roman"/>
        </w:rPr>
        <w:t>六、一般公共预算财政拨款基本支出决算情况说明</w:t>
      </w:r>
      <w:r>
        <w:rPr>
          <w:rFonts w:hint="default" w:ascii="Times New Roman" w:hAnsi="Times New Roman" w:cs="Times New Roman"/>
          <w:lang w:val="en-US" w:eastAsia="zh-CN"/>
        </w:rPr>
        <w:tab/>
      </w:r>
      <w:r>
        <w:rPr>
          <w:rFonts w:hint="default" w:ascii="Times New Roman" w:hAnsi="Times New Roman" w:cs="Times New Roman"/>
          <w:lang w:val="en-US" w:eastAsia="zh-CN"/>
        </w:rPr>
        <w:t>15</w:t>
      </w:r>
    </w:p>
    <w:p>
      <w:pPr>
        <w:pStyle w:val="6"/>
        <w:rPr>
          <w:rFonts w:hint="default" w:ascii="Times New Roman" w:hAnsi="Times New Roman" w:cs="Times New Roman"/>
          <w:lang w:val="en-US" w:eastAsia="zh-CN"/>
        </w:rPr>
      </w:pPr>
      <w:r>
        <w:rPr>
          <w:rFonts w:hint="default" w:ascii="Times New Roman" w:hAnsi="Times New Roman" w:cs="Times New Roman"/>
        </w:rPr>
        <w:t>七、“三公”经费财政拨款支出决算情况说明</w:t>
      </w:r>
      <w:r>
        <w:rPr>
          <w:rFonts w:hint="default" w:ascii="Times New Roman" w:hAnsi="Times New Roman" w:cs="Times New Roman"/>
          <w:lang w:val="en-US" w:eastAsia="zh-CN"/>
        </w:rPr>
        <w:tab/>
      </w:r>
      <w:r>
        <w:rPr>
          <w:rFonts w:hint="default" w:ascii="Times New Roman" w:hAnsi="Times New Roman" w:cs="Times New Roman"/>
          <w:lang w:val="en-US" w:eastAsia="zh-CN"/>
        </w:rPr>
        <w:t>1</w:t>
      </w:r>
      <w:r>
        <w:rPr>
          <w:rFonts w:hint="eastAsia" w:cs="Times New Roman"/>
          <w:lang w:val="en-US" w:eastAsia="zh-CN"/>
        </w:rPr>
        <w:t>5</w:t>
      </w:r>
    </w:p>
    <w:p>
      <w:pPr>
        <w:pStyle w:val="6"/>
        <w:rPr>
          <w:rFonts w:hint="default" w:ascii="Times New Roman" w:hAnsi="Times New Roman" w:cs="Times New Roman"/>
          <w:lang w:val="en-US" w:eastAsia="zh-CN"/>
        </w:rPr>
      </w:pPr>
      <w:r>
        <w:rPr>
          <w:rFonts w:hint="default" w:ascii="Times New Roman" w:hAnsi="Times New Roman" w:cs="Times New Roman"/>
        </w:rPr>
        <w:t>八、政府性基金预算支出决算情况说明</w:t>
      </w:r>
      <w:r>
        <w:rPr>
          <w:rFonts w:hint="default" w:ascii="Times New Roman" w:hAnsi="Times New Roman" w:cs="Times New Roman"/>
          <w:lang w:val="en-US" w:eastAsia="zh-CN"/>
        </w:rPr>
        <w:t>.</w:t>
      </w:r>
      <w:r>
        <w:rPr>
          <w:rFonts w:hint="default" w:ascii="Times New Roman" w:hAnsi="Times New Roman" w:cs="Times New Roman"/>
          <w:lang w:val="en-US" w:eastAsia="zh-CN"/>
        </w:rPr>
        <w:tab/>
      </w:r>
      <w:r>
        <w:rPr>
          <w:rFonts w:hint="default" w:ascii="Times New Roman" w:hAnsi="Times New Roman" w:cs="Times New Roman"/>
          <w:lang w:val="en-US" w:eastAsia="zh-CN"/>
        </w:rPr>
        <w:t>17</w:t>
      </w:r>
    </w:p>
    <w:p>
      <w:pPr>
        <w:pStyle w:val="6"/>
        <w:rPr>
          <w:rFonts w:hint="default" w:ascii="Times New Roman" w:hAnsi="Times New Roman" w:cs="Times New Roman"/>
          <w:lang w:val="en-US" w:eastAsia="zh-CN"/>
        </w:rPr>
      </w:pPr>
      <w:r>
        <w:rPr>
          <w:rFonts w:hint="default" w:ascii="Times New Roman" w:hAnsi="Times New Roman" w:cs="Times New Roman"/>
        </w:rPr>
        <w:t>九、国有资本经营预算支出决算情况说明</w:t>
      </w:r>
      <w:r>
        <w:rPr>
          <w:rFonts w:hint="default" w:ascii="Times New Roman" w:hAnsi="Times New Roman" w:cs="Times New Roman"/>
          <w:lang w:val="en-US" w:eastAsia="zh-CN"/>
        </w:rPr>
        <w:tab/>
      </w:r>
      <w:r>
        <w:rPr>
          <w:rFonts w:hint="default" w:ascii="Times New Roman" w:hAnsi="Times New Roman" w:cs="Times New Roman"/>
          <w:lang w:val="en-US" w:eastAsia="zh-CN"/>
        </w:rPr>
        <w:t>17</w:t>
      </w:r>
    </w:p>
    <w:p>
      <w:pPr>
        <w:pStyle w:val="6"/>
        <w:rPr>
          <w:rFonts w:hint="default" w:ascii="Times New Roman" w:hAnsi="Times New Roman" w:cs="Times New Roman"/>
          <w:lang w:val="en-US" w:eastAsia="zh-CN"/>
        </w:rPr>
      </w:pPr>
      <w:r>
        <w:rPr>
          <w:rFonts w:hint="default" w:ascii="Times New Roman" w:hAnsi="Times New Roman" w:cs="Times New Roman"/>
        </w:rPr>
        <w:t>十、其他重要事项的情况说明</w:t>
      </w:r>
      <w:r>
        <w:rPr>
          <w:rFonts w:hint="default" w:ascii="Times New Roman" w:hAnsi="Times New Roman" w:cs="Times New Roman"/>
          <w:lang w:val="en-US" w:eastAsia="zh-CN"/>
        </w:rPr>
        <w:tab/>
      </w:r>
      <w:r>
        <w:rPr>
          <w:rFonts w:hint="default" w:ascii="Times New Roman" w:hAnsi="Times New Roman" w:cs="Times New Roman"/>
          <w:lang w:val="en-US" w:eastAsia="zh-CN"/>
        </w:rPr>
        <w:t>17</w:t>
      </w:r>
    </w:p>
    <w:p>
      <w:pPr>
        <w:pStyle w:val="12"/>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default" w:ascii="Times New Roman" w:hAnsi="Times New Roman" w:cs="Times New Roman"/>
          <w:lang w:val="en-US" w:eastAsia="zh-CN"/>
        </w:rPr>
      </w:pPr>
      <w:r>
        <w:rPr>
          <w:rFonts w:hint="default" w:ascii="Times New Roman" w:hAnsi="Times New Roman" w:eastAsia="仿宋" w:cs="Times New Roman"/>
          <w:sz w:val="24"/>
          <w:szCs w:val="24"/>
        </w:rPr>
        <w:t>第三部分</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名词解释</w:t>
      </w:r>
      <w:r>
        <w:rPr>
          <w:rFonts w:hint="default" w:ascii="Times New Roman" w:hAnsi="Times New Roman" w:cs="Times New Roman"/>
          <w:lang w:val="en-US" w:eastAsia="zh-CN"/>
        </w:rPr>
        <w:tab/>
      </w:r>
      <w:r>
        <w:rPr>
          <w:rFonts w:hint="default" w:ascii="Times New Roman" w:hAnsi="Times New Roman" w:cs="Times New Roman"/>
          <w:lang w:val="en-US" w:eastAsia="zh-CN"/>
        </w:rPr>
        <w:t>1</w:t>
      </w:r>
      <w:r>
        <w:rPr>
          <w:rFonts w:hint="eastAsia" w:cs="Times New Roman"/>
          <w:lang w:val="en-US" w:eastAsia="zh-CN"/>
        </w:rPr>
        <w:t>8</w:t>
      </w:r>
      <w:bookmarkStart w:id="67" w:name="_GoBack"/>
      <w:bookmarkEnd w:id="67"/>
    </w:p>
    <w:p>
      <w:pPr>
        <w:pStyle w:val="12"/>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default" w:ascii="Times New Roman" w:hAnsi="Times New Roman" w:cs="Times New Roman"/>
          <w:lang w:val="en-US" w:eastAsia="zh-CN"/>
        </w:rPr>
      </w:pPr>
      <w:r>
        <w:rPr>
          <w:rFonts w:hint="default" w:ascii="Times New Roman" w:hAnsi="Times New Roman" w:eastAsia="仿宋" w:cs="Times New Roman"/>
          <w:sz w:val="24"/>
          <w:szCs w:val="24"/>
        </w:rPr>
        <w:t>第四部分</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附件</w:t>
      </w:r>
      <w:r>
        <w:rPr>
          <w:rFonts w:hint="default" w:ascii="Times New Roman" w:hAnsi="Times New Roman" w:cs="Times New Roman"/>
          <w:lang w:val="en-US" w:eastAsia="zh-CN"/>
        </w:rPr>
        <w:tab/>
      </w:r>
      <w:r>
        <w:rPr>
          <w:rFonts w:hint="default" w:ascii="Times New Roman" w:hAnsi="Times New Roman" w:cs="Times New Roman"/>
          <w:lang w:val="en-US" w:eastAsia="zh-CN"/>
        </w:rPr>
        <w:t>21</w:t>
      </w:r>
    </w:p>
    <w:p>
      <w:pPr>
        <w:pStyle w:val="12"/>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default" w:ascii="Times New Roman" w:hAnsi="Times New Roman" w:cs="Times New Roman"/>
          <w:lang w:val="en-US" w:eastAsia="zh-CN"/>
        </w:rPr>
      </w:pPr>
      <w:r>
        <w:rPr>
          <w:rFonts w:hint="default" w:ascii="Times New Roman" w:hAnsi="Times New Roman" w:eastAsia="仿宋" w:cs="Times New Roman"/>
          <w:sz w:val="24"/>
          <w:szCs w:val="24"/>
        </w:rPr>
        <w:t>第五部分</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附表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一、收入支出决算总表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二、收入决算表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三、支出决算表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四、财政拨款收入支出决算总表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五、财政拨款支出决算明细表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六、一般公共预算财政拨款支出决算表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七、一般公共预算财政拨款支出决算明细表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八、一般公共预算财政拨款基本支出决算表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九、一般公共预算财政拨款项目支出决算表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十、一般公共预算财政拨款“三公”经费支出决算表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十一、政府性基金预算财政拨款收入支出决算表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十二、政府性基金预算财政拨款“三公”经费支出决算表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十三、国有资本经营预算财政拨款收入支出决算表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pStyle w:val="6"/>
        <w:rPr>
          <w:rFonts w:hint="default" w:ascii="Times New Roman" w:hAnsi="Times New Roman" w:cs="Times New Roman"/>
          <w:lang w:val="en-US" w:eastAsia="zh-CN"/>
        </w:rPr>
      </w:pPr>
      <w:r>
        <w:rPr>
          <w:rFonts w:hint="default" w:ascii="Times New Roman" w:hAnsi="Times New Roman" w:cs="Times New Roman"/>
        </w:rPr>
        <w:t>十四、国有资本经营预算财政拨款支出决算表</w:t>
      </w:r>
      <w:r>
        <w:rPr>
          <w:rFonts w:hint="default" w:ascii="Times New Roman" w:hAnsi="Times New Roman" w:cs="Times New Roman"/>
          <w:lang w:val="en-US" w:eastAsia="zh-CN"/>
        </w:rPr>
        <w:tab/>
      </w:r>
      <w:r>
        <w:rPr>
          <w:rFonts w:hint="default" w:ascii="Times New Roman" w:hAnsi="Times New Roman" w:cs="Times New Roman"/>
          <w:lang w:val="en-US" w:eastAsia="zh-CN"/>
        </w:rPr>
        <w:t>39</w:t>
      </w:r>
    </w:p>
    <w:p>
      <w:pPr>
        <w:keepNext w:val="0"/>
        <w:keepLines w:val="0"/>
        <w:pageBreakBefore w:val="0"/>
        <w:widowControl w:val="0"/>
        <w:kinsoku/>
        <w:wordWrap/>
        <w:overflowPunct/>
        <w:topLinePunct w:val="0"/>
        <w:bidi w:val="0"/>
        <w:adjustRightInd/>
        <w:snapToGrid/>
        <w:spacing w:line="440" w:lineRule="exact"/>
        <w:jc w:val="left"/>
        <w:rPr>
          <w:rFonts w:hint="default" w:ascii="Times New Roman" w:hAnsi="Times New Roman" w:eastAsia="仿宋" w:cs="Times New Roman"/>
          <w:bCs/>
          <w:kern w:val="44"/>
          <w:sz w:val="24"/>
        </w:rPr>
      </w:pPr>
      <w:bookmarkStart w:id="12" w:name="_Toc15396599"/>
      <w:bookmarkStart w:id="13" w:name="_Toc15377196"/>
      <w:r>
        <w:rPr>
          <w:rFonts w:hint="default" w:ascii="Times New Roman" w:hAnsi="Times New Roman" w:eastAsia="仿宋" w:cs="Times New Roman"/>
          <w:b/>
          <w:sz w:val="24"/>
        </w:rPr>
        <w:br w:type="page"/>
      </w:r>
    </w:p>
    <w:p>
      <w:pPr>
        <w:pStyle w:val="3"/>
        <w:keepNext w:val="0"/>
        <w:keepLines w:val="0"/>
        <w:pageBreakBefore w:val="0"/>
        <w:widowControl w:val="0"/>
        <w:kinsoku/>
        <w:wordWrap/>
        <w:overflowPunct/>
        <w:topLinePunct w:val="0"/>
        <w:autoSpaceDE/>
        <w:autoSpaceDN/>
        <w:bidi w:val="0"/>
        <w:adjustRightInd/>
        <w:snapToGrid/>
        <w:spacing w:before="0" w:after="0" w:line="0" w:lineRule="atLeast"/>
        <w:jc w:val="center"/>
        <w:textAlignment w:val="auto"/>
        <w:outlineLvl w:val="0"/>
        <w:rPr>
          <w:rStyle w:val="26"/>
          <w:rFonts w:hint="default" w:ascii="Times New Roman" w:hAnsi="Times New Roman" w:eastAsia="方正黑体_GBK" w:cs="Times New Roman"/>
          <w:b/>
          <w:bCs w:val="0"/>
        </w:rPr>
      </w:pPr>
      <w:r>
        <w:rPr>
          <w:rFonts w:hint="default" w:ascii="Times New Roman" w:hAnsi="Times New Roman" w:eastAsia="方正黑体_GBK" w:cs="Times New Roman"/>
          <w:b w:val="0"/>
        </w:rPr>
        <w:t xml:space="preserve">第一部分 </w:t>
      </w:r>
      <w:r>
        <w:rPr>
          <w:rFonts w:hint="default" w:ascii="Times New Roman" w:hAnsi="Times New Roman" w:eastAsia="方正黑体_GBK" w:cs="Times New Roman"/>
          <w:b w:val="0"/>
          <w:lang w:eastAsia="zh-CN"/>
        </w:rPr>
        <w:t>部门</w:t>
      </w:r>
      <w:r>
        <w:rPr>
          <w:rStyle w:val="26"/>
          <w:rFonts w:hint="default" w:ascii="Times New Roman" w:hAnsi="Times New Roman" w:eastAsia="方正黑体_GBK" w:cs="Times New Roman"/>
          <w:b w:val="0"/>
          <w:bCs w:val="0"/>
        </w:rPr>
        <w:t>概况</w:t>
      </w:r>
      <w:bookmarkEnd w:id="12"/>
      <w:bookmarkEnd w:id="13"/>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sz w:val="32"/>
          <w:szCs w:val="32"/>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jc w:val="left"/>
        <w:textAlignment w:val="auto"/>
        <w:outlineLvl w:val="1"/>
        <w:rPr>
          <w:rStyle w:val="27"/>
          <w:rFonts w:hint="default" w:ascii="Times New Roman" w:hAnsi="Times New Roman" w:eastAsia="方正黑体_GBK" w:cs="Times New Roman"/>
          <w:b w:val="0"/>
          <w:bCs w:val="0"/>
          <w:sz w:val="33"/>
          <w:szCs w:val="33"/>
        </w:rPr>
      </w:pPr>
      <w:bookmarkStart w:id="14" w:name="_Toc15396600"/>
      <w:bookmarkStart w:id="15" w:name="_Toc15377197"/>
      <w:r>
        <w:rPr>
          <w:rStyle w:val="27"/>
          <w:rFonts w:hint="default" w:ascii="Times New Roman" w:hAnsi="Times New Roman" w:eastAsia="方正黑体_GBK" w:cs="Times New Roman"/>
          <w:b w:val="0"/>
          <w:bCs w:val="0"/>
          <w:sz w:val="33"/>
          <w:szCs w:val="33"/>
        </w:rPr>
        <w:t>一、基本职能及主要工作</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3" w:firstLineChars="200"/>
        <w:jc w:val="left"/>
        <w:textAlignment w:val="auto"/>
        <w:outlineLvl w:val="1"/>
        <w:rPr>
          <w:rFonts w:hint="default" w:ascii="Times New Roman" w:hAnsi="Times New Roman" w:eastAsia="方正仿宋_GBK" w:cs="Times New Roman"/>
          <w:b w:val="0"/>
          <w:bCs w:val="0"/>
          <w:kern w:val="34"/>
          <w:sz w:val="33"/>
          <w:szCs w:val="33"/>
        </w:rPr>
      </w:pPr>
      <w:r>
        <w:rPr>
          <w:rStyle w:val="27"/>
          <w:rFonts w:hint="default" w:ascii="Times New Roman" w:hAnsi="Times New Roman" w:eastAsia="方正楷体_GBK" w:cs="Times New Roman"/>
          <w:b/>
          <w:bCs/>
          <w:sz w:val="33"/>
          <w:szCs w:val="33"/>
        </w:rPr>
        <w:t>（一）主要职能。</w:t>
      </w:r>
      <w:r>
        <w:rPr>
          <w:rFonts w:hint="default" w:ascii="Times New Roman" w:hAnsi="Times New Roman" w:eastAsia="方正仿宋_GBK" w:cs="Times New Roman"/>
          <w:b w:val="0"/>
          <w:bCs w:val="0"/>
          <w:kern w:val="34"/>
          <w:sz w:val="33"/>
          <w:szCs w:val="33"/>
        </w:rPr>
        <w:t>贯彻新时代党的建设总体要求和新时代党的组织路线，落实区委相关决策部署。1.负责全区党的组织体系、组织制度建设，负责基层党组</w:t>
      </w:r>
      <w:r>
        <w:rPr>
          <w:rFonts w:hint="default" w:ascii="Times New Roman" w:hAnsi="Times New Roman" w:eastAsia="方正仿宋_GBK" w:cs="Times New Roman"/>
          <w:b w:val="0"/>
          <w:bCs w:val="0"/>
          <w:spacing w:val="-6"/>
          <w:kern w:val="34"/>
          <w:sz w:val="33"/>
          <w:szCs w:val="33"/>
        </w:rPr>
        <w:t>织建设规划指导和党员队伍宏观管理，指导开展党员教育工作。</w:t>
      </w:r>
      <w:r>
        <w:rPr>
          <w:rFonts w:hint="default" w:ascii="Times New Roman" w:hAnsi="Times New Roman" w:eastAsia="方正仿宋_GBK" w:cs="Times New Roman"/>
          <w:b w:val="0"/>
          <w:bCs w:val="0"/>
          <w:kern w:val="34"/>
          <w:sz w:val="33"/>
          <w:szCs w:val="33"/>
        </w:rPr>
        <w:t>2.负责全区领导班子和干部队伍建设的总体规划和宏观管理。负责区委管理领导班子和领导干部的考察考核、日常管理，提出调整配备建议，审核办理任免、工资、退休、兼职、待遇等有关事项。负责全区优秀年轻干部队伍建设工作。3.贯彻老干部工作的方针、政策，指导全区老干部工作。4.负责管理全区公务员工作。牵头拟订和组织实施公务员管理政策法规，承担公务员录用、调配、考核、奖惩、培训、监督、工资福利等工作，指导公务员绩效管理工作。5.负责全区人才工作的宏观指导、组织协调和督促检查，牵头推进人才发展体制机制改革和政策创新，牵头推进人才对外开放、党委联系服务专家工作，统筹实施重大人才工程和人才表彰奖励。6.负责全区干部教育培训工作的宏观指导、政策规划、组织协调和督促检查，负责市、区重点培训项目的策划、实施和管理，指导全区干部教育培训基地建设管理、师资队伍建设等工作。7.负责全区干部监督工作的宏观指导和综合协调，制定和落实干部监督工作制度，组织开展对选人用人工作情况的监督检查，受理和办理有关问题举报，组织实施领导干部报告个人有关事项及抽查核实工作。8.统一管理区委机构编制委员会办公室。9.承担区委党建领导小组、区委老干部工作领导小组、区人才工作领导小组的日常工作。10.负责职责范围内的安全生产和职业健康、生态环境保护等工作。11.完成区委交办的其他任务。</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3" w:firstLineChars="200"/>
        <w:jc w:val="left"/>
        <w:textAlignment w:val="auto"/>
        <w:outlineLvl w:val="1"/>
        <w:rPr>
          <w:rStyle w:val="27"/>
          <w:rFonts w:hint="default" w:ascii="Times New Roman" w:hAnsi="Times New Roman" w:eastAsia="方正楷体_GBK" w:cs="Times New Roman"/>
          <w:b/>
          <w:bCs/>
          <w:sz w:val="33"/>
          <w:szCs w:val="33"/>
        </w:rPr>
      </w:pPr>
      <w:r>
        <w:rPr>
          <w:rStyle w:val="27"/>
          <w:rFonts w:hint="default" w:ascii="Times New Roman" w:hAnsi="Times New Roman" w:eastAsia="方正楷体_GBK" w:cs="Times New Roman"/>
          <w:b/>
          <w:bCs/>
          <w:sz w:val="33"/>
          <w:szCs w:val="33"/>
          <w:lang w:eastAsia="zh-CN"/>
        </w:rPr>
        <w:t>（二）</w:t>
      </w:r>
      <w:r>
        <w:rPr>
          <w:rStyle w:val="27"/>
          <w:rFonts w:hint="default" w:ascii="Times New Roman" w:hAnsi="Times New Roman" w:eastAsia="方正楷体_GBK" w:cs="Times New Roman"/>
          <w:b/>
          <w:bCs/>
          <w:sz w:val="33"/>
          <w:szCs w:val="33"/>
        </w:rPr>
        <w:t>2021年重点工作</w:t>
      </w:r>
      <w:bookmarkEnd w:id="14"/>
      <w:bookmarkEnd w:id="15"/>
      <w:r>
        <w:rPr>
          <w:rStyle w:val="27"/>
          <w:rFonts w:hint="default" w:ascii="Times New Roman" w:hAnsi="Times New Roman" w:eastAsia="方正楷体_GBK" w:cs="Times New Roman"/>
          <w:b/>
          <w:bCs/>
          <w:sz w:val="33"/>
          <w:szCs w:val="33"/>
        </w:rPr>
        <w:t>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663" w:firstLineChars="200"/>
        <w:jc w:val="left"/>
        <w:textAlignment w:val="auto"/>
        <w:outlineLvl w:val="0"/>
        <w:rPr>
          <w:rFonts w:hint="default" w:ascii="Times New Roman" w:hAnsi="Times New Roman" w:eastAsia="方正仿宋_GBK" w:cs="Times New Roman"/>
          <w:b w:val="0"/>
          <w:bCs w:val="0"/>
          <w:kern w:val="34"/>
          <w:sz w:val="33"/>
          <w:szCs w:val="33"/>
        </w:rPr>
      </w:pPr>
      <w:bookmarkStart w:id="16" w:name="_Toc15377204"/>
      <w:bookmarkStart w:id="17" w:name="_Toc15396602"/>
      <w:r>
        <w:rPr>
          <w:rFonts w:hint="default" w:ascii="Times New Roman" w:hAnsi="Times New Roman" w:eastAsia="方正仿宋_GBK" w:cs="Times New Roman"/>
          <w:b/>
          <w:bCs/>
          <w:kern w:val="34"/>
          <w:sz w:val="33"/>
          <w:szCs w:val="33"/>
          <w:lang w:val="en-US" w:eastAsia="zh-CN"/>
        </w:rPr>
        <w:t>1.</w:t>
      </w:r>
      <w:r>
        <w:rPr>
          <w:rFonts w:hint="default" w:ascii="Times New Roman" w:hAnsi="Times New Roman" w:eastAsia="方正仿宋_GBK" w:cs="Times New Roman"/>
          <w:b/>
          <w:bCs/>
          <w:kern w:val="34"/>
          <w:sz w:val="33"/>
          <w:szCs w:val="33"/>
        </w:rPr>
        <w:t>赓续党史精神，持续加强党的思想政治建设。</w:t>
      </w:r>
      <w:r>
        <w:rPr>
          <w:rFonts w:hint="default" w:ascii="Times New Roman" w:hAnsi="Times New Roman" w:eastAsia="方正仿宋_GBK" w:cs="Times New Roman"/>
          <w:b w:val="0"/>
          <w:bCs w:val="0"/>
          <w:kern w:val="34"/>
          <w:sz w:val="33"/>
          <w:szCs w:val="33"/>
        </w:rPr>
        <w:t>一是抓实理论武装。坚持以习近平新时代中国特色社会主义思想为指导，深入学习贯彻党的十九届五中、六中全会精神和习近平总书记“七一”重要讲话精神，举办各类班次150期、培训8000余人次。二是抓实党性教育。严格逗硬党员“政治生日”制度，常态化开展“五带头五表率”活动，深入推进“我为群众办实事”活动，确保党史学习教育入脑入心，切实在办实事、开新局上取得明显成效。三是抓实活动载体。以庆祝建党100周年为主题，完成省市区“两优一先”推荐评选和“光荣在党50年”纪念章颁发工作，其中省级优秀共产党员雷永的事迹得到彭清华书记肯定，开展“党旗在基层一线高高飘扬”活动，有力推动各条战线、各个领域、各个行业党史学习教育走深走实。</w:t>
      </w:r>
    </w:p>
    <w:p>
      <w:pPr>
        <w:pStyle w:val="3"/>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right="0" w:rightChars="0" w:firstLine="663" w:firstLineChars="200"/>
        <w:jc w:val="left"/>
        <w:textAlignment w:val="auto"/>
        <w:outlineLvl w:val="0"/>
        <w:rPr>
          <w:rFonts w:hint="default" w:ascii="Times New Roman" w:hAnsi="Times New Roman" w:eastAsia="方正仿宋_GBK" w:cs="Times New Roman"/>
          <w:b w:val="0"/>
          <w:bCs w:val="0"/>
          <w:kern w:val="34"/>
          <w:sz w:val="33"/>
          <w:szCs w:val="33"/>
        </w:rPr>
      </w:pPr>
      <w:r>
        <w:rPr>
          <w:rFonts w:hint="default" w:ascii="Times New Roman" w:hAnsi="Times New Roman" w:eastAsia="方正仿宋_GBK" w:cs="Times New Roman"/>
          <w:b/>
          <w:bCs/>
          <w:kern w:val="34"/>
          <w:sz w:val="33"/>
          <w:szCs w:val="33"/>
          <w:lang w:val="en-US" w:eastAsia="zh-CN"/>
        </w:rPr>
        <w:t>2.突出目标导向，全力抓好区镇领导班子集中换届。</w:t>
      </w:r>
      <w:r>
        <w:rPr>
          <w:rFonts w:hint="default" w:ascii="Times New Roman" w:hAnsi="Times New Roman" w:eastAsia="方正仿宋_GBK" w:cs="Times New Roman"/>
          <w:b w:val="0"/>
          <w:bCs w:val="0"/>
          <w:kern w:val="34"/>
          <w:sz w:val="33"/>
          <w:szCs w:val="33"/>
        </w:rPr>
        <w:t>一是把加强党的领导贯穿全过程。第一时间成立由区委书记任组长的区镇换届领导小组，多次召开常委会、专题会、推进会、调度会，统一思想、部署工作、推动落实，确保换届工作始终沿着正确方向推进。成立换届工作督导指导组，成立3个工作专班，确保换届工作靶心不偏、节奏不乱。二是绘出高质量发展的好蓝图。把起草报告的过程作为全面贯彻落实党中央和省委、市委决策部署的过程，召开务虚会、座谈会、征求意见会，组织动员干部群众献计献策，促成报告真正成为区委团结带领全区人民努力实现“一区一城”的纲领性文件。三是配出结构优功能强的好班子。对照换届指标，系统分析区级领导班子结构“差距”，按照换届时间节点系统梳理全区正科级领导干部、35岁以下年轻干部和临近退休干部名单，确保符合条件人员一个不漏，全力配合市委组织部完成区级领导班子换届调研。综合考虑格里坪镇班子整体功能需要，重点排查掌握熟悉乡村振兴、基层治理工作的优秀年轻干部及“五方面人员”，系统谋划格里坪镇班子成员补充配备，合理提出“进退留转”初步建议，6名80后干部新提名为镇领导班子成员，换出了班子队伍新面貌。四是圆满实现换届选举目标。坚持把政治标准放在资格把关首位，建立代表委员换届结构对比模型和选举提名工作联席会议、资格联审制度，按照自下而上、上下结合、反复酝酿、逐级遴选，全面准确排查各个层面人选。会议期间，充分发挥临时党组织作用，组织代表委员积极参加审议报告、酝酿提名人选、进行大会选举等工作，确保组织提名的候选人均全票或高票当选。五是保持清明清正清新的换届风气。坚持“三个在先”，多渠道抓实换届纪律宣传教育，全覆盖开展“攻心式”谈心谈话。把换届纪律要求嵌入换届全过程，强化12380信访举报受理，组建38人换届风气直报员队伍，实时监测换届风气，澄清证明涉及拉票行为“不属实”信访3件。未发现一起违反换届纪律的情况。</w:t>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663" w:firstLineChars="200"/>
        <w:jc w:val="left"/>
        <w:textAlignment w:val="auto"/>
        <w:outlineLvl w:val="0"/>
        <w:rPr>
          <w:rFonts w:hint="default" w:ascii="Times New Roman" w:hAnsi="Times New Roman" w:eastAsia="方正仿宋_GBK" w:cs="Times New Roman"/>
          <w:b w:val="0"/>
          <w:bCs w:val="0"/>
          <w:kern w:val="34"/>
          <w:sz w:val="33"/>
          <w:szCs w:val="33"/>
        </w:rPr>
      </w:pPr>
      <w:r>
        <w:rPr>
          <w:rFonts w:hint="default" w:ascii="Times New Roman" w:hAnsi="Times New Roman" w:eastAsia="方正仿宋_GBK" w:cs="Times New Roman"/>
          <w:b/>
          <w:bCs/>
          <w:kern w:val="34"/>
          <w:sz w:val="33"/>
          <w:szCs w:val="33"/>
          <w:lang w:val="en-US" w:eastAsia="zh-CN"/>
        </w:rPr>
        <w:t>3.聚焦选贤任能，着力培养造就实干担当的中坚力量。</w:t>
      </w:r>
      <w:r>
        <w:rPr>
          <w:rFonts w:hint="default" w:ascii="Times New Roman" w:hAnsi="Times New Roman" w:eastAsia="方正仿宋_GBK" w:cs="Times New Roman"/>
          <w:b w:val="0"/>
          <w:bCs w:val="0"/>
          <w:kern w:val="34"/>
          <w:sz w:val="33"/>
          <w:szCs w:val="33"/>
        </w:rPr>
        <w:t>一是鲜明实干导向用人。坚持把优秀干部选配到区委、区政府重点工作主战场、把干部“精气神”融到发展第一线，着眼高素质专业化干部配备调任干部3人，着眼攻坚一线提拔表现突出的干部21人。二是统筹实施靶向干部培训。紧扣区委、区政府重大决策部署，结合不同领域、不同岗位干部专业化需求，推荐28名优秀干部到省市各类主题班次递进培养，选派13名年轻干部赴国家省市相关部门实践历练。三是从严干部监督管理。持续实施“红黄牌”预警，提醒谈话4人次，对3个部门作出预警扣分、5名存在违纪行为的干部给予“黄牌”警告，对11件查无实据的信访问题予以澄清。四是及时跟进换届后班子配备。坚持换届后的班子配备和干部选拔“一盘棋”谋划，采取免职退出一批、交流调整一批、提拔重用一批等方式选优配强党政正职。10名实绩突出的干部走上正科岗位，23个班子新调整配备党政正职，32个班子配备35岁以下年轻干部。90后干部达到10人。五是巩固职务与职级并行成果。将职级晋升作为激励干部担当作为的重要举措，探索建立职级晋升积分制管理，鲜明在区委、区政府中心工作中担当重任、表现优秀、实绩突出的公务员同等条件下优先晋升职级的导向。相关经验做法被四川组工动态采用。</w:t>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663" w:firstLineChars="200"/>
        <w:jc w:val="left"/>
        <w:textAlignment w:val="auto"/>
        <w:outlineLvl w:val="0"/>
        <w:rPr>
          <w:rFonts w:hint="default" w:ascii="Times New Roman" w:hAnsi="Times New Roman" w:eastAsia="方正仿宋_GBK" w:cs="Times New Roman"/>
          <w:b w:val="0"/>
          <w:bCs w:val="0"/>
          <w:kern w:val="34"/>
          <w:sz w:val="33"/>
          <w:szCs w:val="33"/>
        </w:rPr>
      </w:pPr>
      <w:r>
        <w:rPr>
          <w:rFonts w:hint="default" w:ascii="Times New Roman" w:hAnsi="Times New Roman" w:eastAsia="方正仿宋_GBK" w:cs="Times New Roman"/>
          <w:b/>
          <w:bCs/>
          <w:kern w:val="34"/>
          <w:sz w:val="33"/>
          <w:szCs w:val="33"/>
          <w:lang w:val="en-US" w:eastAsia="zh-CN"/>
        </w:rPr>
        <w:t>4.注重统筹推进，不断夯实高质量发展的底部基础。</w:t>
      </w:r>
      <w:r>
        <w:rPr>
          <w:rFonts w:hint="default" w:ascii="Times New Roman" w:hAnsi="Times New Roman" w:eastAsia="方正仿宋_GBK" w:cs="Times New Roman"/>
          <w:b w:val="0"/>
          <w:bCs w:val="0"/>
          <w:kern w:val="34"/>
          <w:sz w:val="33"/>
          <w:szCs w:val="33"/>
        </w:rPr>
        <w:t>一是大力推进抓党建促乡村振兴。赋予格里坪镇区级行政权力128项，同步赋予街道区级行政权力22项，全面完成格里坪镇管理体制改革试点。在镇（街道）增设综合行政执法办公室，统筹执法资源和执法力量，深化综合行政执法体制改革。以新型职业农民创新创业孵化园为载体，以村办股份制集体企业为平台，走合作经营抱团发展之路，稳步提升村集体自身“造血”功能，6个村共同创办的村办股份制集体企业攀枝花市农易达青年创业农业开发有限公司销售额达350万元，同比增长85%。二是着力提升城市基层治理水平。探索社区治理“互联网+”模式，全域推广“社区通”智慧治理平台，全面推行“清网治格”，提高社会治理精细化、智能化水平。持续推行城市管理“街长制”、网格管理专职化等工作运行机制，完善推广“社区议事会”“院落议事会”等协商共治机制，建立健全物业服务企业星级量化考核、“红黑榜”等机制，探索创新“三社联动”深度融合机制，有力推进全省第二批城乡社区治理试点工作。三是规范提升基层基础工作。聚焦“五个基本”开展党组织评先定级，从严从实整顿软弱涣散党组织，统筹完成185个村（社区）党组织二级支部换届工作，深入推进两新组织“两个覆盖”，有序开展农村发展党员违规违纪问题排查整顿，有效提升党支部标准化规范化建设水平。持续做好党内激励关怀帮扶，着力加强社区专职工作者职业化体系建设，出台管理实施细则和绩效报酬考核办法，不断激发党员干部干事创业活力。</w:t>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663" w:firstLineChars="200"/>
        <w:jc w:val="left"/>
        <w:textAlignment w:val="auto"/>
        <w:outlineLvl w:val="0"/>
        <w:rPr>
          <w:rFonts w:hint="default" w:ascii="Times New Roman" w:hAnsi="Times New Roman" w:eastAsia="方正仿宋_GBK" w:cs="Times New Roman"/>
          <w:b w:val="0"/>
          <w:bCs w:val="0"/>
          <w:kern w:val="34"/>
          <w:sz w:val="33"/>
          <w:szCs w:val="33"/>
        </w:rPr>
      </w:pPr>
      <w:r>
        <w:rPr>
          <w:rFonts w:hint="default" w:ascii="Times New Roman" w:hAnsi="Times New Roman" w:eastAsia="方正仿宋_GBK" w:cs="Times New Roman"/>
          <w:b/>
          <w:bCs/>
          <w:kern w:val="34"/>
          <w:sz w:val="33"/>
          <w:szCs w:val="33"/>
          <w:lang w:val="en-US" w:eastAsia="zh-CN"/>
        </w:rPr>
        <w:t>5.围绕选育用管，着力引进和培养用好各类人才。一</w:t>
      </w:r>
      <w:r>
        <w:rPr>
          <w:rFonts w:hint="default" w:ascii="Times New Roman" w:hAnsi="Times New Roman" w:eastAsia="方正仿宋_GBK" w:cs="Times New Roman"/>
          <w:b w:val="0"/>
          <w:bCs w:val="0"/>
          <w:kern w:val="34"/>
          <w:sz w:val="33"/>
          <w:szCs w:val="33"/>
        </w:rPr>
        <w:t>是聚焦产业引。以格里坪省级特色产业园区为依托，以产业发展为导向，开展春秋两季赴外招才引智活动，引进高层次和专业人才21名，并通过公招、考调、商调、考核招聘等方式引进各类人才104名，创历史同期最高水平。二是搭好平台育。以海创汇攀枝花众创空间和新型职业农民创新创业孵化园为载体，实施“优才计划”，4名优秀青年入选市区“青鹏人才”计划，培养农业产业“土专家”28名、技术骨干98名，培训新型经营主体负责人、种养殖大户、农村返乡人员850余人次，培养高素质农民培训52人，其中省级农业经理人2人，市级农业经理人培训4人。三是强化对接用。推动辖区企业与川大、西南交大在钛合金、3D打印等关键技术领域“产、学、研、用”合作，签订科技合作协议（合同）8个，认定金额达620万元，联动10家科技服务机构和18名专业创业导师，搭建一站式创业服务平台，举办20场创新创业活动。</w:t>
      </w:r>
    </w:p>
    <w:p>
      <w:pPr>
        <w:pStyle w:val="3"/>
        <w:keepNext w:val="0"/>
        <w:keepLines w:val="0"/>
        <w:pageBreakBefore w:val="0"/>
        <w:widowControl w:val="0"/>
        <w:kinsoku/>
        <w:wordWrap/>
        <w:overflowPunct/>
        <w:topLinePunct w:val="0"/>
        <w:autoSpaceDE/>
        <w:autoSpaceDN/>
        <w:bidi w:val="0"/>
        <w:adjustRightInd/>
        <w:snapToGrid/>
        <w:spacing w:before="0" w:after="0" w:line="240" w:lineRule="auto"/>
        <w:ind w:right="0" w:firstLine="663" w:firstLineChars="200"/>
        <w:jc w:val="left"/>
        <w:textAlignment w:val="auto"/>
        <w:outlineLvl w:val="0"/>
        <w:rPr>
          <w:rFonts w:hint="default" w:ascii="Times New Roman" w:hAnsi="Times New Roman" w:eastAsia="方正仿宋_GBK" w:cs="Times New Roman"/>
          <w:b w:val="0"/>
          <w:bCs w:val="0"/>
          <w:kern w:val="34"/>
          <w:sz w:val="33"/>
          <w:szCs w:val="33"/>
        </w:rPr>
      </w:pPr>
      <w:r>
        <w:rPr>
          <w:rFonts w:hint="default" w:ascii="Times New Roman" w:hAnsi="Times New Roman" w:eastAsia="方正仿宋_GBK" w:cs="Times New Roman"/>
          <w:b/>
          <w:bCs/>
          <w:kern w:val="34"/>
          <w:sz w:val="33"/>
          <w:szCs w:val="33"/>
          <w:lang w:val="en-US" w:eastAsia="zh-CN"/>
        </w:rPr>
        <w:t>6.围绕重点工作，为中心大局提供坚强组织保证。</w:t>
      </w:r>
      <w:r>
        <w:rPr>
          <w:rFonts w:hint="default" w:ascii="Times New Roman" w:hAnsi="Times New Roman" w:eastAsia="方正仿宋_GBK" w:cs="Times New Roman"/>
          <w:b w:val="0"/>
          <w:bCs w:val="0"/>
          <w:kern w:val="34"/>
          <w:sz w:val="33"/>
          <w:szCs w:val="33"/>
        </w:rPr>
        <w:t>印发《关于在常态化疫情防控中进一步发挥基层党组织战斗堡垒作用和党员先锋模范作用的通知》《关于在森林草原防灭火专项整治工作中充分发挥基层党组织战斗堡垒作用和共产党员先锋模范作用的通知》，号召368个党组织和9644名党员担当作为，及时成立75支党员突击队、93支党员志愿服务队，深入村（社区）开展值班值守、宣传引导、巡山护林等工作，真正做到关键时刻有组织、关键岗位有党员。</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jc w:val="left"/>
        <w:textAlignment w:val="auto"/>
        <w:outlineLvl w:val="1"/>
        <w:rPr>
          <w:rStyle w:val="27"/>
          <w:rFonts w:hint="default" w:ascii="Times New Roman" w:hAnsi="Times New Roman" w:eastAsia="方正黑体_GBK" w:cs="Times New Roman"/>
          <w:b w:val="0"/>
          <w:bCs w:val="0"/>
          <w:sz w:val="33"/>
          <w:szCs w:val="33"/>
        </w:rPr>
      </w:pPr>
      <w:bookmarkStart w:id="18" w:name="_Toc15396601"/>
      <w:bookmarkStart w:id="19" w:name="_Toc15377200"/>
      <w:r>
        <w:rPr>
          <w:rStyle w:val="27"/>
          <w:rFonts w:hint="default" w:ascii="Times New Roman" w:hAnsi="Times New Roman" w:eastAsia="方正黑体_GBK" w:cs="Times New Roman"/>
          <w:b w:val="0"/>
          <w:bCs w:val="0"/>
          <w:sz w:val="33"/>
          <w:szCs w:val="33"/>
        </w:rPr>
        <w:t>二、机构设置</w:t>
      </w:r>
      <w:bookmarkEnd w:id="18"/>
      <w:bookmarkEnd w:id="19"/>
    </w:p>
    <w:p>
      <w:pPr>
        <w:pStyle w:val="2"/>
        <w:keepNext w:val="0"/>
        <w:keepLines w:val="0"/>
        <w:pageBreakBefore w:val="0"/>
        <w:widowControl w:val="0"/>
        <w:kinsoku/>
        <w:wordWrap/>
        <w:overflowPunct/>
        <w:topLinePunct w:val="0"/>
        <w:autoSpaceDE/>
        <w:autoSpaceDN/>
        <w:bidi w:val="0"/>
        <w:adjustRightInd/>
        <w:snapToGrid/>
        <w:spacing w:beforeLines="0" w:line="240" w:lineRule="auto"/>
        <w:ind w:firstLine="693" w:firstLineChars="210"/>
        <w:jc w:val="left"/>
        <w:textAlignment w:val="auto"/>
        <w:rPr>
          <w:rFonts w:hint="default" w:ascii="Times New Roman" w:hAnsi="Times New Roman" w:eastAsia="方正仿宋_GBK" w:cs="Times New Roman"/>
          <w:color w:val="auto"/>
          <w:kern w:val="34"/>
          <w:sz w:val="33"/>
          <w:szCs w:val="33"/>
        </w:rPr>
      </w:pPr>
      <w:r>
        <w:rPr>
          <w:rFonts w:hint="eastAsia" w:ascii="Times New Roman" w:eastAsia="方正仿宋_GBK" w:cs="Times New Roman"/>
          <w:color w:val="auto"/>
          <w:kern w:val="34"/>
          <w:sz w:val="33"/>
          <w:szCs w:val="33"/>
          <w:lang w:eastAsia="zh-CN"/>
        </w:rPr>
        <w:t>西区</w:t>
      </w:r>
      <w:r>
        <w:rPr>
          <w:rFonts w:hint="default" w:ascii="Times New Roman" w:hAnsi="Times New Roman" w:eastAsia="方正仿宋_GBK" w:cs="Times New Roman"/>
          <w:color w:val="auto"/>
          <w:kern w:val="34"/>
          <w:sz w:val="33"/>
          <w:szCs w:val="33"/>
        </w:rPr>
        <w:t>区委组织部下属二级单位</w:t>
      </w:r>
      <w:r>
        <w:rPr>
          <w:rFonts w:hint="eastAsia" w:ascii="Times New Roman" w:eastAsia="方正仿宋_GBK" w:cs="Times New Roman"/>
          <w:color w:val="auto"/>
          <w:kern w:val="34"/>
          <w:sz w:val="33"/>
          <w:szCs w:val="33"/>
          <w:lang w:val="en-US" w:eastAsia="zh-CN"/>
        </w:rPr>
        <w:t>2</w:t>
      </w:r>
      <w:r>
        <w:rPr>
          <w:rFonts w:hint="default" w:ascii="Times New Roman" w:hAnsi="Times New Roman" w:eastAsia="方正仿宋_GBK" w:cs="Times New Roman"/>
          <w:color w:val="auto"/>
          <w:kern w:val="34"/>
          <w:sz w:val="33"/>
          <w:szCs w:val="33"/>
        </w:rPr>
        <w:t>个，其中行政单位</w:t>
      </w:r>
      <w:r>
        <w:rPr>
          <w:rFonts w:hint="eastAsia" w:ascii="Times New Roman" w:eastAsia="方正仿宋_GBK" w:cs="Times New Roman"/>
          <w:color w:val="auto"/>
          <w:kern w:val="34"/>
          <w:sz w:val="33"/>
          <w:szCs w:val="33"/>
          <w:lang w:val="en-US" w:eastAsia="zh-CN"/>
        </w:rPr>
        <w:t>0</w:t>
      </w:r>
      <w:r>
        <w:rPr>
          <w:rFonts w:hint="default" w:ascii="Times New Roman" w:hAnsi="Times New Roman" w:eastAsia="方正仿宋_GBK" w:cs="Times New Roman"/>
          <w:color w:val="auto"/>
          <w:kern w:val="34"/>
          <w:sz w:val="33"/>
          <w:szCs w:val="33"/>
        </w:rPr>
        <w:t>个，参照公务员法管理的事业单位</w:t>
      </w:r>
      <w:r>
        <w:rPr>
          <w:rFonts w:hint="eastAsia" w:ascii="Times New Roman" w:eastAsia="方正仿宋_GBK" w:cs="Times New Roman"/>
          <w:color w:val="auto"/>
          <w:kern w:val="34"/>
          <w:sz w:val="33"/>
          <w:szCs w:val="33"/>
          <w:lang w:val="en-US" w:eastAsia="zh-CN"/>
        </w:rPr>
        <w:t>2</w:t>
      </w:r>
      <w:r>
        <w:rPr>
          <w:rFonts w:hint="default" w:ascii="Times New Roman" w:hAnsi="Times New Roman" w:eastAsia="方正仿宋_GBK" w:cs="Times New Roman"/>
          <w:color w:val="auto"/>
          <w:kern w:val="34"/>
          <w:sz w:val="33"/>
          <w:szCs w:val="33"/>
        </w:rPr>
        <w:t>个，其他事业单位</w:t>
      </w:r>
      <w:r>
        <w:rPr>
          <w:rFonts w:hint="eastAsia" w:ascii="Times New Roman" w:eastAsia="方正仿宋_GBK" w:cs="Times New Roman"/>
          <w:color w:val="auto"/>
          <w:kern w:val="34"/>
          <w:sz w:val="33"/>
          <w:szCs w:val="33"/>
          <w:lang w:val="en-US" w:eastAsia="zh-CN"/>
        </w:rPr>
        <w:t>0</w:t>
      </w:r>
      <w:r>
        <w:rPr>
          <w:rFonts w:hint="default" w:ascii="Times New Roman" w:hAnsi="Times New Roman" w:eastAsia="方正仿宋_GBK" w:cs="Times New Roman"/>
          <w:color w:val="auto"/>
          <w:kern w:val="34"/>
          <w:sz w:val="33"/>
          <w:szCs w:val="33"/>
        </w:rPr>
        <w:t>个。</w:t>
      </w:r>
    </w:p>
    <w:p>
      <w:pPr>
        <w:pStyle w:val="2"/>
        <w:keepNext w:val="0"/>
        <w:keepLines w:val="0"/>
        <w:pageBreakBefore w:val="0"/>
        <w:widowControl w:val="0"/>
        <w:kinsoku/>
        <w:wordWrap/>
        <w:overflowPunct/>
        <w:topLinePunct w:val="0"/>
        <w:autoSpaceDE/>
        <w:autoSpaceDN/>
        <w:bidi w:val="0"/>
        <w:adjustRightInd/>
        <w:snapToGrid/>
        <w:spacing w:beforeLines="0" w:line="240" w:lineRule="auto"/>
        <w:ind w:firstLine="693" w:firstLineChars="210"/>
        <w:jc w:val="left"/>
        <w:textAlignment w:val="auto"/>
        <w:rPr>
          <w:rFonts w:hint="default" w:ascii="Times New Roman" w:hAnsi="Times New Roman" w:eastAsia="仿宋" w:cs="Times New Roman"/>
          <w:sz w:val="32"/>
          <w:szCs w:val="32"/>
          <w:lang w:eastAsia="zh-CN"/>
        </w:rPr>
      </w:pPr>
      <w:r>
        <w:rPr>
          <w:rFonts w:hint="eastAsia" w:ascii="Times New Roman" w:eastAsia="方正仿宋_GBK" w:cs="Times New Roman"/>
          <w:color w:val="auto"/>
          <w:kern w:val="34"/>
          <w:sz w:val="33"/>
          <w:szCs w:val="33"/>
          <w:lang w:eastAsia="zh-CN"/>
        </w:rPr>
        <w:t>无</w:t>
      </w:r>
      <w:r>
        <w:rPr>
          <w:rFonts w:hint="default" w:ascii="Times New Roman" w:hAnsi="Times New Roman" w:eastAsia="方正仿宋_GBK" w:cs="Times New Roman"/>
          <w:color w:val="auto"/>
          <w:kern w:val="34"/>
          <w:sz w:val="33"/>
          <w:szCs w:val="33"/>
        </w:rPr>
        <w:t>纳入</w:t>
      </w:r>
      <w:r>
        <w:rPr>
          <w:rFonts w:hint="eastAsia" w:ascii="Times New Roman" w:eastAsia="方正仿宋_GBK" w:cs="Times New Roman"/>
          <w:color w:val="auto"/>
          <w:kern w:val="34"/>
          <w:sz w:val="33"/>
          <w:szCs w:val="33"/>
          <w:lang w:eastAsia="zh-CN"/>
        </w:rPr>
        <w:t>西区</w:t>
      </w:r>
      <w:r>
        <w:rPr>
          <w:rFonts w:hint="default" w:ascii="Times New Roman" w:hAnsi="Times New Roman" w:eastAsia="方正仿宋_GBK" w:cs="Times New Roman"/>
          <w:color w:val="auto"/>
          <w:kern w:val="34"/>
          <w:sz w:val="33"/>
          <w:szCs w:val="33"/>
        </w:rPr>
        <w:t>区委组织部2021年度部门决算编制范围的二级预算单位</w:t>
      </w:r>
      <w:r>
        <w:rPr>
          <w:rFonts w:hint="default" w:ascii="Times New Roman" w:hAnsi="Times New Roman" w:eastAsia="方正仿宋_GBK" w:cs="Times New Roman"/>
          <w:color w:val="auto"/>
          <w:kern w:val="34"/>
          <w:sz w:val="33"/>
          <w:szCs w:val="33"/>
          <w:lang w:eastAsia="zh-CN"/>
        </w:rPr>
        <w:t>。</w:t>
      </w:r>
    </w:p>
    <w:p>
      <w:pPr>
        <w:pStyle w:val="2"/>
        <w:keepNext w:val="0"/>
        <w:keepLines w:val="0"/>
        <w:pageBreakBefore w:val="0"/>
        <w:widowControl w:val="0"/>
        <w:kinsoku/>
        <w:wordWrap/>
        <w:overflowPunct/>
        <w:topLinePunct w:val="0"/>
        <w:autoSpaceDE/>
        <w:autoSpaceDN/>
        <w:bidi w:val="0"/>
        <w:adjustRightInd/>
        <w:snapToGrid/>
        <w:spacing w:beforeLines="0"/>
        <w:textAlignment w:val="auto"/>
        <w:outlineLvl w:val="9"/>
        <w:rPr>
          <w:rFonts w:hint="default" w:ascii="Times New Roman" w:hAnsi="Times New Roman" w:cs="Times New Roman"/>
        </w:rPr>
      </w:pPr>
    </w:p>
    <w:p>
      <w:pPr>
        <w:pStyle w:val="3"/>
        <w:keepNext w:val="0"/>
        <w:keepLines w:val="0"/>
        <w:pageBreakBefore w:val="0"/>
        <w:widowControl w:val="0"/>
        <w:numPr>
          <w:ilvl w:val="0"/>
          <w:numId w:val="1"/>
        </w:numPr>
        <w:kinsoku/>
        <w:wordWrap/>
        <w:overflowPunct/>
        <w:topLinePunct w:val="0"/>
        <w:autoSpaceDE/>
        <w:autoSpaceDN/>
        <w:bidi w:val="0"/>
        <w:adjustRightInd/>
        <w:snapToGrid/>
        <w:spacing w:before="0" w:after="0" w:line="0" w:lineRule="atLeast"/>
        <w:ind w:left="737" w:leftChars="0" w:right="442" w:firstLine="0" w:firstLineChars="0"/>
        <w:jc w:val="center"/>
        <w:textAlignment w:val="auto"/>
        <w:outlineLvl w:val="0"/>
        <w:rPr>
          <w:rFonts w:hint="default" w:ascii="Times New Roman" w:hAnsi="Times New Roman" w:eastAsia="方正黑体_GBK" w:cs="Times New Roman"/>
          <w:b w:val="0"/>
        </w:rPr>
      </w:pPr>
      <w:r>
        <w:rPr>
          <w:rFonts w:hint="default" w:ascii="Times New Roman" w:hAnsi="Times New Roman" w:eastAsia="方正黑体_GBK" w:cs="Times New Roman"/>
          <w:b w:val="0"/>
        </w:rPr>
        <w:t>2021年度</w:t>
      </w:r>
      <w:r>
        <w:rPr>
          <w:rFonts w:hint="default" w:ascii="Times New Roman" w:hAnsi="Times New Roman" w:eastAsia="方正黑体_GBK" w:cs="Times New Roman"/>
          <w:b w:val="0"/>
          <w:lang w:eastAsia="zh-CN"/>
        </w:rPr>
        <w:t>部门</w:t>
      </w:r>
      <w:r>
        <w:rPr>
          <w:rFonts w:hint="default" w:ascii="Times New Roman" w:hAnsi="Times New Roman" w:eastAsia="方正黑体_GBK" w:cs="Times New Roman"/>
          <w:b w:val="0"/>
        </w:rPr>
        <w:t>决算情况说明</w:t>
      </w:r>
      <w:bookmarkEnd w:id="16"/>
      <w:bookmarkEnd w:id="17"/>
    </w:p>
    <w:p>
      <w:pPr>
        <w:keepNext w:val="0"/>
        <w:keepLines w:val="0"/>
        <w:pageBreakBefore w:val="0"/>
        <w:widowControl w:val="0"/>
        <w:numPr>
          <w:ilvl w:val="0"/>
          <w:numId w:val="0"/>
        </w:numPr>
        <w:kinsoku/>
        <w:wordWrap/>
        <w:overflowPunct/>
        <w:topLinePunct w:val="0"/>
        <w:bidi w:val="0"/>
        <w:adjustRightInd/>
        <w:snapToGrid/>
        <w:ind w:left="736" w:leftChars="0"/>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20" w:name="_Toc15377205"/>
      <w:bookmarkStart w:id="21" w:name="_Toc15396603"/>
      <w:r>
        <w:rPr>
          <w:rStyle w:val="27"/>
          <w:rFonts w:hint="default" w:ascii="Times New Roman" w:hAnsi="Times New Roman" w:eastAsia="方正黑体_GBK" w:cs="Times New Roman"/>
          <w:b w:val="0"/>
          <w:bCs w:val="0"/>
          <w:sz w:val="33"/>
          <w:szCs w:val="33"/>
          <w:lang w:eastAsia="zh-CN"/>
        </w:rPr>
        <w:t>一、</w:t>
      </w:r>
      <w:r>
        <w:rPr>
          <w:rStyle w:val="27"/>
          <w:rFonts w:hint="default" w:ascii="Times New Roman" w:hAnsi="Times New Roman" w:eastAsia="方正黑体_GBK" w:cs="Times New Roman"/>
          <w:b w:val="0"/>
          <w:bCs w:val="0"/>
          <w:sz w:val="33"/>
          <w:szCs w:val="33"/>
        </w:rPr>
        <w:t>收入支出决算总体情况说明</w:t>
      </w:r>
      <w:bookmarkEnd w:id="20"/>
      <w:bookmarkEnd w:id="21"/>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2021年度收、支总计516.82万元。与2020年相比，收、支总计各减少97.74万元，下降16%。主要变动原因是因本年将事业人员</w:t>
      </w:r>
      <w:r>
        <w:rPr>
          <w:rFonts w:hint="default" w:ascii="Times New Roman" w:hAnsi="Times New Roman" w:eastAsia="方正仿宋_GBK" w:cs="Times New Roman"/>
          <w:spacing w:val="0"/>
          <w:sz w:val="33"/>
          <w:szCs w:val="33"/>
          <w:lang w:eastAsia="zh-CN"/>
        </w:rPr>
        <w:t>划转</w:t>
      </w:r>
      <w:r>
        <w:rPr>
          <w:rFonts w:hint="default" w:ascii="Times New Roman" w:hAnsi="Times New Roman" w:eastAsia="方正仿宋_GBK" w:cs="Times New Roman"/>
          <w:spacing w:val="0"/>
          <w:sz w:val="33"/>
          <w:szCs w:val="33"/>
        </w:rPr>
        <w:t>到西区区委党校，基本支出减少，收、支总计随之减少。</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pacing w:val="0"/>
          <w:sz w:val="33"/>
          <w:szCs w:val="33"/>
        </w:rPr>
      </w:pPr>
      <w:r>
        <w:rPr>
          <w:rFonts w:hint="default" w:ascii="Times New Roman" w:hAnsi="Times New Roman" w:eastAsia="方正仿宋_GBK" w:cs="Times New Roman"/>
          <w:spacing w:val="0"/>
          <w:sz w:val="33"/>
          <w:szCs w:val="33"/>
        </w:rPr>
        <w:t>（图1：收、支决算总计变动情况图）</w:t>
      </w:r>
    </w:p>
    <w:p>
      <w:pPr>
        <w:pStyle w:val="2"/>
        <w:keepNext w:val="0"/>
        <w:keepLines w:val="0"/>
        <w:pageBreakBefore w:val="0"/>
        <w:widowControl w:val="0"/>
        <w:kinsoku/>
        <w:wordWrap/>
        <w:overflowPunct/>
        <w:topLinePunct w:val="0"/>
        <w:bidi w:val="0"/>
        <w:adjustRightInd/>
        <w:snapToGrid/>
        <w:spacing w:beforeLines="0" w:line="240" w:lineRule="auto"/>
        <w:jc w:val="both"/>
        <w:rPr>
          <w:rFonts w:hint="default" w:ascii="Times New Roman" w:hAnsi="Times New Roman" w:cs="Times New Roman"/>
          <w:sz w:val="32"/>
          <w:szCs w:val="32"/>
        </w:rPr>
      </w:pPr>
      <w:r>
        <w:rPr>
          <w:rFonts w:hint="default" w:ascii="Times New Roman" w:hAnsi="Times New Roman" w:cs="Times New Roman"/>
          <w:lang w:val="en-US" w:eastAsia="zh-CN"/>
        </w:rPr>
        <w:t xml:space="preserve">   </w:t>
      </w:r>
      <w:r>
        <w:rPr>
          <w:rFonts w:hint="default" w:ascii="Times New Roman" w:hAnsi="Times New Roman" w:cs="Times New Roman"/>
        </w:rPr>
        <w:drawing>
          <wp:inline distT="0" distB="0" distL="114300" distR="114300">
            <wp:extent cx="4944110" cy="2206625"/>
            <wp:effectExtent l="0" t="0" r="8890"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4944110" cy="2206625"/>
                    </a:xfrm>
                    <a:prstGeom prst="rect">
                      <a:avLst/>
                    </a:prstGeom>
                    <a:noFill/>
                    <a:ln>
                      <a:noFill/>
                    </a:ln>
                  </pic:spPr>
                </pic:pic>
              </a:graphicData>
            </a:graphic>
          </wp:inline>
        </w:drawing>
      </w:r>
      <w:r>
        <w:rPr>
          <w:rFonts w:hint="default" w:ascii="Times New Roman" w:hAnsi="Times New Roman" w:cs="Times New Roman"/>
          <w:sz w:val="32"/>
          <w:szCs w:val="32"/>
        </w:rPr>
        <w:t xml:space="preserve">   </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60" w:firstLineChars="200"/>
        <w:textAlignment w:val="auto"/>
        <w:outlineLvl w:val="1"/>
        <w:rPr>
          <w:rStyle w:val="27"/>
          <w:rFonts w:hint="default" w:ascii="Times New Roman" w:hAnsi="Times New Roman" w:eastAsia="方正黑体_GBK" w:cs="Times New Roman"/>
          <w:b w:val="0"/>
          <w:sz w:val="33"/>
          <w:szCs w:val="33"/>
        </w:rPr>
      </w:pPr>
      <w:bookmarkStart w:id="22" w:name="_Toc15396604"/>
      <w:bookmarkStart w:id="23" w:name="_Toc15377206"/>
      <w:r>
        <w:rPr>
          <w:rStyle w:val="27"/>
          <w:rFonts w:hint="default" w:ascii="Times New Roman" w:hAnsi="Times New Roman" w:eastAsia="方正黑体_GBK" w:cs="Times New Roman"/>
          <w:b w:val="0"/>
          <w:bCs w:val="0"/>
          <w:sz w:val="33"/>
          <w:szCs w:val="33"/>
          <w:lang w:val="en-US" w:eastAsia="zh-CN" w:bidi="ar-SA"/>
        </w:rPr>
        <w:t>二、收入决算情况说明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left="0" w:firstLine="660" w:firstLineChars="200"/>
        <w:textAlignment w:val="auto"/>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2021年本年收入合计508.65万元，其中：一般公共预算财政拨款收入436.91万元，占86%；政府性基金预算财政拨款收入71.73万元，占14%；其他收入0.01万元，占0%。</w:t>
      </w:r>
    </w:p>
    <w:p>
      <w:pPr>
        <w:keepNext w:val="0"/>
        <w:keepLines w:val="0"/>
        <w:pageBreakBefore w:val="0"/>
        <w:widowControl w:val="0"/>
        <w:kinsoku/>
        <w:wordWrap/>
        <w:overflowPunct/>
        <w:topLinePunct w:val="0"/>
        <w:autoSpaceDE/>
        <w:autoSpaceDN/>
        <w:bidi w:val="0"/>
        <w:adjustRightInd/>
        <w:snapToGrid/>
        <w:spacing w:line="240" w:lineRule="auto"/>
        <w:ind w:left="0"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（图2：收入决算结构图）</w:t>
      </w:r>
    </w:p>
    <w:p>
      <w:pPr>
        <w:pStyle w:val="2"/>
        <w:keepNext w:val="0"/>
        <w:keepLines w:val="0"/>
        <w:pageBreakBefore w:val="0"/>
        <w:widowControl w:val="0"/>
        <w:kinsoku/>
        <w:wordWrap/>
        <w:overflowPunct/>
        <w:topLinePunct w:val="0"/>
        <w:bidi w:val="0"/>
        <w:adjustRightInd/>
        <w:snapToGrid/>
        <w:spacing w:beforeLines="0" w:line="240" w:lineRule="auto"/>
        <w:ind w:firstLine="320" w:firstLineChars="100"/>
        <w:rPr>
          <w:rFonts w:hint="default" w:ascii="Times New Roman" w:hAnsi="Times New Roman" w:cs="Times New Roman"/>
          <w:sz w:val="32"/>
          <w:szCs w:val="32"/>
        </w:rPr>
      </w:pPr>
      <w:r>
        <w:rPr>
          <w:rFonts w:hint="default" w:ascii="Times New Roman" w:hAnsi="Times New Roman" w:cs="Times New Roman"/>
          <w:sz w:val="32"/>
          <w:szCs w:val="32"/>
        </w:rPr>
        <w:drawing>
          <wp:inline distT="0" distB="0" distL="0" distR="0">
            <wp:extent cx="5000625" cy="2228850"/>
            <wp:effectExtent l="19050" t="0" r="9525" b="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24" w:name="_Toc15396605"/>
      <w:bookmarkStart w:id="25" w:name="_Toc15377207"/>
      <w:r>
        <w:rPr>
          <w:rStyle w:val="27"/>
          <w:rFonts w:hint="default" w:ascii="Times New Roman" w:hAnsi="Times New Roman" w:eastAsia="方正黑体_GBK" w:cs="Times New Roman"/>
          <w:b w:val="0"/>
          <w:bCs w:val="0"/>
          <w:sz w:val="33"/>
          <w:szCs w:val="33"/>
          <w:lang w:eastAsia="zh-CN"/>
        </w:rPr>
        <w:t>三、</w:t>
      </w:r>
      <w:r>
        <w:rPr>
          <w:rStyle w:val="27"/>
          <w:rFonts w:hint="default" w:ascii="Times New Roman" w:hAnsi="Times New Roman" w:eastAsia="方正黑体_GBK" w:cs="Times New Roman"/>
          <w:b w:val="0"/>
          <w:bCs w:val="0"/>
          <w:sz w:val="33"/>
          <w:szCs w:val="33"/>
        </w:rPr>
        <w:t>支出决算情况说明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2021年本年支出合计516.82万元，其中：基本支出289.53万元，占56%；项目支出227.29万元，占44%。</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（图3：支出决算结构图）</w:t>
      </w:r>
    </w:p>
    <w:p>
      <w:pPr>
        <w:pStyle w:val="2"/>
        <w:keepNext w:val="0"/>
        <w:keepLines w:val="0"/>
        <w:pageBreakBefore w:val="0"/>
        <w:widowControl w:val="0"/>
        <w:kinsoku/>
        <w:wordWrap/>
        <w:overflowPunct/>
        <w:topLinePunct w:val="0"/>
        <w:bidi w:val="0"/>
        <w:adjustRightInd/>
        <w:snapToGrid/>
        <w:spacing w:beforeLines="0" w:line="240" w:lineRule="auto"/>
        <w:ind w:firstLine="480" w:firstLineChars="150"/>
        <w:rPr>
          <w:rFonts w:hint="default" w:ascii="Times New Roman" w:hAnsi="Times New Roman" w:cs="Times New Roman"/>
          <w:sz w:val="32"/>
          <w:szCs w:val="32"/>
        </w:rPr>
      </w:pPr>
      <w:r>
        <w:rPr>
          <w:rFonts w:hint="default" w:ascii="Times New Roman" w:hAnsi="Times New Roman" w:cs="Times New Roman"/>
          <w:sz w:val="32"/>
          <w:szCs w:val="32"/>
        </w:rPr>
        <w:drawing>
          <wp:inline distT="0" distB="0" distL="0" distR="0">
            <wp:extent cx="5000625" cy="2085975"/>
            <wp:effectExtent l="4445" t="4445" r="8890" b="12700"/>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26" w:name="_Toc15377208"/>
      <w:bookmarkStart w:id="27" w:name="_Toc15396606"/>
      <w:r>
        <w:rPr>
          <w:rStyle w:val="27"/>
          <w:rFonts w:hint="default" w:ascii="Times New Roman" w:hAnsi="Times New Roman" w:eastAsia="方正黑体_GBK" w:cs="Times New Roman"/>
          <w:b w:val="0"/>
          <w:bCs w:val="0"/>
          <w:sz w:val="33"/>
          <w:szCs w:val="33"/>
        </w:rPr>
        <w:t>四、财政拨款收入支出决算总体情况说明</w:t>
      </w:r>
      <w:bookmarkEnd w:id="26"/>
      <w:bookmarkEnd w:id="27"/>
    </w:p>
    <w:p>
      <w:pPr>
        <w:keepNext w:val="0"/>
        <w:keepLines w:val="0"/>
        <w:pageBreakBefore w:val="0"/>
        <w:widowControl w:val="0"/>
        <w:kinsoku/>
        <w:wordWrap/>
        <w:overflowPunct/>
        <w:topLinePunct w:val="0"/>
        <w:bidi w:val="0"/>
        <w:adjustRightInd/>
        <w:snapToGrid/>
        <w:spacing w:line="240" w:lineRule="auto"/>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2021年财政拨款收、支总计516.49万元。与2020年相比，财政拨款收、支总计各减少92.03万元，下降15%。主要变动原因是因本年将事业人员</w:t>
      </w:r>
      <w:r>
        <w:rPr>
          <w:rFonts w:hint="default" w:ascii="Times New Roman" w:hAnsi="Times New Roman" w:eastAsia="方正仿宋_GBK" w:cs="Times New Roman"/>
          <w:sz w:val="33"/>
          <w:szCs w:val="33"/>
          <w:lang w:eastAsia="zh-CN"/>
        </w:rPr>
        <w:t>划转</w:t>
      </w:r>
      <w:r>
        <w:rPr>
          <w:rFonts w:hint="default" w:ascii="Times New Roman" w:hAnsi="Times New Roman" w:eastAsia="方正仿宋_GBK" w:cs="Times New Roman"/>
          <w:sz w:val="33"/>
          <w:szCs w:val="33"/>
        </w:rPr>
        <w:t>到西区区委党校，财政拨款收、支总计随之减少。</w:t>
      </w:r>
    </w:p>
    <w:p>
      <w:pPr>
        <w:keepNext w:val="0"/>
        <w:keepLines w:val="0"/>
        <w:pageBreakBefore w:val="0"/>
        <w:widowControl w:val="0"/>
        <w:kinsoku/>
        <w:wordWrap/>
        <w:overflowPunct/>
        <w:topLinePunct w:val="0"/>
        <w:bidi w:val="0"/>
        <w:adjustRightInd/>
        <w:snapToGrid/>
        <w:spacing w:line="240" w:lineRule="auto"/>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（图4：财政拨款收、支决算总计变动情况）</w:t>
      </w:r>
    </w:p>
    <w:p>
      <w:pPr>
        <w:pStyle w:val="2"/>
        <w:keepNext w:val="0"/>
        <w:keepLines w:val="0"/>
        <w:pageBreakBefore w:val="0"/>
        <w:widowControl w:val="0"/>
        <w:kinsoku/>
        <w:wordWrap/>
        <w:overflowPunct/>
        <w:topLinePunct w:val="0"/>
        <w:bidi w:val="0"/>
        <w:adjustRightInd/>
        <w:snapToGrid/>
        <w:spacing w:beforeLines="0" w:line="240" w:lineRule="auto"/>
        <w:ind w:firstLine="441" w:firstLineChars="147"/>
        <w:rPr>
          <w:rFonts w:hint="default" w:ascii="Times New Roman" w:hAnsi="Times New Roman" w:eastAsia="仿宋" w:cs="Times New Roman"/>
          <w:b/>
          <w:sz w:val="32"/>
          <w:szCs w:val="32"/>
        </w:rPr>
      </w:pPr>
      <w:r>
        <w:rPr>
          <w:rFonts w:hint="default" w:ascii="Times New Roman" w:hAnsi="Times New Roman" w:cs="Times New Roman"/>
        </w:rPr>
        <w:drawing>
          <wp:inline distT="0" distB="0" distL="114300" distR="114300">
            <wp:extent cx="4598035" cy="2052320"/>
            <wp:effectExtent l="0" t="0" r="12065" b="508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0"/>
                    <a:stretch>
                      <a:fillRect/>
                    </a:stretch>
                  </pic:blipFill>
                  <pic:spPr>
                    <a:xfrm>
                      <a:off x="0" y="0"/>
                      <a:ext cx="4598035" cy="2052320"/>
                    </a:xfrm>
                    <a:prstGeom prst="rect">
                      <a:avLst/>
                    </a:prstGeom>
                    <a:noFill/>
                    <a:ln>
                      <a:noFill/>
                    </a:ln>
                  </pic:spPr>
                </pic:pic>
              </a:graphicData>
            </a:graphic>
          </wp:inline>
        </w:drawing>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28" w:name="_Toc15396607"/>
      <w:bookmarkStart w:id="29" w:name="_Toc15377209"/>
      <w:r>
        <w:rPr>
          <w:rStyle w:val="27"/>
          <w:rFonts w:hint="default" w:ascii="Times New Roman" w:hAnsi="Times New Roman" w:eastAsia="方正黑体_GBK" w:cs="Times New Roman"/>
          <w:b w:val="0"/>
          <w:bCs w:val="0"/>
          <w:sz w:val="33"/>
          <w:szCs w:val="33"/>
        </w:rPr>
        <w:t>五、一般公共预算财政拨款支出决算情况说明</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outlineLvl w:val="2"/>
        <w:rPr>
          <w:rFonts w:hint="default" w:ascii="Times New Roman" w:hAnsi="Times New Roman" w:eastAsia="方正楷体_GBK" w:cs="Times New Roman"/>
          <w:b/>
          <w:sz w:val="33"/>
          <w:szCs w:val="33"/>
        </w:rPr>
      </w:pPr>
      <w:bookmarkStart w:id="30" w:name="_Toc15377210"/>
      <w:r>
        <w:rPr>
          <w:rFonts w:hint="default" w:ascii="Times New Roman" w:hAnsi="Times New Roman" w:eastAsia="方正楷体_GBK" w:cs="Times New Roman"/>
          <w:b/>
          <w:sz w:val="33"/>
          <w:szCs w:val="33"/>
        </w:rPr>
        <w:t>（一）一般公共预算财政拨款支出决算总体情况</w:t>
      </w:r>
      <w:bookmarkEnd w:id="30"/>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2021年一般公共预算财政拨款支出444.76万元，占本年支出合计的86%。与2020年相比，一般公共预算财政拨款支出减少33.25万元，下降7%。主要变动原因是因本年将事业</w:t>
      </w:r>
      <w:r>
        <w:rPr>
          <w:rFonts w:hint="default" w:ascii="Times New Roman" w:hAnsi="Times New Roman" w:eastAsia="方正仿宋_GBK" w:cs="Times New Roman"/>
          <w:spacing w:val="-6"/>
          <w:sz w:val="33"/>
          <w:szCs w:val="33"/>
        </w:rPr>
        <w:t>人员</w:t>
      </w:r>
      <w:r>
        <w:rPr>
          <w:rFonts w:hint="default" w:ascii="Times New Roman" w:hAnsi="Times New Roman" w:eastAsia="方正仿宋_GBK" w:cs="Times New Roman"/>
          <w:spacing w:val="-6"/>
          <w:sz w:val="33"/>
          <w:szCs w:val="33"/>
          <w:lang w:eastAsia="zh-CN"/>
        </w:rPr>
        <w:t>划转</w:t>
      </w:r>
      <w:r>
        <w:rPr>
          <w:rFonts w:hint="default" w:ascii="Times New Roman" w:hAnsi="Times New Roman" w:eastAsia="方正仿宋_GBK" w:cs="Times New Roman"/>
          <w:spacing w:val="-6"/>
          <w:sz w:val="33"/>
          <w:szCs w:val="33"/>
        </w:rPr>
        <w:t>到西区区委党校，一般公共预算财政拨款支出随之减少。</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（图5：一般公共预算财政拨款支出决算变动情况）</w:t>
      </w:r>
    </w:p>
    <w:p>
      <w:pPr>
        <w:pStyle w:val="2"/>
        <w:keepNext w:val="0"/>
        <w:keepLines w:val="0"/>
        <w:pageBreakBefore w:val="0"/>
        <w:widowControl w:val="0"/>
        <w:kinsoku/>
        <w:wordWrap/>
        <w:overflowPunct/>
        <w:topLinePunct w:val="0"/>
        <w:bidi w:val="0"/>
        <w:adjustRightInd/>
        <w:snapToGrid/>
        <w:spacing w:beforeLines="0" w:line="240" w:lineRule="auto"/>
        <w:ind w:firstLine="450" w:firstLineChars="150"/>
        <w:rPr>
          <w:rFonts w:hint="default" w:ascii="Times New Roman" w:hAnsi="Times New Roman" w:eastAsia="仿宋" w:cs="Times New Roman"/>
          <w:sz w:val="32"/>
          <w:szCs w:val="32"/>
        </w:rPr>
      </w:pPr>
      <w:r>
        <w:rPr>
          <w:rFonts w:hint="default" w:ascii="Times New Roman" w:hAnsi="Times New Roman" w:cs="Times New Roman"/>
        </w:rPr>
        <w:drawing>
          <wp:inline distT="0" distB="0" distL="114300" distR="114300">
            <wp:extent cx="3840480" cy="1714500"/>
            <wp:effectExtent l="0" t="0" r="762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1"/>
                    <a:stretch>
                      <a:fillRect/>
                    </a:stretch>
                  </pic:blipFill>
                  <pic:spPr>
                    <a:xfrm>
                      <a:off x="0" y="0"/>
                      <a:ext cx="3840480" cy="17145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outlineLvl w:val="2"/>
        <w:rPr>
          <w:rFonts w:hint="default" w:ascii="Times New Roman" w:hAnsi="Times New Roman" w:eastAsia="方正楷体_GBK" w:cs="Times New Roman"/>
          <w:b/>
          <w:sz w:val="33"/>
          <w:szCs w:val="33"/>
        </w:rPr>
      </w:pPr>
      <w:bookmarkStart w:id="31" w:name="_Toc15377211"/>
      <w:r>
        <w:rPr>
          <w:rFonts w:hint="default" w:ascii="Times New Roman" w:hAnsi="Times New Roman" w:eastAsia="方正楷体_GBK" w:cs="Times New Roman"/>
          <w:b/>
          <w:sz w:val="33"/>
          <w:szCs w:val="33"/>
        </w:rPr>
        <w:t>（二）一般公共预算财政拨款支出决算结构情况</w:t>
      </w:r>
      <w:bookmarkEnd w:id="31"/>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b/>
          <w:spacing w:val="0"/>
          <w:sz w:val="33"/>
          <w:szCs w:val="33"/>
        </w:rPr>
      </w:pPr>
      <w:r>
        <w:rPr>
          <w:rFonts w:hint="default" w:ascii="Times New Roman" w:hAnsi="Times New Roman" w:eastAsia="方正仿宋_GBK" w:cs="Times New Roman"/>
          <w:spacing w:val="0"/>
          <w:sz w:val="33"/>
          <w:szCs w:val="33"/>
        </w:rPr>
        <w:t>2021年一般公共预算财政拨款支出444.76万元，主要用于以下方面:</w:t>
      </w:r>
      <w:r>
        <w:rPr>
          <w:rFonts w:hint="default" w:ascii="Times New Roman" w:hAnsi="Times New Roman" w:eastAsia="方正仿宋_GBK" w:cs="Times New Roman"/>
          <w:b/>
          <w:spacing w:val="0"/>
          <w:sz w:val="33"/>
          <w:szCs w:val="33"/>
        </w:rPr>
        <w:t>一般公共服务（类）</w:t>
      </w:r>
      <w:r>
        <w:rPr>
          <w:rFonts w:hint="default" w:ascii="Times New Roman" w:hAnsi="Times New Roman" w:eastAsia="方正仿宋_GBK" w:cs="Times New Roman"/>
          <w:spacing w:val="0"/>
          <w:sz w:val="33"/>
          <w:szCs w:val="33"/>
        </w:rPr>
        <w:t>支出379.93万元，占85%；</w:t>
      </w:r>
      <w:r>
        <w:rPr>
          <w:rFonts w:hint="default" w:ascii="Times New Roman" w:hAnsi="Times New Roman" w:eastAsia="方正仿宋_GBK" w:cs="Times New Roman"/>
          <w:b/>
          <w:spacing w:val="0"/>
          <w:sz w:val="33"/>
          <w:szCs w:val="33"/>
        </w:rPr>
        <w:t>社会保障和就业（类）</w:t>
      </w:r>
      <w:r>
        <w:rPr>
          <w:rFonts w:hint="default" w:ascii="Times New Roman" w:hAnsi="Times New Roman" w:eastAsia="方正仿宋_GBK" w:cs="Times New Roman"/>
          <w:spacing w:val="0"/>
          <w:sz w:val="33"/>
          <w:szCs w:val="33"/>
        </w:rPr>
        <w:t>支出20.55万元，占5%；</w:t>
      </w:r>
      <w:r>
        <w:rPr>
          <w:rFonts w:hint="default" w:ascii="Times New Roman" w:hAnsi="Times New Roman" w:eastAsia="方正仿宋_GBK" w:cs="Times New Roman"/>
          <w:b/>
          <w:bCs/>
          <w:spacing w:val="0"/>
          <w:sz w:val="33"/>
          <w:szCs w:val="33"/>
        </w:rPr>
        <w:t>卫生健康</w:t>
      </w:r>
      <w:r>
        <w:rPr>
          <w:rFonts w:hint="default" w:ascii="Times New Roman" w:hAnsi="Times New Roman" w:eastAsia="方正仿宋_GBK" w:cs="Times New Roman"/>
          <w:b/>
          <w:spacing w:val="0"/>
          <w:sz w:val="33"/>
          <w:szCs w:val="33"/>
        </w:rPr>
        <w:t>（类）</w:t>
      </w:r>
      <w:r>
        <w:rPr>
          <w:rFonts w:hint="default" w:ascii="Times New Roman" w:hAnsi="Times New Roman" w:eastAsia="方正仿宋_GBK" w:cs="Times New Roman"/>
          <w:spacing w:val="0"/>
          <w:sz w:val="33"/>
          <w:szCs w:val="33"/>
        </w:rPr>
        <w:t>支出17.53万元，占4%；</w:t>
      </w:r>
      <w:r>
        <w:rPr>
          <w:rFonts w:hint="default" w:ascii="Times New Roman" w:hAnsi="Times New Roman" w:eastAsia="方正仿宋_GBK" w:cs="Times New Roman"/>
          <w:b/>
          <w:bCs/>
          <w:spacing w:val="0"/>
          <w:sz w:val="33"/>
          <w:szCs w:val="33"/>
        </w:rPr>
        <w:t>住房保障</w:t>
      </w:r>
      <w:r>
        <w:rPr>
          <w:rFonts w:hint="default" w:ascii="Times New Roman" w:hAnsi="Times New Roman" w:eastAsia="方正仿宋_GBK" w:cs="Times New Roman"/>
          <w:b/>
          <w:spacing w:val="0"/>
          <w:sz w:val="33"/>
          <w:szCs w:val="33"/>
        </w:rPr>
        <w:t>（类）</w:t>
      </w:r>
      <w:r>
        <w:rPr>
          <w:rFonts w:hint="default" w:ascii="Times New Roman" w:hAnsi="Times New Roman" w:eastAsia="方正仿宋_GBK" w:cs="Times New Roman"/>
          <w:spacing w:val="0"/>
          <w:sz w:val="33"/>
          <w:szCs w:val="33"/>
        </w:rPr>
        <w:t>支出26.75万元，占6%。</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（图6：一般公共预算财政拨款支出决算结构）</w:t>
      </w:r>
    </w:p>
    <w:p>
      <w:pPr>
        <w:pStyle w:val="2"/>
        <w:keepNext w:val="0"/>
        <w:keepLines w:val="0"/>
        <w:pageBreakBefore w:val="0"/>
        <w:widowControl w:val="0"/>
        <w:kinsoku/>
        <w:wordWrap/>
        <w:overflowPunct/>
        <w:topLinePunct w:val="0"/>
        <w:bidi w:val="0"/>
        <w:adjustRightInd/>
        <w:snapToGrid/>
        <w:spacing w:beforeLines="0" w:line="240" w:lineRule="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rPr>
        <w:drawing>
          <wp:inline distT="0" distB="0" distL="0" distR="0">
            <wp:extent cx="4962525" cy="2057400"/>
            <wp:effectExtent l="19050" t="0" r="9525" b="0"/>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default" w:ascii="Times New Roman" w:hAnsi="Times New Roman" w:eastAsia="仿宋" w:cs="Times New Roman"/>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beforeLines="0" w:line="240" w:lineRule="auto"/>
        <w:ind w:firstLine="663" w:firstLineChars="200"/>
        <w:textAlignment w:val="auto"/>
        <w:outlineLvl w:val="9"/>
        <w:rPr>
          <w:rFonts w:hint="default" w:ascii="Times New Roman" w:hAnsi="Times New Roman" w:eastAsia="方正楷体_GBK" w:cs="Times New Roman"/>
          <w:b/>
          <w:kern w:val="2"/>
          <w:sz w:val="33"/>
          <w:szCs w:val="33"/>
          <w:lang w:val="en-US" w:eastAsia="zh-CN" w:bidi="ar-SA"/>
        </w:rPr>
      </w:pPr>
      <w:bookmarkStart w:id="32" w:name="_Toc15377212"/>
      <w:r>
        <w:rPr>
          <w:rFonts w:hint="default" w:ascii="Times New Roman" w:hAnsi="Times New Roman" w:eastAsia="方正楷体_GBK" w:cs="Times New Roman"/>
          <w:b/>
          <w:kern w:val="2"/>
          <w:sz w:val="33"/>
          <w:szCs w:val="33"/>
          <w:lang w:val="en-US" w:eastAsia="zh-CN" w:bidi="ar-SA"/>
        </w:rPr>
        <w:t>（三）一般公共预算财政拨款支出决算具体情况</w:t>
      </w:r>
      <w:bookmarkEnd w:id="32"/>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outlineLvl w:val="2"/>
        <w:rPr>
          <w:rFonts w:hint="default" w:ascii="Times New Roman" w:hAnsi="Times New Roman" w:eastAsia="方正仿宋_GBK" w:cs="Times New Roman"/>
          <w:sz w:val="33"/>
          <w:szCs w:val="33"/>
        </w:rPr>
      </w:pPr>
      <w:bookmarkStart w:id="33" w:name="_Toc15377213"/>
      <w:bookmarkStart w:id="34" w:name="_Toc15377444"/>
      <w:bookmarkStart w:id="35" w:name="_Toc15378460"/>
      <w:r>
        <w:rPr>
          <w:rFonts w:hint="default" w:ascii="Times New Roman" w:hAnsi="Times New Roman" w:eastAsia="方正仿宋_GBK" w:cs="Times New Roman"/>
          <w:b/>
          <w:sz w:val="33"/>
          <w:szCs w:val="33"/>
        </w:rPr>
        <w:t>2021年一般公共预算支出决算数为</w:t>
      </w:r>
      <w:r>
        <w:rPr>
          <w:rFonts w:hint="default" w:ascii="Times New Roman" w:hAnsi="Times New Roman" w:eastAsia="方正仿宋_GBK" w:cs="Times New Roman"/>
          <w:sz w:val="33"/>
          <w:szCs w:val="33"/>
        </w:rPr>
        <w:t>444.76万元，</w:t>
      </w:r>
      <w:r>
        <w:rPr>
          <w:rStyle w:val="14"/>
          <w:rFonts w:hint="default" w:ascii="Times New Roman" w:hAnsi="Times New Roman" w:eastAsia="方正仿宋_GBK" w:cs="Times New Roman"/>
          <w:bCs/>
          <w:sz w:val="33"/>
          <w:szCs w:val="33"/>
        </w:rPr>
        <w:t>完成预算102%。其中：</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仿宋_GBK" w:cs="Times New Roman"/>
          <w:b/>
          <w:sz w:val="33"/>
          <w:szCs w:val="33"/>
        </w:rPr>
      </w:pPr>
      <w:r>
        <w:rPr>
          <w:rStyle w:val="14"/>
          <w:rFonts w:hint="default" w:ascii="Times New Roman" w:hAnsi="Times New Roman" w:eastAsia="方正仿宋_GBK" w:cs="Times New Roman"/>
          <w:bCs/>
          <w:sz w:val="33"/>
          <w:szCs w:val="33"/>
        </w:rPr>
        <w:t>1.一般公共服务（类）</w:t>
      </w:r>
      <w:r>
        <w:rPr>
          <w:rStyle w:val="14"/>
          <w:rFonts w:hint="default" w:ascii="Times New Roman" w:hAnsi="Times New Roman" w:eastAsia="方正仿宋_GBK" w:cs="Times New Roman"/>
          <w:bCs/>
          <w:color w:val="000000"/>
          <w:sz w:val="33"/>
          <w:szCs w:val="33"/>
        </w:rPr>
        <w:t>组织事务（款）行政运行</w:t>
      </w:r>
      <w:r>
        <w:rPr>
          <w:rStyle w:val="14"/>
          <w:rFonts w:hint="default" w:ascii="Times New Roman" w:hAnsi="Times New Roman" w:eastAsia="方正仿宋_GBK" w:cs="Times New Roman"/>
          <w:bCs/>
          <w:sz w:val="33"/>
          <w:szCs w:val="33"/>
        </w:rPr>
        <w:t>（项）:</w:t>
      </w:r>
      <w:r>
        <w:rPr>
          <w:rStyle w:val="14"/>
          <w:rFonts w:hint="default" w:ascii="Times New Roman" w:hAnsi="Times New Roman" w:eastAsia="方正仿宋_GBK" w:cs="Times New Roman"/>
          <w:b w:val="0"/>
          <w:bCs/>
          <w:sz w:val="33"/>
          <w:szCs w:val="33"/>
        </w:rPr>
        <w:t>支出决算为224.37万元，完成预算100%；</w:t>
      </w:r>
      <w:r>
        <w:rPr>
          <w:rStyle w:val="14"/>
          <w:rFonts w:hint="default" w:ascii="Times New Roman" w:hAnsi="Times New Roman" w:eastAsia="方正仿宋_GBK" w:cs="Times New Roman"/>
          <w:bCs/>
          <w:color w:val="000000"/>
          <w:sz w:val="33"/>
          <w:szCs w:val="33"/>
        </w:rPr>
        <w:t>一般行政管理事务（项）:</w:t>
      </w:r>
      <w:r>
        <w:rPr>
          <w:rStyle w:val="14"/>
          <w:rFonts w:hint="default" w:ascii="Times New Roman" w:hAnsi="Times New Roman" w:eastAsia="方正仿宋_GBK" w:cs="Times New Roman"/>
          <w:b w:val="0"/>
          <w:bCs/>
          <w:color w:val="000000"/>
          <w:sz w:val="33"/>
          <w:szCs w:val="33"/>
        </w:rPr>
        <w:t>支出决算为155.56万元，完成预算105%，决算数大于预算数的主要原因是项目使用上年结转经费7.19万元</w:t>
      </w:r>
      <w:r>
        <w:rPr>
          <w:rStyle w:val="14"/>
          <w:rFonts w:hint="default" w:ascii="Times New Roman" w:hAnsi="Times New Roman" w:eastAsia="方正仿宋_GBK" w:cs="Times New Roman"/>
          <w:b w:val="0"/>
          <w:bCs/>
          <w:sz w:val="33"/>
          <w:szCs w:val="33"/>
        </w:rPr>
        <w:t>。</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Style w:val="14"/>
          <w:rFonts w:hint="default" w:ascii="Times New Roman" w:hAnsi="Times New Roman" w:eastAsia="方正仿宋_GBK" w:cs="Times New Roman"/>
          <w:bCs/>
          <w:color w:val="000000"/>
          <w:sz w:val="33"/>
          <w:szCs w:val="33"/>
        </w:rPr>
      </w:pPr>
      <w:r>
        <w:rPr>
          <w:rStyle w:val="14"/>
          <w:rFonts w:hint="default" w:ascii="Times New Roman" w:hAnsi="Times New Roman" w:eastAsia="方正仿宋_GBK" w:cs="Times New Roman"/>
          <w:bCs/>
          <w:color w:val="000000"/>
          <w:sz w:val="33"/>
          <w:szCs w:val="33"/>
        </w:rPr>
        <w:t>2.社会保障和就业支出（类）行政事业单位养老支出（款）行政单位离退休（项）:</w:t>
      </w:r>
      <w:r>
        <w:rPr>
          <w:rStyle w:val="14"/>
          <w:rFonts w:hint="default" w:ascii="Times New Roman" w:hAnsi="Times New Roman" w:eastAsia="方正仿宋_GBK" w:cs="Times New Roman"/>
          <w:b w:val="0"/>
          <w:bCs/>
          <w:color w:val="000000"/>
          <w:sz w:val="33"/>
          <w:szCs w:val="33"/>
        </w:rPr>
        <w:t xml:space="preserve"> 支出决算为2.45万元，完成预算100%；</w:t>
      </w:r>
      <w:r>
        <w:rPr>
          <w:rStyle w:val="14"/>
          <w:rFonts w:hint="default" w:ascii="Times New Roman" w:hAnsi="Times New Roman" w:eastAsia="方正仿宋_GBK" w:cs="Times New Roman"/>
          <w:bCs/>
          <w:color w:val="000000"/>
          <w:sz w:val="33"/>
          <w:szCs w:val="33"/>
        </w:rPr>
        <w:t>机关事业单位基本养老保险缴费支出（项）:</w:t>
      </w:r>
      <w:r>
        <w:rPr>
          <w:rStyle w:val="14"/>
          <w:rFonts w:hint="default" w:ascii="Times New Roman" w:hAnsi="Times New Roman" w:eastAsia="方正仿宋_GBK" w:cs="Times New Roman"/>
          <w:b w:val="0"/>
          <w:bCs/>
          <w:color w:val="000000"/>
          <w:sz w:val="33"/>
          <w:szCs w:val="33"/>
        </w:rPr>
        <w:t xml:space="preserve"> 支出决算为18.10万元，完成预算100%。</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Style w:val="14"/>
          <w:rFonts w:hint="default" w:ascii="Times New Roman" w:hAnsi="Times New Roman" w:eastAsia="方正仿宋_GBK" w:cs="Times New Roman"/>
          <w:b w:val="0"/>
          <w:bCs/>
          <w:color w:val="000000"/>
          <w:sz w:val="33"/>
          <w:szCs w:val="33"/>
        </w:rPr>
      </w:pPr>
      <w:r>
        <w:rPr>
          <w:rStyle w:val="14"/>
          <w:rFonts w:hint="default" w:ascii="Times New Roman" w:hAnsi="Times New Roman" w:eastAsia="方正仿宋_GBK" w:cs="Times New Roman"/>
          <w:bCs/>
          <w:sz w:val="33"/>
          <w:szCs w:val="33"/>
        </w:rPr>
        <w:t>3.</w:t>
      </w:r>
      <w:r>
        <w:rPr>
          <w:rFonts w:hint="default" w:ascii="Times New Roman" w:hAnsi="Times New Roman" w:eastAsia="方正仿宋_GBK" w:cs="Times New Roman"/>
          <w:b/>
          <w:bCs/>
          <w:color w:val="000000"/>
          <w:sz w:val="33"/>
          <w:szCs w:val="33"/>
        </w:rPr>
        <w:t>卫生健康支出</w:t>
      </w:r>
      <w:r>
        <w:rPr>
          <w:rStyle w:val="14"/>
          <w:rFonts w:hint="default" w:ascii="Times New Roman" w:hAnsi="Times New Roman" w:eastAsia="方正仿宋_GBK" w:cs="Times New Roman"/>
          <w:bCs/>
          <w:color w:val="000000"/>
          <w:sz w:val="33"/>
          <w:szCs w:val="33"/>
        </w:rPr>
        <w:t>（类）行政事业单位医疗（款）行政单位医疗（项）:</w:t>
      </w:r>
      <w:r>
        <w:rPr>
          <w:rStyle w:val="14"/>
          <w:rFonts w:hint="default" w:ascii="Times New Roman" w:hAnsi="Times New Roman" w:eastAsia="方正仿宋_GBK" w:cs="Times New Roman"/>
          <w:b w:val="0"/>
          <w:bCs/>
          <w:color w:val="000000"/>
          <w:sz w:val="33"/>
          <w:szCs w:val="33"/>
        </w:rPr>
        <w:t>支出决算为16.04万元，完成预算100%；</w:t>
      </w:r>
      <w:r>
        <w:rPr>
          <w:rStyle w:val="14"/>
          <w:rFonts w:hint="default" w:ascii="Times New Roman" w:hAnsi="Times New Roman" w:eastAsia="方正仿宋_GBK" w:cs="Times New Roman"/>
          <w:color w:val="000000"/>
          <w:sz w:val="33"/>
          <w:szCs w:val="33"/>
        </w:rPr>
        <w:t>公务员医疗补助</w:t>
      </w:r>
      <w:r>
        <w:rPr>
          <w:rStyle w:val="14"/>
          <w:rFonts w:hint="default" w:ascii="Times New Roman" w:hAnsi="Times New Roman" w:eastAsia="方正仿宋_GBK" w:cs="Times New Roman"/>
          <w:bCs/>
          <w:color w:val="000000"/>
          <w:sz w:val="33"/>
          <w:szCs w:val="33"/>
        </w:rPr>
        <w:t>（项）:</w:t>
      </w:r>
      <w:r>
        <w:rPr>
          <w:rStyle w:val="14"/>
          <w:rFonts w:hint="default" w:ascii="Times New Roman" w:hAnsi="Times New Roman" w:eastAsia="方正仿宋_GBK" w:cs="Times New Roman"/>
          <w:b w:val="0"/>
          <w:bCs/>
          <w:color w:val="000000"/>
          <w:sz w:val="33"/>
          <w:szCs w:val="33"/>
        </w:rPr>
        <w:t>支出决算为1.49万元，完成预算100%。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000000"/>
          <w:kern w:val="0"/>
          <w:sz w:val="33"/>
          <w:szCs w:val="33"/>
        </w:rPr>
      </w:pPr>
      <w:r>
        <w:rPr>
          <w:rStyle w:val="14"/>
          <w:rFonts w:hint="default" w:ascii="Times New Roman" w:hAnsi="Times New Roman" w:eastAsia="方正仿宋_GBK" w:cs="Times New Roman"/>
          <w:bCs/>
          <w:sz w:val="33"/>
          <w:szCs w:val="33"/>
        </w:rPr>
        <w:t xml:space="preserve">    4</w:t>
      </w:r>
      <w:r>
        <w:rPr>
          <w:rFonts w:hint="default" w:ascii="Times New Roman" w:hAnsi="Times New Roman" w:eastAsia="方正仿宋_GBK" w:cs="Times New Roman"/>
          <w:sz w:val="33"/>
          <w:szCs w:val="33"/>
        </w:rPr>
        <w:t>.</w:t>
      </w:r>
      <w:r>
        <w:rPr>
          <w:rStyle w:val="14"/>
          <w:rFonts w:hint="default" w:ascii="Times New Roman" w:hAnsi="Times New Roman" w:eastAsia="方正仿宋_GBK" w:cs="Times New Roman"/>
          <w:bCs/>
          <w:color w:val="000000"/>
          <w:sz w:val="33"/>
          <w:szCs w:val="33"/>
        </w:rPr>
        <w:t>住房保障支出（类）住房改革支出（款）住房公积金（项）:</w:t>
      </w:r>
      <w:r>
        <w:rPr>
          <w:rStyle w:val="14"/>
          <w:rFonts w:hint="default" w:ascii="Times New Roman" w:hAnsi="Times New Roman" w:eastAsia="方正仿宋_GBK" w:cs="Times New Roman"/>
          <w:b w:val="0"/>
          <w:bCs/>
          <w:color w:val="000000"/>
          <w:sz w:val="33"/>
          <w:szCs w:val="33"/>
        </w:rPr>
        <w:t>支出决算为</w:t>
      </w:r>
      <w:r>
        <w:rPr>
          <w:rStyle w:val="14"/>
          <w:rFonts w:hint="default" w:ascii="Times New Roman" w:hAnsi="Times New Roman" w:eastAsia="方正仿宋_GBK" w:cs="Times New Roman"/>
          <w:b w:val="0"/>
          <w:bCs/>
          <w:sz w:val="33"/>
          <w:szCs w:val="33"/>
        </w:rPr>
        <w:t>26.75</w:t>
      </w:r>
      <w:r>
        <w:rPr>
          <w:rStyle w:val="14"/>
          <w:rFonts w:hint="default" w:ascii="Times New Roman" w:hAnsi="Times New Roman" w:eastAsia="方正仿宋_GBK" w:cs="Times New Roman"/>
          <w:b w:val="0"/>
          <w:bCs/>
          <w:color w:val="000000"/>
          <w:sz w:val="33"/>
          <w:szCs w:val="33"/>
        </w:rPr>
        <w:t>万元，完成预算100%。</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36" w:name="_Toc15396608"/>
      <w:bookmarkStart w:id="37" w:name="_Toc15377214"/>
      <w:r>
        <w:rPr>
          <w:rStyle w:val="27"/>
          <w:rFonts w:hint="default" w:ascii="Times New Roman" w:hAnsi="Times New Roman" w:eastAsia="方正黑体_GBK" w:cs="Times New Roman"/>
          <w:b w:val="0"/>
          <w:bCs w:val="0"/>
          <w:sz w:val="33"/>
          <w:szCs w:val="33"/>
        </w:rPr>
        <w:t>六、一般公共预算财政拨款基本支出决算情况说明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spacing w:val="-6"/>
          <w:sz w:val="33"/>
          <w:szCs w:val="33"/>
        </w:rPr>
      </w:pPr>
      <w:r>
        <w:rPr>
          <w:rFonts w:hint="default" w:ascii="Times New Roman" w:hAnsi="Times New Roman" w:eastAsia="方正仿宋_GBK" w:cs="Times New Roman"/>
          <w:spacing w:val="-6"/>
          <w:sz w:val="33"/>
          <w:szCs w:val="33"/>
        </w:rPr>
        <w:t>2021年一般公共预算财政拨款基本支出289.20万元，其中：</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人员经费262.96万元，主要包括：基本工资、津贴补贴、奖金、绩效工资、机关事业单位基本养老保险缴费、职业年金缴费、其他社会保障缴费、其他工资福利支出、退休费、抚恤金、生活补助、医疗费补助、奖励金、住房公积金、其他对个人和家庭的补助支出等。</w:t>
      </w:r>
      <w:r>
        <w:rPr>
          <w:rFonts w:hint="default" w:ascii="Times New Roman" w:hAnsi="Times New Roman" w:eastAsia="方正仿宋_GBK" w:cs="Times New Roman"/>
          <w:sz w:val="33"/>
          <w:szCs w:val="33"/>
        </w:rPr>
        <w:br w:type="textWrapping"/>
      </w:r>
      <w:r>
        <w:rPr>
          <w:rFonts w:hint="default" w:ascii="Times New Roman" w:hAnsi="Times New Roman" w:eastAsia="方正仿宋_GBK" w:cs="Times New Roman"/>
          <w:sz w:val="33"/>
          <w:szCs w:val="33"/>
        </w:rPr>
        <w:t>　　公用经费26.24万元，主要包括：办公费、印刷费、咨询费、手续费、邮电费、差旅费、维修（护）费、租赁费、会议费、培训费、公务接待费、劳务费、委托业务费、工会经费、福利费、其他交通费、税金及附加费用、其他商品和服务支出、办公设备购置、专用设备购置、信息网络及软件购置更新、其他资本性支出等。</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38" w:name="_Toc15396609"/>
      <w:bookmarkStart w:id="39" w:name="_Toc15377215"/>
      <w:r>
        <w:rPr>
          <w:rStyle w:val="27"/>
          <w:rFonts w:hint="default" w:ascii="Times New Roman" w:hAnsi="Times New Roman" w:eastAsia="方正黑体_GBK" w:cs="Times New Roman"/>
          <w:b w:val="0"/>
          <w:bCs w:val="0"/>
          <w:sz w:val="33"/>
          <w:szCs w:val="33"/>
        </w:rPr>
        <w:t>七、“三公”经费财政拨款支出决算情况说明</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2"/>
        <w:rPr>
          <w:rFonts w:hint="default" w:ascii="Times New Roman" w:hAnsi="Times New Roman" w:eastAsia="方正楷体_GBK" w:cs="Times New Roman"/>
          <w:b/>
          <w:sz w:val="33"/>
          <w:szCs w:val="33"/>
        </w:rPr>
      </w:pPr>
      <w:bookmarkStart w:id="40" w:name="_Toc15377216"/>
      <w:r>
        <w:rPr>
          <w:rFonts w:hint="default" w:ascii="Times New Roman" w:hAnsi="Times New Roman" w:eastAsia="方正楷体_GBK" w:cs="Times New Roman"/>
          <w:b/>
          <w:sz w:val="33"/>
          <w:szCs w:val="33"/>
        </w:rPr>
        <w:t>（一）“三公”经费财政拨款支出决算总体情况说明</w:t>
      </w:r>
      <w:bookmarkEnd w:id="40"/>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2021年“三公”经费财政拨款支出决算为0.19万元，完成预算100%，决算数与预算数持平。</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2"/>
        <w:rPr>
          <w:rFonts w:hint="default" w:ascii="Times New Roman" w:hAnsi="Times New Roman" w:eastAsia="方正楷体_GBK" w:cs="Times New Roman"/>
          <w:b/>
          <w:sz w:val="33"/>
          <w:szCs w:val="33"/>
        </w:rPr>
      </w:pPr>
      <w:bookmarkStart w:id="41" w:name="_Toc15377217"/>
      <w:r>
        <w:rPr>
          <w:rFonts w:hint="default" w:ascii="Times New Roman" w:hAnsi="Times New Roman" w:eastAsia="方正楷体_GBK" w:cs="Times New Roman"/>
          <w:b/>
          <w:sz w:val="33"/>
          <w:szCs w:val="33"/>
        </w:rPr>
        <w:t>（二）“三公”经费财政拨款支出决算具体情况说明</w:t>
      </w:r>
      <w:bookmarkEnd w:id="41"/>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2021年“三公”经费财政拨款支出决算中，因公出国（境）费支出决算0万元，占0%；公务用车购置及运行维护费支出决算0万元，占0%；公务接待费支出决算0.19万元，占100%。具体情况如下：</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（图7：“三公”经费财政拨款支出结构）</w:t>
      </w:r>
    </w:p>
    <w:p>
      <w:pPr>
        <w:pStyle w:val="2"/>
        <w:keepNext w:val="0"/>
        <w:keepLines w:val="0"/>
        <w:pageBreakBefore w:val="0"/>
        <w:widowControl w:val="0"/>
        <w:kinsoku/>
        <w:wordWrap/>
        <w:overflowPunct/>
        <w:topLinePunct w:val="0"/>
        <w:bidi w:val="0"/>
        <w:adjustRightInd/>
        <w:snapToGrid/>
        <w:spacing w:beforeLines="0" w:line="240" w:lineRule="auto"/>
        <w:rPr>
          <w:rFonts w:hint="default" w:ascii="Times New Roman" w:hAnsi="Times New Roman" w:eastAsia="仿宋" w:cs="Times New Roman"/>
          <w:sz w:val="32"/>
          <w:szCs w:val="32"/>
        </w:rPr>
      </w:pPr>
      <w:r>
        <w:rPr>
          <w:rFonts w:hint="default" w:ascii="Times New Roman" w:hAnsi="Times New Roman" w:cs="Times New Roman"/>
        </w:rPr>
        <w:t xml:space="preserve">    </w:t>
      </w:r>
      <w:r>
        <w:rPr>
          <w:rFonts w:hint="default" w:ascii="Times New Roman" w:hAnsi="Times New Roman" w:cs="Times New Roman"/>
        </w:rPr>
        <w:drawing>
          <wp:inline distT="0" distB="0" distL="0" distR="0">
            <wp:extent cx="4772025" cy="2200275"/>
            <wp:effectExtent l="19050" t="0" r="9525" b="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b/>
          <w:color w:val="000000"/>
          <w:sz w:val="33"/>
          <w:szCs w:val="33"/>
        </w:rPr>
        <w:t>1.因公出国（境）经费支出</w:t>
      </w:r>
      <w:r>
        <w:rPr>
          <w:rFonts w:hint="default" w:ascii="Times New Roman" w:hAnsi="Times New Roman" w:eastAsia="方正仿宋_GBK" w:cs="Times New Roman"/>
          <w:color w:val="000000"/>
          <w:sz w:val="33"/>
          <w:szCs w:val="33"/>
        </w:rPr>
        <w:t>0万元，</w:t>
      </w:r>
      <w:r>
        <w:rPr>
          <w:rStyle w:val="14"/>
          <w:rFonts w:hint="default" w:ascii="Times New Roman" w:hAnsi="Times New Roman" w:eastAsia="方正仿宋_GBK" w:cs="Times New Roman"/>
          <w:b w:val="0"/>
          <w:bCs/>
          <w:color w:val="000000"/>
          <w:sz w:val="33"/>
          <w:szCs w:val="33"/>
        </w:rPr>
        <w:t>完成预算0%。</w:t>
      </w:r>
      <w:r>
        <w:rPr>
          <w:rFonts w:hint="default" w:ascii="Times New Roman" w:hAnsi="Times New Roman" w:eastAsia="方正仿宋_GBK" w:cs="Times New Roman"/>
          <w:color w:val="000000"/>
          <w:sz w:val="33"/>
          <w:szCs w:val="33"/>
        </w:rPr>
        <w:t>全年安排因公出国（境）团组0次，出国（境）0人。因公出国（境）支出决算与2020年</w:t>
      </w:r>
      <w:r>
        <w:rPr>
          <w:rFonts w:hint="default" w:ascii="Times New Roman" w:hAnsi="Times New Roman" w:eastAsia="方正仿宋_GBK" w:cs="Times New Roman"/>
          <w:color w:val="000000"/>
          <w:sz w:val="33"/>
          <w:szCs w:val="33"/>
          <w:lang w:eastAsia="zh-CN"/>
        </w:rPr>
        <w:t>持平，均</w:t>
      </w:r>
      <w:r>
        <w:rPr>
          <w:rFonts w:hint="default" w:ascii="Times New Roman" w:hAnsi="Times New Roman" w:eastAsia="方正仿宋_GBK" w:cs="Times New Roman"/>
          <w:color w:val="000000"/>
          <w:sz w:val="33"/>
          <w:szCs w:val="33"/>
        </w:rPr>
        <w:t>为0万元。</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方正仿宋_GBK" w:cs="Times New Roman"/>
          <w:b/>
          <w:color w:val="000000"/>
          <w:sz w:val="33"/>
          <w:szCs w:val="33"/>
        </w:rPr>
      </w:pPr>
      <w:r>
        <w:rPr>
          <w:rFonts w:hint="default" w:ascii="Times New Roman" w:hAnsi="Times New Roman" w:eastAsia="方正仿宋_GBK" w:cs="Times New Roman"/>
          <w:b/>
          <w:color w:val="000000"/>
          <w:sz w:val="33"/>
          <w:szCs w:val="33"/>
        </w:rPr>
        <w:t>2.公务用车购置及运行维护费支出</w:t>
      </w:r>
      <w:r>
        <w:rPr>
          <w:rFonts w:hint="default" w:ascii="Times New Roman" w:hAnsi="Times New Roman" w:eastAsia="方正仿宋_GBK" w:cs="Times New Roman"/>
          <w:color w:val="000000"/>
          <w:sz w:val="33"/>
          <w:szCs w:val="33"/>
        </w:rPr>
        <w:t>0万元,</w:t>
      </w:r>
      <w:r>
        <w:rPr>
          <w:rStyle w:val="14"/>
          <w:rFonts w:hint="default" w:ascii="Times New Roman" w:hAnsi="Times New Roman" w:eastAsia="方正仿宋_GBK" w:cs="Times New Roman"/>
          <w:b w:val="0"/>
          <w:bCs/>
          <w:color w:val="000000"/>
          <w:sz w:val="33"/>
          <w:szCs w:val="33"/>
        </w:rPr>
        <w:t>完成预算0%。</w:t>
      </w:r>
      <w:r>
        <w:rPr>
          <w:rFonts w:hint="default" w:ascii="Times New Roman" w:hAnsi="Times New Roman" w:eastAsia="方正仿宋_GBK" w:cs="Times New Roman"/>
          <w:color w:val="000000"/>
          <w:sz w:val="33"/>
          <w:szCs w:val="33"/>
        </w:rPr>
        <w:t>公务用车购置及运行维护费支出决算与2020年</w:t>
      </w:r>
      <w:r>
        <w:rPr>
          <w:rFonts w:hint="default" w:ascii="Times New Roman" w:hAnsi="Times New Roman" w:eastAsia="方正仿宋_GBK" w:cs="Times New Roman"/>
          <w:color w:val="000000"/>
          <w:sz w:val="33"/>
          <w:szCs w:val="33"/>
          <w:lang w:eastAsia="zh-CN"/>
        </w:rPr>
        <w:t>持平，均</w:t>
      </w:r>
      <w:r>
        <w:rPr>
          <w:rFonts w:hint="default" w:ascii="Times New Roman" w:hAnsi="Times New Roman" w:eastAsia="方正仿宋_GBK" w:cs="Times New Roman"/>
          <w:color w:val="000000"/>
          <w:sz w:val="33"/>
          <w:szCs w:val="33"/>
        </w:rPr>
        <w:t>为0万元。</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rPr>
        <w:t>其中：</w:t>
      </w:r>
      <w:r>
        <w:rPr>
          <w:rFonts w:hint="default" w:ascii="Times New Roman" w:hAnsi="Times New Roman" w:eastAsia="方正仿宋_GBK" w:cs="Times New Roman"/>
          <w:b/>
          <w:color w:val="000000"/>
          <w:sz w:val="33"/>
          <w:szCs w:val="33"/>
        </w:rPr>
        <w:t>公务用车购置支出</w:t>
      </w:r>
      <w:r>
        <w:rPr>
          <w:rFonts w:hint="default" w:ascii="Times New Roman" w:hAnsi="Times New Roman" w:eastAsia="方正仿宋_GBK" w:cs="Times New Roman"/>
          <w:color w:val="000000"/>
          <w:sz w:val="33"/>
          <w:szCs w:val="33"/>
        </w:rPr>
        <w:t>0万元。全年按规定更新购置公务用车</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辆，其中：轿车</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辆、金额</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万元，越野车</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辆、金额</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万元，载客汽车</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辆、金额</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万元。截至2021年12月底，单位共有公务用车</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辆，其中：轿车</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辆、越野车</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辆、载客汽车</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辆。</w:t>
      </w:r>
    </w:p>
    <w:p>
      <w:pPr>
        <w:pStyle w:val="2"/>
        <w:keepNext w:val="0"/>
        <w:keepLines w:val="0"/>
        <w:pageBreakBefore w:val="0"/>
        <w:widowControl w:val="0"/>
        <w:kinsoku/>
        <w:wordWrap/>
        <w:overflowPunct/>
        <w:topLinePunct w:val="0"/>
        <w:autoSpaceDE/>
        <w:autoSpaceDN/>
        <w:bidi w:val="0"/>
        <w:adjustRightInd/>
        <w:snapToGrid/>
        <w:spacing w:beforeLines="0" w:line="240" w:lineRule="auto"/>
        <w:ind w:firstLine="649" w:firstLineChars="196"/>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b/>
          <w:color w:val="000000"/>
          <w:sz w:val="33"/>
          <w:szCs w:val="33"/>
        </w:rPr>
        <w:t>公务用车运行维护费支出</w:t>
      </w:r>
      <w:r>
        <w:rPr>
          <w:rFonts w:hint="default" w:ascii="Times New Roman" w:hAnsi="Times New Roman" w:eastAsia="方正仿宋_GBK" w:cs="Times New Roman"/>
          <w:color w:val="000000"/>
          <w:sz w:val="33"/>
          <w:szCs w:val="33"/>
        </w:rPr>
        <w:t>0万元。</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b/>
          <w:color w:val="000000"/>
          <w:sz w:val="33"/>
          <w:szCs w:val="33"/>
        </w:rPr>
        <w:t>3.公务接待费支出</w:t>
      </w:r>
      <w:r>
        <w:rPr>
          <w:rFonts w:hint="default" w:ascii="Times New Roman" w:hAnsi="Times New Roman" w:eastAsia="方正仿宋_GBK" w:cs="Times New Roman"/>
          <w:color w:val="000000"/>
          <w:sz w:val="33"/>
          <w:szCs w:val="33"/>
        </w:rPr>
        <w:t>0.19万元，</w:t>
      </w:r>
      <w:r>
        <w:rPr>
          <w:rStyle w:val="14"/>
          <w:rFonts w:hint="default" w:ascii="Times New Roman" w:hAnsi="Times New Roman" w:eastAsia="方正仿宋_GBK" w:cs="Times New Roman"/>
          <w:b w:val="0"/>
          <w:bCs/>
          <w:color w:val="000000"/>
          <w:sz w:val="33"/>
          <w:szCs w:val="33"/>
        </w:rPr>
        <w:t>完成预算100%。</w:t>
      </w:r>
      <w:r>
        <w:rPr>
          <w:rFonts w:hint="default" w:ascii="Times New Roman" w:hAnsi="Times New Roman" w:eastAsia="方正仿宋_GBK" w:cs="Times New Roman"/>
          <w:color w:val="000000"/>
          <w:sz w:val="33"/>
          <w:szCs w:val="33"/>
        </w:rPr>
        <w:t>公务接待费支出决算比2020年减少0.02万元，下降10%。主要原因是严格控制接待范围、接待人次、接待标准。其中：</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b/>
          <w:color w:val="000000"/>
          <w:sz w:val="33"/>
          <w:szCs w:val="33"/>
        </w:rPr>
        <w:t>国内公务接待支出</w:t>
      </w:r>
      <w:r>
        <w:rPr>
          <w:rFonts w:hint="default" w:ascii="Times New Roman" w:hAnsi="Times New Roman" w:eastAsia="方正仿宋_GBK" w:cs="Times New Roman"/>
          <w:color w:val="000000"/>
          <w:sz w:val="33"/>
          <w:szCs w:val="33"/>
        </w:rPr>
        <w:t>0.19万元，主要用于执行公务、开展业务活动开支的用餐费。国内公务接待9批次，88人次，共计支出0.19万元，具体内容包括：干部考察工作支出0.13万元，调研基层党建工作支出0.06万元 。</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b/>
          <w:color w:val="000000"/>
          <w:sz w:val="33"/>
          <w:szCs w:val="33"/>
        </w:rPr>
        <w:t>外事接待支出</w:t>
      </w:r>
      <w:r>
        <w:rPr>
          <w:rFonts w:hint="default" w:ascii="Times New Roman" w:hAnsi="Times New Roman" w:eastAsia="方正仿宋_GBK" w:cs="Times New Roman"/>
          <w:color w:val="000000"/>
          <w:sz w:val="33"/>
          <w:szCs w:val="33"/>
        </w:rPr>
        <w:t>0万元，外事接待0批次，0人</w:t>
      </w:r>
      <w:r>
        <w:rPr>
          <w:rFonts w:hint="default" w:ascii="Times New Roman" w:hAnsi="Times New Roman" w:eastAsia="方正仿宋_GBK" w:cs="Times New Roman"/>
          <w:color w:val="000000"/>
          <w:sz w:val="33"/>
          <w:szCs w:val="33"/>
          <w:lang w:eastAsia="zh-CN"/>
        </w:rPr>
        <w:t>，</w:t>
      </w:r>
      <w:r>
        <w:rPr>
          <w:rFonts w:hint="default" w:ascii="Times New Roman" w:hAnsi="Times New Roman" w:eastAsia="方正仿宋_GBK" w:cs="Times New Roman"/>
          <w:color w:val="000000"/>
          <w:sz w:val="33"/>
          <w:szCs w:val="33"/>
        </w:rPr>
        <w:t>共计支出</w:t>
      </w:r>
      <w:r>
        <w:rPr>
          <w:rFonts w:hint="default" w:ascii="Times New Roman" w:hAnsi="Times New Roman" w:eastAsia="方正仿宋_GBK" w:cs="Times New Roman"/>
          <w:color w:val="000000"/>
          <w:sz w:val="33"/>
          <w:szCs w:val="33"/>
          <w:lang w:val="en-US" w:eastAsia="zh-CN"/>
        </w:rPr>
        <w:t>0</w:t>
      </w:r>
      <w:r>
        <w:rPr>
          <w:rFonts w:hint="default" w:ascii="Times New Roman" w:hAnsi="Times New Roman" w:eastAsia="方正仿宋_GBK" w:cs="Times New Roman"/>
          <w:color w:val="000000"/>
          <w:sz w:val="33"/>
          <w:szCs w:val="33"/>
        </w:rPr>
        <w:t>万元。</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42" w:name="_Toc15377218"/>
      <w:bookmarkStart w:id="43" w:name="_Toc15396610"/>
      <w:r>
        <w:rPr>
          <w:rStyle w:val="27"/>
          <w:rFonts w:hint="default" w:ascii="Times New Roman" w:hAnsi="Times New Roman" w:eastAsia="方正黑体_GBK" w:cs="Times New Roman"/>
          <w:b w:val="0"/>
          <w:bCs w:val="0"/>
          <w:sz w:val="33"/>
          <w:szCs w:val="33"/>
        </w:rPr>
        <w:t>八</w:t>
      </w:r>
      <w:r>
        <w:rPr>
          <w:rStyle w:val="27"/>
          <w:rFonts w:hint="default" w:ascii="Times New Roman" w:hAnsi="Times New Roman" w:eastAsia="方正黑体_GBK" w:cs="Times New Roman"/>
          <w:b w:val="0"/>
          <w:bCs w:val="0"/>
          <w:sz w:val="33"/>
          <w:szCs w:val="33"/>
          <w:lang w:val="en-US" w:eastAsia="zh-CN"/>
        </w:rPr>
        <w:t>、</w:t>
      </w:r>
      <w:r>
        <w:rPr>
          <w:rStyle w:val="27"/>
          <w:rFonts w:hint="default" w:ascii="Times New Roman" w:hAnsi="Times New Roman" w:eastAsia="方正黑体_GBK" w:cs="Times New Roman"/>
          <w:b w:val="0"/>
          <w:bCs w:val="0"/>
          <w:sz w:val="33"/>
          <w:szCs w:val="33"/>
        </w:rPr>
        <w:t>政府性基金预算支出决算情况说明</w:t>
      </w:r>
      <w:bookmarkEnd w:id="42"/>
      <w:bookmarkEnd w:id="43"/>
    </w:p>
    <w:p>
      <w:pPr>
        <w:keepNext w:val="0"/>
        <w:keepLines w:val="0"/>
        <w:pageBreakBefore w:val="0"/>
        <w:widowControl w:val="0"/>
        <w:kinsoku/>
        <w:wordWrap/>
        <w:overflowPunct/>
        <w:topLinePunct w:val="0"/>
        <w:bidi w:val="0"/>
        <w:adjustRightInd/>
        <w:snapToGrid/>
        <w:spacing w:line="240" w:lineRule="auto"/>
        <w:ind w:firstLine="64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2021年政府性基金预算财政拨款支出71.73万元。</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44" w:name="_Toc15396611"/>
      <w:bookmarkStart w:id="45" w:name="_Toc15377219"/>
      <w:r>
        <w:rPr>
          <w:rStyle w:val="27"/>
          <w:rFonts w:hint="default" w:ascii="Times New Roman" w:hAnsi="Times New Roman" w:eastAsia="方正黑体_GBK" w:cs="Times New Roman"/>
          <w:b w:val="0"/>
          <w:bCs w:val="0"/>
          <w:sz w:val="33"/>
          <w:szCs w:val="33"/>
          <w:lang w:eastAsia="zh-CN"/>
        </w:rPr>
        <w:t>九</w:t>
      </w:r>
      <w:r>
        <w:rPr>
          <w:rStyle w:val="27"/>
          <w:rFonts w:hint="default" w:ascii="Times New Roman" w:hAnsi="Times New Roman" w:eastAsia="方正黑体_GBK" w:cs="Times New Roman"/>
          <w:b w:val="0"/>
          <w:bCs w:val="0"/>
          <w:sz w:val="33"/>
          <w:szCs w:val="33"/>
          <w:lang w:val="en-US" w:eastAsia="zh-CN"/>
        </w:rPr>
        <w:t>、</w:t>
      </w:r>
      <w:r>
        <w:rPr>
          <w:rStyle w:val="27"/>
          <w:rFonts w:hint="default" w:ascii="Times New Roman" w:hAnsi="Times New Roman" w:eastAsia="方正黑体_GBK" w:cs="Times New Roman"/>
          <w:b w:val="0"/>
          <w:bCs w:val="0"/>
          <w:sz w:val="33"/>
          <w:szCs w:val="33"/>
        </w:rPr>
        <w:t>国有资本经营预算支出决算情况说明</w:t>
      </w:r>
      <w:bookmarkEnd w:id="44"/>
      <w:bookmarkEnd w:id="45"/>
    </w:p>
    <w:p>
      <w:pPr>
        <w:keepNext w:val="0"/>
        <w:keepLines w:val="0"/>
        <w:pageBreakBefore w:val="0"/>
        <w:widowControl w:val="0"/>
        <w:kinsoku/>
        <w:wordWrap/>
        <w:overflowPunct/>
        <w:topLinePunct w:val="0"/>
        <w:bidi w:val="0"/>
        <w:adjustRightInd/>
        <w:snapToGrid/>
        <w:spacing w:line="240" w:lineRule="auto"/>
        <w:ind w:firstLine="640"/>
        <w:textAlignment w:val="auto"/>
        <w:rPr>
          <w:rFonts w:hint="default" w:ascii="Times New Roman" w:hAnsi="Times New Roman" w:eastAsia="仿宋_GB2312" w:cs="Times New Roman"/>
          <w:sz w:val="33"/>
          <w:szCs w:val="33"/>
        </w:rPr>
      </w:pPr>
      <w:r>
        <w:rPr>
          <w:rFonts w:hint="default" w:ascii="Times New Roman" w:hAnsi="Times New Roman" w:eastAsia="仿宋_GB2312" w:cs="Times New Roman"/>
          <w:sz w:val="33"/>
          <w:szCs w:val="33"/>
        </w:rPr>
        <w:t>2021年国有资本经营预算财政拨款支出0万元。</w:t>
      </w:r>
    </w:p>
    <w:p>
      <w:pPr>
        <w:pStyle w:val="4"/>
        <w:keepNext w:val="0"/>
        <w:keepLines w:val="0"/>
        <w:pageBreakBefore w:val="0"/>
        <w:widowControl w:val="0"/>
        <w:kinsoku/>
        <w:wordWrap/>
        <w:overflowPunct/>
        <w:topLinePunct w:val="0"/>
        <w:autoSpaceDE/>
        <w:autoSpaceDN/>
        <w:bidi w:val="0"/>
        <w:adjustRightInd/>
        <w:snapToGrid/>
        <w:spacing w:before="0" w:after="0" w:line="240" w:lineRule="auto"/>
        <w:ind w:right="0" w:firstLine="660" w:firstLineChars="200"/>
        <w:textAlignment w:val="auto"/>
        <w:outlineLvl w:val="1"/>
        <w:rPr>
          <w:rStyle w:val="27"/>
          <w:rFonts w:hint="default" w:ascii="Times New Roman" w:hAnsi="Times New Roman" w:eastAsia="方正黑体_GBK" w:cs="Times New Roman"/>
          <w:b w:val="0"/>
          <w:bCs w:val="0"/>
          <w:sz w:val="33"/>
          <w:szCs w:val="33"/>
        </w:rPr>
      </w:pPr>
      <w:bookmarkStart w:id="46" w:name="_Toc15396612"/>
      <w:bookmarkStart w:id="47" w:name="_Toc15377221"/>
      <w:r>
        <w:rPr>
          <w:rStyle w:val="27"/>
          <w:rFonts w:hint="default" w:ascii="Times New Roman" w:hAnsi="Times New Roman" w:eastAsia="方正黑体_GBK" w:cs="Times New Roman"/>
          <w:b w:val="0"/>
          <w:bCs w:val="0"/>
          <w:sz w:val="33"/>
          <w:szCs w:val="33"/>
          <w:lang w:eastAsia="zh-CN"/>
        </w:rPr>
        <w:t>十</w:t>
      </w:r>
      <w:r>
        <w:rPr>
          <w:rStyle w:val="27"/>
          <w:rFonts w:hint="default" w:ascii="Times New Roman" w:hAnsi="Times New Roman" w:eastAsia="方正黑体_GBK" w:cs="Times New Roman"/>
          <w:b w:val="0"/>
          <w:bCs w:val="0"/>
          <w:sz w:val="33"/>
          <w:szCs w:val="33"/>
          <w:lang w:val="en-US" w:eastAsia="zh-CN"/>
        </w:rPr>
        <w:t>、</w:t>
      </w:r>
      <w:r>
        <w:rPr>
          <w:rStyle w:val="27"/>
          <w:rFonts w:hint="default" w:ascii="Times New Roman" w:hAnsi="Times New Roman" w:eastAsia="方正黑体_GBK" w:cs="Times New Roman"/>
          <w:b w:val="0"/>
          <w:bCs w:val="0"/>
          <w:sz w:val="33"/>
          <w:szCs w:val="33"/>
        </w:rPr>
        <w:t>其他重要事项的情况说明</w:t>
      </w:r>
      <w:bookmarkEnd w:id="46"/>
      <w:bookmarkEnd w:id="47"/>
    </w:p>
    <w:p>
      <w:pPr>
        <w:keepNext w:val="0"/>
        <w:keepLines w:val="0"/>
        <w:pageBreakBefore w:val="0"/>
        <w:widowControl w:val="0"/>
        <w:kinsoku/>
        <w:wordWrap/>
        <w:overflowPunct/>
        <w:topLinePunct w:val="0"/>
        <w:bidi w:val="0"/>
        <w:adjustRightInd/>
        <w:snapToGrid/>
        <w:spacing w:line="240" w:lineRule="auto"/>
        <w:ind w:firstLine="663" w:firstLineChars="200"/>
        <w:textAlignment w:val="auto"/>
        <w:outlineLvl w:val="2"/>
        <w:rPr>
          <w:rFonts w:hint="default" w:ascii="Times New Roman" w:hAnsi="Times New Roman" w:eastAsia="方正楷体_GBK" w:cs="Times New Roman"/>
          <w:b/>
          <w:bCs w:val="0"/>
          <w:sz w:val="33"/>
          <w:szCs w:val="33"/>
        </w:rPr>
      </w:pPr>
      <w:bookmarkStart w:id="48" w:name="_Toc15377222"/>
      <w:r>
        <w:rPr>
          <w:rFonts w:hint="default" w:ascii="Times New Roman" w:hAnsi="Times New Roman" w:eastAsia="方正楷体_GBK" w:cs="Times New Roman"/>
          <w:b/>
          <w:bCs w:val="0"/>
          <w:sz w:val="33"/>
          <w:szCs w:val="33"/>
        </w:rPr>
        <w:t>（一）机关运行经费支出情况</w:t>
      </w:r>
      <w:bookmarkEnd w:id="48"/>
    </w:p>
    <w:p>
      <w:pPr>
        <w:keepNext w:val="0"/>
        <w:keepLines w:val="0"/>
        <w:pageBreakBefore w:val="0"/>
        <w:widowControl w:val="0"/>
        <w:kinsoku/>
        <w:wordWrap/>
        <w:overflowPunct/>
        <w:topLinePunct w:val="0"/>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2021年，中国共产党</w:t>
      </w:r>
      <w:r>
        <w:rPr>
          <w:rFonts w:hint="default" w:ascii="Times New Roman" w:hAnsi="Times New Roman" w:eastAsia="方正仿宋_GBK" w:cs="Times New Roman"/>
          <w:color w:val="000000"/>
          <w:sz w:val="33"/>
          <w:szCs w:val="33"/>
        </w:rPr>
        <w:t>攀枝花市西区委员会组织部</w:t>
      </w:r>
      <w:r>
        <w:rPr>
          <w:rFonts w:hint="default" w:ascii="Times New Roman" w:hAnsi="Times New Roman" w:eastAsia="方正仿宋_GBK" w:cs="Times New Roman"/>
          <w:sz w:val="33"/>
          <w:szCs w:val="33"/>
        </w:rPr>
        <w:t>机关运行经费支出26.24万元，比2020年减少8.95万元，下降25%。主要原因是因本年将事业人员</w:t>
      </w:r>
      <w:r>
        <w:rPr>
          <w:rFonts w:hint="default" w:ascii="Times New Roman" w:hAnsi="Times New Roman" w:eastAsia="方正仿宋_GBK" w:cs="Times New Roman"/>
          <w:sz w:val="33"/>
          <w:szCs w:val="33"/>
          <w:lang w:eastAsia="zh-CN"/>
        </w:rPr>
        <w:t>划转</w:t>
      </w:r>
      <w:r>
        <w:rPr>
          <w:rFonts w:hint="default" w:ascii="Times New Roman" w:hAnsi="Times New Roman" w:eastAsia="方正仿宋_GBK" w:cs="Times New Roman"/>
          <w:sz w:val="33"/>
          <w:szCs w:val="33"/>
        </w:rPr>
        <w:t>到中共攀枝花市西区区委党校，机关运行经费支出随之减少。</w:t>
      </w:r>
    </w:p>
    <w:p>
      <w:pPr>
        <w:keepNext w:val="0"/>
        <w:keepLines w:val="0"/>
        <w:pageBreakBefore w:val="0"/>
        <w:widowControl w:val="0"/>
        <w:kinsoku/>
        <w:wordWrap/>
        <w:overflowPunct/>
        <w:topLinePunct w:val="0"/>
        <w:bidi w:val="0"/>
        <w:adjustRightInd/>
        <w:snapToGrid/>
        <w:spacing w:line="240" w:lineRule="auto"/>
        <w:ind w:firstLine="663" w:firstLineChars="200"/>
        <w:textAlignment w:val="auto"/>
        <w:outlineLvl w:val="2"/>
        <w:rPr>
          <w:rFonts w:hint="default" w:ascii="Times New Roman" w:hAnsi="Times New Roman" w:eastAsia="方正楷体_GBK" w:cs="Times New Roman"/>
          <w:b/>
          <w:bCs w:val="0"/>
          <w:sz w:val="33"/>
          <w:szCs w:val="33"/>
        </w:rPr>
      </w:pPr>
      <w:bookmarkStart w:id="49" w:name="_Toc15377223"/>
      <w:r>
        <w:rPr>
          <w:rFonts w:hint="default" w:ascii="Times New Roman" w:hAnsi="Times New Roman" w:eastAsia="方正楷体_GBK" w:cs="Times New Roman"/>
          <w:b/>
          <w:bCs w:val="0"/>
          <w:sz w:val="33"/>
          <w:szCs w:val="33"/>
        </w:rPr>
        <w:t>（二）政府采购支出情况</w:t>
      </w:r>
      <w:bookmarkEnd w:id="49"/>
    </w:p>
    <w:p>
      <w:pPr>
        <w:keepNext w:val="0"/>
        <w:keepLines w:val="0"/>
        <w:pageBreakBefore w:val="0"/>
        <w:widowControl w:val="0"/>
        <w:kinsoku/>
        <w:wordWrap/>
        <w:overflowPunct/>
        <w:topLinePunct w:val="0"/>
        <w:bidi w:val="0"/>
        <w:adjustRightInd/>
        <w:snapToGrid/>
        <w:spacing w:line="240" w:lineRule="auto"/>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2021年，中国共产党</w:t>
      </w:r>
      <w:r>
        <w:rPr>
          <w:rFonts w:hint="default" w:ascii="Times New Roman" w:hAnsi="Times New Roman" w:eastAsia="方正仿宋_GBK" w:cs="Times New Roman"/>
          <w:color w:val="000000"/>
          <w:sz w:val="33"/>
          <w:szCs w:val="33"/>
        </w:rPr>
        <w:t>攀枝花市西区委员会组织部</w:t>
      </w:r>
      <w:r>
        <w:rPr>
          <w:rFonts w:hint="default" w:ascii="Times New Roman" w:hAnsi="Times New Roman" w:eastAsia="方正仿宋_GBK" w:cs="Times New Roman"/>
          <w:sz w:val="33"/>
          <w:szCs w:val="33"/>
        </w:rPr>
        <w:t>政府采购支出总额2.50万元，其中：政府采购货物支出2.50万元、政府采购工程支出0万元、政府采购服务支出0万元。主要用于</w:t>
      </w:r>
      <w:r>
        <w:rPr>
          <w:rFonts w:hint="default" w:ascii="Times New Roman" w:hAnsi="Times New Roman" w:eastAsia="方正仿宋_GBK" w:cs="Times New Roman"/>
          <w:color w:val="000000"/>
          <w:sz w:val="33"/>
          <w:szCs w:val="33"/>
        </w:rPr>
        <w:t>办公设备更新、补充</w:t>
      </w:r>
      <w:r>
        <w:rPr>
          <w:rFonts w:hint="default" w:ascii="Times New Roman" w:hAnsi="Times New Roman" w:eastAsia="方正仿宋_GBK" w:cs="Times New Roman"/>
          <w:sz w:val="33"/>
          <w:szCs w:val="33"/>
        </w:rPr>
        <w:t>。授予中小企业合同金额2.50万元，占政府采购支出总额的100%，其中：授予小微企业合同金额2.50万元，占政府采购支出总额的100%。</w:t>
      </w:r>
    </w:p>
    <w:p>
      <w:pPr>
        <w:keepNext w:val="0"/>
        <w:keepLines w:val="0"/>
        <w:pageBreakBefore w:val="0"/>
        <w:widowControl w:val="0"/>
        <w:kinsoku/>
        <w:wordWrap/>
        <w:overflowPunct/>
        <w:topLinePunct w:val="0"/>
        <w:bidi w:val="0"/>
        <w:adjustRightInd/>
        <w:snapToGrid/>
        <w:spacing w:line="240" w:lineRule="auto"/>
        <w:ind w:firstLine="663" w:firstLineChars="200"/>
        <w:textAlignment w:val="auto"/>
        <w:outlineLvl w:val="2"/>
        <w:rPr>
          <w:rFonts w:hint="default" w:ascii="Times New Roman" w:hAnsi="Times New Roman" w:eastAsia="方正楷体_GBK" w:cs="Times New Roman"/>
          <w:b/>
          <w:bCs w:val="0"/>
          <w:sz w:val="33"/>
          <w:szCs w:val="33"/>
        </w:rPr>
      </w:pPr>
      <w:bookmarkStart w:id="50" w:name="_Toc15377224"/>
      <w:r>
        <w:rPr>
          <w:rFonts w:hint="default" w:ascii="Times New Roman" w:hAnsi="Times New Roman" w:eastAsia="方正楷体_GBK" w:cs="Times New Roman"/>
          <w:b/>
          <w:bCs w:val="0"/>
          <w:sz w:val="33"/>
          <w:szCs w:val="33"/>
        </w:rPr>
        <w:t>（三）国有资产占有使用情况</w:t>
      </w:r>
      <w:bookmarkEnd w:id="50"/>
    </w:p>
    <w:p>
      <w:pPr>
        <w:keepNext w:val="0"/>
        <w:keepLines w:val="0"/>
        <w:pageBreakBefore w:val="0"/>
        <w:widowControl w:val="0"/>
        <w:kinsoku/>
        <w:wordWrap/>
        <w:overflowPunct/>
        <w:topLinePunct w:val="0"/>
        <w:autoSpaceDE w:val="0"/>
        <w:autoSpaceDN w:val="0"/>
        <w:bidi w:val="0"/>
        <w:adjustRightInd/>
        <w:snapToGrid/>
        <w:spacing w:line="240" w:lineRule="auto"/>
        <w:ind w:firstLine="66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截至2021年12月31日，中国共产党</w:t>
      </w:r>
      <w:r>
        <w:rPr>
          <w:rFonts w:hint="default" w:ascii="Times New Roman" w:hAnsi="Times New Roman" w:eastAsia="方正仿宋_GBK" w:cs="Times New Roman"/>
          <w:color w:val="000000"/>
          <w:sz w:val="33"/>
          <w:szCs w:val="33"/>
        </w:rPr>
        <w:t>攀枝花市西区委员会组织部</w:t>
      </w:r>
      <w:r>
        <w:rPr>
          <w:rFonts w:hint="default" w:ascii="Times New Roman" w:hAnsi="Times New Roman" w:eastAsia="方正仿宋_GBK" w:cs="Times New Roman"/>
          <w:sz w:val="33"/>
          <w:szCs w:val="33"/>
        </w:rPr>
        <w:t>没有公务车辆,也没有单价50万元以上通用设备和单价100万元以上专用设备。</w:t>
      </w:r>
    </w:p>
    <w:p>
      <w:pPr>
        <w:keepNext w:val="0"/>
        <w:keepLines w:val="0"/>
        <w:pageBreakBefore w:val="0"/>
        <w:widowControl w:val="0"/>
        <w:kinsoku/>
        <w:wordWrap/>
        <w:overflowPunct/>
        <w:topLinePunct w:val="0"/>
        <w:bidi w:val="0"/>
        <w:adjustRightInd/>
        <w:snapToGrid/>
        <w:spacing w:line="240" w:lineRule="auto"/>
        <w:ind w:firstLine="663" w:firstLineChars="200"/>
        <w:textAlignment w:val="auto"/>
        <w:outlineLvl w:val="2"/>
        <w:rPr>
          <w:rFonts w:hint="default" w:ascii="Times New Roman" w:hAnsi="Times New Roman" w:eastAsia="方正楷体_GBK" w:cs="Times New Roman"/>
          <w:b/>
          <w:bCs w:val="0"/>
          <w:sz w:val="33"/>
          <w:szCs w:val="33"/>
        </w:rPr>
      </w:pPr>
      <w:r>
        <w:rPr>
          <w:rFonts w:hint="default" w:ascii="Times New Roman" w:hAnsi="Times New Roman" w:eastAsia="方正楷体_GBK" w:cs="Times New Roman"/>
          <w:b/>
          <w:bCs w:val="0"/>
          <w:sz w:val="33"/>
          <w:szCs w:val="33"/>
        </w:rPr>
        <w:t>（四）预算绩效管理情况</w:t>
      </w:r>
    </w:p>
    <w:p>
      <w:pPr>
        <w:keepNext w:val="0"/>
        <w:keepLines w:val="0"/>
        <w:pageBreakBefore w:val="0"/>
        <w:widowControl w:val="0"/>
        <w:kinsoku/>
        <w:wordWrap/>
        <w:overflowPunct/>
        <w:topLinePunct w:val="0"/>
        <w:bidi w:val="0"/>
        <w:adjustRightInd/>
        <w:snapToGrid/>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根据预算绩效管理要求，本单位在2021年度预算编制阶段，组织对党员教育培训</w:t>
      </w:r>
      <w:r>
        <w:rPr>
          <w:rFonts w:hint="default" w:ascii="Times New Roman" w:hAnsi="Times New Roman" w:eastAsia="方正仿宋_GBK" w:cs="Times New Roman"/>
          <w:sz w:val="33"/>
          <w:szCs w:val="33"/>
          <w:lang w:eastAsia="zh-CN"/>
        </w:rPr>
        <w:t>经费</w:t>
      </w:r>
      <w:r>
        <w:rPr>
          <w:rFonts w:hint="default" w:ascii="Times New Roman" w:hAnsi="Times New Roman" w:eastAsia="方正仿宋_GBK" w:cs="Times New Roman"/>
          <w:sz w:val="33"/>
          <w:szCs w:val="33"/>
        </w:rPr>
        <w:t>、基层组织建设工作经费</w:t>
      </w:r>
      <w:r>
        <w:rPr>
          <w:rFonts w:hint="default" w:ascii="Times New Roman" w:hAnsi="Times New Roman" w:eastAsia="方正仿宋_GBK" w:cs="Times New Roman"/>
          <w:sz w:val="33"/>
          <w:szCs w:val="33"/>
          <w:lang w:eastAsia="zh-CN"/>
        </w:rPr>
        <w:t>等</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个项目开展了预算事前绩效评估，对党员教育培训</w:t>
      </w:r>
      <w:r>
        <w:rPr>
          <w:rFonts w:hint="default" w:ascii="Times New Roman" w:hAnsi="Times New Roman" w:eastAsia="方正仿宋_GBK" w:cs="Times New Roman"/>
          <w:sz w:val="33"/>
          <w:szCs w:val="33"/>
          <w:lang w:eastAsia="zh-CN"/>
        </w:rPr>
        <w:t>经费</w:t>
      </w:r>
      <w:r>
        <w:rPr>
          <w:rFonts w:hint="default" w:ascii="Times New Roman" w:hAnsi="Times New Roman" w:eastAsia="方正仿宋_GBK" w:cs="Times New Roman"/>
          <w:sz w:val="33"/>
          <w:szCs w:val="33"/>
        </w:rPr>
        <w:t>、基层组织建设工作经费</w:t>
      </w:r>
      <w:r>
        <w:rPr>
          <w:rFonts w:hint="default" w:ascii="Times New Roman" w:hAnsi="Times New Roman" w:eastAsia="方正仿宋_GBK" w:cs="Times New Roman"/>
          <w:sz w:val="33"/>
          <w:szCs w:val="33"/>
          <w:lang w:eastAsia="zh-CN"/>
        </w:rPr>
        <w:t>等</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个项目编制了绩效目标，预算执行过程中，选取</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个项目开展绩效监控，年终执行完毕后，对</w:t>
      </w:r>
      <w:r>
        <w:rPr>
          <w:rFonts w:hint="default" w:ascii="Times New Roman" w:hAnsi="Times New Roman" w:eastAsia="方正仿宋_GBK" w:cs="Times New Roman"/>
          <w:sz w:val="33"/>
          <w:szCs w:val="33"/>
          <w:lang w:val="en-US" w:eastAsia="zh-CN"/>
        </w:rPr>
        <w:t>9</w:t>
      </w:r>
      <w:r>
        <w:rPr>
          <w:rFonts w:hint="default" w:ascii="Times New Roman" w:hAnsi="Times New Roman" w:eastAsia="方正仿宋_GBK" w:cs="Times New Roman"/>
          <w:sz w:val="33"/>
          <w:szCs w:val="33"/>
        </w:rPr>
        <w:t>个项目开展了绩效自评</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2021年特定目标类部门预算项目绩效目标自评表见附件（第四部分）。</w:t>
      </w:r>
    </w:p>
    <w:p>
      <w:pPr>
        <w:pStyle w:val="2"/>
        <w:keepNext w:val="0"/>
        <w:keepLines w:val="0"/>
        <w:pageBreakBefore w:val="0"/>
        <w:widowControl w:val="0"/>
        <w:kinsoku/>
        <w:wordWrap/>
        <w:overflowPunct/>
        <w:topLinePunct w:val="0"/>
        <w:autoSpaceDE/>
        <w:autoSpaceDN/>
        <w:bidi w:val="0"/>
        <w:adjustRightInd/>
        <w:snapToGrid/>
        <w:spacing w:beforeLines="0" w:line="0" w:lineRule="atLeast"/>
        <w:textAlignment w:val="auto"/>
        <w:rPr>
          <w:rFonts w:hint="default" w:ascii="Times New Roman" w:hAnsi="Times New Roman" w:eastAsia="方正仿宋_GBK" w:cs="Times New Roman"/>
          <w:sz w:val="33"/>
          <w:szCs w:val="33"/>
        </w:rPr>
      </w:pPr>
    </w:p>
    <w:p>
      <w:pPr>
        <w:keepNext w:val="0"/>
        <w:keepLines w:val="0"/>
        <w:pageBreakBefore w:val="0"/>
        <w:widowControl w:val="0"/>
        <w:numPr>
          <w:ilvl w:val="0"/>
          <w:numId w:val="2"/>
        </w:numPr>
        <w:kinsoku/>
        <w:wordWrap/>
        <w:overflowPunct/>
        <w:topLinePunct w:val="0"/>
        <w:autoSpaceDE/>
        <w:autoSpaceDN/>
        <w:bidi w:val="0"/>
        <w:adjustRightInd/>
        <w:snapToGrid/>
        <w:spacing w:line="0" w:lineRule="atLeast"/>
        <w:ind w:firstLine="0" w:firstLineChars="0"/>
        <w:jc w:val="center"/>
        <w:textAlignment w:val="auto"/>
        <w:outlineLvl w:val="0"/>
        <w:rPr>
          <w:rFonts w:hint="default" w:ascii="Times New Roman" w:hAnsi="Times New Roman" w:eastAsia="方正黑体_GBK" w:cs="Times New Roman"/>
          <w:b w:val="0"/>
          <w:bCs/>
          <w:kern w:val="44"/>
          <w:sz w:val="44"/>
          <w:szCs w:val="44"/>
          <w:lang w:val="en-US" w:eastAsia="zh-CN" w:bidi="ar-SA"/>
        </w:rPr>
      </w:pPr>
      <w:bookmarkStart w:id="51" w:name="_Toc15377225"/>
      <w:bookmarkStart w:id="52" w:name="_Toc15396613"/>
      <w:r>
        <w:rPr>
          <w:rFonts w:hint="default" w:ascii="Times New Roman" w:hAnsi="Times New Roman" w:eastAsia="方正黑体_GBK" w:cs="Times New Roman"/>
          <w:b w:val="0"/>
          <w:bCs/>
          <w:kern w:val="44"/>
          <w:sz w:val="44"/>
          <w:szCs w:val="44"/>
          <w:lang w:val="en-US" w:eastAsia="zh-CN" w:bidi="ar-SA"/>
        </w:rPr>
        <w:t>名词解释</w:t>
      </w:r>
      <w:bookmarkEnd w:id="51"/>
      <w:bookmarkEnd w:id="52"/>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p>
    <w:p>
      <w:pPr>
        <w:pStyle w:val="24"/>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1.财政拨款收入：指单位从同级财政部门取得的财政预算资金。</w:t>
      </w:r>
    </w:p>
    <w:p>
      <w:pPr>
        <w:pStyle w:val="24"/>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2.其他收入：指单位取得的除上述收入以外的各项收入。主要是利息收入。</w:t>
      </w:r>
    </w:p>
    <w:p>
      <w:pPr>
        <w:pStyle w:val="24"/>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.年初结转和结余：指以前年度尚未完成、结转到本年按有关规定继续使用的资金。</w:t>
      </w:r>
    </w:p>
    <w:p>
      <w:pPr>
        <w:pStyle w:val="24"/>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color w:val="000000"/>
          <w:sz w:val="33"/>
          <w:szCs w:val="33"/>
        </w:rPr>
        <w:t xml:space="preserve"> 一般公共服务（类）组织事务（款）行政运行（项）：反映行政单位（包括实行公务员管理的事业单位）的基本支出；一般行政管理事务（项）：反映行政单位（包括实行公务员管理的事业单位）未单独设置项级科目的其他项目支出；事业运行（项）：反映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5.</w:t>
      </w:r>
      <w:r>
        <w:rPr>
          <w:rFonts w:hint="default" w:ascii="Times New Roman" w:hAnsi="Times New Roman" w:eastAsia="方正仿宋_GBK" w:cs="Times New Roman"/>
          <w:color w:val="000000"/>
          <w:sz w:val="33"/>
          <w:szCs w:val="33"/>
        </w:rPr>
        <w:t>社会保障和就业支出（类）行政事业单位养老支出（款）行政单位离退休（项）：反映行政单位（包括实行公务员管理的事业单位）开支的离退休经费；机关事业单位基本养老保险缴费支出（项）：反映机关事业单位实施养老保险制度由单位缴纳的基本养老保险费支出；机关事业单位职业年金缴费支出（项）：反映机关事业单位实施养老保险制度由单位实际缴纳的职业年金支出。</w:t>
      </w:r>
    </w:p>
    <w:p>
      <w:pPr>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6</w:t>
      </w:r>
      <w:r>
        <w:rPr>
          <w:rFonts w:hint="default" w:ascii="Times New Roman" w:hAnsi="Times New Roman" w:eastAsia="方正仿宋_GBK" w:cs="Times New Roman"/>
          <w:color w:val="000000"/>
          <w:sz w:val="33"/>
          <w:szCs w:val="33"/>
        </w:rPr>
        <w:t>.卫生健康支出（类）行政事业单位医疗（款）行政单位医疗（项）：反映财政部门集中安排的行政单位基本医疗保险缴费经费，未参加医疗保险的行政单位的公费医疗保险经费，按国家规定享受离休人员和红军老战士待遇人员的医疗经费；事业单位医疗（项）：反映财政部门集中安排的事业单位基本医疗保险缴费经费，未参加医疗保险的事业单位公费医疗经费，按国家规定享受离休人员待遇人员的医疗经费；公务员医疗补助（项）：反映财政部门集中安排的公务员医疗补助经费。</w:t>
      </w:r>
    </w:p>
    <w:p>
      <w:pPr>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7</w:t>
      </w:r>
      <w:r>
        <w:rPr>
          <w:rFonts w:hint="default" w:ascii="Times New Roman" w:hAnsi="Times New Roman" w:eastAsia="方正仿宋_GBK" w:cs="Times New Roman"/>
          <w:color w:val="000000"/>
          <w:sz w:val="33"/>
          <w:szCs w:val="33"/>
        </w:rPr>
        <w:t>.城乡社区支出（类）国有土地使用权出让收入及对应专项债务收入安排的支出（款）土地开发支出（项）：反映新疆生产建设兵团和地方政府用于前期土地开发性支出以及与前期土地开发相关的费用等支出。</w:t>
      </w:r>
      <w:r>
        <w:rPr>
          <w:rFonts w:hint="default" w:ascii="Times New Roman" w:hAnsi="Times New Roman" w:eastAsia="方正仿宋_GBK" w:cs="Times New Roman"/>
          <w:color w:val="000000"/>
          <w:sz w:val="33"/>
          <w:szCs w:val="33"/>
        </w:rPr>
        <w:tab/>
      </w:r>
    </w:p>
    <w:p>
      <w:pPr>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8</w:t>
      </w:r>
      <w:r>
        <w:rPr>
          <w:rFonts w:hint="default" w:ascii="Times New Roman" w:hAnsi="Times New Roman" w:eastAsia="方正仿宋_GBK" w:cs="Times New Roman"/>
          <w:color w:val="000000"/>
          <w:sz w:val="33"/>
          <w:szCs w:val="33"/>
        </w:rPr>
        <w:t>.住房保障支出（类）住房改革支出（款）住房公积金（项）：指行政事业单位按人力资源和社会保障部、财政部规定的基本工资和津贴补贴以及规定比例为职工缴纳的住房公积金。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9</w:t>
      </w:r>
      <w:r>
        <w:rPr>
          <w:rFonts w:hint="default" w:ascii="Times New Roman" w:hAnsi="Times New Roman" w:eastAsia="方正仿宋_GBK" w:cs="Times New Roman"/>
          <w:color w:val="000000"/>
          <w:sz w:val="33"/>
          <w:szCs w:val="33"/>
        </w:rPr>
        <w:t>.基本支出：指为保障机构正常运转、完成日常工作任务而发生的人员支出和公用支出。</w:t>
      </w:r>
    </w:p>
    <w:p>
      <w:pPr>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color w:val="000000"/>
          <w:sz w:val="33"/>
          <w:szCs w:val="33"/>
        </w:rPr>
      </w:pPr>
      <w:r>
        <w:rPr>
          <w:rFonts w:hint="default" w:ascii="Times New Roman" w:hAnsi="Times New Roman" w:eastAsia="方正仿宋_GBK" w:cs="Times New Roman"/>
          <w:color w:val="000000"/>
          <w:sz w:val="33"/>
          <w:szCs w:val="33"/>
          <w:lang w:val="en-US" w:eastAsia="zh-CN"/>
        </w:rPr>
        <w:t>10</w:t>
      </w:r>
      <w:r>
        <w:rPr>
          <w:rFonts w:hint="default" w:ascii="Times New Roman" w:hAnsi="Times New Roman" w:eastAsia="方正仿宋_GBK" w:cs="Times New Roman"/>
          <w:color w:val="000000"/>
          <w:sz w:val="33"/>
          <w:szCs w:val="33"/>
        </w:rPr>
        <w:t>.项目支出：指在基本支出之外为完成特定行政任务和事业发展目标所发生的支出。</w:t>
      </w:r>
    </w:p>
    <w:p>
      <w:pPr>
        <w:pStyle w:val="24"/>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color w:val="000000"/>
          <w:sz w:val="33"/>
          <w:szCs w:val="33"/>
        </w:rPr>
        <w:t>1</w:t>
      </w:r>
      <w:r>
        <w:rPr>
          <w:rFonts w:hint="default" w:ascii="Times New Roman" w:hAnsi="Times New Roman" w:eastAsia="方正仿宋_GBK" w:cs="Times New Roman"/>
          <w:color w:val="000000"/>
          <w:sz w:val="33"/>
          <w:szCs w:val="33"/>
          <w:lang w:val="en-US" w:eastAsia="zh-CN"/>
        </w:rPr>
        <w:t>1</w:t>
      </w:r>
      <w:r>
        <w:rPr>
          <w:rFonts w:hint="default" w:ascii="Times New Roman" w:hAnsi="Times New Roman" w:eastAsia="方正仿宋_GBK" w:cs="Times New Roman"/>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keepNext w:val="0"/>
        <w:keepLines w:val="0"/>
        <w:pageBreakBefore w:val="0"/>
        <w:widowControl w:val="0"/>
        <w:kinsoku/>
        <w:wordWrap/>
        <w:overflowPunct/>
        <w:topLinePunct w:val="0"/>
        <w:bidi w:val="0"/>
        <w:adjustRightInd/>
        <w:snapToGrid/>
        <w:spacing w:line="240" w:lineRule="auto"/>
        <w:ind w:firstLine="660" w:firstLineChars="20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bookmarkStart w:id="53" w:name="_Toc15396614"/>
    </w:p>
    <w:p>
      <w:pPr>
        <w:pStyle w:val="2"/>
        <w:keepNext w:val="0"/>
        <w:keepLines w:val="0"/>
        <w:pageBreakBefore w:val="0"/>
        <w:widowControl w:val="0"/>
        <w:kinsoku/>
        <w:wordWrap/>
        <w:overflowPunct/>
        <w:topLinePunct w:val="0"/>
        <w:bidi w:val="0"/>
        <w:adjustRightInd/>
        <w:snapToGrid/>
        <w:jc w:val="center"/>
        <w:rPr>
          <w:rStyle w:val="26"/>
          <w:rFonts w:hint="default" w:ascii="Times New Roman" w:hAnsi="Times New Roman" w:eastAsia="方正黑体_GBK" w:cs="Times New Roman"/>
          <w:b w:val="0"/>
        </w:rPr>
      </w:pPr>
      <w:r>
        <w:rPr>
          <w:rFonts w:hint="default" w:ascii="Times New Roman" w:hAnsi="Times New Roman" w:eastAsia="方正黑体_GBK" w:cs="Times New Roman"/>
          <w:sz w:val="44"/>
          <w:szCs w:val="44"/>
        </w:rPr>
        <w:t>第</w:t>
      </w:r>
      <w:r>
        <w:rPr>
          <w:rStyle w:val="26"/>
          <w:rFonts w:hint="default" w:ascii="Times New Roman" w:hAnsi="Times New Roman" w:eastAsia="方正黑体_GBK" w:cs="Times New Roman"/>
          <w:b w:val="0"/>
        </w:rPr>
        <w:t>四部分 附件</w:t>
      </w:r>
    </w:p>
    <w:p>
      <w:pPr>
        <w:pStyle w:val="2"/>
        <w:keepNext w:val="0"/>
        <w:keepLines w:val="0"/>
        <w:pageBreakBefore w:val="0"/>
        <w:widowControl w:val="0"/>
        <w:kinsoku/>
        <w:wordWrap/>
        <w:overflowPunct/>
        <w:topLinePunct w:val="0"/>
        <w:autoSpaceDE/>
        <w:autoSpaceDN/>
        <w:bidi w:val="0"/>
        <w:adjustRightInd/>
        <w:snapToGrid/>
        <w:spacing w:beforeLines="0" w:line="0" w:lineRule="atLeast"/>
        <w:jc w:val="center"/>
        <w:textAlignment w:val="auto"/>
        <w:outlineLvl w:val="9"/>
        <w:rPr>
          <w:rStyle w:val="26"/>
          <w:rFonts w:hint="default" w:ascii="Times New Roman" w:hAnsi="Times New Roman" w:eastAsia="方正黑体_GBK" w:cs="Times New Roman"/>
          <w:b w:val="0"/>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Times New Roman" w:hAnsi="Times New Roman" w:eastAsia="方正小标宋_GBK" w:cs="Times New Roman"/>
          <w:b/>
          <w:bCs/>
          <w:kern w:val="0"/>
          <w:sz w:val="38"/>
          <w:szCs w:val="38"/>
          <w:lang w:val="en-US" w:eastAsia="zh-CN"/>
        </w:rPr>
      </w:pPr>
      <w:r>
        <w:rPr>
          <w:rFonts w:hint="default" w:ascii="Times New Roman" w:hAnsi="Times New Roman" w:eastAsia="方正小标宋_GBK" w:cs="Times New Roman"/>
          <w:b/>
          <w:bCs/>
          <w:kern w:val="0"/>
          <w:sz w:val="38"/>
          <w:szCs w:val="38"/>
        </w:rPr>
        <w:t>2021年</w:t>
      </w:r>
      <w:r>
        <w:rPr>
          <w:rFonts w:hint="default" w:ascii="Times New Roman" w:hAnsi="Times New Roman" w:eastAsia="方正小标宋_GBK" w:cs="Times New Roman"/>
          <w:b/>
          <w:bCs/>
          <w:kern w:val="0"/>
          <w:sz w:val="38"/>
          <w:szCs w:val="38"/>
          <w:lang w:val="en-US" w:eastAsia="zh-CN"/>
        </w:rPr>
        <w:t>中国共产党攀枝花市西区委员会组织部</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default" w:ascii="Times New Roman" w:hAnsi="Times New Roman" w:eastAsia="方正小标宋_GBK" w:cs="Times New Roman"/>
          <w:b/>
          <w:bCs/>
          <w:kern w:val="0"/>
          <w:sz w:val="38"/>
          <w:szCs w:val="38"/>
          <w:lang w:val="zh-CN"/>
        </w:rPr>
      </w:pPr>
      <w:r>
        <w:rPr>
          <w:rFonts w:hint="default" w:ascii="Times New Roman" w:hAnsi="Times New Roman" w:eastAsia="方正小标宋_GBK" w:cs="Times New Roman"/>
          <w:b/>
          <w:bCs/>
          <w:kern w:val="0"/>
          <w:sz w:val="38"/>
          <w:szCs w:val="38"/>
        </w:rPr>
        <w:t>部门整体绩效评价报告</w:t>
      </w:r>
    </w:p>
    <w:p>
      <w:pPr>
        <w:keepNext w:val="0"/>
        <w:keepLines w:val="0"/>
        <w:pageBreakBefore w:val="0"/>
        <w:widowControl w:val="0"/>
        <w:kinsoku/>
        <w:wordWrap/>
        <w:overflowPunct/>
        <w:topLinePunct w:val="0"/>
        <w:autoSpaceDE/>
        <w:autoSpaceDN/>
        <w:bidi w:val="0"/>
        <w:adjustRightInd/>
        <w:snapToGrid/>
        <w:spacing w:line="0" w:lineRule="atLeast"/>
        <w:ind w:firstLine="640" w:firstLineChars="200"/>
        <w:contextualSpacing/>
        <w:jc w:val="center"/>
        <w:textAlignment w:val="auto"/>
        <w:outlineLvl w:val="9"/>
        <w:rPr>
          <w:rFonts w:hint="default" w:ascii="Times New Roman" w:hAnsi="Times New Roman" w:eastAsia="仿宋_GB2312"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0" w:lineRule="atLeast"/>
        <w:ind w:firstLine="480" w:firstLineChars="200"/>
        <w:contextualSpacing/>
        <w:jc w:val="left"/>
        <w:textAlignment w:val="auto"/>
        <w:outlineLvl w:val="9"/>
        <w:rPr>
          <w:rFonts w:hint="default" w:ascii="Times New Roman" w:hAnsi="Times New Roman" w:eastAsia="黑体" w:cs="Times New Roman"/>
          <w:kern w:val="0"/>
          <w:sz w:val="24"/>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left"/>
        <w:textAlignment w:val="auto"/>
        <w:rPr>
          <w:rFonts w:hint="default" w:ascii="Times New Roman" w:hAnsi="Times New Roman" w:eastAsia="方正黑体_GBK" w:cs="Times New Roman"/>
          <w:kern w:val="0"/>
          <w:sz w:val="33"/>
          <w:szCs w:val="33"/>
          <w:shd w:val="clear" w:color="auto" w:fill="FFFFFF"/>
          <w:lang w:val="zh-CN"/>
        </w:rPr>
      </w:pPr>
      <w:r>
        <w:rPr>
          <w:rFonts w:hint="default" w:ascii="Times New Roman" w:hAnsi="Times New Roman" w:eastAsia="方正黑体_GBK" w:cs="Times New Roman"/>
          <w:kern w:val="0"/>
          <w:sz w:val="33"/>
          <w:szCs w:val="33"/>
          <w:shd w:val="clear" w:color="auto" w:fill="FFFFFF"/>
        </w:rPr>
        <w:t>一、</w:t>
      </w:r>
      <w:r>
        <w:rPr>
          <w:rFonts w:hint="default" w:ascii="Times New Roman" w:hAnsi="Times New Roman" w:eastAsia="方正黑体_GBK" w:cs="Times New Roman"/>
          <w:kern w:val="0"/>
          <w:sz w:val="33"/>
          <w:szCs w:val="33"/>
          <w:shd w:val="clear" w:color="auto" w:fill="FFFFFF"/>
          <w:lang w:val="zh-CN"/>
        </w:rPr>
        <w:t>部门概况</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contextualSpacing/>
        <w:jc w:val="left"/>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（一）机构组成</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left"/>
        <w:textAlignment w:val="auto"/>
        <w:outlineLvl w:val="9"/>
        <w:rPr>
          <w:rFonts w:hint="default" w:ascii="Times New Roman" w:hAnsi="Times New Roman" w:eastAsia="方正仿宋_GBK" w:cs="Times New Roman"/>
          <w:color w:val="auto"/>
          <w:kern w:val="34"/>
          <w:sz w:val="33"/>
          <w:szCs w:val="33"/>
          <w:shd w:val="clear" w:color="auto" w:fill="FFFFFF"/>
          <w:lang w:val="zh-CN" w:eastAsia="zh-CN"/>
        </w:rPr>
      </w:pPr>
      <w:r>
        <w:rPr>
          <w:rFonts w:hint="default" w:ascii="Times New Roman" w:hAnsi="Times New Roman" w:eastAsia="方正仿宋_GBK" w:cs="Times New Roman"/>
          <w:color w:val="auto"/>
          <w:kern w:val="34"/>
          <w:sz w:val="33"/>
          <w:szCs w:val="33"/>
        </w:rPr>
        <w:t>西区区委组织部内设股室</w:t>
      </w:r>
      <w:r>
        <w:rPr>
          <w:rFonts w:hint="default" w:ascii="Times New Roman" w:hAnsi="Times New Roman" w:eastAsia="方正仿宋_GBK" w:cs="Times New Roman"/>
          <w:color w:val="auto"/>
          <w:kern w:val="34"/>
          <w:sz w:val="33"/>
          <w:szCs w:val="33"/>
          <w:lang w:val="en-US" w:eastAsia="zh-CN"/>
        </w:rPr>
        <w:t>5</w:t>
      </w:r>
      <w:r>
        <w:rPr>
          <w:rFonts w:hint="default" w:ascii="Times New Roman" w:hAnsi="Times New Roman" w:eastAsia="方正仿宋_GBK" w:cs="Times New Roman"/>
          <w:color w:val="auto"/>
          <w:kern w:val="34"/>
          <w:sz w:val="33"/>
          <w:szCs w:val="33"/>
        </w:rPr>
        <w:t>个</w:t>
      </w:r>
      <w:r>
        <w:rPr>
          <w:rFonts w:hint="default" w:ascii="Times New Roman" w:hAnsi="Times New Roman" w:eastAsia="方正仿宋_GBK" w:cs="Times New Roman"/>
          <w:color w:val="auto"/>
          <w:kern w:val="34"/>
          <w:sz w:val="33"/>
          <w:szCs w:val="33"/>
          <w:lang w:eastAsia="zh-CN"/>
        </w:rPr>
        <w:t>，含综合股、</w:t>
      </w:r>
      <w:r>
        <w:rPr>
          <w:rFonts w:hint="default" w:ascii="Times New Roman" w:hAnsi="Times New Roman" w:eastAsia="方正仿宋_GBK" w:cs="Times New Roman"/>
          <w:color w:val="auto"/>
          <w:kern w:val="34"/>
          <w:sz w:val="33"/>
          <w:szCs w:val="33"/>
        </w:rPr>
        <w:t>组织股、干部股、</w:t>
      </w:r>
      <w:r>
        <w:rPr>
          <w:rFonts w:hint="default" w:ascii="Times New Roman" w:hAnsi="Times New Roman" w:eastAsia="方正仿宋_GBK" w:cs="Times New Roman"/>
          <w:color w:val="auto"/>
          <w:kern w:val="34"/>
          <w:sz w:val="33"/>
          <w:szCs w:val="33"/>
          <w:lang w:eastAsia="zh-CN"/>
        </w:rPr>
        <w:t>公务员股（干部监督股）、人才股（高端人才服务中心）</w:t>
      </w:r>
      <w:r>
        <w:rPr>
          <w:rFonts w:hint="default" w:ascii="Times New Roman" w:hAnsi="Times New Roman" w:eastAsia="方正仿宋_GBK" w:cs="Times New Roman"/>
          <w:color w:val="auto"/>
          <w:kern w:val="34"/>
          <w:sz w:val="33"/>
          <w:szCs w:val="33"/>
        </w:rPr>
        <w:t>，下属参照公务员法管理的事业单位2个（中共攀枝花市西区区委组织部党员教育中心、攀枝花市西区高端人才服务中心）</w:t>
      </w:r>
      <w:r>
        <w:rPr>
          <w:rFonts w:hint="default" w:ascii="Times New Roman" w:hAnsi="Times New Roman" w:eastAsia="方正仿宋_GBK" w:cs="Times New Roman"/>
          <w:color w:val="auto"/>
          <w:kern w:val="34"/>
          <w:sz w:val="33"/>
          <w:szCs w:val="33"/>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（二）机构职能</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textAlignment w:val="auto"/>
        <w:outlineLvl w:val="9"/>
        <w:rPr>
          <w:rFonts w:hint="default" w:ascii="Times New Roman" w:hAnsi="Times New Roman" w:eastAsia="方正仿宋_GBK" w:cs="Times New Roman"/>
          <w:color w:val="auto"/>
          <w:kern w:val="34"/>
          <w:sz w:val="33"/>
          <w:szCs w:val="33"/>
          <w:lang w:val="en-US" w:eastAsia="zh-CN"/>
        </w:rPr>
      </w:pPr>
      <w:r>
        <w:rPr>
          <w:rFonts w:hint="default" w:ascii="Times New Roman" w:hAnsi="Times New Roman" w:eastAsia="方正仿宋_GBK" w:cs="Times New Roman"/>
          <w:color w:val="auto"/>
          <w:kern w:val="34"/>
          <w:sz w:val="33"/>
          <w:szCs w:val="33"/>
          <w:lang w:eastAsia="zh-CN"/>
        </w:rPr>
        <w:t>中共攀枝花市西区</w:t>
      </w:r>
      <w:r>
        <w:rPr>
          <w:rFonts w:hint="default" w:ascii="Times New Roman" w:hAnsi="Times New Roman" w:eastAsia="方正仿宋_GBK" w:cs="Times New Roman"/>
          <w:color w:val="auto"/>
          <w:kern w:val="34"/>
          <w:sz w:val="33"/>
          <w:szCs w:val="33"/>
        </w:rPr>
        <w:t>区委组织部是区委主管党的组织工作</w:t>
      </w:r>
      <w:r>
        <w:rPr>
          <w:rFonts w:hint="default" w:ascii="Times New Roman" w:hAnsi="Times New Roman" w:eastAsia="方正仿宋_GBK" w:cs="Times New Roman"/>
          <w:color w:val="auto"/>
          <w:kern w:val="34"/>
          <w:sz w:val="33"/>
          <w:szCs w:val="33"/>
          <w:lang w:eastAsia="zh-CN"/>
        </w:rPr>
        <w:t>、干部工作、人才工作、公务员工作的</w:t>
      </w:r>
      <w:r>
        <w:rPr>
          <w:rFonts w:hint="default" w:ascii="Times New Roman" w:hAnsi="Times New Roman" w:eastAsia="方正仿宋_GBK" w:cs="Times New Roman"/>
          <w:color w:val="auto"/>
          <w:kern w:val="34"/>
          <w:sz w:val="33"/>
          <w:szCs w:val="33"/>
        </w:rPr>
        <w:t>职能部门。主要</w:t>
      </w:r>
      <w:r>
        <w:rPr>
          <w:rFonts w:hint="default" w:ascii="Times New Roman" w:hAnsi="Times New Roman" w:eastAsia="方正仿宋_GBK" w:cs="Times New Roman"/>
          <w:color w:val="auto"/>
          <w:kern w:val="34"/>
          <w:sz w:val="33"/>
          <w:szCs w:val="33"/>
          <w:lang w:eastAsia="zh-CN"/>
        </w:rPr>
        <w:t>职责</w:t>
      </w:r>
      <w:r>
        <w:rPr>
          <w:rFonts w:hint="default" w:ascii="Times New Roman" w:hAnsi="Times New Roman" w:eastAsia="方正仿宋_GBK" w:cs="Times New Roman"/>
          <w:color w:val="auto"/>
          <w:kern w:val="34"/>
          <w:sz w:val="33"/>
          <w:szCs w:val="33"/>
        </w:rPr>
        <w:t>：</w:t>
      </w:r>
      <w:r>
        <w:rPr>
          <w:rFonts w:hint="default" w:ascii="Times New Roman" w:hAnsi="Times New Roman" w:eastAsia="方正仿宋_GBK" w:cs="Times New Roman"/>
          <w:color w:val="auto"/>
          <w:kern w:val="34"/>
          <w:sz w:val="33"/>
          <w:szCs w:val="33"/>
          <w:lang w:val="en-US" w:eastAsia="zh-CN"/>
        </w:rPr>
        <w:t>贯彻新时代党的建设总体要求和新时代党的组织路线，落实区委相关决策部署。1.负责全区党的组织体系、组织制度建设，负责基层党组织建设规划指导和党员队伍宏观管理，指导开展党员教育工作。2.负责全区领导班子和干部队伍建设的总体规划和宏观管理。负责区委管理领导班子和领导干部的考察考核、日常管理，提出调整配备建议，审核办理任免、工资、退休、兼职、待遇等有关事项。负责全区优秀年轻干部队伍建设工作。3.贯彻老干部工作的方针、政策，指导全区老干部工作。4.负责管理全区公务员工作。牵头拟订和组织实施公务员管理政策法规，承担公务员录用、调配、考核、奖惩、培训、监督、工资福利等工作，指导公务员绩效管理工作。5.负责全区人才工作的宏观指导、组织协调和督促检查，牵头推进人才发展体制机制改革和政策创新，牵头推进人才对外开放、党委联系服务专家工作，统筹实施重大人才工程和人才表彰奖励。6.负责全区干部教育培训工作的宏观指导、政策规划、组织协调和督促检查，负责市、区重点培训项目的策划、实施和管理，指导全区干部教育培训基地建设管理、师资队伍建设等工作。7.负责全区干部监督工作的宏观指导和综合协调，制定和落实干部监督工作制度，组织开展对选人用人工作情况的监督检查，受理和办理有关问题举报，组织实施领导干部报告个人有关事项及抽查核实工作。8.统一管理区委机构编制委员会办公室。9.承担区委党建领导小组、区委老干部工作领导小组、区人才工作领导小组的日常工作。10.负责职责范围内的安全生产和职业健康、生态环境保护等工作。11.完成区委交办的其他任务。</w:t>
      </w:r>
    </w:p>
    <w:p>
      <w:pPr>
        <w:pStyle w:val="7"/>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rPr>
          <w:rFonts w:hint="default" w:ascii="Times New Roman" w:hAnsi="Times New Roman" w:eastAsia="方正楷体_GBK" w:cs="Times New Roman"/>
          <w:b/>
          <w:bCs/>
          <w:color w:val="000000"/>
          <w:kern w:val="34"/>
          <w:sz w:val="33"/>
          <w:szCs w:val="33"/>
          <w:shd w:val="clear" w:color="auto" w:fill="FFFFFF"/>
          <w:lang w:val="zh-CN" w:eastAsia="zh-CN" w:bidi="ar-SA"/>
        </w:rPr>
      </w:pPr>
      <w:r>
        <w:rPr>
          <w:rFonts w:hint="default" w:ascii="Times New Roman" w:hAnsi="Times New Roman" w:eastAsia="方正楷体_GBK" w:cs="Times New Roman"/>
          <w:b/>
          <w:bCs/>
          <w:color w:val="000000"/>
          <w:kern w:val="34"/>
          <w:sz w:val="33"/>
          <w:szCs w:val="33"/>
          <w:shd w:val="clear" w:color="auto" w:fill="FFFFFF"/>
          <w:lang w:val="zh-CN" w:eastAsia="zh-CN" w:bidi="ar-SA"/>
        </w:rPr>
        <w:t>（三）人员概况</w:t>
      </w:r>
    </w:p>
    <w:p>
      <w:pPr>
        <w:pStyle w:val="7"/>
        <w:keepNext w:val="0"/>
        <w:keepLines w:val="0"/>
        <w:pageBreakBefore w:val="0"/>
        <w:widowControl w:val="0"/>
        <w:kinsoku/>
        <w:wordWrap/>
        <w:overflowPunct/>
        <w:topLinePunct w:val="0"/>
        <w:autoSpaceDE/>
        <w:autoSpaceDN/>
        <w:bidi w:val="0"/>
        <w:adjustRightInd/>
        <w:snapToGrid/>
        <w:spacing w:line="240" w:lineRule="auto"/>
        <w:ind w:firstLine="644" w:firstLineChars="200"/>
        <w:textAlignment w:val="auto"/>
        <w:rPr>
          <w:rStyle w:val="33"/>
          <w:rFonts w:hint="default" w:ascii="Times New Roman" w:hAnsi="Times New Roman" w:eastAsia="方正仿宋_GBK" w:cs="Times New Roman"/>
          <w:kern w:val="34"/>
          <w:sz w:val="33"/>
          <w:szCs w:val="33"/>
        </w:rPr>
      </w:pPr>
      <w:r>
        <w:rPr>
          <w:rFonts w:hint="default" w:ascii="Times New Roman" w:hAnsi="Times New Roman" w:eastAsia="方正仿宋_GBK" w:cs="Times New Roman"/>
          <w:spacing w:val="-4"/>
          <w:kern w:val="34"/>
          <w:sz w:val="33"/>
          <w:szCs w:val="33"/>
        </w:rPr>
        <w:t>截</w:t>
      </w:r>
      <w:r>
        <w:rPr>
          <w:rFonts w:hint="default" w:ascii="Times New Roman" w:hAnsi="Times New Roman" w:eastAsia="方正仿宋_GBK" w:cs="Times New Roman"/>
          <w:spacing w:val="-4"/>
          <w:kern w:val="34"/>
          <w:sz w:val="33"/>
          <w:szCs w:val="33"/>
          <w:lang w:eastAsia="zh-CN"/>
        </w:rPr>
        <w:t>至</w:t>
      </w:r>
      <w:r>
        <w:rPr>
          <w:rFonts w:hint="default" w:ascii="Times New Roman" w:hAnsi="Times New Roman" w:eastAsia="方正仿宋_GBK" w:cs="Times New Roman"/>
          <w:spacing w:val="-4"/>
          <w:kern w:val="34"/>
          <w:sz w:val="33"/>
          <w:szCs w:val="33"/>
        </w:rPr>
        <w:t>2021年12月，区委组织部有</w:t>
      </w:r>
      <w:r>
        <w:rPr>
          <w:rFonts w:hint="default" w:ascii="Times New Roman" w:hAnsi="Times New Roman" w:eastAsia="方正仿宋_GBK" w:cs="Times New Roman"/>
          <w:kern w:val="34"/>
          <w:sz w:val="33"/>
          <w:szCs w:val="33"/>
        </w:rPr>
        <w:t>行政编制11名，实有7人；参公管理编制8名，实有7人；退休人员3人；行政工勤人员1人。</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left"/>
        <w:textAlignment w:val="auto"/>
        <w:rPr>
          <w:rFonts w:hint="default" w:ascii="Times New Roman" w:hAnsi="Times New Roman" w:eastAsia="方正黑体_GBK" w:cs="Times New Roman"/>
          <w:kern w:val="0"/>
          <w:sz w:val="33"/>
          <w:szCs w:val="33"/>
          <w:shd w:val="clear" w:color="auto" w:fill="FFFFFF"/>
        </w:rPr>
      </w:pPr>
      <w:r>
        <w:rPr>
          <w:rFonts w:hint="default" w:ascii="Times New Roman" w:hAnsi="Times New Roman" w:eastAsia="方正黑体_GBK" w:cs="Times New Roman"/>
          <w:kern w:val="0"/>
          <w:sz w:val="33"/>
          <w:szCs w:val="33"/>
          <w:shd w:val="clear" w:color="auto" w:fill="FFFFFF"/>
        </w:rPr>
        <w:t>二、部门财政资金收支情况</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contextualSpacing/>
        <w:jc w:val="left"/>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（一）部门财政资金收入情况</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both"/>
        <w:textAlignment w:val="auto"/>
        <w:outlineLvl w:val="9"/>
        <w:rPr>
          <w:rFonts w:hint="default" w:ascii="Times New Roman" w:hAnsi="Times New Roman" w:eastAsia="方正仿宋_GBK" w:cs="Times New Roman"/>
          <w:color w:val="000000"/>
          <w:kern w:val="34"/>
          <w:sz w:val="33"/>
          <w:szCs w:val="33"/>
          <w:shd w:val="clear" w:color="auto" w:fill="FFFFFF"/>
          <w:lang w:val="zh-CN" w:eastAsia="zh-CN"/>
        </w:rPr>
      </w:pPr>
      <w:r>
        <w:rPr>
          <w:rFonts w:hint="default" w:ascii="Times New Roman" w:hAnsi="Times New Roman" w:eastAsia="方正仿宋_GBK" w:cs="Times New Roman"/>
          <w:color w:val="000000"/>
          <w:kern w:val="34"/>
          <w:sz w:val="33"/>
          <w:szCs w:val="33"/>
          <w:shd w:val="clear" w:color="auto" w:fill="FFFFFF"/>
          <w:lang w:val="en-US" w:eastAsia="zh-CN"/>
        </w:rPr>
        <w:t>2021年</w:t>
      </w:r>
      <w:r>
        <w:rPr>
          <w:rFonts w:hint="default" w:ascii="Times New Roman" w:hAnsi="Times New Roman" w:eastAsia="方正仿宋_GBK" w:cs="Times New Roman"/>
          <w:color w:val="000000"/>
          <w:kern w:val="34"/>
          <w:sz w:val="33"/>
          <w:szCs w:val="33"/>
          <w:shd w:val="clear" w:color="auto" w:fill="FFFFFF"/>
          <w:lang w:val="zh-CN"/>
        </w:rPr>
        <w:t>财政拨款收入</w:t>
      </w:r>
      <w:r>
        <w:rPr>
          <w:rFonts w:hint="default" w:ascii="Times New Roman" w:hAnsi="Times New Roman" w:eastAsia="方正仿宋_GBK" w:cs="Times New Roman"/>
          <w:color w:val="000000"/>
          <w:kern w:val="34"/>
          <w:sz w:val="33"/>
          <w:szCs w:val="33"/>
          <w:shd w:val="clear" w:color="auto" w:fill="FFFFFF"/>
          <w:lang w:val="en-US" w:eastAsia="zh-CN"/>
        </w:rPr>
        <w:t>508.64万元，其中：一般公共预算财政拨款收入436.91万元，政府性基金预算财政拨款收入71.73万元</w:t>
      </w:r>
      <w:r>
        <w:rPr>
          <w:rFonts w:hint="default" w:ascii="Times New Roman" w:hAnsi="Times New Roman" w:eastAsia="方正仿宋_GBK" w:cs="Times New Roman"/>
          <w:sz w:val="33"/>
          <w:szCs w:val="33"/>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3" w:firstLineChars="200"/>
        <w:contextualSpacing/>
        <w:jc w:val="left"/>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（二）部门财政资金支出情况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60" w:firstLineChars="200"/>
        <w:contextualSpacing/>
        <w:jc w:val="both"/>
        <w:textAlignment w:val="auto"/>
        <w:outlineLvl w:val="9"/>
        <w:rPr>
          <w:rFonts w:hint="default" w:ascii="Times New Roman" w:hAnsi="Times New Roman" w:eastAsia="方正仿宋_GBK" w:cs="Times New Roman"/>
          <w:color w:val="000000"/>
          <w:kern w:val="34"/>
          <w:sz w:val="33"/>
          <w:szCs w:val="33"/>
          <w:shd w:val="clear" w:color="auto" w:fill="FFFFFF"/>
          <w:lang w:val="en-US" w:eastAsia="zh-CN"/>
        </w:rPr>
      </w:pPr>
      <w:r>
        <w:rPr>
          <w:rFonts w:hint="default" w:ascii="Times New Roman" w:hAnsi="Times New Roman" w:eastAsia="方正仿宋_GBK" w:cs="Times New Roman"/>
          <w:color w:val="000000"/>
          <w:kern w:val="34"/>
          <w:sz w:val="33"/>
          <w:szCs w:val="33"/>
          <w:shd w:val="clear" w:color="auto" w:fill="FFFFFF"/>
          <w:lang w:val="en-US" w:eastAsia="zh-CN"/>
        </w:rPr>
        <w:t>2021年</w:t>
      </w:r>
      <w:r>
        <w:rPr>
          <w:rFonts w:hint="default" w:ascii="Times New Roman" w:hAnsi="Times New Roman" w:eastAsia="方正仿宋_GBK" w:cs="Times New Roman"/>
          <w:color w:val="000000"/>
          <w:kern w:val="34"/>
          <w:sz w:val="33"/>
          <w:szCs w:val="33"/>
          <w:shd w:val="clear" w:color="auto" w:fill="FFFFFF"/>
          <w:lang w:val="zh-CN"/>
        </w:rPr>
        <w:t>财政拨款支出</w:t>
      </w:r>
      <w:r>
        <w:rPr>
          <w:rFonts w:hint="default" w:ascii="Times New Roman" w:hAnsi="Times New Roman" w:eastAsia="方正仿宋_GBK" w:cs="Times New Roman"/>
          <w:color w:val="000000"/>
          <w:kern w:val="34"/>
          <w:sz w:val="33"/>
          <w:szCs w:val="33"/>
          <w:shd w:val="clear" w:color="auto" w:fill="FFFFFF"/>
          <w:lang w:val="en-US" w:eastAsia="zh-CN"/>
        </w:rPr>
        <w:t>516.82万元，其中：一般公共预算财政拨款支出444.76万元，政府性基金预算财政拨款支出71.73万元。</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left"/>
        <w:textAlignment w:val="auto"/>
        <w:rPr>
          <w:rFonts w:hint="default" w:ascii="Times New Roman" w:hAnsi="Times New Roman" w:eastAsia="方正仿宋_GBK" w:cs="Times New Roman"/>
          <w:color w:val="FF0000"/>
          <w:kern w:val="0"/>
          <w:sz w:val="33"/>
          <w:szCs w:val="33"/>
          <w:shd w:val="clear" w:color="auto" w:fill="FFFFFF"/>
        </w:rPr>
      </w:pPr>
      <w:r>
        <w:rPr>
          <w:rFonts w:hint="default" w:ascii="Times New Roman" w:hAnsi="Times New Roman" w:eastAsia="方正黑体_GBK" w:cs="Times New Roman"/>
          <w:kern w:val="0"/>
          <w:sz w:val="33"/>
          <w:szCs w:val="33"/>
          <w:shd w:val="clear" w:color="auto" w:fill="FFFFFF"/>
        </w:rPr>
        <w:t>三、部门整体预算绩效管理情况</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（一）部门预算管理</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both"/>
        <w:textAlignment w:val="auto"/>
        <w:outlineLvl w:val="9"/>
        <w:rPr>
          <w:rFonts w:hint="default" w:ascii="Times New Roman" w:hAnsi="Times New Roman" w:eastAsia="方正仿宋_GBK" w:cs="Times New Roman"/>
          <w:color w:val="000000"/>
          <w:kern w:val="34"/>
          <w:sz w:val="33"/>
          <w:szCs w:val="33"/>
          <w:shd w:val="clear" w:color="auto" w:fill="FFFFFF"/>
          <w:lang w:val="zh-CN"/>
        </w:rPr>
      </w:pPr>
      <w:r>
        <w:rPr>
          <w:rFonts w:hint="default" w:ascii="Times New Roman" w:hAnsi="Times New Roman" w:eastAsia="方正仿宋_GBK" w:cs="Times New Roman"/>
          <w:color w:val="000000"/>
          <w:kern w:val="34"/>
          <w:sz w:val="33"/>
          <w:szCs w:val="33"/>
          <w:shd w:val="clear" w:color="auto" w:fill="FFFFFF"/>
        </w:rPr>
        <w:t>为进一步提升绩效评价工作的质量，我</w:t>
      </w:r>
      <w:r>
        <w:rPr>
          <w:rFonts w:hint="default" w:ascii="Times New Roman" w:hAnsi="Times New Roman" w:eastAsia="方正仿宋_GBK" w:cs="Times New Roman"/>
          <w:color w:val="000000"/>
          <w:kern w:val="34"/>
          <w:sz w:val="33"/>
          <w:szCs w:val="33"/>
          <w:shd w:val="clear" w:color="auto" w:fill="FFFFFF"/>
          <w:lang w:eastAsia="zh-CN"/>
        </w:rPr>
        <w:t>部</w:t>
      </w:r>
      <w:r>
        <w:rPr>
          <w:rFonts w:hint="default" w:ascii="Times New Roman" w:hAnsi="Times New Roman" w:eastAsia="方正仿宋_GBK" w:cs="Times New Roman"/>
          <w:color w:val="000000"/>
          <w:kern w:val="34"/>
          <w:sz w:val="33"/>
          <w:szCs w:val="33"/>
          <w:shd w:val="clear" w:color="auto" w:fill="FFFFFF"/>
        </w:rPr>
        <w:t>成立了以</w:t>
      </w:r>
      <w:r>
        <w:rPr>
          <w:rFonts w:hint="default" w:ascii="Times New Roman" w:hAnsi="Times New Roman" w:eastAsia="方正仿宋_GBK" w:cs="Times New Roman"/>
          <w:color w:val="000000"/>
          <w:kern w:val="34"/>
          <w:sz w:val="33"/>
          <w:szCs w:val="33"/>
          <w:shd w:val="clear" w:color="auto" w:fill="FFFFFF"/>
          <w:lang w:eastAsia="zh-CN"/>
        </w:rPr>
        <w:t>常务副部长</w:t>
      </w:r>
      <w:r>
        <w:rPr>
          <w:rFonts w:hint="default" w:ascii="Times New Roman" w:hAnsi="Times New Roman" w:eastAsia="方正仿宋_GBK" w:cs="Times New Roman"/>
          <w:color w:val="000000"/>
          <w:kern w:val="34"/>
          <w:sz w:val="33"/>
          <w:szCs w:val="33"/>
          <w:shd w:val="clear" w:color="auto" w:fill="FFFFFF"/>
        </w:rPr>
        <w:t>为组长，各</w:t>
      </w:r>
      <w:r>
        <w:rPr>
          <w:rFonts w:hint="default" w:ascii="Times New Roman" w:hAnsi="Times New Roman" w:eastAsia="方正仿宋_GBK" w:cs="Times New Roman"/>
          <w:color w:val="000000"/>
          <w:kern w:val="34"/>
          <w:sz w:val="33"/>
          <w:szCs w:val="33"/>
          <w:shd w:val="clear" w:color="auto" w:fill="FFFFFF"/>
          <w:lang w:eastAsia="zh-CN"/>
        </w:rPr>
        <w:t>股室</w:t>
      </w:r>
      <w:r>
        <w:rPr>
          <w:rFonts w:hint="default" w:ascii="Times New Roman" w:hAnsi="Times New Roman" w:eastAsia="方正仿宋_GBK" w:cs="Times New Roman"/>
          <w:color w:val="000000"/>
          <w:kern w:val="34"/>
          <w:sz w:val="33"/>
          <w:szCs w:val="33"/>
          <w:shd w:val="clear" w:color="auto" w:fill="FFFFFF"/>
        </w:rPr>
        <w:t xml:space="preserve">负责人为成员的绩效评价领导小组，明确岗位职责和分工任务，为开展绩效评价提供了组织保障。制定评价指标体系，从目标设定、预算配置、预算执行、预算管理、资产管理、责任履行、履职效益等指标进行评价。评价组在开展评价工作时，要确保工作的独立性、公正性、规范性和严谨性，确保评价报告数据真实，并能如实反映存在的问题，评价结果真实可信,能够进行有效运用。 </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（二）结果应用情况</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both"/>
        <w:textAlignment w:val="auto"/>
        <w:outlineLvl w:val="9"/>
        <w:rPr>
          <w:rFonts w:hint="default" w:ascii="Times New Roman" w:hAnsi="Times New Roman" w:eastAsia="方正仿宋_GBK" w:cs="Times New Roman"/>
          <w:color w:val="000000"/>
          <w:kern w:val="34"/>
          <w:sz w:val="33"/>
          <w:szCs w:val="33"/>
          <w:shd w:val="clear" w:color="auto" w:fill="FFFFFF"/>
        </w:rPr>
      </w:pPr>
      <w:r>
        <w:rPr>
          <w:rFonts w:hint="default" w:ascii="Times New Roman" w:hAnsi="Times New Roman" w:eastAsia="方正仿宋_GBK" w:cs="Times New Roman"/>
          <w:color w:val="000000"/>
          <w:kern w:val="34"/>
          <w:sz w:val="33"/>
          <w:szCs w:val="33"/>
          <w:shd w:val="clear" w:color="auto" w:fill="FFFFFF"/>
        </w:rPr>
        <w:t>为推进建立全面规范透明的预算管理制度，进一步推动 预决算公开工作，依据《中华人民共和国预算法》、《中华人民共和国政府信息公开条例》、《财政部关于开展 2019、2020 年度地方预决算公开情况专项检查的通知》（财监〔2021〕5 号）、《四川省财政厅关于开展 2019、2020 年度地方预决算公开情况专项检查的通知》（川财监督〔2021〕9 号）文件精神及相关工作要求，我单位切实按照财政部门的要求，做到绩效目标、绩效评价、绩效监控等公开内容完整性及时性，提高预算的透明度，切实保障了群众的知情权、参与权和监督权。</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both"/>
        <w:textAlignment w:val="auto"/>
        <w:rPr>
          <w:rFonts w:hint="default" w:ascii="Times New Roman" w:hAnsi="Times New Roman" w:eastAsia="方正黑体_GBK" w:cs="Times New Roman"/>
          <w:kern w:val="0"/>
          <w:sz w:val="33"/>
          <w:szCs w:val="33"/>
          <w:shd w:val="clear" w:color="auto" w:fill="FFFFFF"/>
        </w:rPr>
      </w:pPr>
      <w:r>
        <w:rPr>
          <w:rFonts w:hint="default" w:ascii="Times New Roman" w:hAnsi="Times New Roman" w:eastAsia="方正黑体_GBK" w:cs="Times New Roman"/>
          <w:kern w:val="0"/>
          <w:sz w:val="33"/>
          <w:szCs w:val="33"/>
          <w:shd w:val="clear" w:color="auto" w:fill="FFFFFF"/>
        </w:rPr>
        <w:t>四、评价结论及建议</w:t>
      </w:r>
    </w:p>
    <w:p>
      <w:pPr>
        <w:keepNext w:val="0"/>
        <w:keepLines w:val="0"/>
        <w:pageBreakBefore w:val="0"/>
        <w:widowControl w:val="0"/>
        <w:tabs>
          <w:tab w:val="left" w:pos="4246"/>
        </w:tabs>
        <w:kinsoku/>
        <w:wordWrap/>
        <w:overflowPunct/>
        <w:topLinePunct w:val="0"/>
        <w:autoSpaceDE/>
        <w:autoSpaceDN/>
        <w:bidi w:val="0"/>
        <w:adjustRightInd/>
        <w:snapToGrid/>
        <w:spacing w:line="240" w:lineRule="auto"/>
        <w:ind w:firstLine="663" w:firstLineChars="200"/>
        <w:jc w:val="both"/>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（一）评价结论</w:t>
      </w:r>
    </w:p>
    <w:p>
      <w:pPr>
        <w:keepNext w:val="0"/>
        <w:keepLines w:val="0"/>
        <w:pageBreakBefore w:val="0"/>
        <w:widowControl w:val="0"/>
        <w:tabs>
          <w:tab w:val="left" w:pos="4246"/>
        </w:tabs>
        <w:kinsoku/>
        <w:wordWrap/>
        <w:overflowPunct/>
        <w:topLinePunct w:val="0"/>
        <w:autoSpaceDE/>
        <w:autoSpaceDN/>
        <w:bidi w:val="0"/>
        <w:adjustRightInd/>
        <w:snapToGrid/>
        <w:spacing w:line="240" w:lineRule="auto"/>
        <w:ind w:firstLine="660" w:firstLineChars="200"/>
        <w:jc w:val="both"/>
        <w:textAlignment w:val="auto"/>
        <w:outlineLvl w:val="9"/>
        <w:rPr>
          <w:rFonts w:hint="default" w:ascii="Times New Roman" w:hAnsi="Times New Roman" w:eastAsia="方正仿宋_GBK" w:cs="Times New Roman"/>
          <w:kern w:val="34"/>
          <w:sz w:val="33"/>
          <w:szCs w:val="33"/>
        </w:rPr>
      </w:pPr>
      <w:r>
        <w:rPr>
          <w:rFonts w:hint="default" w:ascii="Times New Roman" w:hAnsi="Times New Roman" w:eastAsia="方正仿宋_GBK" w:cs="Times New Roman"/>
          <w:kern w:val="34"/>
          <w:sz w:val="33"/>
          <w:szCs w:val="33"/>
        </w:rPr>
        <w:t>202</w:t>
      </w:r>
      <w:r>
        <w:rPr>
          <w:rFonts w:hint="default" w:ascii="Times New Roman" w:hAnsi="Times New Roman" w:eastAsia="方正仿宋_GBK" w:cs="Times New Roman"/>
          <w:kern w:val="34"/>
          <w:sz w:val="33"/>
          <w:szCs w:val="33"/>
          <w:lang w:val="en-US" w:eastAsia="zh-CN"/>
        </w:rPr>
        <w:t>1</w:t>
      </w:r>
      <w:r>
        <w:rPr>
          <w:rFonts w:hint="default" w:ascii="Times New Roman" w:hAnsi="Times New Roman" w:eastAsia="方正仿宋_GBK" w:cs="Times New Roman"/>
          <w:kern w:val="34"/>
          <w:sz w:val="33"/>
          <w:szCs w:val="33"/>
        </w:rPr>
        <w:t>年，区委</w:t>
      </w:r>
      <w:r>
        <w:rPr>
          <w:rFonts w:hint="default" w:ascii="Times New Roman" w:hAnsi="Times New Roman" w:eastAsia="方正仿宋_GBK" w:cs="Times New Roman"/>
          <w:kern w:val="34"/>
          <w:sz w:val="33"/>
          <w:szCs w:val="33"/>
          <w:lang w:eastAsia="zh-CN"/>
        </w:rPr>
        <w:t>组织部</w:t>
      </w:r>
      <w:r>
        <w:rPr>
          <w:rFonts w:hint="default" w:ascii="Times New Roman" w:hAnsi="Times New Roman" w:eastAsia="方正仿宋_GBK" w:cs="Times New Roman"/>
          <w:kern w:val="34"/>
          <w:sz w:val="33"/>
          <w:szCs w:val="33"/>
        </w:rPr>
        <w:t>较好地完成了绩效评价工作。</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jc w:val="both"/>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（二）存在问题</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jc w:val="both"/>
        <w:textAlignment w:val="auto"/>
        <w:outlineLvl w:val="9"/>
        <w:rPr>
          <w:rFonts w:hint="default" w:ascii="Times New Roman" w:hAnsi="Times New Roman" w:eastAsia="方正仿宋_GBK" w:cs="Times New Roman"/>
          <w:kern w:val="34"/>
          <w:sz w:val="33"/>
          <w:szCs w:val="33"/>
        </w:rPr>
      </w:pPr>
      <w:r>
        <w:rPr>
          <w:rFonts w:hint="default" w:ascii="Times New Roman" w:hAnsi="Times New Roman" w:eastAsia="方正仿宋_GBK" w:cs="Times New Roman"/>
          <w:kern w:val="34"/>
          <w:sz w:val="33"/>
          <w:szCs w:val="33"/>
        </w:rPr>
        <w:t>自主预算绩效监控意识不够，未及时对各项目经费进行预算绩效监控。</w:t>
      </w:r>
    </w:p>
    <w:p>
      <w:pPr>
        <w:keepNext w:val="0"/>
        <w:keepLines w:val="0"/>
        <w:pageBreakBefore w:val="0"/>
        <w:widowControl w:val="0"/>
        <w:kinsoku/>
        <w:wordWrap/>
        <w:overflowPunct/>
        <w:topLinePunct w:val="0"/>
        <w:autoSpaceDE/>
        <w:autoSpaceDN/>
        <w:bidi w:val="0"/>
        <w:adjustRightInd/>
        <w:snapToGrid/>
        <w:spacing w:line="240" w:lineRule="auto"/>
        <w:ind w:firstLine="663" w:firstLineChars="200"/>
        <w:contextualSpacing/>
        <w:jc w:val="both"/>
        <w:textAlignment w:val="auto"/>
        <w:outlineLvl w:val="9"/>
        <w:rPr>
          <w:rFonts w:hint="default" w:ascii="Times New Roman" w:hAnsi="Times New Roman" w:eastAsia="方正楷体_GBK" w:cs="Times New Roman"/>
          <w:b/>
          <w:bCs/>
          <w:color w:val="000000"/>
          <w:kern w:val="34"/>
          <w:sz w:val="33"/>
          <w:szCs w:val="33"/>
          <w:shd w:val="clear" w:color="auto" w:fill="FFFFFF"/>
          <w:lang w:val="zh-CN"/>
        </w:rPr>
      </w:pPr>
      <w:r>
        <w:rPr>
          <w:rFonts w:hint="default" w:ascii="Times New Roman" w:hAnsi="Times New Roman" w:eastAsia="方正楷体_GBK" w:cs="Times New Roman"/>
          <w:b/>
          <w:bCs/>
          <w:color w:val="000000"/>
          <w:kern w:val="34"/>
          <w:sz w:val="33"/>
          <w:szCs w:val="33"/>
          <w:shd w:val="clear" w:color="auto" w:fill="FFFFFF"/>
          <w:lang w:val="zh-CN"/>
        </w:rPr>
        <w:t>（三）改进建议</w:t>
      </w:r>
    </w:p>
    <w:p>
      <w:pPr>
        <w:keepNext w:val="0"/>
        <w:keepLines w:val="0"/>
        <w:pageBreakBefore w:val="0"/>
        <w:widowControl w:val="0"/>
        <w:kinsoku/>
        <w:wordWrap/>
        <w:overflowPunct/>
        <w:topLinePunct w:val="0"/>
        <w:autoSpaceDE/>
        <w:autoSpaceDN/>
        <w:bidi w:val="0"/>
        <w:adjustRightInd/>
        <w:snapToGrid/>
        <w:spacing w:line="240" w:lineRule="auto"/>
        <w:ind w:firstLine="660" w:firstLineChars="200"/>
        <w:contextualSpacing/>
        <w:jc w:val="both"/>
        <w:textAlignment w:val="auto"/>
        <w:outlineLvl w:val="9"/>
        <w:rPr>
          <w:rFonts w:hint="default" w:ascii="Times New Roman" w:hAnsi="Times New Roman" w:eastAsia="方正仿宋_GBK" w:cs="Times New Roman"/>
          <w:kern w:val="34"/>
          <w:sz w:val="33"/>
          <w:szCs w:val="33"/>
        </w:rPr>
      </w:pPr>
      <w:r>
        <w:rPr>
          <w:rFonts w:hint="default" w:ascii="Times New Roman" w:hAnsi="Times New Roman" w:eastAsia="方正仿宋_GBK" w:cs="Times New Roman"/>
          <w:kern w:val="34"/>
          <w:sz w:val="33"/>
          <w:szCs w:val="33"/>
        </w:rPr>
        <w:t>加强对财务工作人员的培训，进一步提高预算管理意识，及时做好各项目资金的预算绩效监控工作，即要确保各项工作顺利的开展，又要做好厉行节约，力争把成本降低。</w:t>
      </w:r>
    </w:p>
    <w:bookmarkEnd w:id="53"/>
    <w:tbl>
      <w:tblPr>
        <w:tblStyle w:val="16"/>
        <w:tblpPr w:leftFromText="180" w:rightFromText="180" w:vertAnchor="text" w:horzAnchor="page" w:tblpX="812" w:tblpY="660"/>
        <w:tblOverlap w:val="never"/>
        <w:tblW w:w="11118" w:type="dxa"/>
        <w:tblInd w:w="0" w:type="dxa"/>
        <w:tblLayout w:type="fixed"/>
        <w:tblCellMar>
          <w:top w:w="0" w:type="dxa"/>
          <w:left w:w="108" w:type="dxa"/>
          <w:bottom w:w="0" w:type="dxa"/>
          <w:right w:w="108" w:type="dxa"/>
        </w:tblCellMar>
      </w:tblPr>
      <w:tblGrid>
        <w:gridCol w:w="2101"/>
        <w:gridCol w:w="920"/>
        <w:gridCol w:w="2"/>
        <w:gridCol w:w="1738"/>
        <w:gridCol w:w="3"/>
        <w:gridCol w:w="1919"/>
        <w:gridCol w:w="1672"/>
        <w:gridCol w:w="810"/>
        <w:gridCol w:w="1702"/>
        <w:gridCol w:w="251"/>
      </w:tblGrid>
      <w:tr>
        <w:tblPrEx>
          <w:tblLayout w:type="fixed"/>
          <w:tblCellMar>
            <w:top w:w="0" w:type="dxa"/>
            <w:left w:w="108" w:type="dxa"/>
            <w:bottom w:w="0" w:type="dxa"/>
            <w:right w:w="108" w:type="dxa"/>
          </w:tblCellMar>
        </w:tblPrEx>
        <w:trPr>
          <w:trHeight w:val="584" w:hRule="atLeast"/>
        </w:trPr>
        <w:tc>
          <w:tcPr>
            <w:tcW w:w="10867" w:type="dxa"/>
            <w:gridSpan w:val="9"/>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autoSpaceDE/>
              <w:autoSpaceDN/>
              <w:bidi w:val="0"/>
              <w:adjustRightInd/>
              <w:snapToGrid/>
              <w:spacing w:beforeLines="0" w:line="0" w:lineRule="atLeast"/>
              <w:jc w:val="center"/>
              <w:textAlignment w:val="auto"/>
              <w:outlineLvl w:val="9"/>
              <w:rPr>
                <w:rFonts w:hint="default" w:ascii="Times New Roman" w:hAnsi="Times New Roman" w:eastAsia="方正小标宋_GBK" w:cs="Times New Roman"/>
                <w:b/>
                <w:color w:val="000000"/>
                <w:sz w:val="38"/>
                <w:szCs w:val="38"/>
                <w:u w:val="none"/>
                <w:lang w:val="en-US" w:eastAsia="zh-CN" w:bidi="ar"/>
              </w:rPr>
            </w:pPr>
            <w:r>
              <w:rPr>
                <w:rFonts w:hint="default" w:ascii="Times New Roman" w:hAnsi="Times New Roman" w:eastAsia="方正小标宋_GBK" w:cs="Times New Roman"/>
                <w:b/>
                <w:color w:val="000000"/>
                <w:sz w:val="38"/>
                <w:szCs w:val="38"/>
                <w:u w:val="none"/>
                <w:lang w:val="en-US" w:eastAsia="zh-CN" w:bidi="ar"/>
              </w:rPr>
              <w:t>2021年部门预算项目绩效目标自评</w:t>
            </w:r>
          </w:p>
        </w:tc>
        <w:tc>
          <w:tcPr>
            <w:tcW w:w="251" w:type="dxa"/>
            <w:tcBorders>
              <w:top w:val="nil"/>
              <w:left w:val="nil"/>
              <w:bottom w:val="nil"/>
              <w:right w:val="nil"/>
            </w:tcBorders>
            <w:shd w:val="clear" w:color="auto" w:fill="auto"/>
            <w:vAlign w:val="center"/>
          </w:tcPr>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c>
      </w:tr>
      <w:tr>
        <w:tblPrEx>
          <w:tblLayout w:type="fixed"/>
          <w:tblCellMar>
            <w:top w:w="0" w:type="dxa"/>
            <w:left w:w="108" w:type="dxa"/>
            <w:bottom w:w="0" w:type="dxa"/>
            <w:right w:w="108" w:type="dxa"/>
          </w:tblCellMar>
        </w:tblPrEx>
        <w:trPr>
          <w:gridAfter w:val="1"/>
          <w:wAfter w:w="251" w:type="dxa"/>
          <w:trHeight w:val="705" w:hRule="atLeast"/>
        </w:trPr>
        <w:tc>
          <w:tcPr>
            <w:tcW w:w="30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主管部门及代码</w:t>
            </w:r>
          </w:p>
        </w:tc>
        <w:tc>
          <w:tcPr>
            <w:tcW w:w="36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中国共产党攀枝花市西区委员会组织部（106001）</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实施单位</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sz w:val="24"/>
                <w:lang w:val="en-US" w:eastAsia="zh-CN"/>
              </w:rPr>
              <w:t>中国共产党攀枝花市西区委员会组织部</w:t>
            </w:r>
          </w:p>
        </w:tc>
      </w:tr>
      <w:tr>
        <w:tblPrEx>
          <w:tblLayout w:type="fixed"/>
          <w:tblCellMar>
            <w:top w:w="0" w:type="dxa"/>
            <w:left w:w="108" w:type="dxa"/>
            <w:bottom w:w="0" w:type="dxa"/>
            <w:right w:w="108" w:type="dxa"/>
          </w:tblCellMar>
        </w:tblPrEx>
        <w:trPr>
          <w:gridAfter w:val="1"/>
          <w:wAfter w:w="251" w:type="dxa"/>
          <w:trHeight w:val="519" w:hRule="atLeast"/>
        </w:trPr>
        <w:tc>
          <w:tcPr>
            <w:tcW w:w="30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项目预算</w:t>
            </w:r>
            <w:r>
              <w:rPr>
                <w:rFonts w:hint="default" w:ascii="Times New Roman" w:hAnsi="Times New Roman" w:eastAsia="方正仿宋_GBK" w:cs="Times New Roman"/>
                <w:kern w:val="0"/>
                <w:sz w:val="24"/>
              </w:rPr>
              <w:br w:type="textWrapping"/>
            </w:r>
            <w:r>
              <w:rPr>
                <w:rFonts w:hint="default" w:ascii="Times New Roman" w:hAnsi="Times New Roman" w:eastAsia="方正仿宋_GBK" w:cs="Times New Roman"/>
                <w:kern w:val="0"/>
                <w:sz w:val="24"/>
              </w:rPr>
              <w:t>执行情况</w:t>
            </w:r>
            <w:r>
              <w:rPr>
                <w:rFonts w:hint="default" w:ascii="Times New Roman" w:hAnsi="Times New Roman" w:eastAsia="方正仿宋_GBK" w:cs="Times New Roman"/>
                <w:kern w:val="0"/>
                <w:sz w:val="24"/>
              </w:rPr>
              <w:br w:type="textWrapping"/>
            </w:r>
            <w:r>
              <w:rPr>
                <w:rFonts w:hint="default" w:ascii="Times New Roman" w:hAnsi="Times New Roman" w:eastAsia="方正仿宋_GBK" w:cs="Times New Roman"/>
                <w:kern w:val="0"/>
                <w:sz w:val="24"/>
              </w:rPr>
              <w:t>（万元）</w:t>
            </w: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预算数：</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508.65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执行数：</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516.82</w:t>
            </w:r>
          </w:p>
        </w:tc>
      </w:tr>
      <w:tr>
        <w:tblPrEx>
          <w:tblLayout w:type="fixed"/>
          <w:tblCellMar>
            <w:top w:w="0" w:type="dxa"/>
            <w:left w:w="108" w:type="dxa"/>
            <w:bottom w:w="0" w:type="dxa"/>
            <w:right w:w="108" w:type="dxa"/>
          </w:tblCellMar>
        </w:tblPrEx>
        <w:trPr>
          <w:gridAfter w:val="1"/>
          <w:wAfter w:w="251" w:type="dxa"/>
          <w:trHeight w:val="663" w:hRule="atLeast"/>
        </w:trPr>
        <w:tc>
          <w:tcPr>
            <w:tcW w:w="30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sz w:val="24"/>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其中：</w:t>
            </w:r>
          </w:p>
          <w:p>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财政拨款</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508.65</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其中：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财政拨款</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516.82</w:t>
            </w:r>
          </w:p>
        </w:tc>
      </w:tr>
      <w:tr>
        <w:tblPrEx>
          <w:tblLayout w:type="fixed"/>
          <w:tblCellMar>
            <w:top w:w="0" w:type="dxa"/>
            <w:left w:w="108" w:type="dxa"/>
            <w:bottom w:w="0" w:type="dxa"/>
            <w:right w:w="108" w:type="dxa"/>
          </w:tblCellMar>
        </w:tblPrEx>
        <w:trPr>
          <w:gridAfter w:val="1"/>
          <w:wAfter w:w="251" w:type="dxa"/>
          <w:trHeight w:val="389" w:hRule="atLeast"/>
        </w:trPr>
        <w:tc>
          <w:tcPr>
            <w:tcW w:w="30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sz w:val="24"/>
              </w:rPr>
            </w:pPr>
          </w:p>
        </w:tc>
        <w:tc>
          <w:tcPr>
            <w:tcW w:w="1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其他资金</w:t>
            </w:r>
          </w:p>
        </w:tc>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rPr>
            </w:pP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其他资金</w:t>
            </w:r>
          </w:p>
        </w:tc>
        <w:tc>
          <w:tcPr>
            <w:tcW w:w="2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p>
        </w:tc>
      </w:tr>
      <w:tr>
        <w:tblPrEx>
          <w:tblLayout w:type="fixed"/>
          <w:tblCellMar>
            <w:top w:w="0" w:type="dxa"/>
            <w:left w:w="108" w:type="dxa"/>
            <w:bottom w:w="0" w:type="dxa"/>
            <w:right w:w="108" w:type="dxa"/>
          </w:tblCellMar>
        </w:tblPrEx>
        <w:trPr>
          <w:gridAfter w:val="1"/>
          <w:wAfter w:w="251" w:type="dxa"/>
          <w:trHeight w:val="389" w:hRule="atLeast"/>
        </w:trPr>
        <w:tc>
          <w:tcPr>
            <w:tcW w:w="2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年度总体目标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完成情况</w:t>
            </w: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预期目标</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目标实际完成情况</w:t>
            </w:r>
          </w:p>
        </w:tc>
      </w:tr>
      <w:tr>
        <w:tblPrEx>
          <w:tblLayout w:type="fixed"/>
          <w:tblCellMar>
            <w:top w:w="0" w:type="dxa"/>
            <w:left w:w="108" w:type="dxa"/>
            <w:bottom w:w="0" w:type="dxa"/>
            <w:right w:w="108" w:type="dxa"/>
          </w:tblCellMar>
        </w:tblPrEx>
        <w:trPr>
          <w:gridAfter w:val="1"/>
          <w:wAfter w:w="251" w:type="dxa"/>
          <w:trHeight w:val="1295" w:hRule="atLeast"/>
        </w:trPr>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方正仿宋_GBK" w:cs="Times New Roman"/>
                <w:sz w:val="24"/>
              </w:rPr>
            </w:pPr>
          </w:p>
        </w:tc>
        <w:tc>
          <w:tcPr>
            <w:tcW w:w="4582" w:type="dxa"/>
            <w:gridSpan w:val="5"/>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80" w:lineRule="exact"/>
              <w:jc w:val="left"/>
              <w:textAlignment w:val="top"/>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1"/>
                <w:szCs w:val="21"/>
              </w:rPr>
              <w:t>基层党组织战斗堡垒作用得到充分发挥,干部队伍建设更加制度化、科学化、规范化,各类型人才基本实现“引得来、用得好、留得住”，资金使用明确、规范、高效，行政事业单位运行顺利高效。</w:t>
            </w:r>
          </w:p>
        </w:tc>
        <w:tc>
          <w:tcPr>
            <w:tcW w:w="4184" w:type="dxa"/>
            <w:gridSpan w:val="3"/>
            <w:tcBorders>
              <w:top w:val="single" w:color="000000" w:sz="4" w:space="0"/>
              <w:left w:val="single" w:color="000000" w:sz="4" w:space="0"/>
              <w:bottom w:val="single" w:color="000000" w:sz="4" w:space="0"/>
              <w:right w:val="single" w:color="000000"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320" w:lineRule="exact"/>
              <w:jc w:val="left"/>
              <w:textAlignment w:val="top"/>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sz w:val="22"/>
                <w:szCs w:val="22"/>
              </w:rPr>
              <w:t>已按相关要求全部完成</w:t>
            </w:r>
          </w:p>
        </w:tc>
      </w:tr>
      <w:tr>
        <w:tblPrEx>
          <w:tblLayout w:type="fixed"/>
          <w:tblCellMar>
            <w:top w:w="0" w:type="dxa"/>
            <w:left w:w="108" w:type="dxa"/>
            <w:bottom w:w="0" w:type="dxa"/>
            <w:right w:w="108" w:type="dxa"/>
          </w:tblCellMar>
        </w:tblPrEx>
        <w:trPr>
          <w:gridAfter w:val="1"/>
          <w:wAfter w:w="251" w:type="dxa"/>
          <w:trHeight w:val="713" w:hRule="atLeast"/>
        </w:trPr>
        <w:tc>
          <w:tcPr>
            <w:tcW w:w="2101"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920"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center"/>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Layout w:type="fixed"/>
          <w:tblCellMar>
            <w:top w:w="0" w:type="dxa"/>
            <w:left w:w="108" w:type="dxa"/>
            <w:bottom w:w="0" w:type="dxa"/>
            <w:right w:w="108" w:type="dxa"/>
          </w:tblCellMar>
        </w:tblPrEx>
        <w:trPr>
          <w:gridAfter w:val="1"/>
          <w:wAfter w:w="251" w:type="dxa"/>
          <w:trHeight w:val="541" w:hRule="atLeast"/>
        </w:trPr>
        <w:tc>
          <w:tcPr>
            <w:tcW w:w="21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7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数量指标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保障组织部人员的各项工资福利待遇等</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保障组织部全体行政、事业、退休人员各项工资福利待遇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lang w:eastAsia="zh-CN"/>
              </w:rPr>
            </w:pPr>
            <w:r>
              <w:rPr>
                <w:rStyle w:val="32"/>
                <w:rFonts w:hint="default" w:ascii="Times New Roman" w:hAnsi="Times New Roman" w:eastAsia="方正仿宋_GBK" w:cs="Times New Roman"/>
                <w:sz w:val="22"/>
                <w:szCs w:val="22"/>
                <w:lang w:val="en-US" w:eastAsia="zh-CN" w:bidi="ar"/>
              </w:rPr>
              <w:t>全部完成</w:t>
            </w:r>
          </w:p>
        </w:tc>
      </w:tr>
      <w:tr>
        <w:tblPrEx>
          <w:tblLayout w:type="fixed"/>
          <w:tblCellMar>
            <w:top w:w="0" w:type="dxa"/>
            <w:left w:w="108" w:type="dxa"/>
            <w:bottom w:w="0" w:type="dxa"/>
            <w:right w:w="108" w:type="dxa"/>
          </w:tblCellMar>
        </w:tblPrEx>
        <w:trPr>
          <w:gridAfter w:val="1"/>
          <w:wAfter w:w="251" w:type="dxa"/>
          <w:trHeight w:val="541" w:hRule="atLeast"/>
        </w:trPr>
        <w:tc>
          <w:tcPr>
            <w:tcW w:w="2101" w:type="dxa"/>
            <w:vMerge w:val="continue"/>
            <w:tcBorders>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c>
        <w:tc>
          <w:tcPr>
            <w:tcW w:w="920" w:type="dxa"/>
            <w:vMerge w:val="continue"/>
            <w:tcBorders>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c>
        <w:tc>
          <w:tcPr>
            <w:tcW w:w="1740" w:type="dxa"/>
            <w:gridSpan w:val="2"/>
            <w:vMerge w:val="continue"/>
            <w:tcBorders>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保障组织事务各项工作平稳运行</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组织部各项工作顺利推进</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全部完成</w:t>
            </w:r>
          </w:p>
        </w:tc>
      </w:tr>
      <w:tr>
        <w:tblPrEx>
          <w:tblLayout w:type="fixed"/>
          <w:tblCellMar>
            <w:top w:w="0" w:type="dxa"/>
            <w:left w:w="108" w:type="dxa"/>
            <w:bottom w:w="0" w:type="dxa"/>
            <w:right w:w="108" w:type="dxa"/>
          </w:tblCellMar>
        </w:tblPrEx>
        <w:trPr>
          <w:gridAfter w:val="1"/>
          <w:wAfter w:w="251" w:type="dxa"/>
          <w:trHeight w:val="541" w:hRule="atLeast"/>
        </w:trPr>
        <w:tc>
          <w:tcPr>
            <w:tcW w:w="21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17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质量指标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组织部人员的各项工资福利待遇等不滞后</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按照相关规定发放各项工资福利待遇等</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全部完成</w:t>
            </w:r>
          </w:p>
        </w:tc>
      </w:tr>
      <w:tr>
        <w:tblPrEx>
          <w:tblLayout w:type="fixed"/>
          <w:tblCellMar>
            <w:top w:w="0" w:type="dxa"/>
            <w:left w:w="108" w:type="dxa"/>
            <w:bottom w:w="0" w:type="dxa"/>
            <w:right w:w="108" w:type="dxa"/>
          </w:tblCellMar>
        </w:tblPrEx>
        <w:trPr>
          <w:gridAfter w:val="1"/>
          <w:wAfter w:w="251" w:type="dxa"/>
          <w:trHeight w:val="541" w:hRule="atLeast"/>
        </w:trPr>
        <w:tc>
          <w:tcPr>
            <w:tcW w:w="2101" w:type="dxa"/>
            <w:vMerge w:val="continue"/>
            <w:tcBorders>
              <w:left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c>
        <w:tc>
          <w:tcPr>
            <w:tcW w:w="920" w:type="dxa"/>
            <w:vMerge w:val="continue"/>
            <w:tcBorders>
              <w:left w:val="single" w:color="000000" w:sz="4" w:space="0"/>
              <w:bottom w:val="single" w:color="000000" w:sz="4" w:space="0"/>
              <w:right w:val="single" w:color="000000" w:sz="4" w:space="0"/>
            </w:tcBorders>
            <w:shd w:val="clear" w:color="auto" w:fill="auto"/>
            <w:vAlign w:val="bottom"/>
          </w:tcPr>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c>
        <w:tc>
          <w:tcPr>
            <w:tcW w:w="1740" w:type="dxa"/>
            <w:gridSpan w:val="2"/>
            <w:vMerge w:val="continue"/>
            <w:tcBorders>
              <w:left w:val="single" w:color="000000" w:sz="4" w:space="0"/>
              <w:bottom w:val="single" w:color="000000" w:sz="4" w:space="0"/>
              <w:right w:val="single" w:color="000000" w:sz="4" w:space="0"/>
            </w:tcBorders>
            <w:shd w:val="clear" w:color="auto" w:fill="auto"/>
            <w:vAlign w:val="center"/>
          </w:tcPr>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党建、干部、人才、老干部等工作有序推进</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有序推进党建、干部、人才、老干部等工作</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全部完成</w:t>
            </w:r>
          </w:p>
        </w:tc>
      </w:tr>
      <w:tr>
        <w:tblPrEx>
          <w:tblLayout w:type="fixed"/>
          <w:tblCellMar>
            <w:top w:w="0" w:type="dxa"/>
            <w:left w:w="108" w:type="dxa"/>
            <w:bottom w:w="0" w:type="dxa"/>
            <w:right w:w="108" w:type="dxa"/>
          </w:tblCellMar>
        </w:tblPrEx>
        <w:trPr>
          <w:gridAfter w:val="1"/>
          <w:wAfter w:w="251" w:type="dxa"/>
          <w:trHeight w:val="1180" w:hRule="atLeast"/>
        </w:trPr>
        <w:tc>
          <w:tcPr>
            <w:tcW w:w="21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17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宋体" w:cs="Times New Roman"/>
                <w:lang w:eastAsia="zh-CN"/>
              </w:rPr>
            </w:pPr>
            <w:r>
              <w:rPr>
                <w:rFonts w:hint="default" w:ascii="Times New Roman" w:hAnsi="Times New Roman" w:eastAsia="仿宋_GB2312" w:cs="Times New Roman"/>
                <w:kern w:val="0"/>
                <w:sz w:val="28"/>
                <w:szCs w:val="28"/>
              </w:rPr>
              <w:t>时效指标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按月发放组织部人员各项工资福利待遇</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全年每月按月发放组织部人员各项工资福利待遇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全年</w:t>
            </w:r>
          </w:p>
        </w:tc>
      </w:tr>
      <w:tr>
        <w:tblPrEx>
          <w:tblLayout w:type="fixed"/>
          <w:tblCellMar>
            <w:top w:w="0" w:type="dxa"/>
            <w:left w:w="108" w:type="dxa"/>
            <w:bottom w:w="0" w:type="dxa"/>
            <w:right w:w="108" w:type="dxa"/>
          </w:tblCellMar>
        </w:tblPrEx>
        <w:trPr>
          <w:gridAfter w:val="1"/>
          <w:wAfter w:w="251" w:type="dxa"/>
          <w:trHeight w:val="302" w:hRule="atLeast"/>
        </w:trPr>
        <w:tc>
          <w:tcPr>
            <w:tcW w:w="21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cs="Times New Roman"/>
              </w:rPr>
            </w:pPr>
          </w:p>
        </w:tc>
        <w:tc>
          <w:tcPr>
            <w:tcW w:w="92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cs="Times New Roman"/>
              </w:rPr>
            </w:pPr>
          </w:p>
        </w:tc>
        <w:tc>
          <w:tcPr>
            <w:tcW w:w="174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宋体" w:cs="Times New Roman"/>
                <w:lang w:eastAsia="zh-CN"/>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根据工作需要及相关政策要求，顺利推进党建、干部、人才、老干部等工作</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适时推进党建、干部、人才、老干部等工作</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全年</w:t>
            </w:r>
          </w:p>
        </w:tc>
      </w:tr>
      <w:tr>
        <w:tblPrEx>
          <w:tblLayout w:type="fixed"/>
          <w:tblCellMar>
            <w:top w:w="0" w:type="dxa"/>
            <w:left w:w="108" w:type="dxa"/>
            <w:bottom w:w="0" w:type="dxa"/>
            <w:right w:w="108" w:type="dxa"/>
          </w:tblCellMar>
        </w:tblPrEx>
        <w:trPr>
          <w:gridAfter w:val="1"/>
          <w:wAfter w:w="251" w:type="dxa"/>
          <w:trHeight w:val="730" w:hRule="atLeast"/>
        </w:trPr>
        <w:tc>
          <w:tcPr>
            <w:tcW w:w="21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17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成本指标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各项工资福利待遇等基本支出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281.34</w:t>
            </w:r>
            <w:r>
              <w:rPr>
                <w:rStyle w:val="32"/>
                <w:rFonts w:hint="default" w:ascii="Times New Roman" w:hAnsi="Times New Roman" w:eastAsia="方正仿宋_GBK" w:cs="Times New Roman"/>
                <w:sz w:val="22"/>
                <w:szCs w:val="22"/>
                <w:lang w:val="en-US" w:eastAsia="zh-CN" w:bidi="ar"/>
              </w:rPr>
              <w:t>万元</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289.53</w:t>
            </w:r>
            <w:r>
              <w:rPr>
                <w:rStyle w:val="32"/>
                <w:rFonts w:hint="default" w:ascii="Times New Roman" w:hAnsi="Times New Roman" w:eastAsia="方正仿宋_GBK" w:cs="Times New Roman"/>
                <w:sz w:val="22"/>
                <w:szCs w:val="22"/>
                <w:lang w:val="en-US" w:eastAsia="zh-CN" w:bidi="ar"/>
              </w:rPr>
              <w:t>万元</w:t>
            </w:r>
          </w:p>
        </w:tc>
      </w:tr>
      <w:tr>
        <w:tblPrEx>
          <w:tblLayout w:type="fixed"/>
          <w:tblCellMar>
            <w:top w:w="0" w:type="dxa"/>
            <w:left w:w="108" w:type="dxa"/>
            <w:bottom w:w="0" w:type="dxa"/>
            <w:right w:w="108" w:type="dxa"/>
          </w:tblCellMar>
        </w:tblPrEx>
        <w:trPr>
          <w:gridAfter w:val="1"/>
          <w:wAfter w:w="251" w:type="dxa"/>
          <w:trHeight w:val="302" w:hRule="atLeast"/>
        </w:trPr>
        <w:tc>
          <w:tcPr>
            <w:tcW w:w="21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cs="Times New Roman"/>
              </w:rPr>
            </w:pPr>
          </w:p>
        </w:tc>
        <w:tc>
          <w:tcPr>
            <w:tcW w:w="92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cs="Times New Roman"/>
              </w:rPr>
            </w:pPr>
          </w:p>
        </w:tc>
        <w:tc>
          <w:tcPr>
            <w:tcW w:w="174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cs="Times New Roman"/>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组织建设和党员教育、干部队伍建设、老干部队伍建设和大组工网运行等项目支出</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227.29</w:t>
            </w:r>
            <w:r>
              <w:rPr>
                <w:rStyle w:val="32"/>
                <w:rFonts w:hint="default" w:ascii="Times New Roman" w:hAnsi="Times New Roman" w:eastAsia="方正仿宋_GBK" w:cs="Times New Roman"/>
                <w:sz w:val="22"/>
                <w:szCs w:val="22"/>
                <w:lang w:val="en-US" w:eastAsia="zh-CN" w:bidi="ar"/>
              </w:rPr>
              <w:t>万元</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227.29</w:t>
            </w:r>
            <w:r>
              <w:rPr>
                <w:rStyle w:val="32"/>
                <w:rFonts w:hint="default" w:ascii="Times New Roman" w:hAnsi="Times New Roman" w:eastAsia="方正仿宋_GBK" w:cs="Times New Roman"/>
                <w:sz w:val="22"/>
                <w:szCs w:val="22"/>
                <w:lang w:val="en-US" w:eastAsia="zh-CN" w:bidi="ar"/>
              </w:rPr>
              <w:t>万元</w:t>
            </w:r>
          </w:p>
        </w:tc>
      </w:tr>
      <w:tr>
        <w:tblPrEx>
          <w:tblLayout w:type="fixed"/>
          <w:tblCellMar>
            <w:top w:w="0" w:type="dxa"/>
            <w:left w:w="108" w:type="dxa"/>
            <w:bottom w:w="0" w:type="dxa"/>
            <w:right w:w="108" w:type="dxa"/>
          </w:tblCellMar>
        </w:tblPrEx>
        <w:trPr>
          <w:gridAfter w:val="1"/>
          <w:wAfter w:w="251" w:type="dxa"/>
          <w:trHeight w:val="895" w:hRule="atLeast"/>
        </w:trPr>
        <w:tc>
          <w:tcPr>
            <w:tcW w:w="21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7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社会效益  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相关人员各项工资福利待遇得到有效保障</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保障相关人员各项工资福利待遇</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全部完成</w:t>
            </w:r>
          </w:p>
        </w:tc>
      </w:tr>
      <w:tr>
        <w:tblPrEx>
          <w:tblLayout w:type="fixed"/>
          <w:tblCellMar>
            <w:top w:w="0" w:type="dxa"/>
            <w:left w:w="108" w:type="dxa"/>
            <w:bottom w:w="0" w:type="dxa"/>
            <w:right w:w="108" w:type="dxa"/>
          </w:tblCellMar>
        </w:tblPrEx>
        <w:trPr>
          <w:gridAfter w:val="1"/>
          <w:wAfter w:w="251" w:type="dxa"/>
          <w:trHeight w:val="753" w:hRule="atLeast"/>
        </w:trPr>
        <w:tc>
          <w:tcPr>
            <w:tcW w:w="2101"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92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174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组织作用得到进一步发挥</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组织作用得到进一步发挥</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Style w:val="32"/>
                <w:rFonts w:hint="default" w:ascii="Times New Roman" w:hAnsi="Times New Roman" w:eastAsia="方正仿宋_GBK" w:cs="Times New Roman"/>
                <w:sz w:val="22"/>
                <w:szCs w:val="22"/>
                <w:lang w:val="en-US" w:eastAsia="zh-CN" w:bidi="ar"/>
              </w:rPr>
              <w:t>全部完成</w:t>
            </w:r>
          </w:p>
        </w:tc>
      </w:tr>
      <w:tr>
        <w:tblPrEx>
          <w:tblLayout w:type="fixed"/>
          <w:tblCellMar>
            <w:top w:w="0" w:type="dxa"/>
            <w:left w:w="108" w:type="dxa"/>
            <w:bottom w:w="0" w:type="dxa"/>
            <w:right w:w="108" w:type="dxa"/>
          </w:tblCellMar>
        </w:tblPrEx>
        <w:trPr>
          <w:gridAfter w:val="1"/>
          <w:wAfter w:w="251" w:type="dxa"/>
          <w:trHeight w:val="825" w:hRule="atLeast"/>
        </w:trPr>
        <w:tc>
          <w:tcPr>
            <w:tcW w:w="21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outlineLvl w:val="9"/>
              <w:rPr>
                <w:rFonts w:hint="default" w:ascii="Times New Roman" w:hAnsi="Times New Roman" w:eastAsia="仿宋_GB2312" w:cs="Times New Roman"/>
                <w:sz w:val="28"/>
                <w:szCs w:val="28"/>
              </w:rPr>
            </w:pPr>
          </w:p>
        </w:tc>
        <w:tc>
          <w:tcPr>
            <w:tcW w:w="92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满意度指标</w:t>
            </w:r>
          </w:p>
        </w:tc>
        <w:tc>
          <w:tcPr>
            <w:tcW w:w="1740"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满意度指标</w:t>
            </w: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群众满意度抽样调查</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抽样调查满意度达到基本满意及以上</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抽样调查满意度为满意及以上</w:t>
            </w:r>
          </w:p>
        </w:tc>
      </w:tr>
      <w:tr>
        <w:tblPrEx>
          <w:tblLayout w:type="fixed"/>
          <w:tblCellMar>
            <w:top w:w="0" w:type="dxa"/>
            <w:left w:w="108" w:type="dxa"/>
            <w:bottom w:w="0" w:type="dxa"/>
            <w:right w:w="108" w:type="dxa"/>
          </w:tblCellMar>
        </w:tblPrEx>
        <w:trPr>
          <w:gridAfter w:val="1"/>
          <w:wAfter w:w="251" w:type="dxa"/>
          <w:trHeight w:val="485" w:hRule="atLeast"/>
        </w:trPr>
        <w:tc>
          <w:tcPr>
            <w:tcW w:w="2101"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cs="Times New Roman"/>
              </w:rPr>
            </w:pPr>
          </w:p>
        </w:tc>
        <w:tc>
          <w:tcPr>
            <w:tcW w:w="920" w:type="dxa"/>
            <w:vMerge w:val="continue"/>
            <w:tcBorders>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cs="Times New Roman"/>
              </w:rPr>
            </w:pPr>
          </w:p>
        </w:tc>
        <w:tc>
          <w:tcPr>
            <w:tcW w:w="1740"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bottom"/>
              <w:outlineLvl w:val="9"/>
              <w:rPr>
                <w:rFonts w:hint="default" w:ascii="Times New Roman" w:hAnsi="Times New Roman" w:cs="Times New Roman"/>
              </w:rPr>
            </w:pPr>
          </w:p>
        </w:tc>
        <w:tc>
          <w:tcPr>
            <w:tcW w:w="1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服务对象满意度抽样调查</w:t>
            </w:r>
          </w:p>
        </w:tc>
        <w:tc>
          <w:tcPr>
            <w:tcW w:w="24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抽样调查满意度达到基本满意及以上</w:t>
            </w:r>
          </w:p>
        </w:tc>
        <w:tc>
          <w:tcPr>
            <w:tcW w:w="1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outlineLvl w:val="9"/>
              <w:rPr>
                <w:rFonts w:hint="default" w:ascii="Times New Roman" w:hAnsi="Times New Roman" w:eastAsia="方正仿宋_GBK" w:cs="Times New Roman"/>
                <w:sz w:val="22"/>
                <w:szCs w:val="22"/>
              </w:rPr>
            </w:pPr>
            <w:r>
              <w:rPr>
                <w:rFonts w:hint="default" w:ascii="Times New Roman" w:hAnsi="Times New Roman" w:eastAsia="方正仿宋_GBK" w:cs="Times New Roman"/>
                <w:i w:val="0"/>
                <w:color w:val="000000"/>
                <w:kern w:val="0"/>
                <w:sz w:val="22"/>
                <w:szCs w:val="22"/>
                <w:u w:val="none"/>
                <w:lang w:val="en-US" w:eastAsia="zh-CN" w:bidi="ar"/>
              </w:rPr>
              <w:t>抽样调查满意度为满意及以上</w:t>
            </w:r>
          </w:p>
        </w:tc>
      </w:tr>
    </w:tbl>
    <w:tbl>
      <w:tblPr>
        <w:tblStyle w:val="16"/>
        <w:tblW w:w="10346" w:type="dxa"/>
        <w:tblInd w:w="-4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640"/>
        <w:gridCol w:w="1081"/>
        <w:gridCol w:w="1443"/>
        <w:gridCol w:w="2216"/>
        <w:gridCol w:w="2558"/>
        <w:gridCol w:w="811"/>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10346"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346"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7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党员教育培训经费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7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7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41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4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26.23</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4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4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26.23</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41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64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16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top"/>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照《2019—2023年全国党员教育培训工作规划》要求，进一步健全党员教育培训体系，聚焦基本任务，围绕中心工作，体现不同领域和群体党员特点，有针对性地安排教育培训内容，把党性教育和理想信念教育贯穿始终。</w:t>
            </w:r>
          </w:p>
        </w:tc>
        <w:tc>
          <w:tcPr>
            <w:tcW w:w="64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照《2019—2023年全国党员教育培训工作规划》要求，进一步健全党员教育培训体系，聚焦基本任务，围绕中心工作，体现不同领域和群体党员特点，有针对性地安排教育培训内容，把党性教育和理想信念教育贯穿始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绩</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效</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指</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目</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完</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成</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村（社区）党员教育培训</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全区村（社区）党员8002人全覆盖培训</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全区村（社区）党员8094人全覆盖培训</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村（社区）远教站点运行维护和工作人员绩效</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全区43条远教站点专线运行维护和26个村（社区）站点远教活动开展</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全区43条远教站点专线运行维护和26个村（社区）站点远教活动开展</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庆祝中国共产党建党100周年系列活动</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西区9696名党员全覆盖参与相关活动</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西区9623名党员全覆盖参与相关活动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党员教育培训能力、水平得到提高</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规范化日常教育，形成教育、管理、监督、服务有机结合的党员队伍建设工作链条</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规范化日常教育，形成教育、管理、监督、服务有机结合的党员队伍建设工作链条</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适时开展党员教育培训相关工作</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成本指标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党员教育培训经费</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30万元</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26.23万元</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87%</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效益指标</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社会效益指标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保障党员教育培训需求</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保障村（社区）党员教育培训需求</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保障村（社区）党员教育培训需求</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提高远教站点运行规范</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激发各站点管理（操作）员的工作积极性、创造性，促进站点工作的制度化、规范化、科学化建设</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激发各站点管理（操作）员的工作积极性、创造性，促进站点工作的制度化、规范化、科学化建设</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提升党组织凝聚力</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不断增强广大党员的光荣感、使命感、责任感。通过“帮困”“助老”“奖优”三方面激励关怀帮扶，提升党组织凝聚力，发挥党员先锋模范作用</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不断增强广大党员的光荣感、使命感、责任感。通过“帮困”“助老”“奖优”三方面激励关怀帮扶，提升党组织凝聚力，发挥党员先锋模范作用</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提高党员教育质量</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通过依托互联网平台，打破时间空间的阻隔，实现资源的及时传递，提升党员教育质量</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通过依托互联网平台，打破时间空间的阻隔，实现资源的及时传递，提升党员教育质量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满意度指标</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服务对象满意率</w:t>
            </w: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抽样调查满意度达到基本满意以上</w:t>
            </w:r>
          </w:p>
        </w:tc>
        <w:tc>
          <w:tcPr>
            <w:tcW w:w="2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抽样调查满意度达到基本满意以上</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bl>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bl>
      <w:tblPr>
        <w:tblStyle w:val="16"/>
        <w:tblW w:w="10074"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6"/>
        <w:gridCol w:w="776"/>
        <w:gridCol w:w="724"/>
        <w:gridCol w:w="2049"/>
        <w:gridCol w:w="1800"/>
        <w:gridCol w:w="1725"/>
        <w:gridCol w:w="1185"/>
        <w:gridCol w:w="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10074"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0074"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35"/>
                <w:rFonts w:hint="default" w:ascii="Times New Roman" w:hAnsi="Times New Roman" w:eastAsia="宋体" w:cs="Times New Roman"/>
                <w:sz w:val="18"/>
                <w:szCs w:val="18"/>
                <w:lang w:val="en-US" w:eastAsia="zh-CN" w:bidi="ar"/>
              </w:rPr>
              <w:t>2021</w:t>
            </w:r>
            <w:r>
              <w:rPr>
                <w:rFonts w:hint="default" w:ascii="Times New Roman" w:hAnsi="Times New Roman" w:eastAsia="宋体" w:cs="Times New Roman"/>
                <w:i w:val="0"/>
                <w:color w:val="000000"/>
                <w:kern w:val="0"/>
                <w:sz w:val="18"/>
                <w:szCs w:val="18"/>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7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基层组织建设工作经费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7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75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0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18.52</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5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18.52</w:t>
            </w: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0" w:hRule="atLeast"/>
        </w:trPr>
        <w:tc>
          <w:tcPr>
            <w:tcW w:w="250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55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1"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54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top"/>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深入贯彻落实党的十九届四中全会和省委十一届八次全会、市委十届九次全会、区委十届八次全会精神，贯彻落实好新时代党的组织路线，不断把党建设得更加坚强有力，围绕西区基层组织建设工作，开展四大党建项目建设、完成村（社区）党组织换届工作。</w:t>
            </w:r>
          </w:p>
        </w:tc>
        <w:tc>
          <w:tcPr>
            <w:tcW w:w="551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top"/>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深入贯彻落实党的十九届四中全会和省委十一届八次全会、市委十届九次全会、区委十届八次全会精神，贯彻落实好新时代党的组织路线，不断把党建设得更加坚强有力，围绕西区基层组织建设工作，开展四大党建项目建设、完成村（社区）党组织换届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绩效</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指标</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目</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完</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成</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26个村（社区）党组织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26个村（社区）党组织</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71"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完成基层党组织全覆盖培训，召开全区组织工作、基层党建等会议4次。持续推进321个基层党支部标准化规范化建设。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完成基层党组织全覆盖培训，召开全区组织工作、基层党建等会议4次。持续推进319个基层党支部标准化规范化建设。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圆满完成村（社区）党组织换届工作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着力选好书记、配强班子、凝聚共识、激发活力</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着力选好书记、配强班子、凝聚共识、激发活力</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基层组织建设</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圆满完成村（社区）党组织换届工作</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2021年1月底前</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2021年1月底前</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成本指标</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基层组织建设工作经费</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30万元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18.52万元</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62%</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部分资金未支付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效益指标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社会效益指标</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提高基层组织凝聚力、战斗力</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基层组织战斗堡垒作用发挥明显</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基层组织战斗堡垒作用发挥明显</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满意度指标</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10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基层组织满意度</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bl>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bl>
      <w:tblPr>
        <w:tblStyle w:val="16"/>
        <w:tblW w:w="9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2"/>
        <w:gridCol w:w="550"/>
        <w:gridCol w:w="1118"/>
        <w:gridCol w:w="1747"/>
        <w:gridCol w:w="2025"/>
        <w:gridCol w:w="1980"/>
        <w:gridCol w:w="705"/>
        <w:gridCol w:w="1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9611"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11"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Style w:val="36"/>
                <w:rFonts w:hint="default" w:ascii="Times New Roman" w:hAnsi="Times New Roman" w:cs="Times New Roman"/>
                <w:sz w:val="18"/>
                <w:szCs w:val="18"/>
                <w:lang w:val="en-US" w:eastAsia="zh-CN" w:bidi="ar"/>
              </w:rPr>
              <w:t>（</w:t>
            </w:r>
            <w:r>
              <w:rPr>
                <w:rStyle w:val="37"/>
                <w:rFonts w:hint="default" w:ascii="Times New Roman" w:hAnsi="Times New Roman" w:eastAsia="宋体" w:cs="Times New Roman"/>
                <w:sz w:val="18"/>
                <w:szCs w:val="18"/>
                <w:lang w:val="en-US" w:eastAsia="zh-CN" w:bidi="ar"/>
              </w:rPr>
              <w:t>2021</w:t>
            </w:r>
            <w:r>
              <w:rPr>
                <w:rStyle w:val="36"/>
                <w:rFonts w:hint="default" w:ascii="Times New Roman" w:hAnsi="Times New Roman" w:cs="Times New Roman"/>
                <w:sz w:val="18"/>
                <w:szCs w:val="18"/>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75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干部队伍建设经费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75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75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18.93</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18.93</w:t>
            </w: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8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4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58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96"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41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top"/>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认真践行和落实新时代党的组织路线要求，紧紧围绕全区“一二三四五”总体工作思路，通过开展拟任乡科级党政领导职务政治理论水平任职资格考试、公务员日常管理及年度考核、干部培养培训、干部选拔任用、干部数字化信息系统建设、人才培养和服务及走访慰问援藏援彝干部等相关工作，切实加强领导班子和干部人才队伍建设，不断提高全区干部整体素质，为全区高质量发展和高效能治理提供坚强的组织保障。</w:t>
            </w:r>
          </w:p>
        </w:tc>
        <w:tc>
          <w:tcPr>
            <w:tcW w:w="581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top"/>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认真践行和落实新时代党的组织路线要求，紧紧围绕全区“一二三四五”总体工作思路，通过开展拟任乡科级党政领导职务政治理论水平任职资格考试、公务员日常管理及年度考核、干部培养培训、干部选拔任用、干部数字化信息系统建设、人才培养和服务及走访慰问援藏援彝干部等相关工作，切实加强领导班子和干部人才队伍建设，不断提高全区干部整体素质，为全区高质量发展和高效能治理提供坚强的组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绩</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效</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指</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标</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目</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完</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成</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拟任乡科级党政领导职务政治理论水平任职资格考试，公务员日常管理及年度考核</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任职资格考试每年至少1次；全区700余名公务员（参公人员）日常管理，开展年度考核1次</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开展任职资格考试1次；对全区686名公务员（参公人员）日常管理，开展年度考核1次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5"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干部人才培养和关怀</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1.组织治蜀兴川递进培养、科级读书班、WX信息写作等各类型干部培训不少于10次，培训人数1500人次。2.新招录公务员、选调生等初任培训不少于1次</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开展培训10次，实现科级领导干部全覆盖。2.新招录公务员、选调生等初任培训2次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干部选拔任用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highlight w:val="none"/>
                <w:u w:val="none"/>
                <w:lang w:val="en-US" w:eastAsia="zh-CN" w:bidi="ar"/>
              </w:rPr>
              <w:t>1.2021年区镇换届考察、干部选拔任用考察、班子跟踪考察、赴外考察等不少于50次。2.新招录公务员、选调生等考察预计3次</w:t>
            </w:r>
          </w:p>
        </w:tc>
        <w:tc>
          <w:tcPr>
            <w:tcW w:w="19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1.2021年区镇换届考察、干部选拔任用考察、班子跟踪考察、赴外考察等75次。2.新招录公务员、选调生等考察7次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highlight w:val="none"/>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拟任乡科级党政领导职务政治理论水平任职资格考试，公务员日常管理及年度考核</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为加强党的政治建设，全面提升全区党政干部的政治理论水平，检验全区干部学习贯彻习近平新时代中国特色社会主义思想的效果</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为加强党的政治建设，全面提升全区党政干部的政治理论水平，检验全区干部学习贯彻习近平新时代中国特色社会主义思想的效果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干部培养培训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围绕推动西区高质量发展和高效能治理，全面提高干部队伍专业素养和领导能力</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围绕推动西区高质量发展和高效能治理，全面提高干部队伍专业素养和领导能力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干部选拔任用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围绕服务西区发展大局，选优配强领导班子提升整体功能</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围绕服务西区发展大局，选优配强领导班子提升整体功能</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干部数字化信息系统建设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围绕加强信息化建设，引进或维护好与省、市委组织部统一的数字化信息系统，进一步提升无纸化办公水平、提高办公效率</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围绕加强信息化建设，引进或维护好与省、市委组织部统一的数字化信息系统，进一步提升无纸化办公水平、提高办公效率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人才培养和服务及走访慰问援藏援彝干部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围绕大力推动人才队伍建设，加强对人才的培养、关心，引导人才干事创业</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围绕大力推动人才队伍建设，加强对人才的培养、关心，引导人才干事创业</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9"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干部队伍建设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4"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成本指标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干部队伍建设经费</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21.9万元</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18.93万元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86%%</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效益指标</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社会效益指标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拟任乡科级党政领导职务政治理论水平任职资格考试，公务员日常管理及年度考核</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了解和掌握应试者政治理论水平，促进其提升运用所掌握知识发现问题、分析问题和解决实际问题的能力</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了解和掌握应试者政治理论水平，促进其提升运用所掌握知识发现问题、分析问题和解决实际问题的能力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干部培养培训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干部队伍综合能力素质得到较大提高，更好为西区经济社会发展服务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干部队伍综合能力素质得到较大提高，更好为西区经济社会发展服务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干部选拔任用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领导班子整体功能作用发挥更加明显，为推动西区经济社会发展再上新台阶提供有力保障</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领导班子整体功能作用发挥更加明显，为推动西区经济社会发展再上新台阶提供有力保障</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干部数字化信息系统建设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节约成本，提升信息的综合利用率，为群众提供更加方便快捷的信息查询服务</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节约成本，提升信息的综合利用率，为群众提供更加方便快捷的信息查询服务</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人才培养和服务及走访慰问援藏援彝干部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形成更具吸引力和竞争力的人才氛围，更好地引进、留住各类人才为西区发展贡献力量</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形成更具吸引力和竞争力的人才氛围，更好地引进、留住各类人才为西区发展贡献力量</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满意度指标</w:t>
            </w: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拟任乡科级党政领导职务政治理论水平任职资格考试，公务员日常管理及年度考核</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干部培养培训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干部选拔任用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干部数字化信息系统建设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1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人才培养和服务及走访慰问援藏援彝干部</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bl>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bl>
      <w:tblPr>
        <w:tblStyle w:val="16"/>
        <w:tblW w:w="9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88"/>
        <w:gridCol w:w="557"/>
        <w:gridCol w:w="526"/>
        <w:gridCol w:w="2133"/>
        <w:gridCol w:w="2036"/>
        <w:gridCol w:w="2100"/>
        <w:gridCol w:w="840"/>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604"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04"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8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老干部队伍建设经费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8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81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147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2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top"/>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面加强离退休干部政治建设、思想建设和党组织建设，引导老同志持续发挥优势作用，增添正能量。认真落实好离退休干部的“政治待遇”和“生活待遇”，积极推动构建老干部工作与社会化服务保障体系相衔接的工作机制，更好地满足离退休干部养老服务需求。落实在职县级领导干部结对联系老干部制度，加大特殊困难老干部的帮扶力度，做好离休干部服务管理和走访慰问工作。</w:t>
            </w:r>
          </w:p>
        </w:tc>
        <w:tc>
          <w:tcPr>
            <w:tcW w:w="60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top"/>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面加强离退休干部政治建设、思想建设和党组织建设，引导老同志持续发挥优势作用，增添正能量。认真落实好离退休干部的“政治待遇”和“生活待遇”，积极推动构建老干部工作与社会化服务保障体系相衔接的工作机制，更好地满足离退休干部养老服务需求。落实在职县级领导干部结对联系老干部制度，加大特殊困难老干部的帮扶力度，做好离休干部服务管理和走访慰问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绩</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效</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指</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标</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目</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完</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成</w:t>
            </w: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老干部书报费、通讯费及特需费</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57人</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老干部开展重大活动及党支部活动经费</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每年组织老干部参观考察活动不少于2次，离退休党支部每年开展支部活动不少于4次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区委老干部局组织活动2次，离退休党支部开展活动23次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走访慰问老干部，困难老干部帮扶</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每年走访慰问老干部不少于4次，帮扶不少于1次</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走访慰问老干部4次,开展帮扶1次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强化政治引领</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加强理论学习和思想教育，引导老干部持续发挥作用，增添正能量</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加强理论学习和思想教育，引导老干部持续发挥作用，增添正能量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强化党建基础</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加强离退休干部党组织建设、阵地建设、制度建设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加强离退休干部党组织建设、阵地建设、制度建设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体现党委政府的关心关爱</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全面落实好离退休干部各项政策待遇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全面落实好离退休干部各项政策待遇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9"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引导离退休老干部做好关心下一代工作</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引导离退休党员在基层社会治理中发挥积极作用</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成本指标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老干部队伍建设经费</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12万元</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70"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效益指标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社会效益指标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老干部队伍团结和谐，助力两城建设和康养产业发展</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展现老干部风采，离退休干部在推动全市经济社会高质量发展和高效能治理上建言献策，协助基层党组织做好群众工作，维护和谐稳定大局。</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展现老干部风采，离退休干部在推动全市经济社会高质量发展和高效能治理上建言献策，协助基层党组织做好群众工作，维护和谐稳定大局。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可持续影响指标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离退休干部政治优势，经验优势，威望优势</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离退休干部经验丰富，有良好的群众基础和一定影响力，可发挥宣讲员、解说员、监督员和领头雁的作用。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离退休干部经验丰富，有良好的群众基础和一定影响力，可发挥宣讲员、解说员、监督员和领头雁的作用。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05" w:hRule="atLeast"/>
        </w:trPr>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满意度指标</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服务对象满意度抽查</w:t>
            </w:r>
          </w:p>
        </w:tc>
        <w:tc>
          <w:tcPr>
            <w:tcW w:w="2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抽样调查满意度达到基本满意及以上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bidi w:val="0"/>
              <w:adjustRightInd/>
              <w:snapToGrid/>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24"/>
                <w:szCs w:val="24"/>
                <w:u w:val="none"/>
                <w:lang w:val="en-US" w:eastAsia="zh-CN" w:bidi="ar"/>
              </w:rPr>
              <w:t>100%</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bl>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bl>
      <w:tblPr>
        <w:tblStyle w:val="16"/>
        <w:tblW w:w="9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6"/>
        <w:gridCol w:w="724"/>
        <w:gridCol w:w="772"/>
        <w:gridCol w:w="2289"/>
        <w:gridCol w:w="1741"/>
        <w:gridCol w:w="1785"/>
        <w:gridCol w:w="750"/>
        <w:gridCol w:w="1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611"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11"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7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2020年度西区干部人才健康体检经费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7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76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141.08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141.08</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141.08</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141.08</w:t>
            </w: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7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5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9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7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认真贯彻习近平总书记关于人才工作的系列重要论述精神，充分体现区委区政府对广大干部人才的关心爱护，结合落实市委组织部《关于进一步做好全市干部人才医疗保健工作的意见》 （攀组发[2015]11 号）和《关于开展2020年度干部人才健康体检工作的通知》（攀西人才办〔2020〕1号）和《攀枝花市西区激励关爱疫情防控一线干部担当作为五条措施》（攀西委组〔2020〕4号）文件精神，精神，进一步做好全区干部人才医疗保健工作。</w:t>
            </w:r>
          </w:p>
        </w:tc>
        <w:tc>
          <w:tcPr>
            <w:tcW w:w="5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已完成2020年符合符合一年一检和三年一检人员体检工作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效</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项目完成</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符合一年一检和三年一检人员</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1576人</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1576人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8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质量指标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进一步做好全区干部人才医疗保健工作</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进一步做好全区干部人才医疗保健工作</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进一步做好全区干部人才医疗保健工作</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时效指标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根据工作需要实施</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成本指标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干部人才健康体检经费标准：男性760 元/人，女性1020元/人</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141.08万元</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141.08万元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35"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项目效益</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社会效益</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加强干部人才保健工作的组织领导，建设高素质干部人才队伍</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加强干部人才保健工作的组织领导，建设高素质干部人才队伍</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加强干部人才保健工作的组织领导，建设高素质干部人才队伍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22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参与者满意度调查</w:t>
            </w:r>
          </w:p>
        </w:tc>
        <w:tc>
          <w:tcPr>
            <w:tcW w:w="1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抽样调查参与者基本满意达95%以上</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抽样调查参与者基本满意达95%以上</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bl>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bl>
      <w:tblPr>
        <w:tblStyle w:val="16"/>
        <w:tblW w:w="96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12"/>
        <w:gridCol w:w="735"/>
        <w:gridCol w:w="783"/>
        <w:gridCol w:w="2316"/>
        <w:gridCol w:w="1197"/>
        <w:gridCol w:w="974"/>
        <w:gridCol w:w="815"/>
        <w:gridCol w:w="22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610"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10"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2" w:type="dxa"/>
            <w:tcBorders>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735" w:type="dxa"/>
            <w:tcBorders>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7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231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19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9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8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227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7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公共文化服务体系建设专项资金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7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75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3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52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36"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提升三线建设干部学院公共文化服务水平</w:t>
            </w:r>
          </w:p>
        </w:tc>
        <w:tc>
          <w:tcPr>
            <w:tcW w:w="52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三线建设干部学院公共文化服务水平得到提升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效</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项目完成</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涉及项目</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1个</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1个</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质量指标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服务水平</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提升三线建设干部学院公共文化服务水平</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提升三线建设干部学院公共文化服务水平</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时效指标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根据工作需要，适时开展</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适时开展</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2021年全年</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成本指标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公共文化服务示范区体系创建工作经费</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1.8万元</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项目效益</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社会效益</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群众享受公共文化服务权益</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得到有效保障</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得到有效保障</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使用者满意度调查</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抽样调查使用者基本满意达95%以上</w:t>
            </w:r>
          </w:p>
        </w:tc>
        <w:tc>
          <w:tcPr>
            <w:tcW w:w="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抽样调查使用者基本满意达95%以上</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22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bl>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bl>
      <w:tblPr>
        <w:tblStyle w:val="16"/>
        <w:tblW w:w="96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6"/>
        <w:gridCol w:w="13"/>
        <w:gridCol w:w="699"/>
        <w:gridCol w:w="30"/>
        <w:gridCol w:w="729"/>
        <w:gridCol w:w="48"/>
        <w:gridCol w:w="2212"/>
        <w:gridCol w:w="96"/>
        <w:gridCol w:w="1746"/>
        <w:gridCol w:w="6"/>
        <w:gridCol w:w="1404"/>
        <w:gridCol w:w="308"/>
        <w:gridCol w:w="772"/>
        <w:gridCol w:w="81"/>
        <w:gridCol w:w="964"/>
        <w:gridCol w:w="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 w:type="dxa"/>
          <w:trHeight w:val="675" w:hRule="atLeast"/>
        </w:trPr>
        <w:tc>
          <w:tcPr>
            <w:tcW w:w="9604" w:type="dxa"/>
            <w:gridSpan w:val="15"/>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286" w:hRule="atLeast"/>
        </w:trPr>
        <w:tc>
          <w:tcPr>
            <w:tcW w:w="9604" w:type="dxa"/>
            <w:gridSpan w:val="15"/>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Style w:val="38"/>
                <w:rFonts w:hint="default" w:ascii="Times New Roman" w:hAnsi="Times New Roman" w:cs="Times New Roman"/>
                <w:sz w:val="18"/>
                <w:szCs w:val="18"/>
                <w:lang w:val="en-US" w:eastAsia="zh-CN" w:bidi="ar"/>
              </w:rPr>
              <w:t>（</w:t>
            </w:r>
            <w:r>
              <w:rPr>
                <w:rStyle w:val="39"/>
                <w:rFonts w:hint="default" w:ascii="Times New Roman" w:hAnsi="Times New Roman" w:eastAsia="宋体" w:cs="Times New Roman"/>
                <w:sz w:val="18"/>
                <w:szCs w:val="18"/>
                <w:lang w:val="en-US" w:eastAsia="zh-CN" w:bidi="ar"/>
              </w:rPr>
              <w:t>2021</w:t>
            </w:r>
            <w:r>
              <w:rPr>
                <w:rStyle w:val="38"/>
                <w:rFonts w:hint="default" w:ascii="Times New Roman" w:hAnsi="Times New Roman" w:cs="Times New Roman"/>
                <w:sz w:val="18"/>
                <w:szCs w:val="18"/>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1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76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国有企业退休人员社会化管理补助资金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1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76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19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763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19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1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w:t>
            </w:r>
          </w:p>
        </w:tc>
        <w:tc>
          <w:tcPr>
            <w:tcW w:w="1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1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1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107</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w:t>
            </w:r>
          </w:p>
        </w:tc>
        <w:tc>
          <w:tcPr>
            <w:tcW w:w="1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19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8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53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1361"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按照国有企业退休人员社会化管理工作要求，做好退休困难党员联系帮扶和走访慰问，加强基层组织建设，进一步加强城乡基层治理示范体系建设、党群服务中心亲民化改造，提升服务党员群众的能力和水平。</w:t>
            </w:r>
          </w:p>
        </w:tc>
        <w:tc>
          <w:tcPr>
            <w:tcW w:w="537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按照国有企业退休人员社会化管理工作要求，做好退休困难党员联系帮扶和走访慰问，加强基层组织建设，进一步加强城乡基层治理示范体系建设、党群服务中心亲民化改造，提升服务党员群众的能力和水平。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20"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效</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3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项</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目</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完</w:t>
            </w:r>
            <w:r>
              <w:rPr>
                <w:rFonts w:hint="default" w:ascii="Times New Roman" w:hAnsi="Times New Roman" w:eastAsia="宋体" w:cs="Times New Roman"/>
                <w:b/>
                <w:i w:val="0"/>
                <w:color w:val="000000"/>
                <w:kern w:val="0"/>
                <w:sz w:val="18"/>
                <w:szCs w:val="18"/>
                <w:u w:val="none"/>
                <w:lang w:val="en-US" w:eastAsia="zh-CN" w:bidi="ar"/>
              </w:rPr>
              <w:br w:type="textWrapping"/>
            </w:r>
            <w:r>
              <w:rPr>
                <w:rFonts w:hint="default" w:ascii="Times New Roman" w:hAnsi="Times New Roman" w:eastAsia="宋体" w:cs="Times New Roman"/>
                <w:b/>
                <w:i w:val="0"/>
                <w:color w:val="000000"/>
                <w:kern w:val="0"/>
                <w:sz w:val="18"/>
                <w:szCs w:val="18"/>
                <w:u w:val="none"/>
                <w:lang w:val="en-US" w:eastAsia="zh-CN" w:bidi="ar"/>
              </w:rPr>
              <w:t>成</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涉及镇（街道）</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1个镇、5个街道</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1个镇、5个街道</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109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城乡基层治理示范体系建设、党群服务中心亲民化改造</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用于各相关镇（街道）社区党群服务中心亲民化改造，提升社区服务水平。</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完成9个党群服务中心改造工作</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1561"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基层组织建设工作经费</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用于开展全区组织工作、基层党建等会议，基层党建工作专项调研，基层党组织全覆盖培训等</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完成基层党组织全覆盖培训，召开全区组织工作、基层党建等会议4次。持续推进319个基层党支部标准化规范化建设。</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0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退休困难党员联系帮扶和走访慰问</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做好全区退休困难党员联系帮扶和走访慰问</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做好全区退休困难党员联系帮扶和走访慰问</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47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根据工作需要，适时开展</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适时开展</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适时开展</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6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5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成本指标</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城乡基层治理示范体系建设、党群服务中心亲民化改造</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79万元</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已向区财政去函划拨镇（街道）</w:t>
            </w:r>
            <w:r>
              <w:rPr>
                <w:rFonts w:hint="default" w:ascii="Times New Roman" w:hAnsi="Times New Roman" w:eastAsia="宋体" w:cs="Times New Roman"/>
                <w:i w:val="0"/>
                <w:color w:val="000000"/>
                <w:kern w:val="0"/>
                <w:sz w:val="18"/>
                <w:szCs w:val="18"/>
                <w:u w:val="none"/>
                <w:lang w:val="en-US" w:eastAsia="zh-CN" w:bidi="ar"/>
              </w:rPr>
              <w:t>79万元</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2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基层组织建设工作经费</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18万元</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18万元</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根据工作开展情况，适时对资金进行拨付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72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75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b/>
                <w:i w:val="0"/>
                <w:color w:val="000000"/>
                <w:sz w:val="18"/>
                <w:szCs w:val="18"/>
                <w:u w:val="none"/>
              </w:rPr>
            </w:pP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退休困难党员联系帮扶和走访慰问</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10万元</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10万元</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根据工作开展情况，适时对资金进行拨付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675"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效益指标</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社会效益指标</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提高基层组织凝聚力、战斗力</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基层组织战斗堡垒作用发挥明显</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基层组织战斗堡垒作用发挥明显</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 w:type="dxa"/>
          <w:trHeight w:val="840"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满意度指标</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2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使用者满意度调查</w:t>
            </w:r>
          </w:p>
        </w:tc>
        <w:tc>
          <w:tcPr>
            <w:tcW w:w="18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抽样调查使用者基本满意达95%以上</w:t>
            </w:r>
          </w:p>
        </w:tc>
        <w:tc>
          <w:tcPr>
            <w:tcW w:w="1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抽样调查使用者基本满意达95%以上</w:t>
            </w:r>
          </w:p>
        </w:tc>
        <w:tc>
          <w:tcPr>
            <w:tcW w:w="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trPr>
        <w:tc>
          <w:tcPr>
            <w:tcW w:w="9605" w:type="dxa"/>
            <w:gridSpan w:val="16"/>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05" w:type="dxa"/>
            <w:gridSpan w:val="16"/>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09" w:type="dxa"/>
            <w:gridSpan w:val="2"/>
            <w:tcBorders>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729" w:type="dxa"/>
            <w:gridSpan w:val="2"/>
            <w:tcBorders>
              <w:bottom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77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230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74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41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08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046"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7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两新第一书记试点经费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7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7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1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3.14</w:t>
            </w: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3.14</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3.14</w:t>
            </w: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01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8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52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91" w:hRule="atLeast"/>
        </w:trPr>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8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切实解决非公企业和社会组织党组织活力不强的问题，不断推动“两新”组织党建工作提质增效。</w:t>
            </w:r>
          </w:p>
        </w:tc>
        <w:tc>
          <w:tcPr>
            <w:tcW w:w="52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切实解决非公企业和社会组织党组织活力不强的问题，不断推动“两新”组织党建工作提质增效。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0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效</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项目完成</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数量指标</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“两新”组织数量</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10个</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10个</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0" w:hRule="atLeast"/>
        </w:trPr>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质量指标</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“两新”党建</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推动“两新”组织党建提质增效</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推动“两新”组织党建提质增效</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5" w:hRule="atLeast"/>
        </w:trPr>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时效指标</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根据工作需要，适时开展</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适时开展</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2021年适时开展</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成本指标</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两新第一书记试点经费</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3.14万元</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3.14万元</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5" w:hRule="atLeast"/>
        </w:trPr>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项目效益</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社会效益指标</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“两新”党建</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提升“两新”组织党建水平</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提升“两新”组织党建水平</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50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服务对象满意度指标</w:t>
            </w:r>
          </w:p>
        </w:tc>
        <w:tc>
          <w:tcPr>
            <w:tcW w:w="23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使用者满意度调查</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抽样调查使用者基本满意达95%以上</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抽样调查使用者基本满意达95%以上</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0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bl>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tbl>
      <w:tblPr>
        <w:tblStyle w:val="16"/>
        <w:tblW w:w="960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4"/>
        <w:gridCol w:w="764"/>
        <w:gridCol w:w="825"/>
        <w:gridCol w:w="2404"/>
        <w:gridCol w:w="1428"/>
        <w:gridCol w:w="1442"/>
        <w:gridCol w:w="1018"/>
        <w:gridCol w:w="11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5" w:hRule="atLeast"/>
        </w:trPr>
        <w:tc>
          <w:tcPr>
            <w:tcW w:w="9604"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0" w:lineRule="atLeast"/>
              <w:jc w:val="center"/>
              <w:textAlignment w:val="center"/>
              <w:outlineLvl w:val="9"/>
              <w:rPr>
                <w:rFonts w:hint="default" w:ascii="Times New Roman" w:hAnsi="Times New Roman" w:eastAsia="宋体" w:cs="Times New Roman"/>
                <w:b/>
                <w:i w:val="0"/>
                <w:color w:val="000000"/>
                <w:sz w:val="18"/>
                <w:szCs w:val="18"/>
                <w:u w:val="none"/>
              </w:rPr>
            </w:pPr>
            <w:r>
              <w:rPr>
                <w:rFonts w:hint="default" w:ascii="Times New Roman" w:hAnsi="Times New Roman" w:eastAsia="方正小标宋_GBK" w:cs="Times New Roman"/>
                <w:b/>
                <w:i w:val="0"/>
                <w:color w:val="000000"/>
                <w:kern w:val="0"/>
                <w:sz w:val="38"/>
                <w:szCs w:val="38"/>
                <w:u w:val="none"/>
                <w:lang w:val="en-US" w:eastAsia="zh-CN" w:bidi="ar"/>
              </w:rPr>
              <w:t>项目（政策）资金绩效自评表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604"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Style w:val="40"/>
                <w:rFonts w:hint="default" w:ascii="Times New Roman" w:hAnsi="Times New Roman" w:cs="Times New Roman"/>
                <w:sz w:val="18"/>
                <w:szCs w:val="18"/>
                <w:lang w:val="en-US" w:eastAsia="zh-CN" w:bidi="ar"/>
              </w:rPr>
              <w:t>（</w:t>
            </w:r>
            <w:r>
              <w:rPr>
                <w:rFonts w:hint="default" w:ascii="Times New Roman" w:hAnsi="Times New Roman" w:eastAsia="宋体" w:cs="Times New Roman"/>
                <w:i w:val="0"/>
                <w:color w:val="000000"/>
                <w:kern w:val="0"/>
                <w:sz w:val="18"/>
                <w:szCs w:val="18"/>
                <w:u w:val="none"/>
                <w:lang w:val="en-US" w:eastAsia="zh-CN" w:bidi="ar"/>
              </w:rPr>
              <w:t>2021</w:t>
            </w:r>
            <w:r>
              <w:rPr>
                <w:rStyle w:val="40"/>
                <w:rFonts w:hint="default" w:ascii="Times New Roman" w:hAnsi="Times New Roman" w:cs="Times New Roman"/>
                <w:sz w:val="18"/>
                <w:szCs w:val="18"/>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专项（项目）名称</w:t>
            </w:r>
          </w:p>
        </w:tc>
        <w:tc>
          <w:tcPr>
            <w:tcW w:w="7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市委换届考察组入驻西区期间工作经费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项目主管单位</w:t>
            </w:r>
          </w:p>
        </w:tc>
        <w:tc>
          <w:tcPr>
            <w:tcW w:w="7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项目实施单位</w:t>
            </w:r>
          </w:p>
        </w:tc>
        <w:tc>
          <w:tcPr>
            <w:tcW w:w="74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中国共产党攀枝花市西区委员会组织部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项目资金</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（万元）</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全年预算数</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年度资金总额：</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19.89</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其中：上级财政资金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本级财政资金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19.89</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w:t>
            </w: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21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其他资金</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c>
          <w:tcPr>
            <w:tcW w:w="2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总</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体</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目</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3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年度设定目标</w:t>
            </w:r>
          </w:p>
        </w:tc>
        <w:tc>
          <w:tcPr>
            <w:tcW w:w="50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1"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3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本着厉行勤俭节约的原则，按照市级统一标准和要求，完成了协助考察、食宿安排、办公保障等各项工作</w:t>
            </w:r>
          </w:p>
        </w:tc>
        <w:tc>
          <w:tcPr>
            <w:tcW w:w="507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本着厉行勤俭节约的原则，按照市级统一标准和要求，完成了协助考察、食宿安排、办公保障等各项工作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绩</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效</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标</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一级</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二级指标</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三级指标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年度指标值</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实际完成数</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完成率（%）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未完成原因和改进措施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5"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项目完成</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数量指标</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市委换届考察组入驻西区</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1次</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1次</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质量指标</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保障考察工作顺利开展</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考察工作顺利开展</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考察工作顺利开展</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时效指标</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市委换届考察组入驻西区期间</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2021年7月</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2021年7月</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成本指标</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市委换届考察组入驻西区期间工作经费</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19.89万元</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5.8万元</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29%</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部分资金未支付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项目效益</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社会效益</w:t>
            </w:r>
            <w:r>
              <w:rPr>
                <w:rFonts w:hint="default" w:ascii="Times New Roman" w:hAnsi="Times New Roman" w:eastAsia="宋体" w:cs="Times New Roman"/>
                <w:i w:val="0"/>
                <w:color w:val="000000"/>
                <w:kern w:val="0"/>
                <w:sz w:val="18"/>
                <w:szCs w:val="18"/>
                <w:u w:val="none"/>
                <w:lang w:val="en-US" w:eastAsia="zh-CN" w:bidi="ar"/>
              </w:rPr>
              <w:br w:type="textWrapping"/>
            </w:r>
            <w:r>
              <w:rPr>
                <w:rFonts w:hint="default" w:ascii="Times New Roman" w:hAnsi="Times New Roman" w:eastAsia="宋体" w:cs="Times New Roman"/>
                <w:i w:val="0"/>
                <w:color w:val="000000"/>
                <w:kern w:val="0"/>
                <w:sz w:val="18"/>
                <w:szCs w:val="18"/>
                <w:u w:val="none"/>
                <w:lang w:val="en-US" w:eastAsia="zh-CN" w:bidi="ar"/>
              </w:rPr>
              <w:t>指标</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both"/>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保障考察工作顺利开展</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厉行节约，提升财政资金使用效益</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已完成</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5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outlineLvl w:val="9"/>
              <w:rPr>
                <w:rFonts w:hint="default" w:ascii="Times New Roman" w:hAnsi="Times New Roman" w:eastAsia="宋体" w:cs="Times New Roma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满意度指标</w:t>
            </w:r>
          </w:p>
        </w:tc>
        <w:tc>
          <w:tcPr>
            <w:tcW w:w="2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服务对象满意率</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基本满意</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left"/>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基本满意</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exact"/>
              <w:jc w:val="center"/>
              <w:textAlignment w:val="center"/>
              <w:outlineLvl w:val="9"/>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100%</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outlineLvl w:val="9"/>
              <w:rPr>
                <w:rFonts w:hint="default" w:ascii="Times New Roman" w:hAnsi="Times New Roman" w:eastAsia="宋体" w:cs="Times New Roman"/>
                <w:i w:val="0"/>
                <w:color w:val="000000"/>
                <w:sz w:val="18"/>
                <w:szCs w:val="18"/>
                <w:u w:val="none"/>
              </w:rPr>
            </w:pPr>
          </w:p>
        </w:tc>
      </w:tr>
    </w:tbl>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240" w:lineRule="auto"/>
        <w:jc w:val="center"/>
        <w:outlineLvl w:val="0"/>
        <w:rPr>
          <w:rStyle w:val="26"/>
          <w:rFonts w:hint="default" w:ascii="Times New Roman" w:hAnsi="Times New Roman" w:eastAsia="黑体" w:cs="Times New Roman"/>
          <w:b w:val="0"/>
        </w:rPr>
      </w:pPr>
      <w:bookmarkStart w:id="54" w:name="_Toc15396619"/>
      <w:r>
        <w:rPr>
          <w:rFonts w:hint="default" w:ascii="Times New Roman" w:hAnsi="Times New Roman" w:eastAsia="黑体" w:cs="Times New Roman"/>
          <w:sz w:val="44"/>
          <w:szCs w:val="44"/>
        </w:rPr>
        <w:t>第</w:t>
      </w:r>
      <w:r>
        <w:rPr>
          <w:rStyle w:val="26"/>
          <w:rFonts w:hint="default" w:ascii="Times New Roman" w:hAnsi="Times New Roman" w:eastAsia="黑体" w:cs="Times New Roman"/>
          <w:b w:val="0"/>
        </w:rPr>
        <w:t>五部分 附表</w:t>
      </w:r>
    </w:p>
    <w:p>
      <w:pPr>
        <w:pStyle w:val="2"/>
        <w:keepNext w:val="0"/>
        <w:keepLines w:val="0"/>
        <w:pageBreakBefore w:val="0"/>
        <w:widowControl w:val="0"/>
        <w:kinsoku/>
        <w:wordWrap/>
        <w:overflowPunct/>
        <w:topLinePunct w:val="0"/>
        <w:bidi w:val="0"/>
        <w:adjustRightInd/>
        <w:snapToGrid/>
        <w:rPr>
          <w:rFonts w:hint="default" w:ascii="Times New Roman" w:hAnsi="Times New Roman" w:cs="Times New Roman"/>
        </w:rPr>
      </w:pPr>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sz w:val="33"/>
          <w:szCs w:val="33"/>
        </w:rPr>
      </w:pPr>
      <w:r>
        <w:rPr>
          <w:rFonts w:hint="default" w:ascii="Times New Roman" w:hAnsi="Times New Roman" w:eastAsia="方正仿宋_GBK" w:cs="Times New Roman"/>
          <w:b w:val="0"/>
          <w:sz w:val="33"/>
          <w:szCs w:val="33"/>
        </w:rPr>
        <w:t>一、收</w:t>
      </w:r>
      <w:r>
        <w:rPr>
          <w:rStyle w:val="27"/>
          <w:rFonts w:hint="default" w:ascii="Times New Roman" w:hAnsi="Times New Roman" w:eastAsia="方正仿宋_GBK" w:cs="Times New Roman"/>
          <w:b w:val="0"/>
          <w:bCs w:val="0"/>
          <w:sz w:val="33"/>
          <w:szCs w:val="33"/>
        </w:rPr>
        <w:t>入支出决算总表</w:t>
      </w:r>
      <w:bookmarkEnd w:id="54"/>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55" w:name="_Toc15396620"/>
      <w:r>
        <w:rPr>
          <w:rFonts w:hint="default" w:ascii="Times New Roman" w:hAnsi="Times New Roman" w:eastAsia="方正仿宋_GBK" w:cs="Times New Roman"/>
          <w:b w:val="0"/>
          <w:sz w:val="33"/>
          <w:szCs w:val="33"/>
        </w:rPr>
        <w:t>二、收入决算表</w:t>
      </w:r>
      <w:bookmarkEnd w:id="55"/>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56" w:name="_Toc15396621"/>
      <w:r>
        <w:rPr>
          <w:rFonts w:hint="default" w:ascii="Times New Roman" w:hAnsi="Times New Roman" w:eastAsia="方正仿宋_GBK" w:cs="Times New Roman"/>
          <w:b w:val="0"/>
          <w:sz w:val="33"/>
          <w:szCs w:val="33"/>
        </w:rPr>
        <w:t>三、支出决算表</w:t>
      </w:r>
      <w:bookmarkEnd w:id="56"/>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57" w:name="_Toc15396622"/>
      <w:r>
        <w:rPr>
          <w:rFonts w:hint="default" w:ascii="Times New Roman" w:hAnsi="Times New Roman" w:eastAsia="方正仿宋_GBK" w:cs="Times New Roman"/>
          <w:b w:val="0"/>
          <w:sz w:val="33"/>
          <w:szCs w:val="33"/>
        </w:rPr>
        <w:t>四、财政拨款收入支出决算总表</w:t>
      </w:r>
      <w:bookmarkEnd w:id="57"/>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58" w:name="_Toc15396623"/>
      <w:r>
        <w:rPr>
          <w:rFonts w:hint="default" w:ascii="Times New Roman" w:hAnsi="Times New Roman" w:eastAsia="方正仿宋_GBK" w:cs="Times New Roman"/>
          <w:b w:val="0"/>
          <w:sz w:val="33"/>
          <w:szCs w:val="33"/>
        </w:rPr>
        <w:t>五、财政拨款支出决算明细表</w:t>
      </w:r>
      <w:bookmarkEnd w:id="58"/>
      <w:bookmarkStart w:id="59" w:name="_Toc15396624"/>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r>
        <w:rPr>
          <w:rFonts w:hint="default" w:ascii="Times New Roman" w:hAnsi="Times New Roman" w:eastAsia="方正仿宋_GBK" w:cs="Times New Roman"/>
          <w:b w:val="0"/>
          <w:sz w:val="33"/>
          <w:szCs w:val="33"/>
        </w:rPr>
        <w:t>六、一般公共预算财政拨款支出决算表</w:t>
      </w:r>
      <w:bookmarkEnd w:id="59"/>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60" w:name="_Toc15396625"/>
      <w:r>
        <w:rPr>
          <w:rFonts w:hint="default" w:ascii="Times New Roman" w:hAnsi="Times New Roman" w:eastAsia="方正仿宋_GBK" w:cs="Times New Roman"/>
          <w:b w:val="0"/>
          <w:sz w:val="33"/>
          <w:szCs w:val="33"/>
        </w:rPr>
        <w:t>七、一般公共预算财政拨款支出决算明细表</w:t>
      </w:r>
      <w:bookmarkEnd w:id="60"/>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61" w:name="_Toc15396626"/>
      <w:r>
        <w:rPr>
          <w:rFonts w:hint="default" w:ascii="Times New Roman" w:hAnsi="Times New Roman" w:eastAsia="方正仿宋_GBK" w:cs="Times New Roman"/>
          <w:b w:val="0"/>
          <w:sz w:val="33"/>
          <w:szCs w:val="33"/>
        </w:rPr>
        <w:t>八、一般公共预算财政拨款基本支出决算表</w:t>
      </w:r>
      <w:bookmarkEnd w:id="61"/>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62" w:name="_Toc15396627"/>
      <w:r>
        <w:rPr>
          <w:rFonts w:hint="default" w:ascii="Times New Roman" w:hAnsi="Times New Roman" w:eastAsia="方正仿宋_GBK" w:cs="Times New Roman"/>
          <w:b w:val="0"/>
          <w:sz w:val="33"/>
          <w:szCs w:val="33"/>
        </w:rPr>
        <w:t>九、一般公共预算财政拨款项目支出决算表</w:t>
      </w:r>
      <w:bookmarkEnd w:id="62"/>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63" w:name="_Toc15396628"/>
      <w:r>
        <w:rPr>
          <w:rFonts w:hint="default" w:ascii="Times New Roman" w:hAnsi="Times New Roman" w:eastAsia="方正仿宋_GBK" w:cs="Times New Roman"/>
          <w:b w:val="0"/>
          <w:sz w:val="33"/>
          <w:szCs w:val="33"/>
        </w:rPr>
        <w:t>十、一般公共预算财政拨款“三公”经费支出决算表</w:t>
      </w:r>
      <w:bookmarkEnd w:id="63"/>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64" w:name="_Toc15396629"/>
      <w:r>
        <w:rPr>
          <w:rFonts w:hint="default" w:ascii="Times New Roman" w:hAnsi="Times New Roman" w:eastAsia="方正仿宋_GBK" w:cs="Times New Roman"/>
          <w:b w:val="0"/>
          <w:sz w:val="33"/>
          <w:szCs w:val="33"/>
        </w:rPr>
        <w:t>十一、政府性基金预算财政拨款收入支出决算表</w:t>
      </w:r>
      <w:bookmarkEnd w:id="64"/>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65" w:name="_Toc15396630"/>
      <w:r>
        <w:rPr>
          <w:rFonts w:hint="default" w:ascii="Times New Roman" w:hAnsi="Times New Roman" w:eastAsia="方正仿宋_GBK" w:cs="Times New Roman"/>
          <w:b w:val="0"/>
          <w:sz w:val="33"/>
          <w:szCs w:val="33"/>
        </w:rPr>
        <w:t>十二、政府性基金预算财政拨款“三公”经费支出决算表</w:t>
      </w:r>
      <w:bookmarkEnd w:id="65"/>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bookmarkStart w:id="66" w:name="_Toc15396631"/>
      <w:r>
        <w:rPr>
          <w:rFonts w:hint="default" w:ascii="Times New Roman" w:hAnsi="Times New Roman" w:eastAsia="方正仿宋_GBK" w:cs="Times New Roman"/>
          <w:b w:val="0"/>
          <w:sz w:val="33"/>
          <w:szCs w:val="33"/>
        </w:rPr>
        <w:t>十三、国有资本经营预算财政拨款收入支出决算表</w:t>
      </w:r>
      <w:bookmarkEnd w:id="66"/>
    </w:p>
    <w:p>
      <w:pPr>
        <w:pStyle w:val="4"/>
        <w:keepNext w:val="0"/>
        <w:keepLines w:val="0"/>
        <w:pageBreakBefore w:val="0"/>
        <w:widowControl w:val="0"/>
        <w:kinsoku/>
        <w:wordWrap/>
        <w:overflowPunct/>
        <w:topLinePunct w:val="0"/>
        <w:autoSpaceDE/>
        <w:autoSpaceDN/>
        <w:bidi w:val="0"/>
        <w:adjustRightInd/>
        <w:snapToGrid/>
        <w:spacing w:before="0" w:after="0" w:line="520" w:lineRule="exact"/>
        <w:ind w:firstLine="660" w:firstLineChars="200"/>
        <w:textAlignment w:val="auto"/>
        <w:outlineLvl w:val="1"/>
        <w:rPr>
          <w:rFonts w:hint="default" w:ascii="Times New Roman" w:hAnsi="Times New Roman" w:eastAsia="方正仿宋_GBK" w:cs="Times New Roman"/>
          <w:b w:val="0"/>
          <w:sz w:val="33"/>
          <w:szCs w:val="33"/>
        </w:rPr>
      </w:pPr>
      <w:r>
        <w:rPr>
          <w:rFonts w:hint="default" w:ascii="Times New Roman" w:hAnsi="Times New Roman" w:eastAsia="方正仿宋_GBK" w:cs="Times New Roman"/>
          <w:b w:val="0"/>
          <w:sz w:val="33"/>
          <w:szCs w:val="33"/>
        </w:rPr>
        <w:t>十四、国有资本经营预算财政拨款支出决算表</w:t>
      </w:r>
    </w:p>
    <w:sectPr>
      <w:footerReference r:id="rId5" w:type="first"/>
      <w:headerReference r:id="rId3" w:type="default"/>
      <w:footerReference r:id="rId4" w:type="default"/>
      <w:pgSz w:w="11906" w:h="16838"/>
      <w:pgMar w:top="2098" w:right="1474" w:bottom="1984" w:left="1587" w:header="907" w:footer="1644" w:gutter="0"/>
      <w:pgNumType w:fmt="decimal" w:start="1"/>
      <w:cols w:space="0" w:num="1"/>
      <w:titlePg/>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8" o:spid="_x0000_s4098" o:spt="202" type="#_x0000_t202" style="position:absolute;left:0pt;margin-top:3pt;height:17.75pt;width:54.75pt;mso-position-horizontal:outside;mso-position-horizontal-relative:margin;z-index:251659264;mso-width-relative:page;mso-height-relative:page;" filled="f" stroked="f" coordsize="21600,21600">
          <v:path/>
          <v:fill on="f" focussize="0,0"/>
          <v:stroke on="f"/>
          <v:imagedata o:title=""/>
          <o:lock v:ext="edit" aspectratio="f"/>
          <v:textbox inset="0mm,0mm,0mm,0mm">
            <w:txbxContent>
              <w:sdt>
                <w:sdtPr>
                  <w:rPr>
                    <w:sz w:val="24"/>
                    <w:szCs w:val="24"/>
                  </w:rPr>
                  <w:id w:val="-1994781956"/>
                </w:sdtPr>
                <w:sdtEndPr>
                  <w:rPr>
                    <w:rFonts w:hint="eastAsia" w:asciiTheme="minorEastAsia" w:hAnsiTheme="minorEastAsia" w:eastAsiaTheme="minorEastAsia" w:cstheme="minorEastAsia"/>
                    <w:sz w:val="24"/>
                    <w:szCs w:val="24"/>
                  </w:rPr>
                </w:sdtEndPr>
                <w:sdtContent>
                  <w:p>
                    <w:pPr>
                      <w:pStyle w:val="9"/>
                      <w:jc w:val="cente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PAGE   \* MERGEFORMAT</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lang w:val="zh-CN"/>
                      </w:rPr>
                      <w:t>25</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p>
                </w:sdtContent>
              </w:sdt>
            </w:txbxContent>
          </v:textbox>
        </v:shape>
      </w:pic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1">
    <w:nsid w:val="271FBA4D"/>
    <w:multiLevelType w:val="singleLevel"/>
    <w:tmpl w:val="271FBA4D"/>
    <w:lvl w:ilvl="0" w:tentative="0">
      <w:start w:val="2"/>
      <w:numFmt w:val="chineseCounting"/>
      <w:suff w:val="space"/>
      <w:lvlText w:val="第%1部分"/>
      <w:lvlJc w:val="left"/>
      <w:pPr>
        <w:ind w:left="736"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0"/>
  <w:bordersDoNotSurroundFooter w:val="0"/>
  <w:documentProtection w:enforcement="0"/>
  <w:defaultTabStop w:val="420"/>
  <w:drawingGridHorizontalSpacing w:val="105"/>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lkYmE1YzlmMGI1ZTk3OTJmY2Q1MzM5OWFlZjc5ND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A7C2D"/>
    <w:rsid w:val="000B047F"/>
    <w:rsid w:val="000B5923"/>
    <w:rsid w:val="000B5A48"/>
    <w:rsid w:val="000B6FF3"/>
    <w:rsid w:val="000B78F5"/>
    <w:rsid w:val="000C3467"/>
    <w:rsid w:val="000C3CA6"/>
    <w:rsid w:val="000D1267"/>
    <w:rsid w:val="000D1D50"/>
    <w:rsid w:val="000D5782"/>
    <w:rsid w:val="000E6613"/>
    <w:rsid w:val="000E7119"/>
    <w:rsid w:val="00114E9B"/>
    <w:rsid w:val="00142216"/>
    <w:rsid w:val="00144D6A"/>
    <w:rsid w:val="0014729F"/>
    <w:rsid w:val="00157BAB"/>
    <w:rsid w:val="00161913"/>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4B5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3CF8"/>
    <w:rsid w:val="00487E5D"/>
    <w:rsid w:val="004A711F"/>
    <w:rsid w:val="004B199D"/>
    <w:rsid w:val="004B4690"/>
    <w:rsid w:val="004E0A2D"/>
    <w:rsid w:val="004E206B"/>
    <w:rsid w:val="004E6DF7"/>
    <w:rsid w:val="004F0FBD"/>
    <w:rsid w:val="00501E31"/>
    <w:rsid w:val="00505A47"/>
    <w:rsid w:val="005118B9"/>
    <w:rsid w:val="00512FDA"/>
    <w:rsid w:val="00520DA0"/>
    <w:rsid w:val="005664BB"/>
    <w:rsid w:val="00566FFA"/>
    <w:rsid w:val="0057481D"/>
    <w:rsid w:val="0058486E"/>
    <w:rsid w:val="00585B33"/>
    <w:rsid w:val="0059014D"/>
    <w:rsid w:val="005B0DB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27AC7"/>
    <w:rsid w:val="00630AEF"/>
    <w:rsid w:val="006325F8"/>
    <w:rsid w:val="00633463"/>
    <w:rsid w:val="00634C9A"/>
    <w:rsid w:val="006440E4"/>
    <w:rsid w:val="00657C67"/>
    <w:rsid w:val="0066343B"/>
    <w:rsid w:val="00664777"/>
    <w:rsid w:val="006748A4"/>
    <w:rsid w:val="00681A31"/>
    <w:rsid w:val="00683E73"/>
    <w:rsid w:val="006A3141"/>
    <w:rsid w:val="006A5E34"/>
    <w:rsid w:val="006B2422"/>
    <w:rsid w:val="006B2B9A"/>
    <w:rsid w:val="006C1937"/>
    <w:rsid w:val="006F020C"/>
    <w:rsid w:val="00700A5E"/>
    <w:rsid w:val="00704A49"/>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057D"/>
    <w:rsid w:val="007E23B0"/>
    <w:rsid w:val="007E23E5"/>
    <w:rsid w:val="007F0782"/>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225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492"/>
    <w:rsid w:val="0098660A"/>
    <w:rsid w:val="00992F0E"/>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A1F8F"/>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05ED"/>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911"/>
    <w:rsid w:val="00C87FD8"/>
    <w:rsid w:val="00C91381"/>
    <w:rsid w:val="00C91CBB"/>
    <w:rsid w:val="00CB4E70"/>
    <w:rsid w:val="00CC09B6"/>
    <w:rsid w:val="00CC666F"/>
    <w:rsid w:val="00CD1E3F"/>
    <w:rsid w:val="00CE44F6"/>
    <w:rsid w:val="00CE49DA"/>
    <w:rsid w:val="00CE7B61"/>
    <w:rsid w:val="00D00095"/>
    <w:rsid w:val="00D114F0"/>
    <w:rsid w:val="00D17E38"/>
    <w:rsid w:val="00D20620"/>
    <w:rsid w:val="00D254F7"/>
    <w:rsid w:val="00D26091"/>
    <w:rsid w:val="00D2685C"/>
    <w:rsid w:val="00D34E7C"/>
    <w:rsid w:val="00D35489"/>
    <w:rsid w:val="00D36AFE"/>
    <w:rsid w:val="00D51276"/>
    <w:rsid w:val="00D7035F"/>
    <w:rsid w:val="00D97824"/>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03A1"/>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47E4335"/>
    <w:rsid w:val="06E31716"/>
    <w:rsid w:val="0A2032A3"/>
    <w:rsid w:val="0B5677DF"/>
    <w:rsid w:val="0B8A37D8"/>
    <w:rsid w:val="0BE0446D"/>
    <w:rsid w:val="0DF5444A"/>
    <w:rsid w:val="0E8649FC"/>
    <w:rsid w:val="0EBD30BB"/>
    <w:rsid w:val="10C055FF"/>
    <w:rsid w:val="118107EC"/>
    <w:rsid w:val="11DD6519"/>
    <w:rsid w:val="15526FDB"/>
    <w:rsid w:val="16BB723D"/>
    <w:rsid w:val="16F46DA5"/>
    <w:rsid w:val="174869D1"/>
    <w:rsid w:val="18015F3F"/>
    <w:rsid w:val="1A6A284F"/>
    <w:rsid w:val="1B8C6454"/>
    <w:rsid w:val="1BE8440E"/>
    <w:rsid w:val="1CB710C0"/>
    <w:rsid w:val="1D155CEE"/>
    <w:rsid w:val="20395134"/>
    <w:rsid w:val="20F57F95"/>
    <w:rsid w:val="21102020"/>
    <w:rsid w:val="22642A0F"/>
    <w:rsid w:val="23AB3D0B"/>
    <w:rsid w:val="240371BF"/>
    <w:rsid w:val="25C741E6"/>
    <w:rsid w:val="26AC0E75"/>
    <w:rsid w:val="27842671"/>
    <w:rsid w:val="29D07FEA"/>
    <w:rsid w:val="29FD04D3"/>
    <w:rsid w:val="2ABE7A3E"/>
    <w:rsid w:val="2B073257"/>
    <w:rsid w:val="2EFA178C"/>
    <w:rsid w:val="30B46D73"/>
    <w:rsid w:val="319F7F4E"/>
    <w:rsid w:val="32B60362"/>
    <w:rsid w:val="39AE70AB"/>
    <w:rsid w:val="3C0C0783"/>
    <w:rsid w:val="3C3D6F54"/>
    <w:rsid w:val="3CE65D2B"/>
    <w:rsid w:val="3F3854B6"/>
    <w:rsid w:val="3F9F3A96"/>
    <w:rsid w:val="47A95F9F"/>
    <w:rsid w:val="493C27E9"/>
    <w:rsid w:val="496F39ED"/>
    <w:rsid w:val="49FF41D3"/>
    <w:rsid w:val="4A600236"/>
    <w:rsid w:val="4B5515A0"/>
    <w:rsid w:val="4BE068DB"/>
    <w:rsid w:val="4BF6002B"/>
    <w:rsid w:val="4ECE2238"/>
    <w:rsid w:val="509C774A"/>
    <w:rsid w:val="51582750"/>
    <w:rsid w:val="51DB4B86"/>
    <w:rsid w:val="52FF7EAD"/>
    <w:rsid w:val="55333C3E"/>
    <w:rsid w:val="55D33052"/>
    <w:rsid w:val="5B0C2C72"/>
    <w:rsid w:val="5CF716AA"/>
    <w:rsid w:val="5F0972A9"/>
    <w:rsid w:val="61381BEB"/>
    <w:rsid w:val="64CA39A1"/>
    <w:rsid w:val="653566BB"/>
    <w:rsid w:val="656E6CBD"/>
    <w:rsid w:val="6722754E"/>
    <w:rsid w:val="67D85452"/>
    <w:rsid w:val="6C4A05C8"/>
    <w:rsid w:val="6C6E58C1"/>
    <w:rsid w:val="6D3241A1"/>
    <w:rsid w:val="725539A7"/>
    <w:rsid w:val="72734D90"/>
    <w:rsid w:val="73EE7DB6"/>
    <w:rsid w:val="74357F8F"/>
    <w:rsid w:val="757A7215"/>
    <w:rsid w:val="76FC1502"/>
    <w:rsid w:val="77B94C0A"/>
    <w:rsid w:val="79CC43F6"/>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420" w:leftChars="200"/>
    </w:pPr>
    <w:rPr>
      <w:rFonts w:ascii="Times New Roman" w:hAnsi="Times New Roman" w:eastAsia="宋体"/>
    </w:rPr>
  </w:style>
  <w:style w:type="paragraph" w:styleId="7">
    <w:name w:val="Plain Text"/>
    <w:basedOn w:val="1"/>
    <w:qFormat/>
    <w:uiPriority w:val="0"/>
    <w:rPr>
      <w:rFonts w:ascii="宋体" w:hAnsi="Courier New"/>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link w:val="4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paragraph" w:customStyle="1" w:styleId="17">
    <w:name w:val="样式5"/>
    <w:basedOn w:val="6"/>
    <w:qFormat/>
    <w:uiPriority w:val="0"/>
    <w:pPr>
      <w:ind w:left="420" w:leftChars="200"/>
    </w:pPr>
    <w:rPr>
      <w:rFonts w:ascii="Times New Roman" w:hAnsi="Times New Roman"/>
    </w:rPr>
  </w:style>
  <w:style w:type="character" w:customStyle="1" w:styleId="18">
    <w:name w:val="Header Char"/>
    <w:basedOn w:val="13"/>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3"/>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3"/>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3"/>
    <w:link w:val="3"/>
    <w:qFormat/>
    <w:uiPriority w:val="9"/>
    <w:rPr>
      <w:rFonts w:ascii="Times New Roman" w:hAnsi="Times New Roman"/>
      <w:b/>
      <w:bCs/>
      <w:kern w:val="44"/>
      <w:sz w:val="44"/>
      <w:szCs w:val="44"/>
    </w:rPr>
  </w:style>
  <w:style w:type="character" w:customStyle="1" w:styleId="27">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9">
    <w:name w:val="批注框文本 Char"/>
    <w:basedOn w:val="13"/>
    <w:link w:val="8"/>
    <w:semiHidden/>
    <w:qFormat/>
    <w:uiPriority w:val="99"/>
    <w:rPr>
      <w:rFonts w:ascii="Times New Roman" w:hAnsi="Times New Roman"/>
      <w:kern w:val="2"/>
      <w:sz w:val="18"/>
      <w:szCs w:val="18"/>
    </w:rPr>
  </w:style>
  <w:style w:type="character" w:customStyle="1" w:styleId="30">
    <w:name w:val="标题 3 Char"/>
    <w:basedOn w:val="13"/>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2">
    <w:name w:val="font01"/>
    <w:basedOn w:val="13"/>
    <w:qFormat/>
    <w:uiPriority w:val="0"/>
    <w:rPr>
      <w:rFonts w:hint="eastAsia" w:ascii="宋体" w:hAnsi="宋体" w:eastAsia="宋体" w:cs="宋体"/>
      <w:color w:val="000000"/>
      <w:sz w:val="24"/>
      <w:szCs w:val="24"/>
      <w:u w:val="none"/>
    </w:rPr>
  </w:style>
  <w:style w:type="character" w:customStyle="1" w:styleId="33">
    <w:name w:val="fontstyle61"/>
    <w:qFormat/>
    <w:uiPriority w:val="0"/>
    <w:rPr>
      <w:rFonts w:hint="eastAsia" w:ascii="楷体_GB2312" w:eastAsia="楷体_GB2312"/>
      <w:color w:val="000000"/>
      <w:sz w:val="32"/>
      <w:szCs w:val="32"/>
    </w:rPr>
  </w:style>
  <w:style w:type="character" w:customStyle="1" w:styleId="34">
    <w:name w:val="font61"/>
    <w:basedOn w:val="13"/>
    <w:qFormat/>
    <w:uiPriority w:val="0"/>
    <w:rPr>
      <w:rFonts w:hint="eastAsia" w:ascii="宋体" w:hAnsi="宋体" w:eastAsia="宋体" w:cs="宋体"/>
      <w:color w:val="000000"/>
      <w:sz w:val="24"/>
      <w:szCs w:val="24"/>
      <w:u w:val="none"/>
    </w:rPr>
  </w:style>
  <w:style w:type="character" w:customStyle="1" w:styleId="35">
    <w:name w:val="font51"/>
    <w:basedOn w:val="13"/>
    <w:qFormat/>
    <w:uiPriority w:val="0"/>
    <w:rPr>
      <w:rFonts w:hint="default" w:ascii="Times New Roman" w:hAnsi="Times New Roman" w:cs="Times New Roman"/>
      <w:color w:val="000000"/>
      <w:sz w:val="24"/>
      <w:szCs w:val="24"/>
      <w:u w:val="none"/>
    </w:rPr>
  </w:style>
  <w:style w:type="character" w:customStyle="1" w:styleId="36">
    <w:name w:val="font71"/>
    <w:basedOn w:val="13"/>
    <w:qFormat/>
    <w:uiPriority w:val="0"/>
    <w:rPr>
      <w:rFonts w:hint="eastAsia" w:ascii="宋体" w:hAnsi="宋体" w:eastAsia="宋体" w:cs="宋体"/>
      <w:color w:val="000000"/>
      <w:sz w:val="24"/>
      <w:szCs w:val="24"/>
      <w:u w:val="none"/>
    </w:rPr>
  </w:style>
  <w:style w:type="character" w:customStyle="1" w:styleId="37">
    <w:name w:val="font11"/>
    <w:basedOn w:val="13"/>
    <w:qFormat/>
    <w:uiPriority w:val="0"/>
    <w:rPr>
      <w:rFonts w:hint="default" w:ascii="Times New Roman" w:hAnsi="Times New Roman" w:cs="Times New Roman"/>
      <w:color w:val="000000"/>
      <w:sz w:val="24"/>
      <w:szCs w:val="24"/>
      <w:u w:val="none"/>
    </w:rPr>
  </w:style>
  <w:style w:type="character" w:customStyle="1" w:styleId="38">
    <w:name w:val="font31"/>
    <w:basedOn w:val="13"/>
    <w:qFormat/>
    <w:uiPriority w:val="0"/>
    <w:rPr>
      <w:rFonts w:hint="eastAsia" w:ascii="宋体" w:hAnsi="宋体" w:eastAsia="宋体" w:cs="宋体"/>
      <w:color w:val="000000"/>
      <w:sz w:val="24"/>
      <w:szCs w:val="24"/>
      <w:u w:val="none"/>
    </w:rPr>
  </w:style>
  <w:style w:type="character" w:customStyle="1" w:styleId="39">
    <w:name w:val="font21"/>
    <w:basedOn w:val="13"/>
    <w:qFormat/>
    <w:uiPriority w:val="0"/>
    <w:rPr>
      <w:rFonts w:hint="default" w:ascii="Times New Roman" w:hAnsi="Times New Roman" w:cs="Times New Roman"/>
      <w:color w:val="000000"/>
      <w:sz w:val="24"/>
      <w:szCs w:val="24"/>
      <w:u w:val="none"/>
    </w:rPr>
  </w:style>
  <w:style w:type="character" w:customStyle="1" w:styleId="40">
    <w:name w:val="font41"/>
    <w:basedOn w:val="13"/>
    <w:qFormat/>
    <w:uiPriority w:val="0"/>
    <w:rPr>
      <w:rFonts w:hint="eastAsia" w:ascii="宋体" w:hAnsi="宋体" w:eastAsia="宋体" w:cs="宋体"/>
      <w:color w:val="000000"/>
      <w:sz w:val="24"/>
      <w:szCs w:val="24"/>
      <w:u w:val="none"/>
    </w:rPr>
  </w:style>
  <w:style w:type="character" w:customStyle="1" w:styleId="41">
    <w:name w:val="目录 2 Char"/>
    <w:link w:val="12"/>
    <w:qFormat/>
    <w:uiPriority w:val="39"/>
  </w:style>
  <w:style w:type="paragraph" w:customStyle="1" w:styleId="42">
    <w:name w:val="样式1"/>
    <w:basedOn w:val="12"/>
    <w:qFormat/>
    <w:uiPriority w:val="0"/>
    <w:pPr>
      <w:tabs>
        <w:tab w:val="right" w:leader="middleDot" w:pos="8296"/>
      </w:tabs>
    </w:pPr>
    <w:rPr>
      <w:rFonts w:ascii="Times New Roman" w:hAnsi="Times New Roman"/>
    </w:rPr>
  </w:style>
  <w:style w:type="paragraph" w:customStyle="1" w:styleId="43">
    <w:name w:val="样式2"/>
    <w:basedOn w:val="12"/>
    <w:qFormat/>
    <w:uiPriority w:val="0"/>
    <w:pPr>
      <w:tabs>
        <w:tab w:val="right" w:leader="middleDot" w:pos="8296"/>
      </w:tabs>
    </w:pPr>
    <w:rPr>
      <w:rFonts w:ascii="Times New Roman" w:hAnsi="Times New Roman"/>
    </w:rPr>
  </w:style>
  <w:style w:type="paragraph" w:customStyle="1" w:styleId="44">
    <w:name w:val="样式3"/>
    <w:basedOn w:val="6"/>
    <w:qFormat/>
    <w:uiPriority w:val="0"/>
    <w:pPr>
      <w:tabs>
        <w:tab w:val="left" w:leader="middleDot" w:pos="8296"/>
      </w:tabs>
    </w:pPr>
    <w:rPr>
      <w:rFonts w:ascii="Times New Roman" w:hAnsi="Times New Roman"/>
    </w:rPr>
  </w:style>
  <w:style w:type="paragraph" w:customStyle="1" w:styleId="45">
    <w:name w:val="样式4"/>
    <w:basedOn w:val="6"/>
    <w:qFormat/>
    <w:uiPriority w:val="0"/>
    <w:pPr>
      <w:tabs>
        <w:tab w:val="left" w:leader="middleDot" w:pos="8296"/>
      </w:tabs>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698412698413"/>
          <c:y val="0.208333333333333"/>
          <c:w val="0.492102887139108"/>
          <c:h val="0.726851851851852"/>
        </c:manualLayout>
      </c:layout>
      <c:pieChart>
        <c:varyColors val="1"/>
        <c:ser>
          <c:idx val="0"/>
          <c:order val="0"/>
          <c:explosion val="0"/>
          <c:dPt>
            <c:idx val="0"/>
            <c:bubble3D val="0"/>
          </c:dPt>
          <c:dPt>
            <c:idx val="1"/>
            <c:bubble3D val="0"/>
          </c:dPt>
          <c:dPt>
            <c:idx val="2"/>
            <c:bubble3D val="0"/>
          </c:dPt>
          <c:dLbls>
            <c:dLbl>
              <c:idx val="0"/>
              <c:layout>
                <c:manualLayout>
                  <c:x val="0.0814768153980752"/>
                  <c:y val="-0.024513706620005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11373278340207"/>
                  <c:y val="0.082768056770681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812491438570179"/>
                  <c:y val="-0.006319991251093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Sheet1!$B$565:$B$567</c:f>
              <c:strCache>
                <c:ptCount val="3"/>
                <c:pt idx="0">
                  <c:v>一般公共预算财政拨款收入</c:v>
                </c:pt>
                <c:pt idx="1">
                  <c:v>政府性基金预算财政拨款</c:v>
                </c:pt>
                <c:pt idx="2">
                  <c:v>其他收入</c:v>
                </c:pt>
              </c:strCache>
            </c:strRef>
          </c:cat>
          <c:val>
            <c:numRef>
              <c:f>Sheet1!$C$565:$C$567</c:f>
              <c:numCache>
                <c:formatCode>#,##0.00</c:formatCode>
                <c:ptCount val="3"/>
                <c:pt idx="0">
                  <c:v>436.91</c:v>
                </c:pt>
                <c:pt idx="1">
                  <c:v>71.73</c:v>
                </c:pt>
                <c:pt idx="2">
                  <c:v>0.01</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781626696662918"/>
          <c:y val="0.126934966462526"/>
          <c:w val="0.203135208098988"/>
          <c:h val="0.582550306211723"/>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98095238095238"/>
          <c:y val="0.141552511415525"/>
          <c:w val="0.664380952380952"/>
          <c:h val="0.781735159817352"/>
        </c:manualLayout>
      </c:layout>
      <c:pieChart>
        <c:varyColors val="1"/>
        <c:ser>
          <c:idx val="0"/>
          <c:order val="0"/>
          <c:explosion val="0"/>
          <c:dPt>
            <c:idx val="0"/>
            <c:bubble3D val="0"/>
          </c:dPt>
          <c:dPt>
            <c:idx val="1"/>
            <c:bubble3D val="0"/>
          </c:dPt>
          <c:dLbls>
            <c:dLbl>
              <c:idx val="0"/>
              <c:layout>
                <c:manualLayout>
                  <c:x val="0.0486471191101112"/>
                  <c:y val="0.01831997027768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275400574928134"/>
                  <c:y val="-0.054427785567899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Sheet1!$E$578:$E$579</c:f>
              <c:strCache>
                <c:ptCount val="2"/>
                <c:pt idx="0">
                  <c:v>基本支出</c:v>
                </c:pt>
                <c:pt idx="1">
                  <c:v>项目支出</c:v>
                </c:pt>
              </c:strCache>
            </c:strRef>
          </c:cat>
          <c:val>
            <c:numRef>
              <c:f>Sheet1!$F$578:$F$579</c:f>
              <c:numCache>
                <c:formatCode>#,##0.00</c:formatCode>
                <c:ptCount val="2"/>
                <c:pt idx="0">
                  <c:v>289.53</c:v>
                </c:pt>
                <c:pt idx="1" c:formatCode="0.00_ ">
                  <c:v>227.29</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840039395075616"/>
          <c:y val="0.304669998441976"/>
          <c:w val="0.144722509686289"/>
          <c:h val="0.390659523723918"/>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314139475368"/>
          <c:y val="0.222222222222222"/>
          <c:w val="0.552183011672486"/>
          <c:h val="0.728395061728395"/>
        </c:manualLayout>
      </c:layout>
      <c:pieChart>
        <c:varyColors val="1"/>
        <c:ser>
          <c:idx val="0"/>
          <c:order val="0"/>
          <c:explosion val="0"/>
          <c:dPt>
            <c:idx val="0"/>
            <c:bubble3D val="0"/>
          </c:dPt>
          <c:dPt>
            <c:idx val="1"/>
            <c:bubble3D val="0"/>
          </c:dPt>
          <c:dPt>
            <c:idx val="2"/>
            <c:bubble3D val="0"/>
          </c:dPt>
          <c:dPt>
            <c:idx val="3"/>
            <c:bubble3D val="0"/>
          </c:dPt>
          <c:dLbls>
            <c:dLbl>
              <c:idx val="0"/>
              <c:layout>
                <c:manualLayout>
                  <c:x val="0.106579211187853"/>
                  <c:y val="-0.031265189073588"/>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414587332053743"/>
                  <c:y val="0.0555555555555556"/>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304173782499836"/>
                  <c:y val="-0.116565568192865"/>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213452828953003"/>
                  <c:y val="-0.0143968115096724"/>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Sheet1!$B$683:$B$686</c:f>
              <c:strCache>
                <c:ptCount val="4"/>
                <c:pt idx="0">
                  <c:v>一般公共服务支出</c:v>
                </c:pt>
                <c:pt idx="1">
                  <c:v>社会保障和就业支出</c:v>
                </c:pt>
                <c:pt idx="2">
                  <c:v>卫生健康支出</c:v>
                </c:pt>
                <c:pt idx="3">
                  <c:v>住房保障支出</c:v>
                </c:pt>
              </c:strCache>
            </c:strRef>
          </c:cat>
          <c:val>
            <c:numRef>
              <c:f>Sheet1!$C$683:$C$686</c:f>
              <c:numCache>
                <c:formatCode>#,##0.00</c:formatCode>
                <c:ptCount val="4"/>
                <c:pt idx="0">
                  <c:v>379.93</c:v>
                </c:pt>
                <c:pt idx="1">
                  <c:v>20.55</c:v>
                </c:pt>
                <c:pt idx="2">
                  <c:v>17.53</c:v>
                </c:pt>
                <c:pt idx="3">
                  <c:v>26.75</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810660298940559"/>
          <c:y val="0.127318946242831"/>
          <c:w val="0.17398461468708"/>
          <c:h val="0.638881112083213"/>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485312899106"/>
          <c:y val="0.166666893910988"/>
          <c:w val="0.509618165545399"/>
          <c:h val="0.726851851851853"/>
        </c:manualLayout>
      </c:layout>
      <c:pieChart>
        <c:varyColors val="1"/>
        <c:ser>
          <c:idx val="0"/>
          <c:order val="0"/>
          <c:explosion val="0"/>
          <c:dPt>
            <c:idx val="0"/>
            <c:bubble3D val="0"/>
          </c:dPt>
          <c:dPt>
            <c:idx val="1"/>
            <c:bubble3D val="0"/>
          </c:dPt>
          <c:dPt>
            <c:idx val="2"/>
            <c:bubble3D val="0"/>
          </c:dPt>
          <c:dLbls>
            <c:dLbl>
              <c:idx val="0"/>
              <c:layout>
                <c:manualLayout>
                  <c:x val="0.228906668516528"/>
                  <c:y val="0.023376623376623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252911857523075"/>
                  <c:y val="0.048484848484848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64453293912974"/>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Sheet1!$B$474:$B$476</c:f>
              <c:strCache>
                <c:ptCount val="3"/>
                <c:pt idx="0">
                  <c:v>因公出国（境）费用</c:v>
                </c:pt>
                <c:pt idx="1">
                  <c:v>公务用车购置及运行费</c:v>
                </c:pt>
                <c:pt idx="2">
                  <c:v>公务接待费</c:v>
                </c:pt>
              </c:strCache>
            </c:strRef>
          </c:cat>
          <c:val>
            <c:numRef>
              <c:f>Sheet1!$C$474:$C$476</c:f>
              <c:numCache>
                <c:formatCode>#,##0.00</c:formatCode>
                <c:ptCount val="3"/>
                <c:pt idx="0">
                  <c:v>0</c:v>
                </c:pt>
                <c:pt idx="1">
                  <c:v>0</c:v>
                </c:pt>
                <c:pt idx="2">
                  <c:v>0.19</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r"/>
      <c:layout>
        <c:manualLayout>
          <c:xMode val="edge"/>
          <c:yMode val="edge"/>
          <c:x val="0.780371677678221"/>
          <c:y val="0.204909840815353"/>
          <c:w val="0.204302651823694"/>
          <c:h val="0.520916249105225"/>
        </c:manualLayout>
      </c:layout>
      <c:overlay val="0"/>
      <c:txPr>
        <a:bodyPr rot="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40</Pages>
  <Words>19075</Words>
  <Characters>21623</Characters>
  <Lines>8</Lines>
  <Paragraphs>26</Paragraphs>
  <TotalTime>6</TotalTime>
  <ScaleCrop>false</ScaleCrop>
  <LinksUpToDate>false</LinksUpToDate>
  <CharactersWithSpaces>21931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浅浅</cp:lastModifiedBy>
  <cp:lastPrinted>2023-10-10T01:26:35Z</cp:lastPrinted>
  <dcterms:modified xsi:type="dcterms:W3CDTF">2023-10-10T01:30:52Z</dcterms:modified>
  <dc:title>四川省***</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D6041E2DC1F64342BCBD384BF75945C3</vt:lpwstr>
  </property>
</Properties>
</file>