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96475"/>
      <w:bookmarkStart w:id="3" w:name="_Toc15396597"/>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426"/>
      <w:bookmarkStart w:id="8" w:name="_Toc15377194"/>
      <w:bookmarkStart w:id="9" w:name="_Toc15396476"/>
      <w:bookmarkStart w:id="10" w:name="_Toc15396598"/>
      <w:bookmarkStart w:id="11" w:name="_Toc15306268"/>
      <w:r>
        <w:rPr>
          <w:rFonts w:hint="eastAsia" w:ascii="方正小标宋简体" w:hAnsi="宋体" w:eastAsia="方正小标宋简体"/>
          <w:color w:val="000000"/>
          <w:sz w:val="72"/>
          <w:szCs w:val="72"/>
          <w:lang w:eastAsia="zh-CN"/>
        </w:rPr>
        <w:t>四川省中共攀枝花市西区区委政法委员会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公开时间：2022年</w:t>
      </w:r>
      <w:r>
        <w:rPr>
          <w:rFonts w:hint="eastAsia"/>
          <w:lang w:val="en-US" w:eastAsia="zh-CN"/>
        </w:rPr>
        <w:t>9</w:t>
      </w:r>
      <w:r>
        <w:rPr>
          <w:rFonts w:hint="eastAsia"/>
        </w:rPr>
        <w:t>月29日</w:t>
      </w:r>
    </w:p>
    <w:p/>
    <w:p>
      <w:pPr>
        <w:pStyle w:val="13"/>
        <w:adjustRightInd w:val="0"/>
        <w:snapToGrid w:val="0"/>
        <w:spacing w:before="0" w:line="440" w:lineRule="exact"/>
        <w:jc w:val="left"/>
        <w:rPr>
          <w:rFonts w:cstheme="minorBidi"/>
          <w:sz w:val="24"/>
          <w:szCs w:val="24"/>
          <w:highlight w:val="none"/>
        </w:rPr>
      </w:pPr>
      <w:r>
        <w:rPr>
          <w:rFonts w:hint="eastAsia"/>
          <w:sz w:val="24"/>
          <w:highlight w:val="none"/>
        </w:rPr>
        <w:t>第一部分</w:t>
      </w:r>
      <w:r>
        <w:rPr>
          <w:sz w:val="24"/>
          <w:highlight w:val="none"/>
        </w:rPr>
        <w:t xml:space="preserve"> </w:t>
      </w:r>
      <w:r>
        <w:rPr>
          <w:rFonts w:hint="eastAsia"/>
          <w:sz w:val="24"/>
          <w:highlight w:val="none"/>
        </w:rPr>
        <w:t>部门概况</w:t>
      </w:r>
      <w:r>
        <w:rPr>
          <w:rFonts w:ascii="Times New Roman" w:hAnsi="Times New Roman" w:eastAsia="方正仿宋_GBK" w:cs="Times New Roman"/>
          <w:sz w:val="24"/>
          <w:szCs w:val="24"/>
          <w:highlight w:val="none"/>
        </w:rPr>
        <w:t>………………………………………………………………</w:t>
      </w:r>
      <w:r>
        <w:rPr>
          <w:rFonts w:hint="eastAsia" w:ascii="Times New Roman" w:hAnsi="Times New Roman" w:eastAsia="方正仿宋_GBK" w:cs="Times New Roman"/>
          <w:sz w:val="24"/>
          <w:szCs w:val="24"/>
          <w:highlight w:val="none"/>
        </w:rPr>
        <w:t>.3</w:t>
      </w:r>
    </w:p>
    <w:p>
      <w:pPr>
        <w:pStyle w:val="14"/>
        <w:adjustRightInd w:val="0"/>
        <w:snapToGrid w:val="0"/>
        <w:spacing w:line="440" w:lineRule="exact"/>
        <w:jc w:val="left"/>
        <w:rPr>
          <w:rFonts w:hint="eastAsia" w:eastAsia="方正仿宋_GBK" w:cs="Times New Roman"/>
          <w:sz w:val="24"/>
          <w:szCs w:val="24"/>
          <w:highlight w:val="none"/>
          <w:lang w:val="en-US" w:eastAsia="zh-CN"/>
        </w:rPr>
      </w:pPr>
      <w:r>
        <w:rPr>
          <w:rFonts w:hint="eastAsia"/>
          <w:sz w:val="24"/>
          <w:highlight w:val="none"/>
        </w:rPr>
        <w:t>一、</w:t>
      </w:r>
      <w:r>
        <w:rPr>
          <w:rFonts w:hint="eastAsia"/>
          <w:sz w:val="24"/>
          <w:highlight w:val="none"/>
          <w:lang w:eastAsia="zh-CN"/>
        </w:rPr>
        <w:t>职能简介</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4</w:t>
      </w:r>
    </w:p>
    <w:p>
      <w:pPr>
        <w:pStyle w:val="14"/>
        <w:adjustRightInd w:val="0"/>
        <w:snapToGrid w:val="0"/>
        <w:spacing w:line="440" w:lineRule="exact"/>
        <w:jc w:val="left"/>
        <w:rPr>
          <w:rFonts w:hint="eastAsia" w:eastAsia="方正仿宋_GBK"/>
          <w:lang w:val="en-US" w:eastAsia="zh-CN"/>
        </w:rPr>
      </w:pPr>
      <w:r>
        <w:rPr>
          <w:rFonts w:hint="eastAsia"/>
          <w:sz w:val="24"/>
          <w:highlight w:val="none"/>
        </w:rPr>
        <w:t>二、</w:t>
      </w:r>
      <w:r>
        <w:rPr>
          <w:rFonts w:hint="eastAsia"/>
          <w:sz w:val="24"/>
          <w:highlight w:val="none"/>
          <w:lang w:val="en-US" w:eastAsia="zh-CN"/>
        </w:rPr>
        <w:t>2021年重点工作完成情况</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5</w:t>
      </w:r>
    </w:p>
    <w:p>
      <w:pPr>
        <w:pStyle w:val="14"/>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lang w:eastAsia="zh-CN"/>
        </w:rPr>
        <w:t>三</w:t>
      </w:r>
      <w:r>
        <w:rPr>
          <w:rFonts w:hint="eastAsia"/>
          <w:sz w:val="24"/>
          <w:highlight w:val="none"/>
        </w:rPr>
        <w:t>、机构设置</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7</w:t>
      </w:r>
    </w:p>
    <w:p>
      <w:pPr>
        <w:pStyle w:val="13"/>
        <w:adjustRightInd w:val="0"/>
        <w:snapToGrid w:val="0"/>
        <w:spacing w:before="0" w:line="440" w:lineRule="exact"/>
        <w:jc w:val="left"/>
        <w:rPr>
          <w:rFonts w:hint="eastAsia" w:eastAsia="方正仿宋_GBK"/>
          <w:sz w:val="24"/>
          <w:szCs w:val="24"/>
          <w:highlight w:val="none"/>
          <w:lang w:val="en-US" w:eastAsia="zh-CN"/>
        </w:rPr>
      </w:pPr>
      <w:r>
        <w:rPr>
          <w:rFonts w:hint="eastAsia"/>
          <w:sz w:val="24"/>
          <w:highlight w:val="none"/>
        </w:rPr>
        <w:t>第二部分 2021年度部门决算情况说明</w:t>
      </w:r>
      <w:r>
        <w:rPr>
          <w:rFonts w:ascii="Times New Roman" w:hAnsi="Times New Roman" w:eastAsia="方正仿宋_GBK" w:cs="Times New Roman"/>
          <w:sz w:val="24"/>
          <w:szCs w:val="24"/>
          <w:highlight w:val="none"/>
        </w:rPr>
        <w:t>…………………………………………</w:t>
      </w:r>
      <w:r>
        <w:rPr>
          <w:rFonts w:hint="eastAsia" w:ascii="Times New Roman" w:hAnsi="Times New Roman" w:eastAsia="方正仿宋_GBK" w:cs="Times New Roman"/>
          <w:sz w:val="24"/>
          <w:szCs w:val="24"/>
          <w:highlight w:val="none"/>
          <w:lang w:val="en-US" w:eastAsia="zh-CN"/>
        </w:rPr>
        <w:t>8</w:t>
      </w:r>
    </w:p>
    <w:p>
      <w:pPr>
        <w:pStyle w:val="14"/>
        <w:adjustRightInd w:val="0"/>
        <w:snapToGrid w:val="0"/>
        <w:spacing w:line="440" w:lineRule="exact"/>
        <w:jc w:val="left"/>
        <w:rPr>
          <w:rFonts w:ascii="仿宋" w:hAnsi="仿宋" w:eastAsia="仿宋" w:cstheme="minorBidi"/>
          <w:sz w:val="24"/>
          <w:highlight w:val="none"/>
        </w:rPr>
      </w:pPr>
      <w:r>
        <w:rPr>
          <w:rFonts w:hint="eastAsia"/>
          <w:sz w:val="24"/>
          <w:highlight w:val="none"/>
        </w:rPr>
        <w:t>一、收入支出决算总体情况说明</w:t>
      </w:r>
      <w:r>
        <w:rPr>
          <w:rFonts w:ascii="Times New Roman" w:hAnsi="Times New Roman" w:eastAsia="方正仿宋_GBK" w:cs="Times New Roman"/>
          <w:sz w:val="24"/>
          <w:szCs w:val="24"/>
          <w:highlight w:val="none"/>
        </w:rPr>
        <w:t>……………………………………………</w:t>
      </w:r>
      <w:r>
        <w:rPr>
          <w:rFonts w:hint="eastAsia" w:ascii="Times New Roman" w:hAnsi="Times New Roman" w:eastAsia="方正仿宋_GBK" w:cs="Times New Roman"/>
          <w:sz w:val="24"/>
          <w:szCs w:val="24"/>
          <w:highlight w:val="none"/>
          <w:lang w:val="en-US" w:eastAsia="zh-CN"/>
        </w:rPr>
        <w:t>8</w:t>
      </w:r>
    </w:p>
    <w:p>
      <w:pPr>
        <w:pStyle w:val="14"/>
        <w:adjustRightInd w:val="0"/>
        <w:snapToGrid w:val="0"/>
        <w:spacing w:line="440" w:lineRule="exact"/>
        <w:jc w:val="left"/>
        <w:rPr>
          <w:rFonts w:ascii="仿宋" w:hAnsi="仿宋" w:eastAsia="仿宋" w:cstheme="minorBidi"/>
          <w:sz w:val="24"/>
          <w:highlight w:val="none"/>
        </w:rPr>
      </w:pPr>
      <w:r>
        <w:rPr>
          <w:rFonts w:hint="eastAsia"/>
          <w:sz w:val="24"/>
          <w:highlight w:val="none"/>
        </w:rPr>
        <w:t>二、收入决算情况说明</w:t>
      </w:r>
      <w:r>
        <w:rPr>
          <w:rFonts w:ascii="Times New Roman" w:hAnsi="Times New Roman" w:eastAsia="方正仿宋_GBK" w:cs="Times New Roman"/>
          <w:sz w:val="24"/>
          <w:szCs w:val="24"/>
          <w:highlight w:val="none"/>
        </w:rPr>
        <w:t>………………………………………………………</w:t>
      </w:r>
      <w:r>
        <w:rPr>
          <w:rFonts w:hint="eastAsia" w:ascii="Times New Roman" w:hAnsi="Times New Roman" w:eastAsia="方正仿宋_GBK" w:cs="Times New Roman"/>
          <w:sz w:val="24"/>
          <w:szCs w:val="24"/>
          <w:highlight w:val="none"/>
          <w:lang w:val="en-US" w:eastAsia="zh-CN"/>
        </w:rPr>
        <w:t>8</w:t>
      </w:r>
    </w:p>
    <w:p>
      <w:pPr>
        <w:pStyle w:val="14"/>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rPr>
        <w:t>三、支出决算情况说明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9</w:t>
      </w:r>
    </w:p>
    <w:p>
      <w:pPr>
        <w:pStyle w:val="14"/>
        <w:adjustRightInd w:val="0"/>
        <w:snapToGrid w:val="0"/>
        <w:spacing w:line="440" w:lineRule="exact"/>
        <w:jc w:val="left"/>
        <w:rPr>
          <w:rFonts w:ascii="仿宋" w:hAnsi="仿宋" w:eastAsia="仿宋" w:cstheme="minorBidi"/>
          <w:sz w:val="24"/>
          <w:highlight w:val="none"/>
        </w:rPr>
      </w:pPr>
      <w:r>
        <w:rPr>
          <w:rFonts w:hint="eastAsia"/>
          <w:sz w:val="24"/>
          <w:highlight w:val="none"/>
        </w:rPr>
        <w:t>四、财政拨款收入支出决算总体情况说明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9</w:t>
      </w:r>
    </w:p>
    <w:p>
      <w:pPr>
        <w:pStyle w:val="14"/>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rPr>
        <w:t>五、一般公共预算财政拨款支出决算情况说明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10</w:t>
      </w:r>
    </w:p>
    <w:p>
      <w:pPr>
        <w:pStyle w:val="14"/>
        <w:adjustRightInd w:val="0"/>
        <w:snapToGrid w:val="0"/>
        <w:spacing w:line="440" w:lineRule="exact"/>
        <w:jc w:val="left"/>
        <w:rPr>
          <w:rFonts w:ascii="仿宋" w:hAnsi="仿宋" w:eastAsia="仿宋" w:cstheme="minorBidi"/>
          <w:sz w:val="24"/>
          <w:highlight w:val="none"/>
          <w:lang w:val="en-US"/>
        </w:rPr>
      </w:pPr>
      <w:r>
        <w:rPr>
          <w:rFonts w:hint="eastAsia"/>
          <w:sz w:val="24"/>
          <w:highlight w:val="none"/>
        </w:rPr>
        <w:t>六、一般公共预算财政拨款基本支出决算情况说明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13</w:t>
      </w:r>
    </w:p>
    <w:p>
      <w:pPr>
        <w:pStyle w:val="14"/>
        <w:adjustRightInd w:val="0"/>
        <w:snapToGrid w:val="0"/>
        <w:spacing w:line="440" w:lineRule="exact"/>
        <w:jc w:val="left"/>
        <w:rPr>
          <w:rFonts w:ascii="仿宋" w:hAnsi="仿宋" w:eastAsia="仿宋" w:cstheme="minorBidi"/>
          <w:sz w:val="24"/>
          <w:highlight w:val="none"/>
          <w:lang w:val="en-US"/>
        </w:rPr>
      </w:pPr>
      <w:r>
        <w:rPr>
          <w:rFonts w:hint="eastAsia"/>
          <w:sz w:val="24"/>
          <w:highlight w:val="none"/>
        </w:rPr>
        <w:t>七、“三公”经费财政拨款支出决算情况说明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13</w:t>
      </w:r>
    </w:p>
    <w:p>
      <w:pPr>
        <w:pStyle w:val="14"/>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rPr>
        <w:t>八、政府性基金预算支出决算情况说明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14</w:t>
      </w:r>
    </w:p>
    <w:p>
      <w:pPr>
        <w:pStyle w:val="14"/>
        <w:adjustRightInd w:val="0"/>
        <w:snapToGrid w:val="0"/>
        <w:spacing w:line="440" w:lineRule="exact"/>
        <w:ind w:leftChars="0"/>
        <w:jc w:val="left"/>
        <w:rPr>
          <w:rFonts w:hint="eastAsia" w:eastAsia="方正仿宋_GBK" w:asciiTheme="minorEastAsia" w:hAnsiTheme="minorEastAsia" w:cstheme="minorEastAsia"/>
          <w:sz w:val="24"/>
          <w:highlight w:val="none"/>
          <w:lang w:val="en-US" w:eastAsia="zh-CN"/>
        </w:rPr>
      </w:pPr>
      <w:r>
        <w:rPr>
          <w:rFonts w:hint="eastAsia" w:asciiTheme="minorEastAsia" w:hAnsiTheme="minorEastAsia" w:eastAsiaTheme="minorEastAsia" w:cstheme="minorEastAsia"/>
          <w:sz w:val="24"/>
          <w:highlight w:val="none"/>
        </w:rPr>
        <w:t>九、国有资本经营预算支出决算情况说明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14</w:t>
      </w:r>
    </w:p>
    <w:p>
      <w:pPr>
        <w:adjustRightInd w:val="0"/>
        <w:snapToGrid w:val="0"/>
        <w:spacing w:line="440" w:lineRule="exact"/>
        <w:ind w:firstLine="420" w:firstLineChars="175"/>
        <w:jc w:val="left"/>
        <w:rPr>
          <w:rFonts w:hint="eastAsia" w:eastAsia="方正仿宋_GBK" w:asciiTheme="minorEastAsia" w:hAnsiTheme="minorEastAsia" w:cstheme="minorEastAsia"/>
          <w:sz w:val="24"/>
          <w:highlight w:val="none"/>
          <w:lang w:val="en-US" w:eastAsia="zh-CN"/>
        </w:rPr>
      </w:pPr>
      <w:r>
        <w:rPr>
          <w:rStyle w:val="18"/>
          <w:rFonts w:hint="eastAsia" w:asciiTheme="minorEastAsia" w:hAnsiTheme="minorEastAsia" w:eastAsiaTheme="minorEastAsia" w:cstheme="minorEastAsia"/>
          <w:color w:val="auto"/>
          <w:sz w:val="24"/>
          <w:highlight w:val="none"/>
          <w:u w:val="none"/>
        </w:rPr>
        <w:t>十、</w:t>
      </w:r>
      <w:r>
        <w:rPr>
          <w:rFonts w:hint="eastAsia" w:asciiTheme="minorEastAsia" w:hAnsiTheme="minorEastAsia" w:eastAsiaTheme="minorEastAsia" w:cstheme="minorEastAsia"/>
          <w:sz w:val="24"/>
          <w:highlight w:val="none"/>
        </w:rPr>
        <w:t>其他重要事项的情况说明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14</w:t>
      </w:r>
    </w:p>
    <w:p>
      <w:pPr>
        <w:pStyle w:val="13"/>
        <w:adjustRightInd w:val="0"/>
        <w:snapToGrid w:val="0"/>
        <w:spacing w:before="0" w:line="440" w:lineRule="exact"/>
        <w:jc w:val="left"/>
        <w:rPr>
          <w:rFonts w:hint="eastAsia" w:eastAsia="方正仿宋_GBK" w:cstheme="minorBidi"/>
          <w:sz w:val="24"/>
          <w:szCs w:val="24"/>
          <w:highlight w:val="none"/>
          <w:lang w:val="en-US" w:eastAsia="zh-CN"/>
        </w:rPr>
      </w:pPr>
      <w:r>
        <w:rPr>
          <w:rFonts w:hint="eastAsia"/>
          <w:sz w:val="24"/>
          <w:highlight w:val="none"/>
        </w:rPr>
        <w:t>第三部分</w:t>
      </w:r>
      <w:r>
        <w:rPr>
          <w:sz w:val="24"/>
          <w:highlight w:val="none"/>
        </w:rPr>
        <w:t xml:space="preserve"> </w:t>
      </w:r>
      <w:r>
        <w:rPr>
          <w:rFonts w:hint="eastAsia"/>
          <w:sz w:val="24"/>
          <w:highlight w:val="none"/>
        </w:rPr>
        <w:t>名词解释</w:t>
      </w:r>
      <w:r>
        <w:rPr>
          <w:rFonts w:ascii="Times New Roman" w:hAnsi="Times New Roman" w:eastAsia="方正仿宋_GBK" w:cs="Times New Roman"/>
          <w:sz w:val="24"/>
          <w:szCs w:val="24"/>
          <w:highlight w:val="none"/>
        </w:rPr>
        <w:t>………………………………………………………………</w:t>
      </w:r>
      <w:r>
        <w:rPr>
          <w:rFonts w:hint="eastAsia" w:ascii="Times New Roman" w:hAnsi="Times New Roman" w:eastAsia="方正仿宋_GBK" w:cs="Times New Roman"/>
          <w:sz w:val="24"/>
          <w:szCs w:val="24"/>
          <w:highlight w:val="none"/>
          <w:lang w:val="en-US" w:eastAsia="zh-CN"/>
        </w:rPr>
        <w:t>17</w:t>
      </w:r>
    </w:p>
    <w:p>
      <w:pPr>
        <w:pStyle w:val="13"/>
        <w:adjustRightInd w:val="0"/>
        <w:snapToGrid w:val="0"/>
        <w:spacing w:before="0" w:line="440" w:lineRule="exact"/>
        <w:jc w:val="left"/>
        <w:rPr>
          <w:rFonts w:hint="eastAsia" w:eastAsia="方正仿宋_GBK" w:cstheme="minorBidi"/>
          <w:sz w:val="24"/>
          <w:szCs w:val="24"/>
          <w:highlight w:val="none"/>
          <w:lang w:val="en-US" w:eastAsia="zh-CN"/>
        </w:rPr>
      </w:pPr>
      <w:r>
        <w:rPr>
          <w:rFonts w:hint="eastAsia"/>
          <w:sz w:val="24"/>
          <w:highlight w:val="none"/>
        </w:rPr>
        <w:t>第四部分</w:t>
      </w:r>
      <w:r>
        <w:rPr>
          <w:sz w:val="24"/>
          <w:highlight w:val="none"/>
        </w:rPr>
        <w:t xml:space="preserve"> </w:t>
      </w:r>
      <w:r>
        <w:rPr>
          <w:rFonts w:hint="eastAsia"/>
          <w:sz w:val="24"/>
          <w:highlight w:val="none"/>
        </w:rPr>
        <w:t>附件</w:t>
      </w:r>
      <w:r>
        <w:rPr>
          <w:rFonts w:ascii="Times New Roman" w:hAnsi="Times New Roman" w:eastAsia="方正仿宋_GBK" w:cs="Times New Roman"/>
          <w:sz w:val="24"/>
          <w:szCs w:val="24"/>
          <w:highlight w:val="none"/>
        </w:rPr>
        <w:t>……………………………………………………………………</w:t>
      </w:r>
      <w:r>
        <w:rPr>
          <w:rFonts w:hint="eastAsia" w:ascii="Times New Roman" w:hAnsi="Times New Roman" w:eastAsia="方正仿宋_GBK" w:cs="Times New Roman"/>
          <w:sz w:val="24"/>
          <w:szCs w:val="24"/>
          <w:highlight w:val="none"/>
          <w:lang w:val="en-US" w:eastAsia="zh-CN"/>
        </w:rPr>
        <w:t>21</w:t>
      </w:r>
    </w:p>
    <w:p>
      <w:pPr>
        <w:pStyle w:val="13"/>
        <w:adjustRightInd w:val="0"/>
        <w:snapToGrid w:val="0"/>
        <w:spacing w:before="0" w:line="440" w:lineRule="exact"/>
        <w:jc w:val="left"/>
        <w:rPr>
          <w:rFonts w:hint="eastAsia" w:eastAsia="方正仿宋_GBK" w:cstheme="minorBidi"/>
          <w:sz w:val="24"/>
          <w:szCs w:val="24"/>
          <w:highlight w:val="none"/>
          <w:lang w:val="en-US" w:eastAsia="zh-CN"/>
        </w:rPr>
      </w:pPr>
      <w:r>
        <w:rPr>
          <w:rFonts w:hint="eastAsia"/>
          <w:sz w:val="24"/>
          <w:highlight w:val="none"/>
        </w:rPr>
        <w:t>第五部分</w:t>
      </w:r>
      <w:r>
        <w:rPr>
          <w:sz w:val="24"/>
          <w:highlight w:val="none"/>
        </w:rPr>
        <w:t xml:space="preserve"> </w:t>
      </w:r>
      <w:r>
        <w:rPr>
          <w:rFonts w:hint="eastAsia"/>
          <w:sz w:val="24"/>
          <w:highlight w:val="none"/>
        </w:rPr>
        <w:t>附表</w:t>
      </w:r>
      <w:r>
        <w:rPr>
          <w:rFonts w:ascii="Times New Roman" w:hAnsi="Times New Roman" w:eastAsia="方正仿宋_GBK" w:cs="Times New Roman"/>
          <w:sz w:val="24"/>
          <w:szCs w:val="24"/>
          <w:highlight w:val="none"/>
        </w:rPr>
        <w:t>……………………………………………………………………</w:t>
      </w:r>
      <w:r>
        <w:rPr>
          <w:rFonts w:hint="eastAsia" w:ascii="Times New Roman" w:hAnsi="Times New Roman" w:eastAsia="方正仿宋_GBK" w:cs="Times New Roman"/>
          <w:sz w:val="24"/>
          <w:szCs w:val="24"/>
          <w:highlight w:val="none"/>
          <w:lang w:val="en-US" w:eastAsia="zh-CN"/>
        </w:rPr>
        <w:t>36</w:t>
      </w:r>
    </w:p>
    <w:p>
      <w:pPr>
        <w:pStyle w:val="14"/>
        <w:adjustRightInd w:val="0"/>
        <w:snapToGrid w:val="0"/>
        <w:spacing w:line="440" w:lineRule="exact"/>
        <w:jc w:val="left"/>
        <w:rPr>
          <w:rFonts w:ascii="仿宋" w:hAnsi="仿宋" w:eastAsia="仿宋" w:cstheme="minorBidi"/>
          <w:sz w:val="24"/>
          <w:highlight w:val="none"/>
        </w:rPr>
      </w:pPr>
      <w:r>
        <w:rPr>
          <w:rFonts w:hint="eastAsia" w:ascii="仿宋" w:hAnsi="仿宋" w:eastAsia="仿宋"/>
          <w:sz w:val="24"/>
          <w:highlight w:val="none"/>
        </w:rPr>
        <w:t>一、</w:t>
      </w:r>
      <w:r>
        <w:rPr>
          <w:rFonts w:hint="eastAsia"/>
          <w:sz w:val="24"/>
          <w:highlight w:val="none"/>
        </w:rPr>
        <w:t>收入支出决算总表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二、收入决算表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四、财政拨款收入支出决算总表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五、财政拨款支出决算明细表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六、一般公共预算财政拨款支出决算表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七、一般公共预算财政拨款支出决算明细表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八、一般公共预算财政拨款基本支出决算表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九、一般公共预算财政拨款项目支出决算表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十、一般公共预算财政拨款“三公”经费支出决算表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十一、政府性基金预算财政拨款收入支出决算表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十二、政府性基金预算财政拨款“三公”经费支出决算表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十三、国有资本经营预算财政拨款收入支出决算表</w:t>
      </w:r>
    </w:p>
    <w:p>
      <w:pPr>
        <w:pStyle w:val="14"/>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30"/>
          <w:rFonts w:hint="eastAsia" w:ascii="仿宋" w:hAnsi="仿宋" w:eastAsia="黑体"/>
          <w:b w:val="0"/>
          <w:bCs w:val="0"/>
          <w:lang w:eastAsia="zh-CN"/>
        </w:rPr>
      </w:pPr>
      <w:bookmarkStart w:id="14" w:name="_Toc15396600"/>
      <w:bookmarkStart w:id="15" w:name="_Toc15377197"/>
      <w:r>
        <w:rPr>
          <w:rFonts w:hint="eastAsia" w:ascii="黑体" w:hAnsi="黑体" w:eastAsia="黑体"/>
          <w:b w:val="0"/>
        </w:rPr>
        <w:t>一、</w:t>
      </w:r>
      <w:bookmarkEnd w:id="14"/>
      <w:bookmarkEnd w:id="15"/>
      <w:r>
        <w:rPr>
          <w:rFonts w:hint="eastAsia" w:ascii="黑体" w:hAnsi="黑体" w:eastAsia="黑体"/>
          <w:b w:val="0"/>
          <w:lang w:eastAsia="zh-CN"/>
        </w:rPr>
        <w:t>职能简介</w:t>
      </w:r>
    </w:p>
    <w:p>
      <w:pPr>
        <w:spacing w:line="353" w:lineRule="auto"/>
        <w:ind w:firstLine="640" w:firstLineChars="200"/>
        <w:rPr>
          <w:rFonts w:hint="eastAsia" w:ascii="仿宋" w:hAnsi="仿宋" w:eastAsia="仿宋" w:cs="Times New Roman"/>
          <w:bCs/>
          <w:kern w:val="0"/>
          <w:sz w:val="32"/>
          <w:szCs w:val="32"/>
          <w:lang w:val="en-US" w:eastAsia="zh-CN" w:bidi="ar-SA"/>
        </w:rPr>
      </w:pPr>
      <w:bookmarkStart w:id="16" w:name="_Toc15377199"/>
      <w:bookmarkStart w:id="17" w:name="_Toc15378446"/>
      <w:r>
        <w:rPr>
          <w:rFonts w:hint="eastAsia" w:ascii="仿宋" w:hAnsi="仿宋" w:eastAsia="仿宋" w:cs="Times New Roman"/>
          <w:bCs/>
          <w:kern w:val="0"/>
          <w:sz w:val="32"/>
          <w:szCs w:val="32"/>
          <w:lang w:val="en-US" w:eastAsia="zh-CN" w:bidi="ar-SA"/>
        </w:rPr>
        <w:t>1.深入贯彻党的路线方针政策和决策部署，统一政法各部门思想和行动，坚持党对政法工作的绝对领导，坚决维护党中央权威和集中统一领导。</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2.深入贯彻党中央决定和省委、市委、区委决策，对政法工作研究提出全局性部署，推进平安西区、法治西区建设，加强过硬队伍建设，深化智能化建设，坚决维护国家政治安全、确保社会大局稳定、促进社会公平正义、保障人民安居乐业。</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3.了解掌握和分析研判政法工作情况动态，分析全区社会稳定形势，创新完善多部门参与的综治维稳工作机制，构建矛盾纠纷多元化解体系和机制，协调推动预防、化解影响稳定的社会矛盾和风险，协调应对和处置重大突发事件，统筹推动全区反分裂斗争和维护稳定工作。</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4.加强对政法工作的督查，统筹协调维护政治安全、社会治安综合治理、维护社会稳定、反邪教有关法律法规政策的实施工作；指导全区政法系统网络安全和智能化建设工作。</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5.组织开展政法领域的调查研究，研究拟订全区政法工作的政策措施，及时向区委提出建议。</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6.掌握分析政法舆情动态，指导协调政法部门媒体网络宣传工作，指导政法部门做好涉及政法工作的重大宣传和舆论引导工作。</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7.监督和支持政法各部门依法行使职权，指导和协调政法各部门密切配合，研究和协调重大、疑难案件，推进严格执法、公正司法。</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8.组织研究政法改革中带有方向性、倾向性和普遍性的重大问题，深化政法改革。</w:t>
      </w:r>
    </w:p>
    <w:p>
      <w:pPr>
        <w:spacing w:line="353" w:lineRule="auto"/>
        <w:ind w:firstLine="640" w:firstLineChars="200"/>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9.指导推动政法系统党的建设和政法队伍建设，协助区级有关职能部门管理监督政法领导干部，代管攀枝花市西区法学会。</w:t>
      </w:r>
    </w:p>
    <w:p>
      <w:pPr>
        <w:pStyle w:val="7"/>
        <w:adjustRightInd w:val="0"/>
        <w:snapToGrid w:val="0"/>
        <w:spacing w:before="93" w:line="600" w:lineRule="exact"/>
        <w:ind w:firstLine="672" w:firstLineChars="210"/>
        <w:outlineLvl w:val="2"/>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10.完成区委交办的其他任务。</w:t>
      </w:r>
    </w:p>
    <w:p>
      <w:pPr>
        <w:pStyle w:val="4"/>
        <w:ind w:firstLine="640" w:firstLineChars="200"/>
        <w:rPr>
          <w:rFonts w:hint="eastAsia" w:ascii="仿宋" w:hAnsi="仿宋" w:eastAsia="仿宋"/>
          <w:bCs/>
          <w:sz w:val="32"/>
          <w:szCs w:val="32"/>
        </w:rPr>
      </w:pPr>
      <w:r>
        <w:rPr>
          <w:rFonts w:hint="eastAsia" w:ascii="黑体" w:hAnsi="黑体" w:eastAsia="黑体"/>
          <w:b w:val="0"/>
          <w:lang w:eastAsia="zh-CN"/>
        </w:rPr>
        <w:t>二</w:t>
      </w:r>
      <w:r>
        <w:rPr>
          <w:rFonts w:hint="eastAsia" w:ascii="黑体" w:hAnsi="黑体" w:eastAsia="黑体"/>
          <w:b w:val="0"/>
        </w:rPr>
        <w:t>、</w:t>
      </w:r>
      <w:r>
        <w:rPr>
          <w:rFonts w:ascii="仿宋" w:hAnsi="仿宋" w:eastAsia="仿宋"/>
          <w:bCs/>
          <w:sz w:val="32"/>
          <w:szCs w:val="32"/>
        </w:rPr>
        <w:t>20</w:t>
      </w:r>
      <w:r>
        <w:rPr>
          <w:rFonts w:hint="eastAsia" w:ascii="仿宋" w:hAnsi="仿宋" w:eastAsia="仿宋"/>
          <w:bCs/>
          <w:sz w:val="32"/>
          <w:szCs w:val="32"/>
        </w:rPr>
        <w:t>21年重点工作完成情况</w:t>
      </w:r>
      <w:bookmarkEnd w:id="16"/>
      <w:bookmarkEnd w:id="17"/>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抓统筹、重服务，坚持党的绝对领导。</w:t>
      </w:r>
      <w:r>
        <w:rPr>
          <w:rFonts w:hint="eastAsia" w:ascii="仿宋" w:hAnsi="仿宋" w:eastAsia="仿宋" w:cs="Times New Roman"/>
          <w:kern w:val="2"/>
          <w:sz w:val="32"/>
          <w:szCs w:val="32"/>
          <w:lang w:val="en-US" w:eastAsia="zh-CN" w:bidi="ar-SA"/>
        </w:rPr>
        <w:t>一是</w:t>
      </w:r>
      <w:r>
        <w:rPr>
          <w:rFonts w:hint="default" w:ascii="仿宋" w:hAnsi="仿宋" w:eastAsia="仿宋" w:cs="Times New Roman"/>
          <w:kern w:val="2"/>
          <w:sz w:val="32"/>
          <w:szCs w:val="32"/>
          <w:lang w:val="en-US" w:eastAsia="zh-CN" w:bidi="ar-SA"/>
        </w:rPr>
        <w:t>贯彻上级决策部署更加坚决。</w:t>
      </w:r>
      <w:r>
        <w:rPr>
          <w:rFonts w:hint="eastAsia" w:ascii="仿宋" w:hAnsi="仿宋" w:eastAsia="仿宋" w:cs="Times New Roman"/>
          <w:kern w:val="2"/>
          <w:sz w:val="32"/>
          <w:szCs w:val="32"/>
          <w:lang w:val="en-US" w:eastAsia="zh-CN" w:bidi="ar-SA"/>
        </w:rPr>
        <w:t>二是</w:t>
      </w:r>
      <w:r>
        <w:rPr>
          <w:rFonts w:hint="default" w:ascii="仿宋" w:hAnsi="仿宋" w:eastAsia="仿宋" w:cs="Times New Roman"/>
          <w:kern w:val="2"/>
          <w:sz w:val="32"/>
          <w:szCs w:val="32"/>
          <w:lang w:val="en-US" w:eastAsia="zh-CN" w:bidi="ar-SA"/>
        </w:rPr>
        <w:t>及时学习贯彻上级的决策部署，特别是习近平新时代中国特色社会主义思想及省市区委领导对政法工作的重要批示、重要讲话，切实做到入脑入心，确保政法机关听党指挥、对党忠诚。</w:t>
      </w:r>
      <w:bookmarkStart w:id="71" w:name="_GoBack"/>
      <w:bookmarkEnd w:id="71"/>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w:t>
      </w:r>
      <w:r>
        <w:rPr>
          <w:rFonts w:hint="default" w:ascii="仿宋" w:hAnsi="仿宋" w:eastAsia="仿宋" w:cs="Times New Roman"/>
          <w:kern w:val="2"/>
          <w:sz w:val="32"/>
          <w:szCs w:val="32"/>
          <w:lang w:val="en-US" w:eastAsia="zh-CN" w:bidi="ar-SA"/>
        </w:rPr>
        <w:t>抓队伍、强素质，教育整顿成效</w:t>
      </w:r>
      <w:r>
        <w:rPr>
          <w:rFonts w:hint="eastAsia" w:ascii="仿宋" w:hAnsi="仿宋" w:eastAsia="仿宋" w:cs="Times New Roman"/>
          <w:kern w:val="2"/>
          <w:sz w:val="32"/>
          <w:szCs w:val="32"/>
          <w:lang w:val="en-US" w:eastAsia="zh-CN" w:bidi="ar-SA"/>
        </w:rPr>
        <w:t>明显</w:t>
      </w:r>
      <w:r>
        <w:rPr>
          <w:rFonts w:hint="default" w:ascii="仿宋" w:hAnsi="仿宋" w:eastAsia="仿宋" w:cs="Times New Roman"/>
          <w:kern w:val="2"/>
          <w:sz w:val="32"/>
          <w:szCs w:val="32"/>
          <w:lang w:val="en-US" w:eastAsia="zh-CN" w:bidi="ar-SA"/>
        </w:rPr>
        <w:t>。一是持续筑牢忠诚根基。二是着力深化查纠整改。三是深入推进建章立制。</w:t>
      </w:r>
      <w:r>
        <w:rPr>
          <w:rFonts w:hint="eastAsia" w:ascii="仿宋" w:hAnsi="仿宋" w:eastAsia="仿宋" w:cs="Times New Roman"/>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w:t>
      </w:r>
      <w:r>
        <w:rPr>
          <w:rFonts w:hint="default" w:ascii="仿宋" w:hAnsi="仿宋" w:eastAsia="仿宋" w:cs="Times New Roman"/>
          <w:kern w:val="2"/>
          <w:sz w:val="32"/>
          <w:szCs w:val="32"/>
          <w:lang w:val="en-US" w:eastAsia="zh-CN" w:bidi="ar-SA"/>
        </w:rPr>
        <w:t>抓源头、促化解，社会大局平稳可控。一是贯彻国家总体安全观，坚守政治安全底线。二是</w:t>
      </w:r>
      <w:r>
        <w:rPr>
          <w:rFonts w:hint="eastAsia" w:ascii="仿宋" w:hAnsi="仿宋" w:eastAsia="仿宋" w:cs="Times New Roman"/>
          <w:kern w:val="2"/>
          <w:sz w:val="32"/>
          <w:szCs w:val="32"/>
          <w:lang w:val="en-US" w:eastAsia="zh-CN" w:bidi="ar-SA"/>
        </w:rPr>
        <w:t>关口前移</w:t>
      </w:r>
      <w:r>
        <w:rPr>
          <w:rFonts w:hint="default" w:ascii="仿宋" w:hAnsi="仿宋" w:eastAsia="仿宋" w:cs="Times New Roman"/>
          <w:kern w:val="2"/>
          <w:sz w:val="32"/>
          <w:szCs w:val="32"/>
          <w:lang w:val="en-US" w:eastAsia="zh-CN" w:bidi="ar-SA"/>
        </w:rPr>
        <w:t>化解</w:t>
      </w:r>
      <w:r>
        <w:rPr>
          <w:rFonts w:hint="eastAsia" w:ascii="仿宋" w:hAnsi="仿宋" w:eastAsia="仿宋" w:cs="Times New Roman"/>
          <w:kern w:val="2"/>
          <w:sz w:val="32"/>
          <w:szCs w:val="32"/>
          <w:lang w:val="en-US" w:eastAsia="zh-CN" w:bidi="ar-SA"/>
        </w:rPr>
        <w:t>矛盾</w:t>
      </w:r>
      <w:r>
        <w:rPr>
          <w:rFonts w:hint="default" w:ascii="仿宋" w:hAnsi="仿宋" w:eastAsia="仿宋" w:cs="Times New Roman"/>
          <w:kern w:val="2"/>
          <w:sz w:val="32"/>
          <w:szCs w:val="32"/>
          <w:lang w:val="en-US" w:eastAsia="zh-CN" w:bidi="ar-SA"/>
        </w:rPr>
        <w:t>，筑牢社会稳定基础。三是</w:t>
      </w:r>
      <w:r>
        <w:rPr>
          <w:rFonts w:hint="eastAsia" w:ascii="仿宋" w:hAnsi="仿宋" w:eastAsia="仿宋" w:cs="Times New Roman"/>
          <w:kern w:val="2"/>
          <w:sz w:val="32"/>
          <w:szCs w:val="32"/>
          <w:lang w:val="en-US" w:eastAsia="zh-CN" w:bidi="ar-SA"/>
        </w:rPr>
        <w:t>把准安保维稳重点</w:t>
      </w:r>
      <w:r>
        <w:rPr>
          <w:rFonts w:hint="default" w:ascii="仿宋" w:hAnsi="仿宋" w:eastAsia="仿宋" w:cs="Times New Roman"/>
          <w:kern w:val="2"/>
          <w:sz w:val="32"/>
          <w:szCs w:val="32"/>
          <w:lang w:val="en-US" w:eastAsia="zh-CN" w:bidi="ar-SA"/>
        </w:rPr>
        <w:t>，确保社会和谐稳定。</w:t>
      </w:r>
    </w:p>
    <w:p>
      <w:pPr>
        <w:pStyle w:val="6"/>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w:t>
      </w:r>
      <w:r>
        <w:rPr>
          <w:rFonts w:hint="default" w:ascii="仿宋" w:hAnsi="仿宋" w:eastAsia="仿宋" w:cs="Times New Roman"/>
          <w:kern w:val="2"/>
          <w:sz w:val="32"/>
          <w:szCs w:val="32"/>
          <w:lang w:val="en-US" w:eastAsia="zh-CN" w:bidi="ar-SA"/>
        </w:rPr>
        <w:t>抓创新、补短板，平安西区持续巩固。一是立体化治安防控基本形成。结合市域社会治理现代化，构建全方位、智能化、立体化社会治安防控体系，完成三级综治中心建设，探索创新网格化服务管理工作，在全市率先完成网格专职化服务管理改革工作</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二是矛盾纠纷多元化解机制逐步完善。三是扫黑除恶斗争常态化推进。</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抓改革、保公平，法治建设稳步推进。一是司法改革蹄疾步稳。以全区机构改革为契机，实现政法、综治、维稳、防邪职能整合。二是为民服务不断优化。三是法治宣传教育持续用力。</w:t>
      </w:r>
    </w:p>
    <w:p>
      <w:pPr>
        <w:pStyle w:val="6"/>
        <w:keepNext w:val="0"/>
        <w:keepLines w:val="0"/>
        <w:pageBreakBefore w:val="0"/>
        <w:kinsoku/>
        <w:wordWrap/>
        <w:overflowPunct/>
        <w:topLinePunct w:val="0"/>
        <w:autoSpaceDE/>
        <w:autoSpaceDN/>
        <w:bidi w:val="0"/>
        <w:adjustRightInd/>
        <w:snapToGrid/>
        <w:spacing w:line="540" w:lineRule="exact"/>
        <w:ind w:firstLine="663"/>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w:t>
      </w:r>
      <w:r>
        <w:rPr>
          <w:rFonts w:hint="default" w:ascii="仿宋" w:hAnsi="仿宋" w:eastAsia="仿宋" w:cs="Times New Roman"/>
          <w:kern w:val="2"/>
          <w:sz w:val="32"/>
          <w:szCs w:val="32"/>
          <w:lang w:val="en-US" w:eastAsia="zh-CN" w:bidi="ar-SA"/>
        </w:rPr>
        <w:t>稳步推进法治西区建设，开展人民群众最不满意行政执法突出问题承诺整改工作，一批犯罪分子被依法严惩，一批涉黑涉恶腐败和“保护伞”被深挖彻查，</w:t>
      </w:r>
      <w:r>
        <w:rPr>
          <w:rFonts w:hint="eastAsia" w:ascii="仿宋" w:hAnsi="仿宋" w:eastAsia="仿宋" w:cs="Times New Roman"/>
          <w:kern w:val="2"/>
          <w:sz w:val="32"/>
          <w:szCs w:val="32"/>
          <w:lang w:val="en-US" w:eastAsia="zh-CN" w:bidi="ar-SA"/>
        </w:rPr>
        <w:t>一批社会乱点乱象得到有效整治，</w:t>
      </w:r>
      <w:r>
        <w:rPr>
          <w:rFonts w:hint="default" w:ascii="仿宋" w:hAnsi="仿宋" w:eastAsia="仿宋" w:cs="Times New Roman"/>
          <w:kern w:val="2"/>
          <w:sz w:val="32"/>
          <w:szCs w:val="32"/>
          <w:lang w:val="en-US" w:eastAsia="zh-CN" w:bidi="ar-SA"/>
        </w:rPr>
        <w:t>扫黑除恶专项斗争成效评价等平安建设满意度部分测评指标</w:t>
      </w:r>
      <w:r>
        <w:rPr>
          <w:rFonts w:hint="eastAsia" w:ascii="仿宋" w:hAnsi="仿宋" w:eastAsia="仿宋" w:cs="Times New Roman"/>
          <w:kern w:val="2"/>
          <w:sz w:val="32"/>
          <w:szCs w:val="32"/>
          <w:lang w:val="en-US" w:eastAsia="zh-CN" w:bidi="ar-SA"/>
        </w:rPr>
        <w:t>取得</w:t>
      </w:r>
      <w:r>
        <w:rPr>
          <w:rFonts w:hint="default" w:ascii="仿宋" w:hAnsi="仿宋" w:eastAsia="仿宋" w:cs="Times New Roman"/>
          <w:kern w:val="2"/>
          <w:sz w:val="32"/>
          <w:szCs w:val="32"/>
          <w:lang w:val="en-US" w:eastAsia="zh-CN" w:bidi="ar-SA"/>
        </w:rPr>
        <w:t>全市第一</w:t>
      </w:r>
      <w:r>
        <w:rPr>
          <w:rFonts w:hint="eastAsia" w:ascii="仿宋" w:hAnsi="仿宋" w:eastAsia="仿宋" w:cs="Times New Roman"/>
          <w:kern w:val="2"/>
          <w:sz w:val="32"/>
          <w:szCs w:val="32"/>
          <w:lang w:val="en-US" w:eastAsia="zh-CN" w:bidi="ar-SA"/>
        </w:rPr>
        <w:t>的可喜成绩</w:t>
      </w:r>
      <w:r>
        <w:rPr>
          <w:rFonts w:hint="default" w:ascii="仿宋" w:hAnsi="仿宋" w:eastAsia="仿宋" w:cs="Times New Roman"/>
          <w:kern w:val="2"/>
          <w:sz w:val="32"/>
          <w:szCs w:val="32"/>
          <w:lang w:val="en-US" w:eastAsia="zh-CN" w:bidi="ar-SA"/>
        </w:rPr>
        <w:t>，行政执法满意度不断提升</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极大增进了人民群众的获得感、幸福感、安全感，有力推动了党风政风和社会风气持续向好，</w:t>
      </w:r>
      <w:r>
        <w:rPr>
          <w:rFonts w:hint="eastAsia" w:ascii="仿宋" w:hAnsi="仿宋" w:eastAsia="仿宋" w:cs="Times New Roman"/>
          <w:kern w:val="2"/>
          <w:sz w:val="32"/>
          <w:szCs w:val="32"/>
          <w:lang w:val="en-US" w:eastAsia="zh-CN" w:bidi="ar-SA"/>
        </w:rPr>
        <w:t>社会大局持续保持和谐稳定，为全区经济高质量发展创造了稳定的社会环境、公正的法治环境、优质的服务环境</w:t>
      </w:r>
      <w:r>
        <w:rPr>
          <w:rFonts w:hint="default" w:ascii="仿宋" w:hAnsi="仿宋" w:eastAsia="仿宋" w:cs="Times New Roman"/>
          <w:kern w:val="2"/>
          <w:sz w:val="32"/>
          <w:szCs w:val="32"/>
          <w:lang w:val="en-US" w:eastAsia="zh-CN" w:bidi="ar-SA"/>
        </w:rPr>
        <w:t xml:space="preserve">。 </w:t>
      </w:r>
      <w:r>
        <w:rPr>
          <w:rFonts w:hint="eastAsia" w:ascii="仿宋" w:hAnsi="仿宋" w:eastAsia="仿宋" w:cs="Times New Roman"/>
          <w:kern w:val="2"/>
          <w:sz w:val="32"/>
          <w:szCs w:val="32"/>
          <w:lang w:val="en-US" w:eastAsia="zh-CN" w:bidi="ar-SA"/>
        </w:rPr>
        <w:t xml:space="preserve">  </w:t>
      </w:r>
    </w:p>
    <w:p>
      <w:pPr>
        <w:pStyle w:val="4"/>
        <w:ind w:firstLine="640" w:firstLineChars="200"/>
        <w:rPr>
          <w:rStyle w:val="30"/>
          <w:b w:val="0"/>
          <w:bCs w:val="0"/>
        </w:rPr>
      </w:pPr>
      <w:bookmarkStart w:id="18" w:name="_Toc15396601"/>
      <w:bookmarkStart w:id="19" w:name="_Toc15377200"/>
      <w:r>
        <w:rPr>
          <w:rFonts w:hint="eastAsia" w:ascii="黑体" w:eastAsia="黑体"/>
          <w:b w:val="0"/>
          <w:lang w:eastAsia="zh-CN"/>
        </w:rPr>
        <w:t>三</w:t>
      </w:r>
      <w:r>
        <w:rPr>
          <w:rFonts w:hint="eastAsia" w:ascii="黑体" w:eastAsia="黑体"/>
          <w:b w:val="0"/>
        </w:rPr>
        <w:t>、</w:t>
      </w:r>
      <w:r>
        <w:rPr>
          <w:rFonts w:hint="eastAsia" w:ascii="黑体" w:hAnsi="黑体" w:eastAsia="黑体"/>
          <w:b w:val="0"/>
        </w:rPr>
        <w:t>机</w:t>
      </w:r>
      <w:r>
        <w:rPr>
          <w:rStyle w:val="30"/>
          <w:rFonts w:hint="eastAsia" w:ascii="黑体" w:hAnsi="黑体" w:eastAsia="黑体"/>
          <w:b w:val="0"/>
          <w:bCs w:val="0"/>
        </w:rPr>
        <w:t>构设置</w:t>
      </w:r>
      <w:bookmarkEnd w:id="18"/>
      <w:bookmarkEnd w:id="19"/>
    </w:p>
    <w:p>
      <w:pPr>
        <w:ind w:firstLine="640" w:firstLineChars="200"/>
        <w:rPr>
          <w:rFonts w:ascii="仿宋" w:hAnsi="仿宋" w:eastAsia="仿宋"/>
          <w:sz w:val="32"/>
          <w:szCs w:val="32"/>
        </w:rPr>
      </w:pPr>
      <w:r>
        <w:rPr>
          <w:rFonts w:hint="eastAsia" w:ascii="仿宋" w:hAnsi="仿宋" w:eastAsia="仿宋"/>
          <w:sz w:val="32"/>
          <w:szCs w:val="32"/>
          <w:lang w:eastAsia="zh-CN"/>
        </w:rPr>
        <w:t>西区政法委</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7"/>
        <w:numPr>
          <w:ilvl w:val="0"/>
          <w:numId w:val="0"/>
        </w:numPr>
        <w:tabs>
          <w:tab w:val="left" w:pos="1063"/>
        </w:tabs>
        <w:adjustRightInd w:val="0"/>
        <w:snapToGrid w:val="0"/>
        <w:spacing w:before="93" w:line="600" w:lineRule="exact"/>
        <w:ind w:left="672" w:leftChars="0"/>
        <w:outlineLvl w:val="2"/>
        <w:rPr>
          <w:rFonts w:hint="eastAsia" w:ascii="仿宋" w:hAnsi="仿宋" w:eastAsia="仿宋" w:cs="Times New Roman"/>
          <w:kern w:val="2"/>
          <w:sz w:val="32"/>
          <w:szCs w:val="32"/>
          <w:lang w:val="en-US" w:eastAsia="zh-CN" w:bidi="ar-SA"/>
        </w:rPr>
      </w:pPr>
      <w:r>
        <w:rPr>
          <w:rFonts w:hint="eastAsia" w:ascii="仿宋" w:hAnsi="仿宋" w:eastAsia="仿宋"/>
          <w:sz w:val="32"/>
          <w:szCs w:val="32"/>
          <w:lang w:eastAsia="zh-CN"/>
        </w:rPr>
        <w:t>西区政法委无</w:t>
      </w:r>
      <w:r>
        <w:rPr>
          <w:rFonts w:hint="eastAsia" w:ascii="仿宋" w:hAnsi="仿宋" w:eastAsia="仿宋"/>
          <w:sz w:val="32"/>
          <w:szCs w:val="32"/>
        </w:rPr>
        <w:t>二级预算单位</w:t>
      </w:r>
      <w:r>
        <w:rPr>
          <w:rFonts w:hint="eastAsia" w:ascii="仿宋" w:hAnsi="仿宋" w:eastAsia="仿宋"/>
          <w:sz w:val="32"/>
          <w:szCs w:val="32"/>
          <w:lang w:eastAsia="zh-CN"/>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9"/>
          <w:rFonts w:ascii="黑体" w:hAnsi="黑体" w:eastAsia="黑体"/>
          <w:b w:val="0"/>
          <w:bCs/>
        </w:rPr>
      </w:pPr>
      <w:bookmarkStart w:id="20" w:name="_Toc15396602"/>
      <w:bookmarkStart w:id="21" w:name="_Toc15377204"/>
      <w:r>
        <w:rPr>
          <w:rFonts w:hint="eastAsia" w:ascii="黑体" w:hAnsi="黑体" w:eastAsia="黑体"/>
          <w:b w:val="0"/>
        </w:rPr>
        <w:t>第二部分 2021年度</w:t>
      </w:r>
      <w:r>
        <w:rPr>
          <w:rStyle w:val="29"/>
          <w:rFonts w:hint="eastAsia" w:ascii="黑体" w:hAnsi="黑体" w:eastAsia="黑体"/>
          <w:b w:val="0"/>
          <w:bCs/>
        </w:rPr>
        <w:t>部门决算情况说明</w:t>
      </w:r>
      <w:bookmarkEnd w:id="20"/>
      <w:bookmarkEnd w:id="21"/>
    </w:p>
    <w:p/>
    <w:p>
      <w:pPr>
        <w:pStyle w:val="28"/>
        <w:numPr>
          <w:ilvl w:val="0"/>
          <w:numId w:val="1"/>
        </w:numPr>
        <w:spacing w:line="600" w:lineRule="exact"/>
        <w:ind w:firstLineChars="0"/>
        <w:outlineLvl w:val="1"/>
        <w:rPr>
          <w:rStyle w:val="30"/>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525.48</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97.15</w:t>
      </w:r>
      <w:r>
        <w:rPr>
          <w:rFonts w:hint="eastAsia" w:ascii="仿宋" w:hAnsi="仿宋" w:eastAsia="仿宋"/>
          <w:sz w:val="32"/>
          <w:szCs w:val="32"/>
        </w:rPr>
        <w:t>万元，下降</w:t>
      </w:r>
      <w:r>
        <w:rPr>
          <w:rFonts w:hint="eastAsia" w:ascii="仿宋" w:hAnsi="仿宋" w:eastAsia="仿宋"/>
          <w:sz w:val="32"/>
          <w:szCs w:val="32"/>
          <w:lang w:val="en-US" w:eastAsia="zh-CN"/>
        </w:rPr>
        <w:t>15.6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"C:\\Users\\w\\AppData\\Roaming\\Tencent\\Users\\248301485\\QQ\\WinTemp\\RichOle\\1VA6Y725IJ85K%N$W%@A$$W.png"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067175" cy="27241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067175" cy="27241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jc w:val="left"/>
        <w:rPr>
          <w:rFonts w:ascii="仿宋_GB2312" w:eastAsia="仿宋_GB2312"/>
          <w:sz w:val="32"/>
          <w:szCs w:val="32"/>
        </w:rPr>
      </w:pPr>
    </w:p>
    <w:p>
      <w:pPr>
        <w:pStyle w:val="28"/>
        <w:numPr>
          <w:ilvl w:val="0"/>
          <w:numId w:val="1"/>
        </w:numPr>
        <w:spacing w:line="600" w:lineRule="exact"/>
        <w:ind w:firstLineChars="0"/>
        <w:outlineLvl w:val="1"/>
        <w:rPr>
          <w:rStyle w:val="30"/>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30"/>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513.14</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483.18</w:t>
      </w:r>
      <w:r>
        <w:rPr>
          <w:rFonts w:hint="eastAsia" w:ascii="仿宋" w:hAnsi="仿宋" w:eastAsia="仿宋"/>
          <w:sz w:val="32"/>
          <w:szCs w:val="32"/>
        </w:rPr>
        <w:t>万元，占</w:t>
      </w:r>
      <w:r>
        <w:rPr>
          <w:rFonts w:hint="eastAsia" w:ascii="仿宋" w:hAnsi="仿宋" w:eastAsia="仿宋"/>
          <w:sz w:val="32"/>
          <w:szCs w:val="32"/>
          <w:lang w:val="en-US" w:eastAsia="zh-CN"/>
        </w:rPr>
        <w:t>94.16</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29.97</w:t>
      </w:r>
      <w:r>
        <w:rPr>
          <w:rFonts w:hint="eastAsia" w:ascii="仿宋" w:hAnsi="仿宋" w:eastAsia="仿宋"/>
          <w:sz w:val="32"/>
          <w:szCs w:val="32"/>
        </w:rPr>
        <w:t>万元，占</w:t>
      </w:r>
      <w:r>
        <w:rPr>
          <w:rFonts w:hint="eastAsia" w:ascii="仿宋" w:hAnsi="仿宋" w:eastAsia="仿宋"/>
          <w:sz w:val="32"/>
          <w:szCs w:val="32"/>
          <w:lang w:val="en-US" w:eastAsia="zh-CN"/>
        </w:rPr>
        <w:t>5.84</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"C:\\Users\\w\\AppData\\Roaming\\Tencent\\Users\\248301485\\QQ\\WinTemp\\RichOle\\{L51EQ8G9CIU)%{65S]G8]2.png"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924300" cy="27336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924300" cy="27336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_GB2312" w:eastAsia="仿宋_GB2312"/>
          <w:sz w:val="32"/>
          <w:szCs w:val="32"/>
        </w:rPr>
      </w:pPr>
    </w:p>
    <w:p>
      <w:pPr>
        <w:pStyle w:val="28"/>
        <w:numPr>
          <w:ilvl w:val="0"/>
          <w:numId w:val="1"/>
        </w:numPr>
        <w:spacing w:line="600" w:lineRule="exact"/>
        <w:ind w:firstLineChars="0"/>
        <w:outlineLvl w:val="1"/>
        <w:rPr>
          <w:rStyle w:val="30"/>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30"/>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525.48</w:t>
      </w:r>
      <w:r>
        <w:rPr>
          <w:rFonts w:hint="eastAsia" w:ascii="仿宋" w:hAnsi="仿宋" w:eastAsia="仿宋"/>
          <w:sz w:val="32"/>
          <w:szCs w:val="32"/>
        </w:rPr>
        <w:t>万元，其中：基本支出</w:t>
      </w:r>
      <w:r>
        <w:rPr>
          <w:rFonts w:hint="eastAsia" w:ascii="仿宋" w:hAnsi="仿宋" w:eastAsia="仿宋"/>
          <w:sz w:val="32"/>
          <w:szCs w:val="32"/>
          <w:lang w:val="en-US" w:eastAsia="zh-CN"/>
        </w:rPr>
        <w:t>326.02</w:t>
      </w:r>
      <w:r>
        <w:rPr>
          <w:rFonts w:hint="eastAsia" w:ascii="仿宋" w:hAnsi="仿宋" w:eastAsia="仿宋"/>
          <w:sz w:val="32"/>
          <w:szCs w:val="32"/>
        </w:rPr>
        <w:t>万元，占</w:t>
      </w:r>
      <w:r>
        <w:rPr>
          <w:rFonts w:hint="eastAsia" w:ascii="仿宋" w:hAnsi="仿宋" w:eastAsia="仿宋"/>
          <w:sz w:val="32"/>
          <w:szCs w:val="32"/>
          <w:lang w:val="en-US" w:eastAsia="zh-CN"/>
        </w:rPr>
        <w:t>62.04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199.46</w:t>
      </w:r>
      <w:r>
        <w:rPr>
          <w:rFonts w:hint="eastAsia" w:ascii="仿宋" w:hAnsi="仿宋" w:eastAsia="仿宋"/>
          <w:sz w:val="32"/>
          <w:szCs w:val="32"/>
        </w:rPr>
        <w:t>万元，占</w:t>
      </w:r>
      <w:r>
        <w:rPr>
          <w:rFonts w:hint="eastAsia" w:ascii="仿宋" w:hAnsi="仿宋" w:eastAsia="仿宋"/>
          <w:sz w:val="32"/>
          <w:szCs w:val="32"/>
          <w:lang w:val="en-US" w:eastAsia="zh-CN"/>
        </w:rPr>
        <w:t>37.96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"C:\\Users\\w\\AppData\\Roaming\\Tencent\\Users\\248301485\\QQ\\WinTemp\\RichOle\\VW%(AW$(}2AQ)Y_U38B)B4J.png"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200525" cy="27146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4200525" cy="27146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0"/>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525.48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20年相比，财政拨款收、支总计各减少</w:t>
      </w:r>
      <w:r>
        <w:rPr>
          <w:rFonts w:hint="eastAsia" w:ascii="仿宋" w:hAnsi="仿宋" w:eastAsia="仿宋"/>
          <w:sz w:val="32"/>
          <w:szCs w:val="32"/>
          <w:lang w:val="en-US" w:eastAsia="zh-CN"/>
        </w:rPr>
        <w:t>96.98</w:t>
      </w:r>
      <w:r>
        <w:rPr>
          <w:rFonts w:hint="eastAsia" w:ascii="仿宋" w:hAnsi="仿宋" w:eastAsia="仿宋"/>
          <w:sz w:val="32"/>
          <w:szCs w:val="32"/>
        </w:rPr>
        <w:t>万元，下降</w:t>
      </w:r>
      <w:r>
        <w:rPr>
          <w:rFonts w:hint="eastAsia" w:ascii="仿宋" w:hAnsi="仿宋" w:eastAsia="仿宋"/>
          <w:sz w:val="32"/>
          <w:szCs w:val="32"/>
          <w:lang w:val="en-US" w:eastAsia="zh-CN"/>
        </w:rPr>
        <w:t>15.58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"C:\\Users\\w\\AppData\\Roaming\\Tencent\\Users\\248301485\\QQ\\WinTemp\\RichOle\\G{7$A@QHMK7PY(8FP[GB)@0.png"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086225" cy="267652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4086225" cy="26765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rPr>
          <w:rFonts w:ascii="仿宋" w:hAnsi="仿宋" w:eastAsia="仿宋"/>
          <w:b/>
          <w:sz w:val="32"/>
          <w:szCs w:val="32"/>
        </w:rPr>
      </w:pPr>
    </w:p>
    <w:p>
      <w:pPr>
        <w:spacing w:line="600" w:lineRule="exact"/>
        <w:ind w:firstLine="640" w:firstLineChars="200"/>
        <w:outlineLvl w:val="1"/>
        <w:rPr>
          <w:rStyle w:val="30"/>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495.51</w:t>
      </w:r>
      <w:r>
        <w:rPr>
          <w:rFonts w:hint="eastAsia" w:ascii="仿宋" w:hAnsi="仿宋" w:eastAsia="仿宋"/>
          <w:sz w:val="32"/>
          <w:szCs w:val="32"/>
        </w:rPr>
        <w:t>万元，占本年支出合计的</w:t>
      </w:r>
      <w:r>
        <w:rPr>
          <w:rFonts w:hint="eastAsia" w:ascii="仿宋" w:hAnsi="仿宋" w:eastAsia="仿宋"/>
          <w:sz w:val="32"/>
          <w:szCs w:val="32"/>
          <w:lang w:val="en-US" w:eastAsia="zh-CN"/>
        </w:rPr>
        <w:t>94.29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23.01</w:t>
      </w:r>
      <w:r>
        <w:rPr>
          <w:rFonts w:hint="eastAsia" w:ascii="仿宋" w:hAnsi="仿宋" w:eastAsia="仿宋"/>
          <w:sz w:val="32"/>
          <w:szCs w:val="32"/>
        </w:rPr>
        <w:t>万元，增长</w:t>
      </w:r>
      <w:r>
        <w:rPr>
          <w:rFonts w:hint="eastAsia" w:ascii="仿宋" w:hAnsi="仿宋" w:eastAsia="仿宋"/>
          <w:sz w:val="32"/>
          <w:szCs w:val="32"/>
          <w:lang w:val="en-US" w:eastAsia="zh-CN"/>
        </w:rPr>
        <w:t>4.86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项目经费增加。</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"C:\\Users\\w\\AppData\\Roaming\\Tencent\\Users\\248301485\\QQ\\WinTemp\\RichOle\\F0J6CQGG%U`_6EW_90ED05Y.png"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232150" cy="2080260"/>
            <wp:effectExtent l="0" t="0" r="6350" b="1524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tretch>
                      <a:fillRect/>
                    </a:stretch>
                  </pic:blipFill>
                  <pic:spPr>
                    <a:xfrm>
                      <a:off x="0" y="0"/>
                      <a:ext cx="3232150" cy="20802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495.51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389.05</w:t>
      </w:r>
      <w:r>
        <w:rPr>
          <w:rFonts w:hint="eastAsia" w:ascii="仿宋" w:hAnsi="仿宋" w:eastAsia="仿宋"/>
          <w:sz w:val="32"/>
          <w:szCs w:val="32"/>
        </w:rPr>
        <w:t>万元，占</w:t>
      </w:r>
      <w:r>
        <w:rPr>
          <w:rFonts w:hint="eastAsia" w:ascii="仿宋" w:hAnsi="仿宋" w:eastAsia="仿宋"/>
          <w:sz w:val="32"/>
          <w:szCs w:val="32"/>
          <w:lang w:val="en-US" w:eastAsia="zh-CN"/>
        </w:rPr>
        <w:t>78.52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公共安全支出</w:t>
      </w:r>
      <w:r>
        <w:rPr>
          <w:rFonts w:hint="eastAsia" w:ascii="仿宋" w:hAnsi="仿宋" w:eastAsia="仿宋"/>
          <w:b/>
          <w:sz w:val="32"/>
          <w:szCs w:val="32"/>
          <w:lang w:eastAsia="zh-CN"/>
        </w:rPr>
        <w:t>（类）</w:t>
      </w:r>
      <w:r>
        <w:rPr>
          <w:rFonts w:hint="eastAsia" w:ascii="仿宋" w:hAnsi="仿宋" w:eastAsia="仿宋"/>
          <w:sz w:val="32"/>
          <w:szCs w:val="32"/>
          <w:lang w:val="en-US" w:eastAsia="zh-CN"/>
        </w:rPr>
        <w:t>12.34万元，占2.49%；</w:t>
      </w:r>
      <w:r>
        <w:rPr>
          <w:rFonts w:hint="eastAsia" w:ascii="仿宋" w:hAnsi="仿宋" w:eastAsia="仿宋"/>
          <w:b/>
          <w:sz w:val="32"/>
          <w:szCs w:val="32"/>
        </w:rPr>
        <w:t>教育支出（类）</w:t>
      </w:r>
      <w:r>
        <w:rPr>
          <w:rFonts w:hint="eastAsia" w:ascii="仿宋" w:hAnsi="仿宋" w:eastAsia="仿宋"/>
          <w:sz w:val="32"/>
          <w:szCs w:val="32"/>
          <w:lang w:val="en-US" w:eastAsia="zh-CN"/>
        </w:rPr>
        <w:t>20</w:t>
      </w:r>
      <w:r>
        <w:rPr>
          <w:rFonts w:hint="eastAsia" w:ascii="仿宋" w:hAnsi="仿宋" w:eastAsia="仿宋"/>
          <w:sz w:val="32"/>
          <w:szCs w:val="32"/>
        </w:rPr>
        <w:t>万元，占</w:t>
      </w:r>
      <w:r>
        <w:rPr>
          <w:rFonts w:hint="eastAsia" w:ascii="仿宋" w:hAnsi="仿宋" w:eastAsia="仿宋"/>
          <w:sz w:val="32"/>
          <w:szCs w:val="32"/>
          <w:lang w:val="en-US" w:eastAsia="zh-CN"/>
        </w:rPr>
        <w:t>4.04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27.43</w:t>
      </w:r>
      <w:r>
        <w:rPr>
          <w:rFonts w:hint="eastAsia" w:ascii="仿宋" w:hAnsi="仿宋" w:eastAsia="仿宋"/>
          <w:sz w:val="32"/>
          <w:szCs w:val="32"/>
        </w:rPr>
        <w:t>万元，占</w:t>
      </w:r>
      <w:r>
        <w:rPr>
          <w:rFonts w:hint="eastAsia" w:ascii="仿宋" w:hAnsi="仿宋" w:eastAsia="仿宋"/>
          <w:sz w:val="32"/>
          <w:szCs w:val="32"/>
          <w:lang w:val="en-US" w:eastAsia="zh-CN"/>
        </w:rPr>
        <w:t>5.53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19</w:t>
      </w:r>
      <w:r>
        <w:rPr>
          <w:rFonts w:hint="eastAsia" w:ascii="仿宋" w:hAnsi="仿宋" w:eastAsia="仿宋"/>
          <w:sz w:val="32"/>
          <w:szCs w:val="32"/>
        </w:rPr>
        <w:t>万元，占</w:t>
      </w:r>
      <w:r>
        <w:rPr>
          <w:rFonts w:hint="eastAsia" w:ascii="仿宋" w:hAnsi="仿宋" w:eastAsia="仿宋"/>
          <w:sz w:val="32"/>
          <w:szCs w:val="32"/>
          <w:lang w:val="en-US" w:eastAsia="zh-CN"/>
        </w:rPr>
        <w:t>3.83</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27.7</w:t>
      </w:r>
      <w:r>
        <w:rPr>
          <w:rFonts w:hint="eastAsia" w:ascii="仿宋" w:hAnsi="仿宋" w:eastAsia="仿宋"/>
          <w:sz w:val="32"/>
          <w:szCs w:val="32"/>
        </w:rPr>
        <w:t>万元，占</w:t>
      </w:r>
      <w:r>
        <w:rPr>
          <w:rFonts w:hint="eastAsia" w:ascii="仿宋" w:hAnsi="仿宋" w:eastAsia="仿宋"/>
          <w:sz w:val="32"/>
          <w:szCs w:val="32"/>
          <w:lang w:val="en-US" w:eastAsia="zh-CN"/>
        </w:rPr>
        <w:t>5.59</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"C:\\Users\\w\\AppData\\Roaming\\Tencent\\Users\\248301485\\QQ\\WinTemp\\RichOle\\8$S@YMUXR8WGG]I)Y%076K9.png"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038600" cy="267652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4038600" cy="26765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7444"/>
      <w:bookmarkStart w:id="36" w:name="_Toc15378460"/>
      <w:bookmarkStart w:id="37" w:name="_Toc15377213"/>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495.51</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一般公共服务支出（类）</w:t>
      </w:r>
      <w:r>
        <w:rPr>
          <w:rStyle w:val="17"/>
          <w:rFonts w:hint="eastAsia" w:ascii="仿宋" w:hAnsi="仿宋" w:eastAsia="仿宋"/>
          <w:bCs/>
          <w:color w:val="000000"/>
          <w:sz w:val="32"/>
          <w:szCs w:val="32"/>
          <w:lang w:eastAsia="zh-CN"/>
        </w:rPr>
        <w:t>其他共产党事务支出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行政运行</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2.</w:t>
      </w:r>
      <w:r>
        <w:rPr>
          <w:rStyle w:val="17"/>
          <w:rFonts w:hint="eastAsia" w:ascii="仿宋" w:hAnsi="仿宋" w:eastAsia="仿宋"/>
          <w:bCs/>
          <w:color w:val="000000"/>
          <w:sz w:val="32"/>
          <w:szCs w:val="32"/>
        </w:rPr>
        <w:t>一般公共服务支出（类）</w:t>
      </w:r>
      <w:r>
        <w:rPr>
          <w:rStyle w:val="17"/>
          <w:rFonts w:hint="eastAsia" w:ascii="仿宋" w:hAnsi="仿宋" w:eastAsia="仿宋"/>
          <w:bCs/>
          <w:color w:val="000000"/>
          <w:sz w:val="32"/>
          <w:szCs w:val="32"/>
          <w:lang w:eastAsia="zh-CN"/>
        </w:rPr>
        <w:t>其他共产党事务支出</w:t>
      </w:r>
      <w:r>
        <w:rPr>
          <w:rStyle w:val="17"/>
          <w:rFonts w:hint="eastAsia" w:ascii="仿宋" w:hAnsi="仿宋" w:eastAsia="仿宋"/>
          <w:bCs/>
          <w:color w:val="000000"/>
          <w:sz w:val="32"/>
          <w:szCs w:val="32"/>
        </w:rPr>
        <w:t>（款）一般行政管理事务（项）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w:t>
      </w:r>
      <w:r>
        <w:rPr>
          <w:rStyle w:val="17"/>
          <w:rFonts w:hint="eastAsia" w:ascii="仿宋" w:hAnsi="仿宋" w:eastAsia="仿宋"/>
          <w:b w:val="0"/>
          <w:bCs/>
          <w:color w:val="000000"/>
          <w:sz w:val="32"/>
          <w:szCs w:val="32"/>
          <w:lang w:val="en-US" w:eastAsia="zh-CN"/>
        </w:rPr>
        <w:t>0.24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一般公共服务支出（类）</w:t>
      </w:r>
      <w:r>
        <w:rPr>
          <w:rStyle w:val="17"/>
          <w:rFonts w:hint="eastAsia" w:ascii="仿宋" w:hAnsi="仿宋" w:eastAsia="仿宋"/>
          <w:bCs/>
          <w:color w:val="000000"/>
          <w:sz w:val="32"/>
          <w:szCs w:val="32"/>
          <w:lang w:eastAsia="zh-CN"/>
        </w:rPr>
        <w:t>其他共产党事务支出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事业运行（</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140.89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4.</w:t>
      </w:r>
      <w:r>
        <w:rPr>
          <w:rStyle w:val="17"/>
          <w:rFonts w:hint="eastAsia" w:ascii="仿宋" w:hAnsi="仿宋" w:eastAsia="仿宋"/>
          <w:bCs/>
          <w:color w:val="000000"/>
          <w:sz w:val="32"/>
          <w:szCs w:val="32"/>
        </w:rPr>
        <w:t>一般公共服务支出（类）</w:t>
      </w:r>
      <w:r>
        <w:rPr>
          <w:rStyle w:val="17"/>
          <w:rFonts w:hint="eastAsia" w:ascii="仿宋" w:hAnsi="仿宋" w:eastAsia="仿宋"/>
          <w:bCs/>
          <w:color w:val="000000"/>
          <w:sz w:val="32"/>
          <w:szCs w:val="32"/>
          <w:lang w:eastAsia="zh-CN"/>
        </w:rPr>
        <w:t>其他共产党事务支出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其他共产党事务支出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136.92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5.</w:t>
      </w:r>
      <w:r>
        <w:rPr>
          <w:rStyle w:val="17"/>
          <w:rFonts w:hint="eastAsia" w:ascii="仿宋" w:hAnsi="仿宋" w:eastAsia="仿宋"/>
          <w:bCs/>
          <w:color w:val="000000"/>
          <w:sz w:val="32"/>
          <w:szCs w:val="32"/>
        </w:rPr>
        <w:t>公共安全支出（类）</w:t>
      </w:r>
      <w:r>
        <w:rPr>
          <w:rStyle w:val="17"/>
          <w:rFonts w:hint="eastAsia" w:ascii="仿宋" w:hAnsi="仿宋" w:eastAsia="仿宋"/>
          <w:bCs/>
          <w:color w:val="000000"/>
          <w:sz w:val="32"/>
          <w:szCs w:val="32"/>
          <w:lang w:eastAsia="zh-CN"/>
        </w:rPr>
        <w:t>公安</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一般行政管理事务</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eastAsia="zh-CN"/>
        </w:rPr>
        <w:t>0</w:t>
      </w:r>
      <w:r>
        <w:rPr>
          <w:rStyle w:val="17"/>
          <w:rFonts w:hint="eastAsia" w:ascii="仿宋" w:hAnsi="仿宋" w:eastAsia="仿宋"/>
          <w:b w:val="0"/>
          <w:bCs/>
          <w:color w:val="000000"/>
          <w:sz w:val="32"/>
          <w:szCs w:val="32"/>
          <w:lang w:val="en-US" w:eastAsia="zh-CN"/>
        </w:rPr>
        <w:t>.03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ascii="仿宋" w:hAnsi="仿宋" w:eastAsia="仿宋"/>
          <w:bCs/>
          <w:color w:val="000000"/>
          <w:sz w:val="32"/>
          <w:szCs w:val="32"/>
        </w:rPr>
        <w:t>6.</w:t>
      </w:r>
      <w:r>
        <w:rPr>
          <w:rStyle w:val="17"/>
          <w:rFonts w:hint="eastAsia" w:ascii="仿宋" w:hAnsi="仿宋" w:eastAsia="仿宋"/>
          <w:bCs/>
          <w:color w:val="000000"/>
          <w:sz w:val="32"/>
          <w:szCs w:val="32"/>
        </w:rPr>
        <w:t>公共安全支出（类）</w:t>
      </w:r>
      <w:r>
        <w:rPr>
          <w:rStyle w:val="17"/>
          <w:rFonts w:hint="eastAsia" w:ascii="仿宋" w:hAnsi="仿宋" w:eastAsia="仿宋"/>
          <w:bCs/>
          <w:color w:val="000000"/>
          <w:sz w:val="32"/>
          <w:szCs w:val="32"/>
          <w:lang w:eastAsia="zh-CN"/>
        </w:rPr>
        <w:t>公安</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其他公共安全支出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12.31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教育支出（类）</w:t>
      </w:r>
      <w:r>
        <w:rPr>
          <w:rStyle w:val="17"/>
          <w:rFonts w:hint="eastAsia" w:ascii="仿宋" w:hAnsi="仿宋" w:eastAsia="仿宋"/>
          <w:bCs/>
          <w:color w:val="000000"/>
          <w:sz w:val="32"/>
          <w:szCs w:val="32"/>
          <w:lang w:eastAsia="zh-CN"/>
        </w:rPr>
        <w:t>职业教育</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其他职业教育支出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8</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w:t>
      </w:r>
      <w:r>
        <w:rPr>
          <w:rStyle w:val="17"/>
          <w:rFonts w:hint="eastAsia" w:ascii="仿宋" w:hAnsi="仿宋" w:eastAsia="仿宋"/>
          <w:bCs/>
          <w:color w:val="000000"/>
          <w:sz w:val="32"/>
          <w:szCs w:val="32"/>
          <w:lang w:eastAsia="zh-CN"/>
        </w:rPr>
        <w:t>行政事业单位养老支出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行政单位离退休</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6.67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9</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w:t>
      </w:r>
      <w:r>
        <w:rPr>
          <w:rStyle w:val="17"/>
          <w:rFonts w:hint="eastAsia" w:ascii="仿宋" w:hAnsi="仿宋" w:eastAsia="仿宋"/>
          <w:bCs/>
          <w:color w:val="000000"/>
          <w:sz w:val="32"/>
          <w:szCs w:val="32"/>
          <w:lang w:eastAsia="zh-CN"/>
        </w:rPr>
        <w:t>行政事业单位养老支出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机关事业单位基本养老保险缴费支出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20.76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卫生健康支出（类）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7.3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卫生健康支出（类）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事业单位医疗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10.13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卫生健康支出（类）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公务员医疗补助</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住房保障支出类）</w:t>
      </w:r>
      <w:r>
        <w:rPr>
          <w:rStyle w:val="17"/>
          <w:rFonts w:hint="eastAsia" w:ascii="仿宋" w:hAnsi="仿宋" w:eastAsia="仿宋"/>
          <w:bCs/>
          <w:color w:val="000000"/>
          <w:sz w:val="32"/>
          <w:szCs w:val="32"/>
          <w:lang w:eastAsia="zh-CN"/>
        </w:rPr>
        <w:t>住房改革支出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住房公积金</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27.7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lang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30"/>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8"/>
      <w:bookmarkEnd w:id="39"/>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326.02</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289.38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36.64</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rPr>
      </w:pPr>
      <w:bookmarkStart w:id="40" w:name="_Toc15396609"/>
      <w:bookmarkStart w:id="41" w:name="_Toc15377215"/>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4" w:name="_Toc15396610"/>
      <w:bookmarkStart w:id="45" w:name="_Toc15377218"/>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29.97</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46" w:name="_Toc15377219"/>
      <w:bookmarkStart w:id="47" w:name="_Toc15396611"/>
      <w:r>
        <w:rPr>
          <w:rStyle w:val="30"/>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48" w:name="_Toc15396612"/>
      <w:bookmarkStart w:id="49" w:name="_Toc15377221"/>
      <w:r>
        <w:rPr>
          <w:rStyle w:val="30"/>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西区政法委</w:t>
      </w:r>
      <w:r>
        <w:rPr>
          <w:rFonts w:hint="eastAsia" w:ascii="仿宋_GB2312" w:eastAsia="仿宋_GB2312"/>
          <w:sz w:val="32"/>
          <w:szCs w:val="32"/>
        </w:rPr>
        <w:t>机关运行经费支出</w:t>
      </w:r>
      <w:r>
        <w:rPr>
          <w:rFonts w:hint="eastAsia" w:ascii="仿宋_GB2312" w:eastAsia="仿宋_GB2312"/>
          <w:sz w:val="32"/>
          <w:szCs w:val="32"/>
          <w:lang w:val="en-US" w:eastAsia="zh-CN"/>
        </w:rPr>
        <w:t>36.64</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12.52</w:t>
      </w:r>
      <w:r>
        <w:rPr>
          <w:rFonts w:hint="eastAsia" w:ascii="仿宋_GB2312" w:eastAsia="仿宋_GB2312"/>
          <w:sz w:val="32"/>
          <w:szCs w:val="32"/>
        </w:rPr>
        <w:t>万元，增长</w:t>
      </w:r>
      <w:r>
        <w:rPr>
          <w:rFonts w:hint="eastAsia" w:ascii="仿宋_GB2312" w:eastAsia="仿宋_GB2312"/>
          <w:sz w:val="32"/>
          <w:szCs w:val="32"/>
          <w:lang w:val="en-US" w:eastAsia="zh-CN"/>
        </w:rPr>
        <w:t>51.91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差旅费增加。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西区政法委</w:t>
      </w:r>
      <w:r>
        <w:rPr>
          <w:rFonts w:hint="eastAsia" w:ascii="仿宋_GB2312" w:eastAsia="仿宋_GB2312"/>
          <w:sz w:val="32"/>
          <w:szCs w:val="32"/>
        </w:rPr>
        <w:t>政府采购支出总额</w:t>
      </w:r>
      <w:r>
        <w:rPr>
          <w:rFonts w:hint="eastAsia" w:ascii="仿宋_GB2312" w:eastAsia="仿宋_GB2312"/>
          <w:sz w:val="32"/>
          <w:szCs w:val="32"/>
          <w:lang w:val="en-US" w:eastAsia="zh-CN"/>
        </w:rPr>
        <w:t>5.45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5.45</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西区政法委</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根据预算绩效管理要求，本部门在2021年度预算编制阶段，组织对平安攀枝花建设专项经费</w:t>
      </w:r>
      <w:r>
        <w:rPr>
          <w:rFonts w:hint="eastAsia" w:ascii="仿宋_GB2312" w:hAnsi="仿宋_GB2312" w:eastAsia="仿宋_GB2312" w:cs="仿宋_GB2312"/>
          <w:sz w:val="32"/>
          <w:szCs w:val="32"/>
          <w:lang w:eastAsia="zh-CN"/>
        </w:rPr>
        <w:t>、矛盾纠纷多元化解（大调解）专项经费社会治安防控专项工作经费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eastAsia="仿宋_GB2312"/>
          <w:sz w:val="32"/>
          <w:szCs w:val="32"/>
          <w:lang w:eastAsia="zh-CN"/>
        </w:rPr>
        <w:t>西区政法委</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9"/>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29"/>
          <w:rFonts w:hint="eastAsia" w:ascii="黑体" w:hAnsi="黑体" w:eastAsia="黑体"/>
          <w:b w:val="0"/>
        </w:rPr>
        <w:t>词解释</w:t>
      </w:r>
      <w:bookmarkEnd w:id="53"/>
      <w:bookmarkEnd w:id="54"/>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w:t>
      </w:r>
      <w:r>
        <w:rPr>
          <w:rFonts w:hint="eastAsia" w:ascii="仿宋_GB2312" w:eastAsia="仿宋_GB2312"/>
          <w:color w:val="auto"/>
          <w:sz w:val="32"/>
          <w:szCs w:val="32"/>
          <w:highlight w:val="none"/>
          <w:lang w:eastAsia="zh-CN"/>
        </w:rPr>
        <w:t>利息收入</w:t>
      </w:r>
      <w:r>
        <w:rPr>
          <w:rFonts w:hint="eastAsia" w:ascii="仿宋_GB2312" w:eastAsia="仿宋_GB2312"/>
          <w:color w:val="auto"/>
          <w:sz w:val="32"/>
          <w:szCs w:val="32"/>
          <w:highlight w:val="none"/>
        </w:rPr>
        <w:t>（收入类型）等。</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ascii="仿宋_GB2312" w:eastAsia="仿宋_GB2312"/>
          <w:sz w:val="32"/>
          <w:szCs w:val="32"/>
          <w:highlight w:val="none"/>
        </w:rPr>
        <w:t>.</w:t>
      </w:r>
      <w:r>
        <w:rPr>
          <w:rFonts w:hint="eastAsia" w:ascii="仿宋_GB2312" w:eastAsia="仿宋_GB2312"/>
          <w:sz w:val="32"/>
          <w:szCs w:val="32"/>
          <w:highlight w:val="none"/>
        </w:rPr>
        <w:t>一般公共服务（类）其他共产党事务支出（款）行政运行（项）：指</w:t>
      </w:r>
      <w:r>
        <w:rPr>
          <w:rFonts w:hint="eastAsia" w:ascii="仿宋_GB2312" w:eastAsia="仿宋_GB2312"/>
          <w:sz w:val="32"/>
          <w:szCs w:val="32"/>
          <w:highlight w:val="none"/>
          <w:lang w:eastAsia="zh-CN"/>
        </w:rPr>
        <w:t>反映行政单位（包括实行公务员管理的事业单位）的基本支出</w:t>
      </w:r>
      <w:r>
        <w:rPr>
          <w:rFonts w:hint="eastAsia" w:ascii="仿宋_GB2312" w:eastAsia="仿宋_GB2312"/>
          <w:sz w:val="32"/>
          <w:szCs w:val="32"/>
          <w:highlight w:val="none"/>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一般公共服务（类）其他共产党事务支出（款）一般行政管理事务（项）：指</w:t>
      </w:r>
      <w:r>
        <w:rPr>
          <w:rFonts w:hint="eastAsia" w:ascii="仿宋_GB2312" w:eastAsia="仿宋_GB2312"/>
          <w:sz w:val="32"/>
          <w:szCs w:val="32"/>
          <w:lang w:eastAsia="zh-CN"/>
        </w:rPr>
        <w:t>反映行政单位（包括实行公务员管理的事业单位）未单独设置项级科目的其他项目支出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一般公共服务（类）其他共产党事务支出（款）事业运行（项）：指</w:t>
      </w:r>
      <w:r>
        <w:rPr>
          <w:rFonts w:hint="eastAsia" w:ascii="仿宋_GB2312" w:eastAsia="仿宋_GB2312"/>
          <w:sz w:val="32"/>
          <w:szCs w:val="32"/>
          <w:lang w:eastAsia="zh-CN"/>
        </w:rPr>
        <w:t>反映事业单位的基本支出，不包括行政单位（包括实行公务员管理的事业单位）后勤服务中心、医务室等附属事业单位</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一般公共服务（类）其他共产党事务支出（款）其他共产党事务支出（项）：指</w:t>
      </w:r>
      <w:r>
        <w:rPr>
          <w:rFonts w:hint="eastAsia" w:ascii="仿宋_GB2312" w:eastAsia="仿宋_GB2312"/>
          <w:sz w:val="32"/>
          <w:szCs w:val="32"/>
          <w:lang w:eastAsia="zh-CN"/>
        </w:rPr>
        <w:t>反映除上述项目以外其他用于中国共产党事务的支出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公共安全支出（类）公安（款）一般行政管理事务（项）：指</w:t>
      </w:r>
      <w:r>
        <w:rPr>
          <w:rFonts w:hint="eastAsia" w:ascii="仿宋_GB2312" w:eastAsia="仿宋_GB2312"/>
          <w:sz w:val="32"/>
          <w:szCs w:val="32"/>
          <w:lang w:eastAsia="zh-CN"/>
        </w:rPr>
        <w:t>反映行政单位（包括实行公务员管理的事业单位）未单独设置项级科目的其他项目支出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公共安全支出（类）其他公共安全支出（款）其他公共安全支出（项）：指</w:t>
      </w:r>
      <w:r>
        <w:rPr>
          <w:rFonts w:hint="eastAsia" w:ascii="仿宋_GB2312" w:eastAsia="仿宋_GB2312"/>
          <w:sz w:val="32"/>
          <w:szCs w:val="32"/>
          <w:lang w:eastAsia="zh-CN"/>
        </w:rPr>
        <w:t>反映除上述项目以外其他用于公共安全方面的支出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教育支出（类）职业教育（款）其他职业教育支出（项）：指</w:t>
      </w:r>
      <w:r>
        <w:rPr>
          <w:rFonts w:hint="eastAsia" w:ascii="仿宋_GB2312" w:eastAsia="仿宋_GB2312"/>
          <w:sz w:val="32"/>
          <w:szCs w:val="32"/>
          <w:lang w:eastAsia="zh-CN"/>
        </w:rPr>
        <w:t>反映除上述项目以外其他用于职业教育方面的支出</w:t>
      </w:r>
      <w:r>
        <w:rPr>
          <w:rFonts w:hint="eastAsia" w:ascii="仿宋_GB2312" w:eastAsia="仿宋_GB2312"/>
          <w:sz w:val="32"/>
          <w:szCs w:val="32"/>
        </w:rPr>
        <w:t>。</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1</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（类）行政事业单位养老支出（款）行政单位离退休</w:t>
      </w:r>
      <w:r>
        <w:rPr>
          <w:rFonts w:hint="eastAsia" w:ascii="Times New Roman" w:hAnsi="Times New Roman" w:eastAsia="仿宋_GB2312" w:cs="Times New Roman"/>
          <w:sz w:val="32"/>
          <w:szCs w:val="32"/>
          <w:lang w:eastAsia="zh-CN"/>
        </w:rPr>
        <w:t>（项）</w:t>
      </w:r>
      <w:r>
        <w:rPr>
          <w:rFonts w:hint="eastAsia" w:ascii="Times New Roman" w:hAnsi="Times New Roman" w:eastAsia="仿宋_GB2312" w:cs="Times New Roman"/>
          <w:sz w:val="32"/>
          <w:szCs w:val="32"/>
        </w:rPr>
        <w:t>:指行政单位（包括实行公务员管理的事业单位）开支的离退休支出。</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1</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（类）行政事业单位养老支出（款）机关事业单位基本养老保险缴费支出</w:t>
      </w:r>
      <w:r>
        <w:rPr>
          <w:rFonts w:hint="eastAsia" w:ascii="Times New Roman" w:hAnsi="Times New Roman" w:eastAsia="仿宋_GB2312" w:cs="Times New Roman"/>
          <w:sz w:val="32"/>
          <w:szCs w:val="32"/>
          <w:lang w:eastAsia="zh-CN"/>
        </w:rPr>
        <w:t>（项）</w:t>
      </w:r>
      <w:r>
        <w:rPr>
          <w:rFonts w:hint="eastAsia" w:ascii="Times New Roman" w:hAnsi="Times New Roman" w:eastAsia="仿宋_GB2312" w:cs="Times New Roman"/>
          <w:sz w:val="32"/>
          <w:szCs w:val="32"/>
        </w:rPr>
        <w:t>：指机关事业单位实施养老保险制度有单位缴纳的基本养老保险费支出。</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1</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 xml:space="preserve">卫生健康支出支出（类） 行政事业单位医疗支出（款） </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行政单位医疗</w:t>
      </w:r>
      <w:r>
        <w:rPr>
          <w:rFonts w:hint="eastAsia" w:ascii="Times New Roman" w:hAnsi="Times New Roman" w:eastAsia="仿宋_GB2312" w:cs="Times New Roman"/>
          <w:sz w:val="32"/>
          <w:szCs w:val="32"/>
          <w:lang w:eastAsia="zh-CN"/>
        </w:rPr>
        <w:t>（项）</w:t>
      </w:r>
      <w:r>
        <w:rPr>
          <w:rFonts w:hint="eastAsia" w:ascii="Times New Roman" w:hAnsi="Times New Roman" w:eastAsia="仿宋_GB2312" w:cs="Times New Roman"/>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1</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卫生健康支出支出（类）行政事业单位医疗支出（款）</w:t>
      </w:r>
      <w:r>
        <w:rPr>
          <w:rFonts w:hint="eastAsia" w:ascii="Times New Roman" w:hAnsi="Times New Roman" w:eastAsia="仿宋_GB2312" w:cs="Times New Roman"/>
          <w:sz w:val="32"/>
          <w:szCs w:val="32"/>
          <w:lang w:eastAsia="zh-CN"/>
        </w:rPr>
        <w:t>事业单位医疗（项）：反映财政部门安排的事业单位基本医疗保险缴费经费，未参加医疗保险的事业单位的公费医疗经费，按国家规定享受离休人员待遇的医疗经费。</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16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卫生健康支出支出（类）行政事业单位医疗支出（款）公务员医疗补助</w:t>
      </w:r>
      <w:r>
        <w:rPr>
          <w:rFonts w:hint="eastAsia" w:ascii="Times New Roman" w:hAnsi="Times New Roman" w:eastAsia="仿宋_GB2312" w:cs="Times New Roman"/>
          <w:sz w:val="32"/>
          <w:szCs w:val="32"/>
          <w:lang w:eastAsia="zh-CN"/>
        </w:rPr>
        <w:t>（项）</w:t>
      </w:r>
      <w:r>
        <w:rPr>
          <w:rFonts w:hint="eastAsia" w:ascii="Times New Roman" w:hAnsi="Times New Roman" w:eastAsia="仿宋_GB2312" w:cs="Times New Roman"/>
          <w:sz w:val="32"/>
          <w:szCs w:val="32"/>
        </w:rPr>
        <w:t>：反映财政部门安排的公务员医疗补助经费。</w:t>
      </w:r>
    </w:p>
    <w:p>
      <w:pPr>
        <w:autoSpaceDE w:val="0"/>
        <w:autoSpaceDN w:val="0"/>
        <w:adjustRightInd w:val="0"/>
        <w:spacing w:line="353" w:lineRule="auto"/>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17</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卫生健康支出支出（类） 行政事业单位医疗支出（款）</w:t>
      </w:r>
      <w:r>
        <w:rPr>
          <w:rFonts w:hint="eastAsia" w:ascii="Times New Roman" w:hAnsi="Times New Roman" w:eastAsia="仿宋_GB2312" w:cs="Times New Roman"/>
          <w:sz w:val="32"/>
          <w:szCs w:val="32"/>
          <w:lang w:val="en-US" w:eastAsia="zh-CN"/>
        </w:rPr>
        <w:t>其他行政事业单位医疗支出（项）：反映除上述项目以外的其他用于行政事业单位医疗方面的支出。</w:t>
      </w:r>
    </w:p>
    <w:p>
      <w:pPr>
        <w:autoSpaceDE w:val="0"/>
        <w:autoSpaceDN w:val="0"/>
        <w:adjustRightInd w:val="0"/>
        <w:spacing w:line="353" w:lineRule="auto"/>
        <w:jc w:val="lef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18.城乡社区支出（类）国有土地使用权出让收入安排的支出（款）土地开发支出（项）：反映新疆生产建设兵团和地方政府用于前期土地开发性支出以及前期土地开发相关的费用支出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p>
    <w:p>
      <w:pPr>
        <w:autoSpaceDE w:val="0"/>
        <w:autoSpaceDN w:val="0"/>
        <w:adjustRightInd w:val="0"/>
        <w:spacing w:line="353" w:lineRule="auto"/>
        <w:jc w:val="left"/>
        <w:rPr>
          <w:rFonts w:ascii="仿宋_GB2312" w:eastAsia="仿宋_GB2312"/>
          <w:sz w:val="32"/>
          <w:szCs w:val="32"/>
        </w:rPr>
      </w:pPr>
      <w:r>
        <w:rPr>
          <w:rFonts w:hint="eastAsia" w:eastAsia="仿宋_GB2312" w:cs="Times New Roman"/>
          <w:sz w:val="32"/>
          <w:szCs w:val="32"/>
          <w:lang w:val="en-US" w:eastAsia="zh-CN"/>
        </w:rPr>
        <w:t xml:space="preserve">    19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住房保障支出（类）住房改革支出（款）住房公积金（项）：指行政事业单位按人力资源和社会保障部、财政部规定的基本工资和津贴补贴以及规定比例为职工缴纳的住房公积金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29"/>
          <w:rFonts w:hint="eastAsia" w:ascii="黑体" w:hAnsi="黑体" w:eastAsia="黑体"/>
          <w:b w:val="0"/>
        </w:rPr>
        <w:t>四部分 附件</w:t>
      </w:r>
      <w:bookmarkEnd w:id="56"/>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hint="eastAsia" w:ascii="方正小标宋简体" w:hAnsi="宋体" w:eastAsia="方正小标宋简体"/>
          <w:kern w:val="0"/>
          <w:sz w:val="40"/>
          <w:szCs w:val="44"/>
        </w:rPr>
      </w:pPr>
      <w:r>
        <w:rPr>
          <w:rFonts w:hint="eastAsia" w:ascii="方正小标宋简体" w:hAnsi="宋体" w:eastAsia="方正小标宋简体"/>
          <w:kern w:val="0"/>
          <w:sz w:val="40"/>
          <w:szCs w:val="44"/>
          <w:lang w:val="en-US" w:eastAsia="zh-CN"/>
        </w:rPr>
        <w:t>中共攀枝花市西区区委</w:t>
      </w:r>
      <w:r>
        <w:rPr>
          <w:rFonts w:hint="eastAsia" w:ascii="方正小标宋简体" w:hAnsi="宋体" w:eastAsia="方正小标宋简体"/>
          <w:kern w:val="0"/>
          <w:sz w:val="40"/>
          <w:szCs w:val="44"/>
          <w:lang w:eastAsia="zh-CN"/>
        </w:rPr>
        <w:t>政法委员会</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lang w:val="en-US" w:eastAsia="zh-CN"/>
        </w:rPr>
        <w:t>2021年</w:t>
      </w: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ind w:firstLine="640" w:firstLineChars="200"/>
        <w:rPr>
          <w:rFonts w:hint="eastAsia" w:eastAsia="仿宋_GB2312"/>
          <w:lang w:val="en-US" w:eastAsia="zh-CN"/>
        </w:rPr>
      </w:pPr>
      <w:r>
        <w:rPr>
          <w:rFonts w:hint="eastAsia" w:ascii="仿宋" w:hAnsi="仿宋" w:eastAsia="仿宋"/>
          <w:sz w:val="32"/>
          <w:szCs w:val="32"/>
          <w:lang w:eastAsia="zh-CN"/>
        </w:rPr>
        <w:t>西区政法委</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w:t>
      </w:r>
    </w:p>
    <w:p>
      <w:pPr>
        <w:widowControl/>
        <w:numPr>
          <w:ilvl w:val="0"/>
          <w:numId w:val="0"/>
        </w:numPr>
        <w:adjustRightInd w:val="0"/>
        <w:snapToGrid w:val="0"/>
        <w:spacing w:line="572"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zh-CN" w:eastAsia="zh-CN"/>
        </w:rPr>
        <w:t>二）</w:t>
      </w:r>
      <w:r>
        <w:rPr>
          <w:rFonts w:hint="eastAsia" w:ascii="仿宋_GB2312" w:hAnsi="宋体" w:eastAsia="仿宋_GB2312" w:cs="宋体"/>
          <w:kern w:val="0"/>
          <w:sz w:val="32"/>
          <w:szCs w:val="32"/>
          <w:shd w:val="clear" w:color="auto" w:fill="FFFFFF"/>
          <w:lang w:val="zh-CN"/>
        </w:rPr>
        <w:t>机构职能。</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1.深入贯彻党的路线方针政策和决策部署，统一政法各部门思想和行动，坚持党对政法工作的绝对领导，坚决维护党中央权威和集中统一领导。</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深入贯彻党中央决定和省委、市委、区委决策，对政法工作研究提出全局性部署，推进平安西区、法治西区建设，加强过硬队伍建设，深化智能化建设，坚决维护国家政治安全、确保社会大局稳定、促进社会公平正义、保障人民安居乐业。</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3.了解掌握和分析研判政法工作情况动态，分析全区社会稳定形势，创新完善多部门参与的综治维稳工作机制，构建矛盾纠纷多元化解体系和机制，协调推动预防、化解影响稳定的社会矛盾和风险，协调应对和处置重大突发事件，统筹推动全区反分裂斗争和维护稳定工作。</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4.加强对政法工作的督查，统筹协调维护政治安全、社会治安综合治理、维护社会稳定、反邪教有关法律法规政策的实施工作；指导全区政法系统网络安全和智能化建设工作。</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5.组织开展政法领域的调查研究，研究拟订全区政法工作的政策措施，及时向区委提出建议。</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6.掌握分析政法舆情动态，指导协调政法部门媒体网络宣传工作，指导政法部门做好涉及政法工作的重大宣传和舆论引导工作。</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7.监督和支持政法各部门依法行使职权，指导和协调政法各部门密切配合，研究和协调重大、疑难案件，推进严格执法、公正司法。</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8.组织研究政法改革中带有方向性、倾向性和普遍性的重大问题，深化政法改革。</w:t>
      </w:r>
    </w:p>
    <w:p>
      <w:pPr>
        <w:spacing w:line="353" w:lineRule="auto"/>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9.指导推动政法系统党的建设和政法队伍建设，协助区级有关职能部门管理监督政法领导干部，代管攀枝花市西区法学会。</w:t>
      </w:r>
    </w:p>
    <w:p>
      <w:pPr>
        <w:pStyle w:val="7"/>
        <w:numPr>
          <w:ilvl w:val="0"/>
          <w:numId w:val="0"/>
        </w:numPr>
        <w:rPr>
          <w:rFonts w:hint="eastAsia" w:eastAsia="仿宋_GB2312"/>
          <w:lang w:val="en-US" w:eastAsia="zh-CN"/>
        </w:rPr>
      </w:pPr>
      <w:r>
        <w:rPr>
          <w:rFonts w:hint="eastAsia" w:ascii="Times New Roman" w:hAnsi="Times New Roman"/>
          <w:kern w:val="2"/>
          <w:sz w:val="32"/>
          <w:szCs w:val="32"/>
          <w:lang w:val="en-US" w:eastAsia="zh-CN" w:bidi="ar-SA"/>
        </w:rPr>
        <w:t xml:space="preserve">    </w:t>
      </w:r>
      <w:r>
        <w:rPr>
          <w:rFonts w:hint="eastAsia" w:ascii="Times New Roman" w:hAnsi="Times New Roman" w:eastAsia="仿宋_GB2312"/>
          <w:kern w:val="2"/>
          <w:sz w:val="32"/>
          <w:szCs w:val="32"/>
          <w:lang w:val="en-US" w:eastAsia="zh-CN" w:bidi="ar-SA"/>
        </w:rPr>
        <w:t>10.完成区委交办的其他任务</w:t>
      </w:r>
      <w:r>
        <w:rPr>
          <w:rFonts w:hint="eastAsia" w:ascii="Times New Roman" w:hAnsi="Times New Roman"/>
          <w:kern w:val="2"/>
          <w:sz w:val="32"/>
          <w:szCs w:val="32"/>
          <w:lang w:val="en-US" w:eastAsia="zh-CN" w:bidi="ar-SA"/>
        </w:rPr>
        <w:t>。</w:t>
      </w:r>
    </w:p>
    <w:p>
      <w:pPr>
        <w:widowControl/>
        <w:numPr>
          <w:ilvl w:val="0"/>
          <w:numId w:val="0"/>
        </w:numPr>
        <w:adjustRightInd w:val="0"/>
        <w:snapToGrid w:val="0"/>
        <w:spacing w:line="572"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（三）人员概况。</w:t>
      </w:r>
    </w:p>
    <w:p>
      <w:pPr>
        <w:pStyle w:val="9"/>
        <w:spacing w:line="600" w:lineRule="exact"/>
        <w:ind w:firstLine="420" w:firstLineChars="200"/>
        <w:jc w:val="left"/>
        <w:rPr>
          <w:rFonts w:hint="eastAsia" w:eastAsia="仿宋_GB2312"/>
          <w:lang w:val="en-US" w:eastAsia="zh-CN"/>
        </w:rPr>
      </w:pPr>
      <w:r>
        <w:rPr>
          <w:rFonts w:hint="eastAsia"/>
          <w:lang w:val="en-US" w:eastAsia="zh-CN"/>
        </w:rPr>
        <w:t xml:space="preserve">    </w:t>
      </w:r>
      <w:r>
        <w:rPr>
          <w:rFonts w:hint="eastAsia" w:ascii="Times New Roman" w:hAnsi="Times New Roman" w:eastAsia="仿宋_GB2312"/>
          <w:sz w:val="32"/>
          <w:szCs w:val="32"/>
        </w:rPr>
        <w:t>西区</w:t>
      </w:r>
      <w:r>
        <w:rPr>
          <w:rFonts w:hint="eastAsia" w:ascii="Times New Roman" w:hAnsi="Times New Roman" w:eastAsia="仿宋_GB2312"/>
          <w:sz w:val="32"/>
          <w:szCs w:val="32"/>
          <w:lang w:eastAsia="zh-CN"/>
        </w:rPr>
        <w:t>政法委共有编制</w:t>
      </w:r>
      <w:r>
        <w:rPr>
          <w:rFonts w:hint="eastAsia" w:ascii="Times New Roman" w:hAnsi="Times New Roman" w:eastAsia="仿宋_GB2312"/>
          <w:sz w:val="32"/>
          <w:szCs w:val="32"/>
          <w:lang w:val="en-US" w:eastAsia="zh-CN"/>
        </w:rPr>
        <w:t>28名，其中行政编制5名、</w:t>
      </w:r>
      <w:r>
        <w:rPr>
          <w:rFonts w:hint="eastAsia" w:ascii="Times New Roman" w:hAnsi="Times New Roman" w:eastAsia="仿宋_GB2312"/>
          <w:sz w:val="32"/>
          <w:szCs w:val="32"/>
          <w:lang w:eastAsia="zh-CN"/>
        </w:rPr>
        <w:t>事业</w:t>
      </w:r>
      <w:r>
        <w:rPr>
          <w:rFonts w:hint="eastAsia" w:ascii="Times New Roman" w:hAnsi="Times New Roman" w:eastAsia="仿宋_GB2312"/>
          <w:sz w:val="32"/>
          <w:szCs w:val="32"/>
        </w:rPr>
        <w:t>编制</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lang w:eastAsia="zh-CN"/>
        </w:rPr>
        <w:t>名、临聘编制</w:t>
      </w:r>
      <w:r>
        <w:rPr>
          <w:rFonts w:hint="eastAsia" w:ascii="Times New Roman" w:hAnsi="Times New Roman" w:eastAsia="仿宋_GB2312"/>
          <w:sz w:val="32"/>
          <w:szCs w:val="32"/>
          <w:lang w:val="en-US" w:eastAsia="zh-CN"/>
        </w:rPr>
        <w:t>3名</w:t>
      </w:r>
      <w:r>
        <w:rPr>
          <w:rFonts w:hint="eastAsia" w:ascii="Times New Roman" w:hAnsi="Times New Roman" w:eastAsia="仿宋_GB2312"/>
          <w:sz w:val="32"/>
          <w:szCs w:val="32"/>
        </w:rPr>
        <w:t>，实有人员</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，其中在编人员</w:t>
      </w:r>
      <w:r>
        <w:rPr>
          <w:rFonts w:hint="eastAsia" w:ascii="Times New Roman" w:hAnsi="Times New Roman" w:eastAsia="仿宋_GB2312"/>
          <w:sz w:val="32"/>
          <w:szCs w:val="32"/>
          <w:lang w:val="en-US" w:eastAsia="zh-CN"/>
        </w:rPr>
        <w:t>18人，</w:t>
      </w:r>
      <w:r>
        <w:rPr>
          <w:rFonts w:hint="eastAsia" w:ascii="Times New Roman" w:hAnsi="Times New Roman" w:eastAsia="仿宋_GB2312"/>
          <w:sz w:val="32"/>
          <w:szCs w:val="32"/>
          <w:lang w:eastAsia="zh-CN"/>
        </w:rPr>
        <w:t>聘用人员</w:t>
      </w:r>
      <w:r>
        <w:rPr>
          <w:rFonts w:hint="eastAsia" w:ascii="Times New Roman" w:hAnsi="Times New Roman" w:eastAsia="仿宋_GB2312"/>
          <w:sz w:val="32"/>
          <w:szCs w:val="32"/>
          <w:lang w:val="en-US" w:eastAsia="zh-CN"/>
        </w:rPr>
        <w:t>3人</w:t>
      </w:r>
      <w:r>
        <w:rPr>
          <w:rStyle w:val="37"/>
          <w:rFonts w:hint="default" w:ascii="Times New Roman" w:hAnsi="Times New Roman" w:eastAsia="仿宋_GB231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7"/>
        <w:rPr>
          <w:rFonts w:hint="eastAsia" w:eastAsia="仿宋_GB2312"/>
          <w:lang w:val="en-US" w:eastAsia="zh-CN"/>
        </w:rPr>
      </w:pPr>
      <w:r>
        <w:rPr>
          <w:rFonts w:hint="eastAsia" w:hAnsi="宋体" w:cs="宋体"/>
          <w:kern w:val="0"/>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1</w:t>
      </w:r>
      <w:r>
        <w:rPr>
          <w:rFonts w:hint="eastAsia" w:ascii="仿宋_GB2312" w:hAnsi="仿宋_GB2312" w:eastAsia="仿宋_GB2312" w:cs="仿宋_GB2312"/>
          <w:sz w:val="32"/>
          <w:szCs w:val="32"/>
          <w:lang w:val="en-US" w:eastAsia="zh-CN"/>
        </w:rPr>
        <w:t>年收入</w:t>
      </w:r>
      <w:r>
        <w:rPr>
          <w:rFonts w:hint="eastAsia" w:hAnsi="仿宋_GB2312" w:cs="仿宋_GB2312"/>
          <w:sz w:val="32"/>
          <w:szCs w:val="32"/>
          <w:lang w:val="en-US" w:eastAsia="zh-CN"/>
        </w:rPr>
        <w:t>525.48</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一般公共服务支出收入</w:t>
      </w:r>
      <w:r>
        <w:rPr>
          <w:rFonts w:hint="eastAsia" w:hAnsi="仿宋_GB2312" w:cs="仿宋_GB2312"/>
          <w:sz w:val="32"/>
          <w:szCs w:val="32"/>
          <w:lang w:val="en-US" w:eastAsia="zh-CN"/>
        </w:rPr>
        <w:t>389.05</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74.03</w:t>
      </w:r>
      <w:r>
        <w:rPr>
          <w:rFonts w:hint="eastAsia" w:ascii="仿宋_GB2312" w:hAnsi="仿宋_GB2312" w:eastAsia="仿宋_GB2312" w:cs="仿宋_GB2312"/>
          <w:sz w:val="32"/>
          <w:szCs w:val="32"/>
          <w:lang w:val="en-US" w:eastAsia="zh-CN"/>
        </w:rPr>
        <w:t>%；公共安全支出</w:t>
      </w:r>
      <w:r>
        <w:rPr>
          <w:rFonts w:hint="eastAsia" w:hAnsi="仿宋_GB2312" w:cs="仿宋_GB2312"/>
          <w:sz w:val="32"/>
          <w:szCs w:val="32"/>
          <w:lang w:val="en-US" w:eastAsia="zh-CN"/>
        </w:rPr>
        <w:t>12.33</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2.35</w:t>
      </w:r>
      <w:r>
        <w:rPr>
          <w:rFonts w:hint="eastAsia" w:ascii="仿宋_GB2312" w:hAnsi="仿宋_GB2312" w:eastAsia="仿宋_GB2312" w:cs="仿宋_GB2312"/>
          <w:sz w:val="32"/>
          <w:szCs w:val="32"/>
          <w:lang w:val="en-US" w:eastAsia="zh-CN"/>
        </w:rPr>
        <w:t>%；教育支出</w:t>
      </w:r>
      <w:r>
        <w:rPr>
          <w:rFonts w:hint="eastAsia" w:hAnsi="仿宋_GB2312" w:cs="仿宋_GB2312"/>
          <w:sz w:val="32"/>
          <w:szCs w:val="32"/>
          <w:lang w:val="en-US" w:eastAsia="zh-CN"/>
        </w:rPr>
        <w:t>20</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3.81</w:t>
      </w:r>
      <w:r>
        <w:rPr>
          <w:rFonts w:hint="eastAsia" w:ascii="仿宋_GB2312" w:hAnsi="仿宋_GB2312" w:eastAsia="仿宋_GB2312" w:cs="仿宋_GB2312"/>
          <w:sz w:val="32"/>
          <w:szCs w:val="32"/>
          <w:lang w:val="en-US" w:eastAsia="zh-CN"/>
        </w:rPr>
        <w:t>%；社会保障和就业支出</w:t>
      </w:r>
      <w:r>
        <w:rPr>
          <w:rFonts w:hint="eastAsia" w:hAnsi="仿宋_GB2312" w:cs="仿宋_GB2312"/>
          <w:sz w:val="32"/>
          <w:szCs w:val="32"/>
          <w:lang w:val="en-US" w:eastAsia="zh-CN"/>
        </w:rPr>
        <w:t>27.44</w:t>
      </w:r>
      <w:r>
        <w:rPr>
          <w:rFonts w:hint="eastAsia" w:ascii="仿宋_GB2312" w:hAnsi="仿宋_GB2312" w:eastAsia="仿宋_GB2312" w:cs="仿宋_GB2312"/>
          <w:sz w:val="32"/>
          <w:szCs w:val="32"/>
          <w:lang w:val="en-US" w:eastAsia="zh-CN"/>
        </w:rPr>
        <w:t>万元，占总收入5.</w:t>
      </w:r>
      <w:r>
        <w:rPr>
          <w:rFonts w:hint="eastAsia" w:hAnsi="仿宋_GB2312" w:cs="仿宋_GB2312"/>
          <w:sz w:val="32"/>
          <w:szCs w:val="32"/>
          <w:lang w:val="en-US" w:eastAsia="zh-CN"/>
        </w:rPr>
        <w:t>22</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卫生健康支出1</w:t>
      </w:r>
      <w:r>
        <w:rPr>
          <w:rFonts w:hint="eastAsia" w:hAnsi="仿宋_GB2312" w:cs="仿宋_GB2312"/>
          <w:sz w:val="32"/>
          <w:szCs w:val="32"/>
          <w:lang w:val="en-US" w:eastAsia="zh-CN"/>
        </w:rPr>
        <w:t>8.99</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3.61</w:t>
      </w:r>
      <w:r>
        <w:rPr>
          <w:rFonts w:hint="eastAsia" w:ascii="仿宋_GB2312" w:hAnsi="仿宋_GB2312" w:eastAsia="仿宋_GB2312" w:cs="仿宋_GB2312"/>
          <w:sz w:val="32"/>
          <w:szCs w:val="32"/>
          <w:lang w:val="en-US" w:eastAsia="zh-CN"/>
        </w:rPr>
        <w:t>%；城乡社区支出</w:t>
      </w:r>
      <w:r>
        <w:rPr>
          <w:rFonts w:hint="eastAsia" w:hAnsi="仿宋_GB2312" w:cs="仿宋_GB2312"/>
          <w:sz w:val="32"/>
          <w:szCs w:val="32"/>
          <w:lang w:val="en-US" w:eastAsia="zh-CN"/>
        </w:rPr>
        <w:t>29.97</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5.7</w:t>
      </w:r>
      <w:r>
        <w:rPr>
          <w:rFonts w:hint="eastAsia" w:ascii="仿宋_GB2312" w:hAnsi="仿宋_GB2312" w:eastAsia="仿宋_GB2312" w:cs="仿宋_GB2312"/>
          <w:sz w:val="32"/>
          <w:szCs w:val="32"/>
          <w:lang w:val="en-US" w:eastAsia="zh-CN"/>
        </w:rPr>
        <w:t>%；住房保障支出</w:t>
      </w:r>
      <w:r>
        <w:rPr>
          <w:rFonts w:hint="eastAsia" w:hAnsi="仿宋_GB2312" w:cs="仿宋_GB2312"/>
          <w:sz w:val="32"/>
          <w:szCs w:val="32"/>
          <w:lang w:val="en-US" w:eastAsia="zh-CN"/>
        </w:rPr>
        <w:t>27.7</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5.28</w:t>
      </w:r>
      <w:r>
        <w:rPr>
          <w:rFonts w:hint="eastAsia" w:ascii="仿宋_GB2312" w:hAnsi="仿宋_GB2312" w:eastAsia="仿宋_GB2312" w:cs="仿宋_GB2312"/>
          <w:sz w:val="32"/>
          <w:szCs w:val="32"/>
          <w:lang w:val="en-US" w:eastAsia="zh-CN"/>
        </w:rPr>
        <w:t>%</w:t>
      </w:r>
    </w:p>
    <w:p>
      <w:pPr>
        <w:widowControl/>
        <w:numPr>
          <w:ilvl w:val="0"/>
          <w:numId w:val="0"/>
        </w:numPr>
        <w:adjustRightInd w:val="0"/>
        <w:snapToGrid w:val="0"/>
        <w:spacing w:line="572"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（二）部门财政资金支出情况。</w:t>
      </w:r>
    </w:p>
    <w:p>
      <w:pPr>
        <w:pStyle w:val="7"/>
        <w:numPr>
          <w:ilvl w:val="0"/>
          <w:numId w:val="0"/>
        </w:numPr>
        <w:rPr>
          <w:rFonts w:hint="eastAsia" w:eastAsia="仿宋_GB231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1</w:t>
      </w:r>
      <w:r>
        <w:rPr>
          <w:rFonts w:hint="eastAsia" w:ascii="仿宋_GB2312" w:hAnsi="仿宋_GB2312" w:eastAsia="仿宋_GB2312" w:cs="仿宋_GB2312"/>
          <w:sz w:val="32"/>
          <w:szCs w:val="32"/>
          <w:lang w:val="en-US" w:eastAsia="zh-CN"/>
        </w:rPr>
        <w:t>年当年支出</w:t>
      </w:r>
      <w:r>
        <w:rPr>
          <w:rFonts w:hint="eastAsia" w:hAnsi="仿宋_GB2312" w:cs="仿宋_GB2312"/>
          <w:sz w:val="32"/>
          <w:szCs w:val="32"/>
          <w:lang w:val="en-US" w:eastAsia="zh-CN"/>
        </w:rPr>
        <w:t>525.48</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一般公共服务支出</w:t>
      </w:r>
      <w:r>
        <w:rPr>
          <w:rFonts w:hint="eastAsia" w:hAnsi="仿宋_GB2312" w:cs="仿宋_GB2312"/>
          <w:sz w:val="32"/>
          <w:szCs w:val="32"/>
          <w:lang w:val="en-US" w:eastAsia="zh-CN"/>
        </w:rPr>
        <w:t>389.05</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74.03</w:t>
      </w:r>
      <w:r>
        <w:rPr>
          <w:rFonts w:hint="eastAsia" w:ascii="仿宋_GB2312" w:hAnsi="仿宋_GB2312" w:eastAsia="仿宋_GB2312" w:cs="仿宋_GB2312"/>
          <w:sz w:val="32"/>
          <w:szCs w:val="32"/>
          <w:lang w:val="en-US" w:eastAsia="zh-CN"/>
        </w:rPr>
        <w:t>%；公共安全支出</w:t>
      </w:r>
      <w:r>
        <w:rPr>
          <w:rFonts w:hint="eastAsia" w:hAnsi="仿宋_GB2312" w:cs="仿宋_GB2312"/>
          <w:sz w:val="32"/>
          <w:szCs w:val="32"/>
          <w:lang w:val="en-US" w:eastAsia="zh-CN"/>
        </w:rPr>
        <w:t>12.33</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2.35</w:t>
      </w:r>
      <w:r>
        <w:rPr>
          <w:rFonts w:hint="eastAsia" w:ascii="仿宋_GB2312" w:hAnsi="仿宋_GB2312" w:eastAsia="仿宋_GB2312" w:cs="仿宋_GB2312"/>
          <w:sz w:val="32"/>
          <w:szCs w:val="32"/>
          <w:lang w:val="en-US" w:eastAsia="zh-CN"/>
        </w:rPr>
        <w:t>%；教育支出</w:t>
      </w:r>
      <w:r>
        <w:rPr>
          <w:rFonts w:hint="eastAsia" w:hAnsi="仿宋_GB2312" w:cs="仿宋_GB2312"/>
          <w:sz w:val="32"/>
          <w:szCs w:val="32"/>
          <w:lang w:val="en-US" w:eastAsia="zh-CN"/>
        </w:rPr>
        <w:t>20</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3.81</w:t>
      </w:r>
      <w:r>
        <w:rPr>
          <w:rFonts w:hint="eastAsia" w:ascii="仿宋_GB2312" w:hAnsi="仿宋_GB2312" w:eastAsia="仿宋_GB2312" w:cs="仿宋_GB2312"/>
          <w:sz w:val="32"/>
          <w:szCs w:val="32"/>
          <w:lang w:val="en-US" w:eastAsia="zh-CN"/>
        </w:rPr>
        <w:t>%；社会保障和就业支出</w:t>
      </w:r>
      <w:r>
        <w:rPr>
          <w:rFonts w:hint="eastAsia" w:hAnsi="仿宋_GB2312" w:cs="仿宋_GB2312"/>
          <w:sz w:val="32"/>
          <w:szCs w:val="32"/>
          <w:lang w:val="en-US" w:eastAsia="zh-CN"/>
        </w:rPr>
        <w:t>27.44</w:t>
      </w:r>
      <w:r>
        <w:rPr>
          <w:rFonts w:hint="eastAsia" w:ascii="仿宋_GB2312" w:hAnsi="仿宋_GB2312" w:eastAsia="仿宋_GB2312" w:cs="仿宋_GB2312"/>
          <w:sz w:val="32"/>
          <w:szCs w:val="32"/>
          <w:lang w:val="en-US" w:eastAsia="zh-CN"/>
        </w:rPr>
        <w:t>万元，占总收入5.</w:t>
      </w:r>
      <w:r>
        <w:rPr>
          <w:rFonts w:hint="eastAsia" w:hAnsi="仿宋_GB2312" w:cs="仿宋_GB2312"/>
          <w:sz w:val="32"/>
          <w:szCs w:val="32"/>
          <w:lang w:val="en-US" w:eastAsia="zh-CN"/>
        </w:rPr>
        <w:t>22</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卫生健康支出1</w:t>
      </w:r>
      <w:r>
        <w:rPr>
          <w:rFonts w:hint="eastAsia" w:hAnsi="仿宋_GB2312" w:cs="仿宋_GB2312"/>
          <w:sz w:val="32"/>
          <w:szCs w:val="32"/>
          <w:lang w:val="en-US" w:eastAsia="zh-CN"/>
        </w:rPr>
        <w:t>8.99</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3.61</w:t>
      </w:r>
      <w:r>
        <w:rPr>
          <w:rFonts w:hint="eastAsia" w:ascii="仿宋_GB2312" w:hAnsi="仿宋_GB2312" w:eastAsia="仿宋_GB2312" w:cs="仿宋_GB2312"/>
          <w:sz w:val="32"/>
          <w:szCs w:val="32"/>
          <w:lang w:val="en-US" w:eastAsia="zh-CN"/>
        </w:rPr>
        <w:t>%；城乡社区支出</w:t>
      </w:r>
      <w:r>
        <w:rPr>
          <w:rFonts w:hint="eastAsia" w:hAnsi="仿宋_GB2312" w:cs="仿宋_GB2312"/>
          <w:sz w:val="32"/>
          <w:szCs w:val="32"/>
          <w:lang w:val="en-US" w:eastAsia="zh-CN"/>
        </w:rPr>
        <w:t>29.97</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5.7</w:t>
      </w:r>
      <w:r>
        <w:rPr>
          <w:rFonts w:hint="eastAsia" w:ascii="仿宋_GB2312" w:hAnsi="仿宋_GB2312" w:eastAsia="仿宋_GB2312" w:cs="仿宋_GB2312"/>
          <w:sz w:val="32"/>
          <w:szCs w:val="32"/>
          <w:lang w:val="en-US" w:eastAsia="zh-CN"/>
        </w:rPr>
        <w:t>%；住房保障支出</w:t>
      </w:r>
      <w:r>
        <w:rPr>
          <w:rFonts w:hint="eastAsia" w:hAnsi="仿宋_GB2312" w:cs="仿宋_GB2312"/>
          <w:sz w:val="32"/>
          <w:szCs w:val="32"/>
          <w:lang w:val="en-US" w:eastAsia="zh-CN"/>
        </w:rPr>
        <w:t>27.7</w:t>
      </w:r>
      <w:r>
        <w:rPr>
          <w:rFonts w:hint="eastAsia" w:ascii="仿宋_GB2312" w:hAnsi="仿宋_GB2312" w:eastAsia="仿宋_GB2312" w:cs="仿宋_GB2312"/>
          <w:sz w:val="32"/>
          <w:szCs w:val="32"/>
          <w:lang w:val="en-US" w:eastAsia="zh-CN"/>
        </w:rPr>
        <w:t>万元，占总收入</w:t>
      </w:r>
      <w:r>
        <w:rPr>
          <w:rFonts w:hint="eastAsia" w:hAnsi="仿宋_GB2312" w:cs="仿宋_GB2312"/>
          <w:sz w:val="32"/>
          <w:szCs w:val="32"/>
          <w:lang w:val="en-US" w:eastAsia="zh-CN"/>
        </w:rPr>
        <w:t>5.28。</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w:t>
      </w:r>
      <w:r>
        <w:rPr>
          <w:rFonts w:hint="eastAsia" w:ascii="仿宋_GB2312" w:hAnsi="宋体" w:eastAsia="仿宋_GB2312" w:cs="宋体"/>
          <w:kern w:val="0"/>
          <w:sz w:val="32"/>
          <w:szCs w:val="32"/>
          <w:shd w:val="clear" w:color="auto" w:fill="FFFFFF"/>
          <w:lang w:val="en-US" w:eastAsia="zh-CN"/>
        </w:rPr>
        <w:t>21</w:t>
      </w:r>
      <w:r>
        <w:rPr>
          <w:rFonts w:hint="eastAsia" w:ascii="仿宋_GB2312" w:hAnsi="宋体" w:eastAsia="仿宋_GB2312" w:cs="宋体"/>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从整体上看，202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年我单位资金运行维护决策正确，资金管理规范，项目管理到位，政策执行有力，有效发挥了财政资金的使用效率。我局各项资金其主要用途是保障该部门机构正常运</w:t>
      </w:r>
      <w:r>
        <w:rPr>
          <w:rFonts w:hint="eastAsia" w:ascii="仿宋_GB2312" w:hAnsi="宋体" w:eastAsia="仿宋_GB2312" w:cs="宋体"/>
          <w:color w:val="auto"/>
          <w:kern w:val="0"/>
          <w:sz w:val="32"/>
          <w:szCs w:val="32"/>
          <w:shd w:val="clear" w:color="auto" w:fill="FFFFFF"/>
          <w:lang w:val="zh-CN"/>
        </w:rPr>
        <w:t>转、完成日常工作任务以及本单位承担的其他具体工作。在人员经费支出、公共支出严格执</w:t>
      </w:r>
      <w:r>
        <w:rPr>
          <w:rFonts w:hint="eastAsia" w:ascii="仿宋_GB2312" w:hAnsi="宋体" w:eastAsia="仿宋_GB2312" w:cs="宋体"/>
          <w:kern w:val="0"/>
          <w:sz w:val="32"/>
          <w:szCs w:val="32"/>
          <w:shd w:val="clear" w:color="auto" w:fill="FFFFFF"/>
          <w:lang w:val="zh-CN"/>
        </w:rPr>
        <w:t>行区委区政府的各项制度；在项目经费的使用上，在保证各项任务顺利完成的同时，严格落实厉行节约的原则；三公经费的使用严格控制在预算申报的范围内。</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（一）评价结论。</w:t>
      </w:r>
    </w:p>
    <w:p>
      <w:pPr>
        <w:pStyle w:val="7"/>
        <w:rPr>
          <w:rFonts w:hint="eastAsia" w:eastAsia="仿宋_GB2312"/>
          <w:lang w:val="en-US" w:eastAsia="zh-CN"/>
        </w:rPr>
      </w:pPr>
      <w:r>
        <w:rPr>
          <w:rFonts w:hint="eastAsia" w:hAnsi="宋体"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en-US" w:eastAsia="zh-CN" w:bidi="ar-SA"/>
        </w:rPr>
        <w:t xml:space="preserve"> 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7"/>
        <w:spacing w:before="72"/>
        <w:rPr>
          <w:rFonts w:hint="eastAsia" w:ascii="仿宋_GB2312" w:hAnsi="宋体" w:eastAsia="仿宋_GB2312" w:cs="宋体"/>
          <w:kern w:val="0"/>
          <w:sz w:val="32"/>
          <w:szCs w:val="32"/>
          <w:shd w:val="clear" w:color="auto" w:fill="FFFFFF"/>
          <w:lang w:val="zh-CN" w:eastAsia="zh-CN" w:bidi="ar-SA"/>
        </w:rPr>
      </w:pPr>
      <w:r>
        <w:rPr>
          <w:rFonts w:hint="eastAsia" w:hAnsi="宋体" w:cs="宋体"/>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zh-CN" w:eastAsia="zh-CN" w:bidi="ar-SA"/>
        </w:rPr>
        <w:t>及时做好各项目资金的预算绩效监控工作，即要确保各项工作顺利的开展，又要做好厉行节约，力争把成本降低</w:t>
      </w:r>
      <w:r>
        <w:rPr>
          <w:rFonts w:hint="eastAsia" w:hAnsi="宋体" w:cs="宋体"/>
          <w:kern w:val="0"/>
          <w:sz w:val="32"/>
          <w:szCs w:val="32"/>
          <w:shd w:val="clear" w:color="auto" w:fill="FFFFFF"/>
          <w:lang w:val="zh-CN" w:eastAsia="zh-CN" w:bidi="ar-SA"/>
        </w:rPr>
        <w:t>。</w:t>
      </w: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rFonts w:hint="eastAsia" w:hAnsi="宋体" w:cs="宋体"/>
          <w:sz w:val="32"/>
          <w:szCs w:val="32"/>
          <w:shd w:val="clear" w:color="auto" w:fill="FFFFFF"/>
          <w:lang w:val="zh-CN"/>
        </w:rPr>
      </w:pPr>
    </w:p>
    <w:p>
      <w:pPr>
        <w:pStyle w:val="7"/>
        <w:spacing w:before="72"/>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r>
        <w:rPr>
          <w:rFonts w:hint="eastAsia" w:ascii="宋体" w:hAnsi="宋体"/>
          <w:sz w:val="32"/>
          <w:szCs w:val="32"/>
          <w:lang w:val="zh-CN"/>
        </w:rPr>
        <w:t>（</w:t>
      </w:r>
      <w:r>
        <w:rPr>
          <w:rFonts w:hint="eastAsia" w:ascii="方正小标宋简体" w:hAnsi="宋体" w:eastAsia="方正小标宋简体" w:cs="Times New Roman"/>
          <w:color w:val="000000"/>
          <w:kern w:val="0"/>
          <w:sz w:val="44"/>
          <w:szCs w:val="44"/>
          <w:lang w:val="zh-CN" w:eastAsia="zh-CN"/>
        </w:rPr>
        <w:t>平安建设</w:t>
      </w:r>
      <w:r>
        <w:rPr>
          <w:rFonts w:hint="eastAsia" w:ascii="方正小标宋简体" w:hAnsi="宋体" w:eastAsia="方正小标宋简体" w:cs="Times New Roman"/>
          <w:color w:val="000000"/>
          <w:kern w:val="0"/>
          <w:sz w:val="44"/>
          <w:szCs w:val="44"/>
          <w:lang w:val="zh-CN"/>
        </w:rPr>
        <w:t>项目</w:t>
      </w:r>
      <w:r>
        <w:rPr>
          <w:rFonts w:hint="eastAsia" w:ascii="宋体" w:hAnsi="宋体"/>
          <w:sz w:val="32"/>
          <w:szCs w:val="32"/>
          <w:lang w:val="zh-CN"/>
        </w:rPr>
        <w:t>）</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w:t>
      </w:r>
      <w:r>
        <w:rPr>
          <w:rFonts w:hint="eastAsia" w:ascii="仿宋_GB2312" w:hAnsi="宋体" w:eastAsia="仿宋_GB2312"/>
          <w:sz w:val="32"/>
          <w:szCs w:val="32"/>
          <w:lang w:val="en-US" w:eastAsia="zh-CN"/>
        </w:rPr>
        <w:t>政法委</w:t>
      </w:r>
      <w:r>
        <w:rPr>
          <w:rFonts w:hint="eastAsia" w:ascii="仿宋_GB2312" w:hAnsi="宋体" w:eastAsia="仿宋_GB2312"/>
          <w:sz w:val="32"/>
          <w:szCs w:val="32"/>
          <w:lang w:val="zh-CN"/>
        </w:rPr>
        <w:t>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项目立项、资金申报的依据是：</w:t>
      </w:r>
      <w:r>
        <w:rPr>
          <w:rFonts w:hint="eastAsia" w:ascii="仿宋_GB2312" w:hAnsi="宋体" w:eastAsia="仿宋_GB2312"/>
          <w:sz w:val="32"/>
          <w:szCs w:val="32"/>
          <w:lang w:val="zh-CN" w:eastAsia="zh-CN"/>
        </w:rPr>
        <w:t>平安建设专项经费主要用于西区网格化项目建设，</w:t>
      </w:r>
      <w:r>
        <w:rPr>
          <w:rFonts w:hint="default" w:ascii="仿宋_GB2312" w:hAnsi="宋体" w:eastAsia="仿宋_GB2312"/>
          <w:sz w:val="32"/>
          <w:szCs w:val="32"/>
          <w:lang w:val="zh-CN"/>
        </w:rPr>
        <w:t>党中央在十八届三中全会《关于全面深化改革若干重大问题的决定》中提出网格化管理</w:t>
      </w:r>
      <w:r>
        <w:rPr>
          <w:rFonts w:hint="default" w:ascii="仿宋_GB2312" w:hAnsi="宋体" w:eastAsia="仿宋_GB2312"/>
          <w:sz w:val="32"/>
          <w:szCs w:val="32"/>
          <w:lang w:val="zh-CN" w:eastAsia="zh-CN"/>
        </w:rPr>
        <w:t>。后</w:t>
      </w:r>
      <w:r>
        <w:rPr>
          <w:rFonts w:hint="default" w:ascii="仿宋_GB2312" w:hAnsi="宋体" w:eastAsia="仿宋_GB2312"/>
          <w:sz w:val="32"/>
          <w:szCs w:val="32"/>
          <w:lang w:val="en-US" w:eastAsia="zh-CN"/>
        </w:rPr>
        <w:t>按照</w:t>
      </w:r>
      <w:r>
        <w:rPr>
          <w:rFonts w:hint="default" w:ascii="仿宋_GB2312" w:hAnsi="宋体" w:eastAsia="仿宋_GB2312"/>
          <w:sz w:val="32"/>
          <w:szCs w:val="32"/>
          <w:lang w:val="zh-CN"/>
        </w:rPr>
        <w:t>《四川省社会治安综合治理委员会进一步加强和完善网格化服务管理的指导意见》（川综治委〔2017〕16号）</w:t>
      </w:r>
      <w:r>
        <w:rPr>
          <w:rFonts w:hint="default" w:ascii="仿宋_GB2312" w:hAnsi="宋体" w:eastAsia="仿宋_GB2312"/>
          <w:sz w:val="32"/>
          <w:szCs w:val="32"/>
          <w:lang w:val="zh-CN" w:eastAsia="zh-CN"/>
        </w:rPr>
        <w:t>的</w:t>
      </w:r>
      <w:r>
        <w:rPr>
          <w:rFonts w:hint="default" w:ascii="仿宋_GB2312" w:hAnsi="宋体" w:eastAsia="仿宋_GB2312"/>
          <w:sz w:val="32"/>
          <w:szCs w:val="32"/>
          <w:lang w:val="zh-CN"/>
        </w:rPr>
        <w:t>要求</w:t>
      </w:r>
      <w:r>
        <w:rPr>
          <w:rFonts w:hint="default" w:ascii="仿宋_GB2312" w:hAnsi="宋体" w:eastAsia="仿宋_GB2312"/>
          <w:sz w:val="32"/>
          <w:szCs w:val="32"/>
          <w:lang w:val="zh-CN" w:eastAsia="zh-CN"/>
        </w:rPr>
        <w:t>开展相关工作</w:t>
      </w:r>
      <w:r>
        <w:rPr>
          <w:rFonts w:hint="eastAsia" w:ascii="仿宋_GB2312" w:hAnsi="宋体" w:eastAsia="仿宋_GB2312"/>
          <w:sz w:val="32"/>
          <w:szCs w:val="32"/>
          <w:lang w:val="zh-CN"/>
        </w:rPr>
        <w:t>,经费</w:t>
      </w:r>
      <w:r>
        <w:rPr>
          <w:rFonts w:hint="eastAsia" w:ascii="仿宋_GB2312" w:hAnsi="宋体" w:eastAsia="仿宋_GB2312"/>
          <w:sz w:val="32"/>
          <w:szCs w:val="32"/>
          <w:lang w:val="en-US" w:eastAsia="zh-CN"/>
        </w:rPr>
        <w:t>81.23万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lang w:val="en-US" w:eastAsia="zh-CN"/>
        </w:rPr>
        <w:t>.</w:t>
      </w:r>
      <w:r>
        <w:rPr>
          <w:rFonts w:hint="default" w:ascii="仿宋_GB2312" w:hAnsi="宋体" w:eastAsia="仿宋_GB2312"/>
          <w:sz w:val="32"/>
          <w:szCs w:val="32"/>
          <w:lang w:val="zh-CN" w:eastAsia="zh-CN"/>
        </w:rPr>
        <w:t>按照全区网格化项目开展的实际工作情况，所需项目资金在年初纳入当年预算。</w:t>
      </w:r>
      <w:r>
        <w:rPr>
          <w:rFonts w:hint="eastAsia" w:ascii="仿宋_GB2312" w:hAnsi="宋体" w:eastAsia="仿宋_GB2312"/>
          <w:sz w:val="32"/>
          <w:szCs w:val="32"/>
          <w:lang w:val="zh-CN" w:eastAsia="zh-CN"/>
        </w:rPr>
        <w:t>平安建设专项经费</w:t>
      </w:r>
      <w:r>
        <w:rPr>
          <w:rFonts w:hint="default" w:ascii="仿宋_GB2312" w:hAnsi="宋体" w:eastAsia="仿宋_GB2312"/>
          <w:sz w:val="32"/>
          <w:szCs w:val="32"/>
          <w:lang w:val="zh-CN" w:eastAsia="zh-CN"/>
        </w:rPr>
        <w:t>根据</w:t>
      </w:r>
      <w:r>
        <w:rPr>
          <w:rFonts w:hint="eastAsia" w:ascii="仿宋_GB2312" w:hAnsi="宋体" w:eastAsia="仿宋_GB2312"/>
          <w:sz w:val="32"/>
          <w:szCs w:val="32"/>
          <w:lang w:val="zh-CN" w:eastAsia="zh-CN"/>
        </w:rPr>
        <w:t>镇（</w:t>
      </w:r>
      <w:r>
        <w:rPr>
          <w:rFonts w:hint="default" w:ascii="仿宋_GB2312" w:hAnsi="宋体" w:eastAsia="仿宋_GB2312"/>
          <w:sz w:val="32"/>
          <w:szCs w:val="32"/>
          <w:lang w:val="zh-CN" w:eastAsia="zh-CN"/>
        </w:rPr>
        <w:t>街道</w:t>
      </w:r>
      <w:r>
        <w:rPr>
          <w:rFonts w:hint="eastAsia" w:ascii="仿宋_GB2312" w:hAnsi="宋体" w:eastAsia="仿宋_GB2312"/>
          <w:sz w:val="32"/>
          <w:szCs w:val="32"/>
          <w:lang w:val="zh-CN" w:eastAsia="zh-CN"/>
        </w:rPr>
        <w:t>）</w:t>
      </w:r>
      <w:r>
        <w:rPr>
          <w:rFonts w:hint="default" w:ascii="仿宋_GB2312" w:hAnsi="宋体" w:eastAsia="仿宋_GB2312"/>
          <w:sz w:val="32"/>
          <w:szCs w:val="32"/>
          <w:lang w:val="zh-CN" w:eastAsia="zh-CN"/>
        </w:rPr>
        <w:t>专兼职</w:t>
      </w:r>
      <w:r>
        <w:rPr>
          <w:rFonts w:hint="eastAsia" w:ascii="仿宋_GB2312" w:hAnsi="宋体" w:eastAsia="仿宋_GB2312"/>
          <w:sz w:val="32"/>
          <w:szCs w:val="32"/>
          <w:lang w:val="zh-CN" w:eastAsia="zh-CN"/>
        </w:rPr>
        <w:t>网格员</w:t>
      </w:r>
      <w:r>
        <w:rPr>
          <w:rFonts w:hint="default" w:ascii="仿宋_GB2312" w:hAnsi="宋体" w:eastAsia="仿宋_GB2312"/>
          <w:sz w:val="32"/>
          <w:szCs w:val="32"/>
          <w:lang w:val="zh-CN" w:eastAsia="zh-CN"/>
        </w:rPr>
        <w:t>的数量进行资金的分配，及时划拨，有力保障网格化工作顺利开展</w:t>
      </w:r>
      <w:r>
        <w:rPr>
          <w:rFonts w:hint="eastAsia" w:ascii="仿宋_GB2312" w:hAnsi="宋体" w:eastAsia="仿宋_GB2312"/>
          <w:sz w:val="32"/>
          <w:szCs w:val="32"/>
          <w:lang w:val="zh-CN" w:eastAsia="zh-CN"/>
        </w:rPr>
        <w:t>；长安网及政法三级网络维护每年下半年根据合同内容支付</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default" w:ascii="仿宋_GB2312" w:hAnsi="宋体" w:eastAsia="仿宋_GB2312"/>
          <w:sz w:val="32"/>
          <w:szCs w:val="32"/>
          <w:lang w:val="zh-CN" w:eastAsia="zh-CN"/>
        </w:rPr>
      </w:pPr>
      <w:r>
        <w:rPr>
          <w:rFonts w:hint="eastAsia" w:ascii="仿宋_GB2312" w:hAnsi="宋体" w:eastAsia="仿宋_GB2312"/>
          <w:sz w:val="32"/>
          <w:szCs w:val="32"/>
          <w:lang w:val="zh-CN" w:eastAsia="zh-CN"/>
        </w:rPr>
        <w:t>1．项目主要内容。平安建设专项经费</w:t>
      </w:r>
      <w:r>
        <w:rPr>
          <w:rFonts w:hint="default" w:ascii="仿宋_GB2312" w:hAnsi="宋体" w:eastAsia="仿宋_GB2312"/>
          <w:sz w:val="32"/>
          <w:szCs w:val="32"/>
          <w:lang w:val="zh-CN" w:eastAsia="zh-CN"/>
        </w:rPr>
        <w:t>为适应社会发展，加强和创新基层社会综合治理工作，坚持源头治理，标本兼治、重在治本，以网格化管理、社会化服务为方向，健全基层综合服务管理平台，及时反映和协调人民群众各方面各层次利益诉求</w:t>
      </w:r>
      <w:r>
        <w:rPr>
          <w:rFonts w:hint="eastAsia" w:ascii="仿宋_GB2312" w:hAnsi="宋体" w:eastAsia="仿宋_GB2312"/>
          <w:sz w:val="32"/>
          <w:szCs w:val="32"/>
          <w:lang w:val="zh-CN" w:eastAsia="zh-CN"/>
        </w:rPr>
        <w:t>；长安网及政法三级网络维护，提升群众对政法工作知晓率及有效保障政法工作及视频会议的高质量传输。</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2．全区划分成56个网格，配备56名专职网格员，结合市域社会治理现代化，构建全方位、智能化、立体化社会治安防控体系，完成三级综治中心建设，探索创新网格化服务管理工作。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color w:val="auto"/>
          <w:sz w:val="32"/>
          <w:szCs w:val="32"/>
          <w:lang w:val="zh-CN"/>
        </w:rPr>
      </w:pPr>
      <w:r>
        <w:rPr>
          <w:rFonts w:hint="default" w:ascii="仿宋_GB2312" w:hAnsi="宋体" w:eastAsia="仿宋_GB2312"/>
          <w:color w:val="auto"/>
          <w:sz w:val="32"/>
          <w:szCs w:val="32"/>
          <w:lang w:val="zh-CN" w:eastAsia="zh-CN"/>
        </w:rPr>
        <w:t>区委政法委作为</w:t>
      </w:r>
      <w:r>
        <w:rPr>
          <w:rFonts w:hint="eastAsia" w:ascii="仿宋_GB2312" w:hAnsi="宋体" w:eastAsia="仿宋_GB2312"/>
          <w:color w:val="auto"/>
          <w:sz w:val="32"/>
          <w:szCs w:val="32"/>
          <w:lang w:val="zh-CN" w:eastAsia="zh-CN"/>
        </w:rPr>
        <w:t>平安建设项目</w:t>
      </w:r>
      <w:r>
        <w:rPr>
          <w:rFonts w:hint="default" w:ascii="仿宋_GB2312" w:hAnsi="宋体" w:eastAsia="仿宋_GB2312"/>
          <w:color w:val="auto"/>
          <w:sz w:val="32"/>
          <w:szCs w:val="32"/>
          <w:lang w:val="zh-CN" w:eastAsia="zh-CN"/>
        </w:rPr>
        <w:t>的牵头部门，制定并发布了《网格员考核办法》，通过网格员上传的信息数据</w:t>
      </w:r>
      <w:r>
        <w:rPr>
          <w:rFonts w:hint="eastAsia" w:ascii="仿宋_GB2312" w:hAnsi="宋体" w:eastAsia="仿宋_GB2312"/>
          <w:color w:val="auto"/>
          <w:sz w:val="32"/>
          <w:szCs w:val="32"/>
          <w:lang w:val="zh-CN" w:eastAsia="zh-CN"/>
        </w:rPr>
        <w:t>，定</w:t>
      </w:r>
      <w:r>
        <w:rPr>
          <w:rFonts w:hint="default" w:ascii="仿宋_GB2312" w:hAnsi="宋体" w:eastAsia="仿宋_GB2312"/>
          <w:color w:val="auto"/>
          <w:sz w:val="32"/>
          <w:szCs w:val="32"/>
          <w:lang w:val="zh-CN" w:eastAsia="zh-CN"/>
        </w:rPr>
        <w:t>期不定期走访</w:t>
      </w:r>
      <w:r>
        <w:rPr>
          <w:rFonts w:hint="eastAsia" w:ascii="仿宋_GB2312" w:hAnsi="宋体" w:eastAsia="仿宋_GB2312"/>
          <w:color w:val="auto"/>
          <w:sz w:val="32"/>
          <w:szCs w:val="32"/>
          <w:lang w:val="zh-CN" w:eastAsia="zh-CN"/>
        </w:rPr>
        <w:t>，</w:t>
      </w:r>
      <w:r>
        <w:rPr>
          <w:rFonts w:hint="default" w:ascii="仿宋_GB2312" w:hAnsi="宋体" w:eastAsia="仿宋_GB2312"/>
          <w:color w:val="auto"/>
          <w:sz w:val="32"/>
          <w:szCs w:val="32"/>
          <w:lang w:val="zh-CN" w:eastAsia="zh-CN"/>
        </w:rPr>
        <w:t>开展督导、自评</w:t>
      </w:r>
      <w:r>
        <w:rPr>
          <w:rFonts w:hint="eastAsia" w:ascii="仿宋_GB2312" w:hAnsi="宋体" w:eastAsia="仿宋_GB2312"/>
          <w:color w:val="auto"/>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Times New Roman" w:hAnsi="Times New Roman" w:eastAsia="仿宋_GB2312" w:cs="Times New Roman"/>
          <w:sz w:val="32"/>
          <w:szCs w:val="32"/>
          <w:lang w:val="en-US" w:eastAsia="zh-CN"/>
        </w:rPr>
        <w:t>2021年申报年初预算</w:t>
      </w:r>
      <w:r>
        <w:rPr>
          <w:rFonts w:hint="eastAsia" w:eastAsia="仿宋_GB2312" w:cs="Times New Roman"/>
          <w:sz w:val="32"/>
          <w:szCs w:val="32"/>
          <w:lang w:val="en-US" w:eastAsia="zh-CN"/>
        </w:rPr>
        <w:t>81.23</w:t>
      </w:r>
      <w:r>
        <w:rPr>
          <w:rFonts w:hint="eastAsia" w:ascii="Times New Roman" w:hAnsi="Times New Roman" w:eastAsia="仿宋_GB2312" w:cs="Times New Roman"/>
          <w:sz w:val="32"/>
          <w:szCs w:val="32"/>
          <w:lang w:val="en-US" w:eastAsia="zh-CN"/>
        </w:rPr>
        <w:t>万元，年底据实结算</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Times New Roman" w:hAnsi="Times New Roman" w:eastAsia="仿宋_GB2312" w:cs="Times New Roman"/>
          <w:sz w:val="32"/>
          <w:szCs w:val="32"/>
          <w:lang w:val="en-US" w:eastAsia="zh-CN"/>
        </w:rPr>
        <w:t>2021年共支出</w:t>
      </w:r>
      <w:r>
        <w:rPr>
          <w:rFonts w:hint="eastAsia" w:eastAsia="仿宋_GB2312" w:cs="Times New Roman"/>
          <w:sz w:val="32"/>
          <w:szCs w:val="32"/>
          <w:lang w:val="en-US" w:eastAsia="zh-CN"/>
        </w:rPr>
        <w:t>81.23</w:t>
      </w:r>
      <w:r>
        <w:rPr>
          <w:rFonts w:hint="eastAsia"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eastAsia="zh-CN"/>
        </w:rPr>
        <w:t>当年全部支付到位。资金开支范围、标准及支付进度等符合规定，按实际发生额进行支付，并严格按照财务管理制度审核支付，支付依据合规合法</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default"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ascii="仿宋_GB2312" w:hAnsi="仿宋_GB2312" w:eastAsia="仿宋_GB2312" w:cs="仿宋_GB2312"/>
          <w:i w:val="0"/>
          <w:caps w:val="0"/>
          <w:color w:val="333333"/>
          <w:spacing w:val="0"/>
          <w:sz w:val="32"/>
          <w:szCs w:val="32"/>
          <w:shd w:val="clear" w:fill="FFFFFF"/>
        </w:rPr>
      </w:pPr>
      <w:r>
        <w:rPr>
          <w:rFonts w:hint="eastAsia" w:eastAsia="微软雅黑" w:cs="Times New Roman"/>
          <w:i w:val="0"/>
          <w:caps w:val="0"/>
          <w:color w:val="333333"/>
          <w:spacing w:val="0"/>
          <w:sz w:val="32"/>
          <w:szCs w:val="32"/>
          <w:shd w:val="clear" w:fill="FFFFFF"/>
          <w:lang w:val="en-US" w:eastAsia="zh-CN"/>
        </w:rPr>
        <w:t xml:space="preserve">  </w:t>
      </w:r>
      <w:r>
        <w:rPr>
          <w:rFonts w:ascii="Times New Roman" w:hAnsi="Times New Roman" w:eastAsia="微软雅黑" w:cs="Times New Roman"/>
          <w:i w:val="0"/>
          <w:caps w:val="0"/>
          <w:color w:val="333333"/>
          <w:spacing w:val="0"/>
          <w:sz w:val="32"/>
          <w:szCs w:val="32"/>
          <w:shd w:val="clear" w:fill="FFFFFF"/>
        </w:rPr>
        <w:t>1.</w:t>
      </w:r>
      <w:r>
        <w:rPr>
          <w:rFonts w:ascii="仿宋_GB2312" w:hAnsi="仿宋_GB2312" w:eastAsia="仿宋_GB2312" w:cs="仿宋_GB2312"/>
          <w:i w:val="0"/>
          <w:caps w:val="0"/>
          <w:color w:val="333333"/>
          <w:spacing w:val="0"/>
          <w:sz w:val="32"/>
          <w:szCs w:val="32"/>
          <w:shd w:val="clear" w:fill="FFFFFF"/>
        </w:rPr>
        <w:t>根据预算项目批复，下达项目经费，预算单位进行项目实施计划。</w:t>
      </w:r>
    </w:p>
    <w:p>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right="0" w:rightChars="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3.</w:t>
      </w:r>
      <w:r>
        <w:rPr>
          <w:rFonts w:hint="default" w:ascii="仿宋_GB2312" w:hAnsi="仿宋_GB2312" w:eastAsia="仿宋_GB2312" w:cs="仿宋_GB2312"/>
          <w:i w:val="0"/>
          <w:caps w:val="0"/>
          <w:color w:val="333333"/>
          <w:spacing w:val="0"/>
          <w:sz w:val="32"/>
          <w:szCs w:val="32"/>
          <w:shd w:val="clear" w:fill="FFFFFF"/>
        </w:rPr>
        <w:t>拨付时根据工作完成情况，报分管领导审核同意，呈报单位主要负责人审批同意后支付</w:t>
      </w:r>
      <w:r>
        <w:rPr>
          <w:rFonts w:hint="eastAsia" w:ascii="仿宋_GB2312" w:hAnsi="仿宋_GB2312" w:eastAsia="仿宋_GB2312" w:cs="仿宋_GB2312"/>
          <w:i w:val="0"/>
          <w:caps w:val="0"/>
          <w:color w:val="333333"/>
          <w:spacing w:val="0"/>
          <w:sz w:val="32"/>
          <w:szCs w:val="32"/>
          <w:shd w:val="clear" w:fill="FFFFFF"/>
          <w:lang w:eastAsia="zh-CN"/>
        </w:rPr>
        <w:t>。</w:t>
      </w:r>
    </w:p>
    <w:p>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right="0" w:rightChars="0"/>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（二）项目管理情况。</w:t>
      </w:r>
    </w:p>
    <w:p>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right="0" w:rightChars="0"/>
        <w:rPr>
          <w:rFonts w:hint="eastAsia" w:ascii="仿宋_GB2312" w:hAnsi="宋体" w:eastAsia="仿宋_GB2312"/>
          <w:sz w:val="32"/>
          <w:szCs w:val="32"/>
          <w:lang w:val="zh-CN"/>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kern w:val="2"/>
          <w:sz w:val="32"/>
          <w:szCs w:val="32"/>
          <w:lang w:val="zh-CN" w:eastAsia="zh-CN" w:bidi="ar-SA"/>
        </w:rPr>
        <w:t>项目是区财政纳入年度预算，严格安照项目要求及财经法律法规等要求落实的</w:t>
      </w:r>
      <w:r>
        <w:rPr>
          <w:rFonts w:hint="eastAsia" w:ascii="仿宋_GB2312" w:hAnsi="宋体" w:eastAsia="仿宋_GB2312"/>
          <w:sz w:val="32"/>
          <w:szCs w:val="32"/>
          <w:lang w:val="zh-CN"/>
        </w:rPr>
        <w:t>。</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仿宋_GB2312" w:hAnsi="宋体" w:eastAsia="仿宋_GB2312"/>
          <w:sz w:val="32"/>
          <w:szCs w:val="32"/>
          <w:lang w:val="en-US" w:eastAsia="zh-CN"/>
        </w:rPr>
        <w:t xml:space="preserve">    </w:t>
      </w: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Times New Roman"/>
          <w:kern w:val="2"/>
          <w:sz w:val="32"/>
          <w:szCs w:val="32"/>
          <w:lang w:val="zh-CN" w:eastAsia="zh-CN" w:bidi="ar-SA"/>
        </w:rPr>
        <w:t>项目完成情况每年都要向上级财政部门填写相关的绩效分析评价，并上报相关对口管理部门检查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6"/>
        <w:rPr>
          <w:color w:val="FF0000"/>
          <w:lang w:val="en-US"/>
        </w:rPr>
      </w:pP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结合市域社会治理现代化，构建全方位、智能化、立体化社会治安防控体系</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有效夯实了社会治理、智能治理能力和水平</w:t>
      </w:r>
      <w:r>
        <w:rPr>
          <w:rFonts w:hint="eastAsia" w:eastAsia="仿宋_GB2312" w:cs="Times New Roman"/>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稳步推进法治西区建设，开展人民群众最不满意行政执法突出问题承诺整改工作，一批犯罪分子被依法严惩，一批涉黑涉恶腐败和“保护伞”被深挖彻查，</w:t>
      </w:r>
      <w:r>
        <w:rPr>
          <w:rFonts w:hint="eastAsia" w:ascii="Times New Roman" w:hAnsi="Times New Roman" w:eastAsia="仿宋_GB2312" w:cs="Times New Roman"/>
          <w:kern w:val="2"/>
          <w:sz w:val="32"/>
          <w:szCs w:val="32"/>
          <w:lang w:val="en-US" w:eastAsia="zh-CN" w:bidi="ar-SA"/>
        </w:rPr>
        <w:t>一批社会乱点乱象得到有效整治，</w:t>
      </w:r>
      <w:r>
        <w:rPr>
          <w:rFonts w:hint="default" w:ascii="Times New Roman" w:hAnsi="Times New Roman" w:eastAsia="仿宋_GB2312" w:cs="Times New Roman"/>
          <w:kern w:val="2"/>
          <w:sz w:val="32"/>
          <w:szCs w:val="32"/>
          <w:lang w:val="en-US" w:eastAsia="zh-CN" w:bidi="ar-SA"/>
        </w:rPr>
        <w:t>扫黑除恶专项斗争成效评价等平安建设满意度部分测评指标</w:t>
      </w:r>
      <w:r>
        <w:rPr>
          <w:rFonts w:hint="eastAsia" w:ascii="Times New Roman" w:hAnsi="Times New Roman" w:eastAsia="仿宋_GB2312" w:cs="Times New Roman"/>
          <w:kern w:val="2"/>
          <w:sz w:val="32"/>
          <w:szCs w:val="32"/>
          <w:lang w:val="en-US" w:eastAsia="zh-CN" w:bidi="ar-SA"/>
        </w:rPr>
        <w:t>取得</w:t>
      </w:r>
      <w:r>
        <w:rPr>
          <w:rFonts w:hint="default" w:ascii="Times New Roman" w:hAnsi="Times New Roman" w:eastAsia="仿宋_GB2312" w:cs="Times New Roman"/>
          <w:kern w:val="2"/>
          <w:sz w:val="32"/>
          <w:szCs w:val="32"/>
          <w:lang w:val="en-US" w:eastAsia="zh-CN" w:bidi="ar-SA"/>
        </w:rPr>
        <w:t>全市第一</w:t>
      </w:r>
      <w:r>
        <w:rPr>
          <w:rFonts w:hint="eastAsia" w:ascii="Times New Roman" w:hAnsi="Times New Roman" w:eastAsia="仿宋_GB2312" w:cs="Times New Roman"/>
          <w:kern w:val="2"/>
          <w:sz w:val="32"/>
          <w:szCs w:val="32"/>
          <w:lang w:val="en-US" w:eastAsia="zh-CN" w:bidi="ar-SA"/>
        </w:rPr>
        <w:t>的可喜成绩</w:t>
      </w:r>
      <w:r>
        <w:rPr>
          <w:rFonts w:hint="default" w:ascii="Times New Roman" w:hAnsi="Times New Roman" w:eastAsia="仿宋_GB2312" w:cs="Times New Roman"/>
          <w:kern w:val="2"/>
          <w:sz w:val="32"/>
          <w:szCs w:val="32"/>
          <w:lang w:val="en-US" w:eastAsia="zh-CN" w:bidi="ar-SA"/>
        </w:rPr>
        <w:t>，行政执法满意度不断提升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极大增进了人民群众的获得感、幸福感、安全感，有力推动了党风政风和社会风气持续向好，</w:t>
      </w:r>
      <w:r>
        <w:rPr>
          <w:rFonts w:hint="eastAsia" w:ascii="Times New Roman" w:hAnsi="Times New Roman" w:eastAsia="仿宋_GB2312" w:cs="Times New Roman"/>
          <w:kern w:val="2"/>
          <w:sz w:val="32"/>
          <w:szCs w:val="32"/>
          <w:lang w:val="en-US" w:eastAsia="zh-CN" w:bidi="ar-SA"/>
        </w:rPr>
        <w:t>社会大局持续保持和谐稳定，为全区经济高质量发展创造了稳定的社会环境、公正的法治环境、优质的服务环境</w:t>
      </w:r>
      <w:r>
        <w:rPr>
          <w:rFonts w:hint="eastAsia" w:ascii="Times New Roman" w:hAnsi="Times New Roman" w:eastAsia="仿宋_GB2312" w:cs="Times New Roman"/>
          <w:kern w:val="2"/>
          <w:sz w:val="32"/>
          <w:szCs w:val="32"/>
          <w:lang w:val="zh-CN" w:eastAsia="zh-CN" w:bidi="ar-SA"/>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7"/>
        <w:spacing w:before="93"/>
        <w:rPr>
          <w:lang w:val="zh-CN"/>
        </w:rPr>
      </w:pPr>
    </w:p>
    <w:p>
      <w:pPr>
        <w:pStyle w:val="7"/>
        <w:spacing w:before="93"/>
        <w:rPr>
          <w:lang w:val="zh-CN"/>
        </w:rPr>
      </w:pPr>
    </w:p>
    <w:p>
      <w:pPr>
        <w:pStyle w:val="7"/>
        <w:spacing w:before="93"/>
        <w:rPr>
          <w:lang w:val="zh-CN"/>
        </w:rPr>
      </w:pPr>
    </w:p>
    <w:p>
      <w:pPr>
        <w:pStyle w:val="7"/>
        <w:spacing w:before="93"/>
        <w:rPr>
          <w:lang w:val="zh-CN"/>
        </w:rPr>
      </w:pPr>
    </w:p>
    <w:p>
      <w:pPr>
        <w:pStyle w:val="7"/>
        <w:spacing w:before="93"/>
        <w:rPr>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spacing w:line="580" w:lineRule="exact"/>
        <w:rPr>
          <w:rStyle w:val="29"/>
          <w:rFonts w:ascii="黑体" w:hAnsi="黑体" w:eastAsia="黑体"/>
          <w:b w:val="0"/>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"C:\\Users\\w\\AppData\\Roaming\\Tencent\\Users\\248301485\\QQ\\WinTemp\\RichOle\\C[GBZ0_Y8MT$OVVI}I28(TQ.png"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104890" cy="5648960"/>
            <wp:effectExtent l="0" t="0" r="10160" b="889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2"/>
                    <a:stretch>
                      <a:fillRect/>
                    </a:stretch>
                  </pic:blipFill>
                  <pic:spPr>
                    <a:xfrm>
                      <a:off x="0" y="0"/>
                      <a:ext cx="6104890" cy="56489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r>
        <w:drawing>
          <wp:inline distT="0" distB="0" distL="114300" distR="114300">
            <wp:extent cx="6181725" cy="5663565"/>
            <wp:effectExtent l="0" t="0" r="9525"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6181725" cy="5663565"/>
                    </a:xfrm>
                    <a:prstGeom prst="rect">
                      <a:avLst/>
                    </a:prstGeom>
                    <a:noFill/>
                    <a:ln w="9525">
                      <a:noFill/>
                    </a:ln>
                  </pic:spPr>
                </pic:pic>
              </a:graphicData>
            </a:graphic>
          </wp:inline>
        </w:drawing>
      </w:r>
      <w:r>
        <w:rPr>
          <w:rStyle w:val="29"/>
          <w:rFonts w:ascii="黑体" w:hAnsi="黑体" w:eastAsia="黑体"/>
          <w:b w:val="0"/>
        </w:rPr>
        <w:br w:type="page"/>
      </w:r>
    </w:p>
    <w:p>
      <w:pPr>
        <w:keepNext w:val="0"/>
        <w:keepLines w:val="0"/>
        <w:widowControl/>
        <w:suppressLineNumbers w:val="0"/>
        <w:jc w:val="left"/>
      </w:pPr>
      <w:bookmarkStart w:id="57" w:name="_Toc15396618"/>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"C:\\Users\\w\\AppData\\Roaming\\Tencent\\Users\\248301485\\QQ\\WinTemp\\RichOle\\MOVOW(I`RVKR7JW]42SN$13.png"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301740" cy="5599430"/>
            <wp:effectExtent l="0" t="0" r="3810" b="127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4"/>
                    <a:stretch>
                      <a:fillRect/>
                    </a:stretch>
                  </pic:blipFill>
                  <pic:spPr>
                    <a:xfrm>
                      <a:off x="0" y="0"/>
                      <a:ext cx="6301740" cy="559943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"C:\\Users\\w\\AppData\\Roaming\\Tencent\\Users\\248301485\\QQ\\WinTemp\\RichOle\\OT{C]H81%N9WOAE5T@BEZ7W.png"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194425" cy="6306185"/>
            <wp:effectExtent l="0" t="0" r="15875" b="1841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5"/>
                    <a:stretch>
                      <a:fillRect/>
                    </a:stretch>
                  </pic:blipFill>
                  <pic:spPr>
                    <a:xfrm>
                      <a:off x="0" y="0"/>
                      <a:ext cx="6194425" cy="630618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jc w:val="both"/>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"C:\\Users\\w\\AppData\\Roaming\\Tencent\\Users\\248301485\\QQ\\WinTemp\\RichOle\\H}1IML3M~5$A$5@]VTQODEK.png"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345555" cy="5528310"/>
            <wp:effectExtent l="0" t="0" r="17145" b="1524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6"/>
                    <a:stretch>
                      <a:fillRect/>
                    </a:stretch>
                  </pic:blipFill>
                  <pic:spPr>
                    <a:xfrm>
                      <a:off x="0" y="0"/>
                      <a:ext cx="6345555" cy="552831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jc w:val="both"/>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55"/>
      <w:bookmarkEnd w:id="57"/>
      <w:bookmarkStart w:id="58"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30"/>
          <w:rFonts w:hint="eastAsia" w:ascii="仿宋" w:hAnsi="仿宋" w:eastAsia="仿宋"/>
          <w:b w:val="0"/>
          <w:bCs w:val="0"/>
        </w:rPr>
        <w:t>入决算表</w:t>
      </w:r>
      <w:bookmarkEnd w:id="59"/>
    </w:p>
    <w:p>
      <w:pPr>
        <w:pStyle w:val="4"/>
        <w:rPr>
          <w:rFonts w:ascii="仿宋" w:hAnsi="仿宋" w:eastAsia="仿宋"/>
        </w:rPr>
      </w:pPr>
      <w:bookmarkStart w:id="60"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61"/>
    </w:p>
    <w:p>
      <w:pPr>
        <w:pStyle w:val="4"/>
        <w:rPr>
          <w:rStyle w:val="30"/>
          <w:rFonts w:ascii="仿宋" w:hAnsi="仿宋" w:eastAsia="仿宋"/>
          <w:b w:val="0"/>
          <w:bCs w:val="0"/>
        </w:rPr>
      </w:pPr>
      <w:bookmarkStart w:id="62"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67"/>
    </w:p>
    <w:p>
      <w:pPr>
        <w:pStyle w:val="4"/>
        <w:rPr>
          <w:rFonts w:ascii="仿宋" w:hAnsi="仿宋" w:eastAsia="仿宋"/>
        </w:rPr>
      </w:pPr>
      <w:bookmarkStart w:id="68" w:name="_Toc15396629"/>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68"/>
    </w:p>
    <w:p>
      <w:pPr>
        <w:pStyle w:val="4"/>
        <w:rPr>
          <w:rFonts w:ascii="仿宋" w:hAnsi="仿宋" w:eastAsia="仿宋"/>
        </w:rPr>
      </w:pPr>
      <w:bookmarkStart w:id="69"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69"/>
    </w:p>
    <w:p>
      <w:pPr>
        <w:pStyle w:val="4"/>
        <w:rPr>
          <w:rStyle w:val="30"/>
          <w:rFonts w:ascii="仿宋" w:hAnsi="仿宋" w:eastAsia="仿宋"/>
          <w:b w:val="0"/>
          <w:bCs w:val="0"/>
        </w:rPr>
      </w:pPr>
      <w:bookmarkStart w:id="70" w:name="_Toc15396631"/>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70"/>
    </w:p>
    <w:p>
      <w:pPr>
        <w:rPr>
          <w:rFonts w:eastAsia="仿宋"/>
        </w:rPr>
      </w:pPr>
      <w:r>
        <w:rPr>
          <w:rStyle w:val="30"/>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21</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jk1ZDEzYWQ2MzkxYWI4OTY5MGUzMWE2M2YyYj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0E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53591"/>
    <w:rsid w:val="04801B50"/>
    <w:rsid w:val="05BD35F8"/>
    <w:rsid w:val="066E0107"/>
    <w:rsid w:val="067C6FD8"/>
    <w:rsid w:val="06CE55DD"/>
    <w:rsid w:val="07996F6E"/>
    <w:rsid w:val="0A2032A3"/>
    <w:rsid w:val="0AE97F39"/>
    <w:rsid w:val="101860EC"/>
    <w:rsid w:val="10C055FF"/>
    <w:rsid w:val="118107EC"/>
    <w:rsid w:val="13D50BC4"/>
    <w:rsid w:val="1443192F"/>
    <w:rsid w:val="14E61FBE"/>
    <w:rsid w:val="155E1926"/>
    <w:rsid w:val="16BB723D"/>
    <w:rsid w:val="1BE8440E"/>
    <w:rsid w:val="1C1D2F0F"/>
    <w:rsid w:val="1D155CEE"/>
    <w:rsid w:val="20D33819"/>
    <w:rsid w:val="23860B96"/>
    <w:rsid w:val="23FE6278"/>
    <w:rsid w:val="240371BF"/>
    <w:rsid w:val="280826F1"/>
    <w:rsid w:val="29EA28F1"/>
    <w:rsid w:val="29FD04D3"/>
    <w:rsid w:val="2C8A61B5"/>
    <w:rsid w:val="2DF04E50"/>
    <w:rsid w:val="2E320CB4"/>
    <w:rsid w:val="2F3D470B"/>
    <w:rsid w:val="2FE91BC6"/>
    <w:rsid w:val="319F7F4E"/>
    <w:rsid w:val="31E07802"/>
    <w:rsid w:val="36AA5135"/>
    <w:rsid w:val="37E16F03"/>
    <w:rsid w:val="3C8F0779"/>
    <w:rsid w:val="3D624DF3"/>
    <w:rsid w:val="3D9342B0"/>
    <w:rsid w:val="3D98207C"/>
    <w:rsid w:val="44E268DA"/>
    <w:rsid w:val="47B92DFF"/>
    <w:rsid w:val="48E70D8E"/>
    <w:rsid w:val="4A627F82"/>
    <w:rsid w:val="4B4F25DA"/>
    <w:rsid w:val="4BDB440D"/>
    <w:rsid w:val="4BE068DB"/>
    <w:rsid w:val="4D577224"/>
    <w:rsid w:val="4DB47895"/>
    <w:rsid w:val="4EAB630A"/>
    <w:rsid w:val="4ECE2238"/>
    <w:rsid w:val="54455564"/>
    <w:rsid w:val="59221EDA"/>
    <w:rsid w:val="5944502D"/>
    <w:rsid w:val="5A647009"/>
    <w:rsid w:val="5AF92295"/>
    <w:rsid w:val="5B2C0B0F"/>
    <w:rsid w:val="5CD71FC4"/>
    <w:rsid w:val="5F1336E0"/>
    <w:rsid w:val="624D720E"/>
    <w:rsid w:val="6C4A05C8"/>
    <w:rsid w:val="6E7E3605"/>
    <w:rsid w:val="6FF5CC65"/>
    <w:rsid w:val="715C0E4B"/>
    <w:rsid w:val="72734D90"/>
    <w:rsid w:val="7300675E"/>
    <w:rsid w:val="73102DA9"/>
    <w:rsid w:val="73AD73D5"/>
    <w:rsid w:val="73B6EB34"/>
    <w:rsid w:val="798B628A"/>
    <w:rsid w:val="79EE5BA4"/>
    <w:rsid w:val="7A894339"/>
    <w:rsid w:val="7EEF11D3"/>
    <w:rsid w:val="7F1255AA"/>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5"/>
    <w:qFormat/>
    <w:uiPriority w:val="99"/>
    <w:pPr>
      <w:widowControl w:val="0"/>
      <w:ind w:firstLine="200" w:firstLineChars="200"/>
      <w:jc w:val="both"/>
    </w:pPr>
    <w:rPr>
      <w:rFonts w:hint="eastAsia" w:ascii="Calibri" w:hAnsi="Calibri" w:eastAsia="宋体" w:cs="Times New Roman"/>
      <w:kern w:val="2"/>
      <w:sz w:val="24"/>
      <w:szCs w:val="22"/>
      <w:lang w:val="en-US" w:eastAsia="zh-CN" w:bidi="ar-SA"/>
    </w:rPr>
  </w:style>
  <w:style w:type="paragraph" w:styleId="6">
    <w:name w:val="Salutation"/>
    <w:basedOn w:val="1"/>
    <w:next w:val="1"/>
    <w:unhideWhenUsed/>
    <w:qFormat/>
    <w:uiPriority w:val="99"/>
    <w:rPr>
      <w:rFonts w:ascii="Times New Roman" w:hAnsi="Times New Roman"/>
    </w:r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unhideWhenUsed/>
    <w:qFormat/>
    <w:uiPriority w:val="99"/>
    <w:rPr>
      <w:rFonts w:ascii="宋体" w:hAnsi="Courier New"/>
    </w:rPr>
  </w:style>
  <w:style w:type="paragraph" w:styleId="10">
    <w:name w:val="Balloon Text"/>
    <w:basedOn w:val="1"/>
    <w:link w:val="32"/>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6"/>
    <w:link w:val="10"/>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NormalCharacter"/>
    <w:semiHidden/>
    <w:qFormat/>
    <w:uiPriority w:val="0"/>
    <w:rPr>
      <w:lang w:val="en-US" w:eastAsia="zh-CN" w:bidi="ar-SA"/>
    </w:rPr>
  </w:style>
  <w:style w:type="paragraph" w:customStyle="1" w:styleId="36">
    <w:name w:val="大标题"/>
    <w:basedOn w:val="1"/>
    <w:qFormat/>
    <w:uiPriority w:val="0"/>
    <w:pPr>
      <w:spacing w:line="640" w:lineRule="exact"/>
      <w:jc w:val="center"/>
    </w:pPr>
    <w:rPr>
      <w:rFonts w:eastAsia="方正小标宋简体"/>
      <w:sz w:val="44"/>
      <w:szCs w:val="44"/>
    </w:rPr>
  </w:style>
  <w:style w:type="character" w:customStyle="1" w:styleId="37">
    <w:name w:val="fontstyle61"/>
    <w:qFormat/>
    <w:uiPriority w:val="0"/>
    <w:rPr>
      <w:rFonts w:hint="eastAsia" w:ascii="楷体_GB2312" w:eastAsia="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10053</Words>
  <Characters>11006</Characters>
  <Lines>57</Lines>
  <Paragraphs>16</Paragraphs>
  <TotalTime>2</TotalTime>
  <ScaleCrop>false</ScaleCrop>
  <LinksUpToDate>false</LinksUpToDate>
  <CharactersWithSpaces>11129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明航</cp:lastModifiedBy>
  <cp:lastPrinted>2022-08-08T09:11:00Z</cp:lastPrinted>
  <dcterms:modified xsi:type="dcterms:W3CDTF">2023-10-07T09:13:39Z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4E7D7BB643864D41AFE6DF6AD5EF7F79</vt:lpwstr>
  </property>
</Properties>
</file>