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Arial Unicode MS" w:hAnsi="宋体" w:eastAsia="Arial Unicode MS" w:cs="Arial Unicode MS"/>
          <w:sz w:val="72"/>
          <w:szCs w:val="72"/>
        </w:rPr>
      </w:pPr>
      <w:bookmarkStart w:id="0" w:name="_Toc15306267"/>
      <w:r>
        <w:rPr>
          <w:rFonts w:ascii="Arial Unicode MS" w:hAnsi="宋体" w:eastAsia="Arial Unicode MS" w:cs="Arial Unicode MS"/>
          <w:sz w:val="72"/>
          <w:szCs w:val="72"/>
        </w:rPr>
        <w:t xml:space="preserve"> </w:t>
      </w:r>
    </w:p>
    <w:p>
      <w:pPr>
        <w:spacing w:line="600" w:lineRule="exact"/>
        <w:jc w:val="center"/>
        <w:outlineLvl w:val="0"/>
        <w:rPr>
          <w:rFonts w:ascii="Arial Unicode MS" w:hAnsi="宋体" w:eastAsia="Arial Unicode MS" w:cs="Arial Unicode MS"/>
          <w:sz w:val="72"/>
          <w:szCs w:val="72"/>
        </w:rPr>
      </w:pPr>
    </w:p>
    <w:p>
      <w:pPr>
        <w:spacing w:line="600" w:lineRule="exact"/>
        <w:jc w:val="center"/>
        <w:outlineLvl w:val="0"/>
        <w:rPr>
          <w:rFonts w:ascii="Arial Unicode MS" w:hAnsi="宋体" w:eastAsia="Arial Unicode MS" w:cs="Arial Unicode MS"/>
          <w:sz w:val="72"/>
          <w:szCs w:val="72"/>
        </w:rPr>
      </w:pPr>
    </w:p>
    <w:p>
      <w:pPr>
        <w:spacing w:line="600" w:lineRule="exact"/>
        <w:jc w:val="center"/>
        <w:outlineLvl w:val="0"/>
        <w:rPr>
          <w:rFonts w:ascii="Arial Unicode MS" w:hAnsi="宋体" w:eastAsia="Arial Unicode MS" w:cs="Arial Unicode MS"/>
          <w:sz w:val="72"/>
          <w:szCs w:val="72"/>
        </w:rPr>
      </w:pPr>
    </w:p>
    <w:p>
      <w:pPr>
        <w:adjustRightInd w:val="0"/>
        <w:snapToGrid w:val="0"/>
        <w:spacing w:line="360" w:lineRule="auto"/>
        <w:jc w:val="center"/>
        <w:outlineLvl w:val="0"/>
        <w:rPr>
          <w:rFonts w:ascii="Arial Unicode MS" w:hAnsi="Arial Unicode MS" w:eastAsia="Arial Unicode MS"/>
          <w:b w:val="0"/>
          <w:bCs w:val="0"/>
          <w:sz w:val="72"/>
          <w:szCs w:val="72"/>
        </w:rPr>
      </w:pPr>
      <w:bookmarkStart w:id="1" w:name="_Toc15377425"/>
      <w:bookmarkStart w:id="2" w:name="_Toc15396597"/>
      <w:bookmarkStart w:id="3" w:name="_Toc15396475"/>
      <w:bookmarkStart w:id="4" w:name="_Toc15377193"/>
      <w:bookmarkStart w:id="5" w:name="_Toc15378441"/>
      <w:r>
        <w:rPr>
          <w:rFonts w:ascii="Arial Unicode MS" w:hAnsi="Arial Unicode MS" w:eastAsia="Arial Unicode MS" w:cs="Arial Unicode MS"/>
          <w:b w:val="0"/>
          <w:bCs w:val="0"/>
          <w:sz w:val="72"/>
          <w:szCs w:val="72"/>
        </w:rPr>
        <w:t>2021</w:t>
      </w:r>
      <w:r>
        <w:rPr>
          <w:rFonts w:hint="eastAsia" w:ascii="Arial Unicode MS" w:hAnsi="Arial Unicode MS" w:eastAsia="Arial Unicode MS" w:cs="Arial Unicode MS"/>
          <w:b w:val="0"/>
          <w:bCs w:val="0"/>
          <w:sz w:val="72"/>
          <w:szCs w:val="72"/>
        </w:rPr>
        <w:t>年度</w:t>
      </w:r>
      <w:bookmarkEnd w:id="1"/>
      <w:bookmarkEnd w:id="2"/>
      <w:bookmarkEnd w:id="3"/>
      <w:bookmarkEnd w:id="4"/>
      <w:bookmarkEnd w:id="5"/>
    </w:p>
    <w:p>
      <w:pPr>
        <w:adjustRightInd w:val="0"/>
        <w:snapToGrid w:val="0"/>
        <w:spacing w:line="360" w:lineRule="auto"/>
        <w:jc w:val="center"/>
        <w:outlineLvl w:val="0"/>
        <w:rPr>
          <w:rFonts w:ascii="Arial Unicode MS" w:hAnsi="Arial Unicode MS" w:eastAsia="Arial Unicode MS"/>
          <w:b w:val="0"/>
          <w:bCs w:val="0"/>
          <w:sz w:val="72"/>
          <w:szCs w:val="72"/>
        </w:rPr>
      </w:pPr>
      <w:bookmarkStart w:id="6" w:name="_Toc15396476"/>
      <w:bookmarkStart w:id="7" w:name="_Toc15396598"/>
      <w:bookmarkStart w:id="8" w:name="_Toc15378442"/>
      <w:bookmarkStart w:id="9" w:name="_Toc15377194"/>
      <w:bookmarkStart w:id="10" w:name="_Toc15377426"/>
      <w:r>
        <w:rPr>
          <w:rFonts w:hint="eastAsia" w:ascii="Arial Unicode MS" w:hAnsi="Arial Unicode MS" w:eastAsia="Arial Unicode MS" w:cs="Arial Unicode MS"/>
          <w:b w:val="0"/>
          <w:bCs w:val="0"/>
          <w:sz w:val="72"/>
          <w:szCs w:val="72"/>
        </w:rPr>
        <w:t>四川省</w:t>
      </w:r>
      <w:bookmarkEnd w:id="0"/>
      <w:bookmarkStart w:id="11" w:name="_Toc15306268"/>
      <w:r>
        <w:rPr>
          <w:rFonts w:hint="eastAsia" w:ascii="Arial Unicode MS" w:hAnsi="Arial Unicode MS" w:eastAsia="Arial Unicode MS" w:cs="Arial Unicode MS"/>
          <w:b w:val="0"/>
          <w:bCs w:val="0"/>
          <w:sz w:val="72"/>
          <w:szCs w:val="72"/>
        </w:rPr>
        <w:t>攀枝花市西区格里坪镇小学校单位决算</w:t>
      </w:r>
      <w:bookmarkEnd w:id="6"/>
      <w:bookmarkEnd w:id="7"/>
      <w:bookmarkEnd w:id="8"/>
      <w:bookmarkEnd w:id="9"/>
      <w:bookmarkEnd w:id="10"/>
      <w:bookmarkEnd w:id="11"/>
    </w:p>
    <w:p>
      <w:pPr>
        <w:widowControl/>
        <w:jc w:val="center"/>
        <w:rPr>
          <w:rFonts w:ascii="黑体" w:hAnsi="黑体" w:eastAsia="黑体"/>
          <w:sz w:val="48"/>
          <w:szCs w:val="48"/>
        </w:rPr>
      </w:pPr>
      <w:r>
        <w:rPr>
          <w:rFonts w:ascii="Arial Unicode MS" w:hAnsi="宋体" w:eastAsia="Arial Unicode MS"/>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0"/>
        <w:rPr>
          <w:rFonts w:cs="Times New Roman"/>
        </w:rPr>
      </w:pPr>
      <w:r>
        <w:rPr>
          <w:rFonts w:hint="eastAsia"/>
        </w:rPr>
        <w:t>公开时间：</w:t>
      </w:r>
      <w:r>
        <w:t>2022</w:t>
      </w:r>
      <w:r>
        <w:rPr>
          <w:rFonts w:hint="eastAsia"/>
        </w:rPr>
        <w:t>年</w:t>
      </w:r>
      <w:r>
        <w:t>10</w:t>
      </w:r>
      <w:r>
        <w:rPr>
          <w:rFonts w:hint="eastAsia"/>
        </w:rPr>
        <w:t>月</w:t>
      </w:r>
      <w:r>
        <w:t>8</w:t>
      </w:r>
      <w:r>
        <w:rPr>
          <w:rFonts w:hint="eastAsia"/>
        </w:rPr>
        <w:t>日</w:t>
      </w:r>
    </w:p>
    <w:p/>
    <w:p>
      <w:pPr>
        <w:pStyle w:val="10"/>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单位概况</w:t>
      </w:r>
      <w:r>
        <w:rPr>
          <w:rFonts w:cs="Times New Roman"/>
          <w:sz w:val="24"/>
          <w:szCs w:val="24"/>
        </w:rPr>
        <w:tab/>
      </w:r>
      <w:r>
        <w:rPr>
          <w:sz w:val="24"/>
          <w:szCs w:val="24"/>
        </w:rPr>
        <w:t>4</w:t>
      </w:r>
    </w:p>
    <w:p>
      <w:pPr>
        <w:pStyle w:val="11"/>
        <w:adjustRightInd w:val="0"/>
        <w:snapToGrid w:val="0"/>
        <w:spacing w:line="440" w:lineRule="exact"/>
        <w:ind w:left="31680"/>
        <w:jc w:val="left"/>
        <w:rPr>
          <w:sz w:val="24"/>
          <w:szCs w:val="24"/>
        </w:rPr>
      </w:pPr>
      <w:r>
        <w:rPr>
          <w:rFonts w:hint="eastAsia" w:cs="宋体"/>
          <w:sz w:val="24"/>
          <w:szCs w:val="24"/>
        </w:rPr>
        <w:t>一、职能简介</w:t>
      </w:r>
      <w:r>
        <w:rPr>
          <w:sz w:val="24"/>
          <w:szCs w:val="24"/>
        </w:rPr>
        <w:tab/>
      </w:r>
      <w:r>
        <w:rPr>
          <w:sz w:val="24"/>
          <w:szCs w:val="24"/>
        </w:rPr>
        <w:t>4</w:t>
      </w:r>
    </w:p>
    <w:p>
      <w:pPr>
        <w:pStyle w:val="11"/>
        <w:adjustRightInd w:val="0"/>
        <w:snapToGrid w:val="0"/>
        <w:spacing w:line="440" w:lineRule="exact"/>
        <w:ind w:left="31680"/>
        <w:jc w:val="left"/>
        <w:rPr>
          <w:sz w:val="24"/>
          <w:szCs w:val="24"/>
        </w:rPr>
      </w:pPr>
      <w:r>
        <w:rPr>
          <w:rFonts w:hint="eastAsia" w:ascii="宋体" w:hAnsi="宋体" w:cs="宋体"/>
          <w:sz w:val="24"/>
          <w:szCs w:val="24"/>
        </w:rPr>
        <w:t>二、</w:t>
      </w:r>
      <w:r>
        <w:rPr>
          <w:rFonts w:ascii="宋体" w:hAnsi="宋体" w:cs="宋体"/>
          <w:sz w:val="24"/>
          <w:szCs w:val="24"/>
        </w:rPr>
        <w:t>2021</w:t>
      </w:r>
      <w:r>
        <w:rPr>
          <w:rFonts w:hint="eastAsia" w:ascii="宋体" w:hAnsi="宋体" w:cs="宋体"/>
          <w:sz w:val="24"/>
          <w:szCs w:val="24"/>
        </w:rPr>
        <w:t>年重点工作完成情况</w:t>
      </w:r>
      <w:r>
        <w:rPr>
          <w:sz w:val="24"/>
          <w:szCs w:val="24"/>
        </w:rPr>
        <w:tab/>
      </w:r>
      <w:r>
        <w:rPr>
          <w:sz w:val="24"/>
          <w:szCs w:val="24"/>
        </w:rPr>
        <w:t>4</w:t>
      </w:r>
    </w:p>
    <w:p>
      <w:pPr>
        <w:pStyle w:val="11"/>
        <w:adjustRightInd w:val="0"/>
        <w:snapToGrid w:val="0"/>
        <w:spacing w:line="440" w:lineRule="exact"/>
        <w:jc w:val="left"/>
      </w:pPr>
      <w:r>
        <w:rPr>
          <w:rFonts w:hint="eastAsia"/>
          <w:sz w:val="24"/>
          <w:lang w:val="en-US" w:eastAsia="zh-CN"/>
        </w:rPr>
        <w:t>三、机构设置情况</w:t>
      </w:r>
      <w:r>
        <w:rPr>
          <w:rFonts w:hint="eastAsia"/>
          <w:sz w:val="24"/>
        </w:rPr>
        <w:tab/>
      </w:r>
      <w:r>
        <w:rPr>
          <w:rFonts w:hint="eastAsia"/>
          <w:sz w:val="24"/>
          <w:lang w:val="en-US" w:eastAsia="zh-CN"/>
        </w:rPr>
        <w:t>5</w:t>
      </w:r>
    </w:p>
    <w:p>
      <w:pPr>
        <w:pStyle w:val="10"/>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2021</w:t>
      </w:r>
      <w:r>
        <w:rPr>
          <w:rFonts w:hint="eastAsia"/>
          <w:sz w:val="24"/>
          <w:szCs w:val="24"/>
        </w:rPr>
        <w:t>年度单位决算情况说明</w:t>
      </w:r>
      <w:r>
        <w:rPr>
          <w:rFonts w:cs="Times New Roman"/>
          <w:sz w:val="24"/>
          <w:szCs w:val="24"/>
        </w:rPr>
        <w:tab/>
      </w:r>
      <w:r>
        <w:rPr>
          <w:sz w:val="24"/>
          <w:szCs w:val="24"/>
        </w:rPr>
        <w:t>6</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一、收入支出决算总体情况说明</w:t>
      </w:r>
      <w:r>
        <w:rPr>
          <w:sz w:val="24"/>
          <w:szCs w:val="24"/>
        </w:rPr>
        <w:tab/>
      </w:r>
      <w:r>
        <w:rPr>
          <w:sz w:val="24"/>
          <w:szCs w:val="24"/>
        </w:rPr>
        <w:t>6</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二、收入决算情况说明</w:t>
      </w:r>
      <w:r>
        <w:rPr>
          <w:sz w:val="24"/>
          <w:szCs w:val="24"/>
        </w:rPr>
        <w:tab/>
      </w:r>
      <w:r>
        <w:rPr>
          <w:sz w:val="24"/>
          <w:szCs w:val="24"/>
        </w:rPr>
        <w:t>6</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三、支出决算情况说明</w:t>
      </w:r>
      <w:r>
        <w:rPr>
          <w:sz w:val="24"/>
          <w:szCs w:val="24"/>
        </w:rPr>
        <w:tab/>
      </w:r>
      <w:r>
        <w:rPr>
          <w:sz w:val="24"/>
          <w:szCs w:val="24"/>
        </w:rPr>
        <w:t>7</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四、财政拨款收入支出决算总体情况说明</w:t>
      </w:r>
      <w:r>
        <w:rPr>
          <w:sz w:val="24"/>
          <w:szCs w:val="24"/>
        </w:rPr>
        <w:tab/>
      </w:r>
      <w:r>
        <w:rPr>
          <w:sz w:val="24"/>
          <w:szCs w:val="24"/>
        </w:rPr>
        <w:t>7</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五、一般公共预算财政拨款支出决算情况说明</w:t>
      </w:r>
      <w:r>
        <w:rPr>
          <w:sz w:val="24"/>
          <w:szCs w:val="24"/>
        </w:rPr>
        <w:tab/>
      </w:r>
      <w:r>
        <w:rPr>
          <w:sz w:val="24"/>
          <w:szCs w:val="24"/>
        </w:rPr>
        <w:t>8</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六、一般公共预算财政拨款基本支出决算情况说明</w:t>
      </w:r>
      <w:r>
        <w:rPr>
          <w:sz w:val="24"/>
          <w:szCs w:val="24"/>
        </w:rPr>
        <w:tab/>
      </w:r>
      <w:r>
        <w:rPr>
          <w:sz w:val="24"/>
          <w:szCs w:val="24"/>
        </w:rPr>
        <w:t>11</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七、“三公”经费财政拨款支出决算情况说明</w:t>
      </w:r>
      <w:r>
        <w:rPr>
          <w:sz w:val="24"/>
          <w:szCs w:val="24"/>
        </w:rPr>
        <w:tab/>
      </w:r>
      <w:r>
        <w:rPr>
          <w:sz w:val="24"/>
          <w:szCs w:val="24"/>
        </w:rPr>
        <w:t>11</w:t>
      </w:r>
    </w:p>
    <w:p>
      <w:pPr>
        <w:pStyle w:val="11"/>
        <w:adjustRightInd w:val="0"/>
        <w:snapToGrid w:val="0"/>
        <w:spacing w:line="440" w:lineRule="exact"/>
        <w:ind w:left="31680"/>
        <w:jc w:val="left"/>
        <w:rPr>
          <w:rFonts w:ascii="仿宋" w:hAnsi="仿宋" w:eastAsia="仿宋"/>
          <w:sz w:val="24"/>
          <w:szCs w:val="24"/>
        </w:rPr>
      </w:pPr>
      <w:r>
        <w:rPr>
          <w:rFonts w:hint="eastAsia" w:cs="宋体"/>
          <w:sz w:val="24"/>
          <w:szCs w:val="24"/>
        </w:rPr>
        <w:t>八、政府性基金预算支出决算情况说明</w:t>
      </w:r>
      <w:r>
        <w:rPr>
          <w:sz w:val="24"/>
          <w:szCs w:val="24"/>
        </w:rPr>
        <w:tab/>
      </w:r>
      <w:r>
        <w:rPr>
          <w:sz w:val="24"/>
          <w:szCs w:val="24"/>
        </w:rPr>
        <w:t>13</w:t>
      </w:r>
    </w:p>
    <w:p>
      <w:pPr>
        <w:pStyle w:val="11"/>
        <w:adjustRightInd w:val="0"/>
        <w:snapToGrid w:val="0"/>
        <w:spacing w:line="440" w:lineRule="exact"/>
        <w:ind w:left="31680"/>
        <w:jc w:val="left"/>
        <w:rPr>
          <w:sz w:val="24"/>
          <w:szCs w:val="24"/>
        </w:rPr>
      </w:pPr>
      <w:r>
        <w:rPr>
          <w:rFonts w:hint="eastAsia" w:cs="宋体"/>
          <w:sz w:val="24"/>
          <w:szCs w:val="24"/>
        </w:rPr>
        <w:t>九、国有资本经营预算支出决算情况说明</w:t>
      </w:r>
      <w:r>
        <w:rPr>
          <w:sz w:val="24"/>
          <w:szCs w:val="24"/>
        </w:rPr>
        <w:tab/>
      </w:r>
      <w:r>
        <w:rPr>
          <w:sz w:val="24"/>
          <w:szCs w:val="24"/>
        </w:rPr>
        <w:t>13</w:t>
      </w:r>
    </w:p>
    <w:p>
      <w:pPr>
        <w:pStyle w:val="11"/>
        <w:adjustRightInd w:val="0"/>
        <w:snapToGrid w:val="0"/>
        <w:spacing w:line="440" w:lineRule="exact"/>
        <w:ind w:left="31680"/>
        <w:jc w:val="left"/>
        <w:rPr>
          <w:sz w:val="24"/>
          <w:szCs w:val="24"/>
        </w:rPr>
      </w:pPr>
      <w:r>
        <w:rPr>
          <w:rFonts w:hint="eastAsia" w:cs="宋体"/>
          <w:sz w:val="24"/>
          <w:szCs w:val="24"/>
        </w:rPr>
        <w:t>十、其他重要事项的情况说明</w:t>
      </w:r>
      <w:r>
        <w:rPr>
          <w:sz w:val="24"/>
          <w:szCs w:val="24"/>
        </w:rPr>
        <w:tab/>
      </w:r>
      <w:r>
        <w:rPr>
          <w:sz w:val="24"/>
          <w:szCs w:val="24"/>
        </w:rPr>
        <w:t>13</w:t>
      </w:r>
    </w:p>
    <w:p>
      <w:pPr>
        <w:pStyle w:val="10"/>
        <w:adjustRightInd w:val="0"/>
        <w:snapToGrid w:val="0"/>
        <w:spacing w:before="0" w:line="440" w:lineRule="exact"/>
        <w:jc w:val="left"/>
        <w:rPr>
          <w:rFonts w:hint="eastAsia" w:eastAsia="仿宋" w:cs="Times New Roman"/>
          <w:sz w:val="24"/>
          <w:szCs w:val="24"/>
          <w:lang w:val="en-US" w:eastAsia="zh-CN"/>
        </w:rPr>
      </w:pPr>
      <w:r>
        <w:rPr>
          <w:rFonts w:hint="eastAsia"/>
          <w:sz w:val="24"/>
          <w:szCs w:val="24"/>
        </w:rPr>
        <w:t>第三部分</w:t>
      </w:r>
      <w:r>
        <w:rPr>
          <w:sz w:val="24"/>
          <w:szCs w:val="24"/>
        </w:rPr>
        <w:t xml:space="preserve"> </w:t>
      </w:r>
      <w:r>
        <w:rPr>
          <w:rFonts w:hint="eastAsia"/>
          <w:sz w:val="24"/>
          <w:szCs w:val="24"/>
        </w:rPr>
        <w:t>名词解释</w:t>
      </w:r>
      <w:r>
        <w:rPr>
          <w:rFonts w:cs="Times New Roman"/>
          <w:sz w:val="24"/>
          <w:szCs w:val="24"/>
        </w:rPr>
        <w:tab/>
      </w:r>
      <w:r>
        <w:rPr>
          <w:sz w:val="24"/>
          <w:szCs w:val="24"/>
        </w:rPr>
        <w:t>1</w:t>
      </w:r>
      <w:r>
        <w:rPr>
          <w:rFonts w:hint="eastAsia"/>
          <w:sz w:val="24"/>
          <w:szCs w:val="24"/>
          <w:lang w:val="en-US" w:eastAsia="zh-CN"/>
        </w:rPr>
        <w:t>4</w:t>
      </w:r>
    </w:p>
    <w:p>
      <w:pPr>
        <w:pStyle w:val="10"/>
        <w:adjustRightInd w:val="0"/>
        <w:snapToGrid w:val="0"/>
        <w:spacing w:before="0" w:line="440" w:lineRule="exact"/>
        <w:jc w:val="left"/>
        <w:rPr>
          <w:rFonts w:hint="default" w:eastAsia="仿宋" w:cs="Times New Roman"/>
          <w:sz w:val="24"/>
          <w:szCs w:val="24"/>
          <w:lang w:val="en-US" w:eastAsia="zh-CN"/>
        </w:rPr>
      </w:pPr>
      <w:r>
        <w:rPr>
          <w:rFonts w:hint="eastAsia"/>
          <w:sz w:val="24"/>
          <w:szCs w:val="24"/>
        </w:rPr>
        <w:t>第四部分</w:t>
      </w:r>
      <w:r>
        <w:rPr>
          <w:sz w:val="24"/>
          <w:szCs w:val="24"/>
        </w:rPr>
        <w:t xml:space="preserve"> </w:t>
      </w:r>
      <w:r>
        <w:rPr>
          <w:rFonts w:hint="eastAsia"/>
          <w:sz w:val="24"/>
          <w:szCs w:val="24"/>
        </w:rPr>
        <w:t>附件</w:t>
      </w:r>
      <w:r>
        <w:rPr>
          <w:rFonts w:cs="Times New Roman"/>
          <w:sz w:val="24"/>
          <w:szCs w:val="24"/>
        </w:rPr>
        <w:tab/>
      </w:r>
      <w:r>
        <w:rPr>
          <w:rFonts w:hint="eastAsia" w:cs="Times New Roman"/>
          <w:sz w:val="24"/>
          <w:szCs w:val="24"/>
          <w:lang w:val="en-US" w:eastAsia="zh-CN"/>
        </w:rPr>
        <w:t>17</w:t>
      </w:r>
    </w:p>
    <w:p>
      <w:pPr>
        <w:pStyle w:val="10"/>
        <w:adjustRightInd w:val="0"/>
        <w:snapToGrid w:val="0"/>
        <w:spacing w:before="0" w:line="440" w:lineRule="exact"/>
        <w:jc w:val="left"/>
        <w:rPr>
          <w:rFonts w:hint="default" w:eastAsia="仿宋" w:cs="Times New Roman"/>
          <w:sz w:val="24"/>
          <w:szCs w:val="24"/>
          <w:lang w:val="en-US" w:eastAsia="zh-CN"/>
        </w:rPr>
      </w:pPr>
      <w:r>
        <w:rPr>
          <w:rFonts w:hint="eastAsia"/>
          <w:sz w:val="24"/>
          <w:szCs w:val="24"/>
        </w:rPr>
        <w:t>第五部分</w:t>
      </w:r>
      <w:r>
        <w:rPr>
          <w:sz w:val="24"/>
          <w:szCs w:val="24"/>
        </w:rPr>
        <w:t xml:space="preserve"> </w:t>
      </w:r>
      <w:r>
        <w:rPr>
          <w:rFonts w:hint="eastAsia"/>
          <w:sz w:val="24"/>
          <w:szCs w:val="24"/>
        </w:rPr>
        <w:t>附表</w:t>
      </w:r>
      <w:r>
        <w:rPr>
          <w:rFonts w:cs="Times New Roman"/>
          <w:sz w:val="24"/>
          <w:szCs w:val="24"/>
        </w:rPr>
        <w:tab/>
      </w:r>
      <w:r>
        <w:rPr>
          <w:rFonts w:hint="eastAsia" w:cs="Times New Roman"/>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一、收入支出决算总表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二、收入决算表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三、支出决算表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四、财政拨款收入支出决算总表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五、财政拨款支出决算明细表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六、一般公共预算财政拨款支出决算表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七、一般公共预算财政拨款支出决算明细表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八、一般公共预算财政拨款基本支出决算表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九、一般公共预算财政拨款项目支出决算表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十、一般公共预算财政拨款“三公”经费支出决算表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十一、政府性基金预算财政拨款收入支出决算表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十二、政府性基金预算财政拨款“三公”经费支出决算表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十三、国有资本经营预算财政拨款收入支出决算表</w:t>
      </w:r>
      <w:r>
        <w:rPr>
          <w:sz w:val="24"/>
          <w:szCs w:val="24"/>
        </w:rPr>
        <w:tab/>
      </w:r>
      <w:r>
        <w:rPr>
          <w:rFonts w:hint="eastAsia"/>
          <w:sz w:val="24"/>
          <w:szCs w:val="24"/>
          <w:lang w:val="en-US" w:eastAsia="zh-CN"/>
        </w:rPr>
        <w:t>18</w:t>
      </w:r>
    </w:p>
    <w:p>
      <w:pPr>
        <w:pStyle w:val="11"/>
        <w:adjustRightInd w:val="0"/>
        <w:snapToGrid w:val="0"/>
        <w:spacing w:line="440" w:lineRule="exact"/>
        <w:ind w:left="31680"/>
        <w:jc w:val="left"/>
        <w:rPr>
          <w:rFonts w:hint="default" w:eastAsia="宋体"/>
          <w:sz w:val="24"/>
          <w:szCs w:val="24"/>
          <w:lang w:val="en-US" w:eastAsia="zh-CN"/>
        </w:rPr>
      </w:pPr>
      <w:r>
        <w:rPr>
          <w:rFonts w:hint="eastAsia" w:cs="宋体"/>
          <w:sz w:val="24"/>
          <w:szCs w:val="24"/>
        </w:rPr>
        <w:t>十四、国有资本经营预算财政拨款支出决算表</w:t>
      </w:r>
      <w:r>
        <w:rPr>
          <w:sz w:val="24"/>
          <w:szCs w:val="24"/>
        </w:rPr>
        <w:tab/>
      </w:r>
      <w:r>
        <w:rPr>
          <w:rFonts w:hint="eastAsia"/>
          <w:sz w:val="24"/>
          <w:szCs w:val="24"/>
          <w:lang w:val="en-US" w:eastAsia="zh-CN"/>
        </w:rPr>
        <w:t>18</w:t>
      </w:r>
    </w:p>
    <w:p>
      <w:pPr>
        <w:widowControl/>
        <w:spacing w:line="440" w:lineRule="exact"/>
        <w:jc w:val="left"/>
        <w:rPr>
          <w:rFonts w:ascii="仿宋" w:hAnsi="仿宋" w:eastAsia="仿宋"/>
          <w:kern w:val="44"/>
          <w:sz w:val="24"/>
          <w:szCs w:val="24"/>
        </w:rPr>
      </w:pPr>
      <w:bookmarkStart w:id="12" w:name="_Toc15377196"/>
      <w:bookmarkStart w:id="13" w:name="_Toc15396599"/>
      <w:r>
        <w:rPr>
          <w:rFonts w:ascii="仿宋" w:hAnsi="仿宋" w:eastAsia="仿宋"/>
          <w:b/>
          <w:bCs/>
          <w:sz w:val="24"/>
          <w:szCs w:val="24"/>
        </w:rPr>
        <w:br w:type="page"/>
      </w:r>
    </w:p>
    <w:p>
      <w:pPr>
        <w:pStyle w:val="3"/>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单位</w:t>
      </w:r>
      <w:r>
        <w:rPr>
          <w:rStyle w:val="16"/>
          <w:rFonts w:hint="eastAsia" w:ascii="黑体" w:hAnsi="黑体" w:eastAsia="黑体" w:cs="黑体"/>
          <w:b w:val="0"/>
          <w:bCs w:val="0"/>
        </w:rPr>
        <w:t>概况</w:t>
      </w:r>
      <w:bookmarkEnd w:id="12"/>
      <w:bookmarkEnd w:id="13"/>
    </w:p>
    <w:p>
      <w:pPr>
        <w:widowControl/>
        <w:jc w:val="left"/>
        <w:rPr>
          <w:rFonts w:ascii="黑体" w:eastAsia="黑体"/>
          <w:sz w:val="32"/>
          <w:szCs w:val="32"/>
        </w:rPr>
      </w:pPr>
    </w:p>
    <w:p>
      <w:pPr>
        <w:pStyle w:val="4"/>
        <w:numPr>
          <w:ilvl w:val="0"/>
          <w:numId w:val="1"/>
        </w:numPr>
        <w:rPr>
          <w:rStyle w:val="17"/>
          <w:rFonts w:ascii="黑体" w:hAnsi="黑体" w:eastAsia="黑体" w:cs="Times New Roman"/>
          <w:b w:val="0"/>
          <w:bCs w:val="0"/>
        </w:rPr>
      </w:pPr>
      <w:bookmarkStart w:id="14" w:name="_Toc15396600"/>
      <w:bookmarkStart w:id="15" w:name="_Toc15377197"/>
      <w:r>
        <w:rPr>
          <w:rStyle w:val="17"/>
          <w:rFonts w:hint="eastAsia" w:ascii="黑体" w:hAnsi="黑体" w:eastAsia="黑体" w:cs="黑体"/>
          <w:b w:val="0"/>
          <w:bCs w:val="0"/>
        </w:rPr>
        <w:t>职能简介</w:t>
      </w:r>
    </w:p>
    <w:p>
      <w:pPr>
        <w:rPr>
          <w:rFonts w:hint="eastAsia" w:ascii="仿宋" w:hAnsi="仿宋" w:eastAsia="仿宋"/>
          <w:sz w:val="32"/>
          <w:szCs w:val="32"/>
          <w:lang w:val="en-US" w:eastAsia="zh-CN"/>
        </w:rPr>
      </w:pPr>
      <w:r>
        <w:rPr>
          <w:rFonts w:ascii="仿宋_GB2312" w:hAnsi="仿宋_GB2312" w:eastAsia="仿宋_GB2312" w:cs="仿宋_GB2312"/>
          <w:color w:val="000000"/>
          <w:sz w:val="32"/>
          <w:szCs w:val="32"/>
        </w:rPr>
        <w:t xml:space="preserve">   </w:t>
      </w:r>
      <w:r>
        <w:rPr>
          <w:rFonts w:hint="eastAsia" w:ascii="仿宋" w:hAnsi="仿宋" w:eastAsia="仿宋"/>
          <w:sz w:val="32"/>
          <w:szCs w:val="32"/>
          <w:lang w:val="en-US" w:eastAsia="zh-CN"/>
        </w:rPr>
        <w:t xml:space="preserve"> 1、研究制定学校教育发展战略，贯彻执行党和国家的教育方针、政策、法规。</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2、制定学校发展规划，组织实施教育体制和办学体制改革。</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3、管理和指导学校基础教育工作，确保普及九年义务教育工作成果。</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4、管理学校教育经费、执行财务管理制度。</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5、负责和指导学校教职工思想政治工作，规划学校品德教育、体育卫生教育、艺术教育和国防教育工作：负责做好社会治安综合治理及安全保卫工作。</w:t>
      </w:r>
    </w:p>
    <w:p/>
    <w:p>
      <w:pPr>
        <w:pStyle w:val="4"/>
        <w:rPr>
          <w:rFonts w:ascii="黑体" w:hAnsi="黑体" w:eastAsia="黑体" w:cs="Times New Roman"/>
          <w:b w:val="0"/>
          <w:bCs w:val="0"/>
        </w:rPr>
      </w:pPr>
      <w:r>
        <w:rPr>
          <w:rFonts w:hint="eastAsia" w:ascii="黑体" w:hAnsi="黑体" w:eastAsia="黑体" w:cs="黑体"/>
          <w:b w:val="0"/>
          <w:bCs w:val="0"/>
        </w:rPr>
        <w:t>二、</w:t>
      </w:r>
      <w:r>
        <w:rPr>
          <w:rFonts w:ascii="黑体" w:hAnsi="黑体" w:eastAsia="黑体" w:cs="黑体"/>
          <w:b w:val="0"/>
          <w:bCs w:val="0"/>
        </w:rPr>
        <w:t>2021</w:t>
      </w:r>
      <w:r>
        <w:rPr>
          <w:rFonts w:hint="eastAsia" w:ascii="黑体" w:hAnsi="黑体" w:eastAsia="黑体" w:cs="黑体"/>
          <w:b w:val="0"/>
          <w:bCs w:val="0"/>
        </w:rPr>
        <w:t>年重点工作</w:t>
      </w:r>
      <w:bookmarkEnd w:id="14"/>
      <w:bookmarkEnd w:id="15"/>
      <w:r>
        <w:rPr>
          <w:rFonts w:hint="eastAsia" w:ascii="黑体" w:hAnsi="黑体" w:eastAsia="黑体" w:cs="黑体"/>
          <w:b w:val="0"/>
          <w:bCs w:val="0"/>
        </w:rPr>
        <w:t>完成情况</w:t>
      </w:r>
    </w:p>
    <w:p>
      <w:pPr>
        <w:rPr>
          <w:rFonts w:ascii="仿宋_GB2312" w:hAnsi="仿宋_GB2312" w:eastAsia="仿宋_GB2312"/>
          <w:color w:val="000000"/>
          <w:sz w:val="32"/>
          <w:szCs w:val="32"/>
        </w:rPr>
      </w:pPr>
      <w:r>
        <w:rPr>
          <w:rFonts w:ascii="仿宋" w:hAnsi="仿宋" w:eastAsia="仿宋" w:cs="仿宋"/>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 w:hAnsi="仿宋" w:eastAsia="仿宋"/>
          <w:sz w:val="32"/>
          <w:szCs w:val="32"/>
          <w:lang w:val="en-US" w:eastAsia="zh-CN"/>
        </w:rPr>
        <w:t>学校在省、市、区各级党委政府的指导和关怀下，坚持依法治校，全面认真地贯彻党的教育方针，全面实施素质教育，坚持五育并举，德育为先。始终贯彻党和国家的教育方针的有关要求，坚持以办好农村优质而均衡的寄宿制学校为目标。以“办自信学校，做自信教师，育自信学生”为办学理念；以教师队伍建设为抓手；以“262”课堂模式改革创新为动力，将学校教育活动与党史学习相结合。深入开展教育改革，丰富育人活动，坚持抓安全工作为第一要务，不断提升教育教学质量，办学生满意、家长放心的学校。</w:t>
      </w:r>
    </w:p>
    <w:p>
      <w:pPr>
        <w:rPr>
          <w:rFonts w:ascii="仿宋_GB2312" w:hAnsi="仿宋_GB2312" w:eastAsia="仿宋_GB2312"/>
          <w:color w:val="000000"/>
          <w:sz w:val="32"/>
          <w:szCs w:val="32"/>
        </w:rPr>
      </w:pPr>
    </w:p>
    <w:p>
      <w:pPr>
        <w:pStyle w:val="27"/>
        <w:numPr>
          <w:ilvl w:val="0"/>
          <w:numId w:val="0"/>
        </w:numPr>
        <w:spacing w:line="600" w:lineRule="exact"/>
        <w:ind w:leftChars="0"/>
        <w:outlineLvl w:val="1"/>
        <w:rPr>
          <w:rFonts w:hint="eastAsia" w:ascii="黑体" w:hAnsi="黑体" w:eastAsia="黑体"/>
          <w:sz w:val="32"/>
          <w:szCs w:val="32"/>
          <w:lang w:eastAsia="zh-CN"/>
        </w:rPr>
      </w:pPr>
      <w:r>
        <w:rPr>
          <w:rFonts w:hint="eastAsia" w:ascii="黑体" w:hAnsi="黑体" w:eastAsia="黑体"/>
          <w:sz w:val="32"/>
          <w:szCs w:val="32"/>
          <w:lang w:eastAsia="zh-CN"/>
        </w:rPr>
        <w:t>三、机构设置情况</w:t>
      </w:r>
    </w:p>
    <w:p>
      <w:pPr>
        <w:pStyle w:val="27"/>
        <w:numPr>
          <w:ilvl w:val="0"/>
          <w:numId w:val="0"/>
        </w:numPr>
        <w:spacing w:line="600" w:lineRule="exact"/>
        <w:ind w:leftChars="0"/>
        <w:outlineLvl w:val="1"/>
        <w:rPr>
          <w:rFonts w:hint="eastAsia" w:ascii="仿宋" w:hAnsi="仿宋" w:eastAsia="仿宋" w:cs="Times New Roman"/>
          <w:kern w:val="2"/>
          <w:sz w:val="32"/>
          <w:szCs w:val="32"/>
          <w:lang w:val="en-US" w:eastAsia="zh-CN" w:bidi="ar-SA"/>
        </w:rPr>
      </w:pPr>
    </w:p>
    <w:p>
      <w:pPr>
        <w:ind w:firstLine="800" w:firstLineChars="250"/>
        <w:rPr>
          <w:rFonts w:ascii="仿宋" w:hAnsi="仿宋" w:eastAsia="仿宋"/>
          <w:sz w:val="32"/>
          <w:szCs w:val="32"/>
        </w:rPr>
      </w:pPr>
      <w:r>
        <w:rPr>
          <w:rFonts w:hint="eastAsia" w:ascii="仿宋" w:hAnsi="仿宋" w:eastAsia="仿宋"/>
          <w:sz w:val="32"/>
          <w:szCs w:val="32"/>
        </w:rPr>
        <w:t>攀枝花市西区</w:t>
      </w:r>
      <w:r>
        <w:rPr>
          <w:rFonts w:hint="eastAsia" w:ascii="仿宋" w:hAnsi="仿宋" w:eastAsia="仿宋"/>
          <w:sz w:val="32"/>
          <w:szCs w:val="32"/>
          <w:lang w:val="en-US" w:eastAsia="zh-CN"/>
        </w:rPr>
        <w:t>格里坪镇中心学校</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adjustRightInd w:val="0"/>
        <w:snapToGrid w:val="0"/>
        <w:spacing w:before="93" w:line="600" w:lineRule="exact"/>
        <w:ind w:firstLine="672" w:firstLineChars="210"/>
        <w:rPr>
          <w:rFonts w:hint="default" w:ascii="仿宋" w:hAnsi="仿宋" w:eastAsia="仿宋"/>
          <w:color w:val="000000"/>
          <w:sz w:val="32"/>
          <w:szCs w:val="32"/>
          <w:lang w:val="en-US" w:eastAsia="zh-CN"/>
        </w:rPr>
      </w:pPr>
      <w:r>
        <w:rPr>
          <w:rFonts w:hint="eastAsia" w:ascii="仿宋" w:hAnsi="仿宋" w:eastAsia="仿宋"/>
          <w:color w:val="000000"/>
          <w:sz w:val="32"/>
          <w:szCs w:val="32"/>
        </w:rPr>
        <w:t>纳入</w:t>
      </w:r>
      <w:r>
        <w:rPr>
          <w:rFonts w:hint="eastAsia" w:ascii="仿宋" w:hAnsi="仿宋" w:eastAsia="仿宋"/>
          <w:sz w:val="32"/>
          <w:szCs w:val="32"/>
        </w:rPr>
        <w:t>攀枝花市西区</w:t>
      </w:r>
      <w:r>
        <w:rPr>
          <w:rFonts w:hint="eastAsia" w:ascii="仿宋" w:hAnsi="仿宋" w:eastAsia="仿宋"/>
          <w:sz w:val="32"/>
          <w:szCs w:val="32"/>
          <w:lang w:val="en-US" w:eastAsia="zh-CN"/>
        </w:rPr>
        <w:t>格里坪镇中心学校</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年度部门决算编制范围的二级预算单位包括</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无。</w:t>
      </w:r>
    </w:p>
    <w:p>
      <w:pPr>
        <w:rPr>
          <w:rFonts w:ascii="仿宋_GB2312" w:hAnsi="仿宋_GB2312" w:eastAsia="仿宋_GB2312"/>
          <w:color w:val="000000"/>
          <w:sz w:val="32"/>
          <w:szCs w:val="32"/>
        </w:rPr>
      </w:pPr>
    </w:p>
    <w:p>
      <w:pPr>
        <w:pStyle w:val="2"/>
        <w:rPr>
          <w:rFonts w:ascii="仿宋_GB2312" w:hAnsi="仿宋_GB2312" w:eastAsia="仿宋_GB2312"/>
          <w:color w:val="000000"/>
          <w:sz w:val="32"/>
          <w:szCs w:val="32"/>
        </w:rPr>
      </w:pPr>
    </w:p>
    <w:p>
      <w:pPr>
        <w:pStyle w:val="2"/>
        <w:rPr>
          <w:rFonts w:ascii="仿宋_GB2312" w:hAnsi="仿宋_GB2312" w:eastAsia="仿宋_GB2312"/>
          <w:color w:val="000000"/>
          <w:sz w:val="32"/>
          <w:szCs w:val="32"/>
        </w:rPr>
      </w:pPr>
    </w:p>
    <w:p>
      <w:pPr>
        <w:pStyle w:val="2"/>
        <w:rPr>
          <w:rFonts w:ascii="仿宋_GB2312" w:hAnsi="仿宋_GB2312" w:eastAsia="仿宋_GB2312"/>
          <w:color w:val="000000"/>
          <w:sz w:val="32"/>
          <w:szCs w:val="32"/>
        </w:rPr>
      </w:pPr>
    </w:p>
    <w:p>
      <w:pPr>
        <w:pStyle w:val="2"/>
        <w:rPr>
          <w:rFonts w:ascii="仿宋_GB2312" w:hAnsi="仿宋_GB2312" w:eastAsia="仿宋_GB2312"/>
          <w:color w:val="000000"/>
          <w:sz w:val="32"/>
          <w:szCs w:val="32"/>
        </w:rPr>
      </w:pPr>
    </w:p>
    <w:p>
      <w:pPr>
        <w:pStyle w:val="2"/>
        <w:rPr>
          <w:rFonts w:ascii="仿宋_GB2312" w:hAnsi="仿宋_GB2312" w:eastAsia="仿宋_GB2312"/>
          <w:color w:val="000000"/>
          <w:sz w:val="32"/>
          <w:szCs w:val="32"/>
        </w:rPr>
      </w:pPr>
    </w:p>
    <w:p>
      <w:pPr>
        <w:pStyle w:val="3"/>
        <w:ind w:right="440"/>
        <w:jc w:val="center"/>
        <w:rPr>
          <w:rStyle w:val="16"/>
          <w:rFonts w:ascii="黑体" w:hAnsi="黑体" w:eastAsia="黑体"/>
          <w:b w:val="0"/>
          <w:bCs w:val="0"/>
        </w:rPr>
      </w:pPr>
      <w:bookmarkStart w:id="16" w:name="_Toc15377204"/>
      <w:bookmarkStart w:id="17" w:name="_Toc15396602"/>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16"/>
          <w:rFonts w:hint="eastAsia" w:ascii="黑体" w:hAnsi="黑体" w:eastAsia="黑体" w:cs="黑体"/>
          <w:b w:val="0"/>
          <w:bCs w:val="0"/>
        </w:rPr>
        <w:t>单位决算情况说明</w:t>
      </w:r>
      <w:bookmarkEnd w:id="16"/>
      <w:bookmarkEnd w:id="17"/>
    </w:p>
    <w:p/>
    <w:p>
      <w:pPr>
        <w:pStyle w:val="27"/>
        <w:numPr>
          <w:ilvl w:val="0"/>
          <w:numId w:val="2"/>
        </w:numPr>
        <w:spacing w:line="600" w:lineRule="exact"/>
        <w:ind w:firstLineChars="0"/>
        <w:outlineLvl w:val="1"/>
        <w:rPr>
          <w:rStyle w:val="17"/>
          <w:rFonts w:ascii="黑体" w:hAnsi="黑体" w:eastAsia="黑体" w:cs="Times New Roman"/>
          <w:b w:val="0"/>
          <w:bCs w:val="0"/>
        </w:rPr>
      </w:pPr>
      <w:bookmarkStart w:id="18" w:name="_Toc15377205"/>
      <w:bookmarkStart w:id="19" w:name="_Toc15396603"/>
      <w:r>
        <w:rPr>
          <w:rFonts w:hint="eastAsia" w:ascii="黑体" w:hAnsi="黑体" w:eastAsia="黑体" w:cs="黑体"/>
          <w:sz w:val="32"/>
          <w:szCs w:val="32"/>
        </w:rPr>
        <w:t>收</w:t>
      </w:r>
      <w:r>
        <w:rPr>
          <w:rStyle w:val="17"/>
          <w:rFonts w:hint="eastAsia" w:ascii="黑体" w:hAnsi="黑体" w:eastAsia="黑体" w:cs="黑体"/>
          <w:b w:val="0"/>
          <w:bCs w:val="0"/>
        </w:rPr>
        <w:t>入支出决算总体情况说明</w:t>
      </w:r>
      <w:bookmarkEnd w:id="18"/>
      <w:bookmarkEnd w:id="19"/>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1346.45</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年相比，收、支总计各增加</w:t>
      </w:r>
      <w:r>
        <w:rPr>
          <w:rFonts w:ascii="仿宋" w:hAnsi="仿宋" w:eastAsia="仿宋" w:cs="仿宋"/>
          <w:sz w:val="32"/>
          <w:szCs w:val="32"/>
        </w:rPr>
        <w:t>158.98</w:t>
      </w:r>
      <w:r>
        <w:rPr>
          <w:rFonts w:hint="eastAsia" w:ascii="仿宋" w:hAnsi="仿宋" w:eastAsia="仿宋" w:cs="仿宋"/>
          <w:sz w:val="32"/>
          <w:szCs w:val="32"/>
        </w:rPr>
        <w:t>万元，增长</w:t>
      </w:r>
      <w:r>
        <w:rPr>
          <w:rFonts w:ascii="仿宋" w:hAnsi="仿宋" w:eastAsia="仿宋" w:cs="仿宋"/>
          <w:sz w:val="32"/>
          <w:szCs w:val="32"/>
        </w:rPr>
        <w:t>13.39%</w:t>
      </w:r>
      <w:r>
        <w:rPr>
          <w:rFonts w:hint="eastAsia" w:ascii="仿宋" w:hAnsi="仿宋" w:eastAsia="仿宋" w:cs="仿宋"/>
          <w:sz w:val="32"/>
          <w:szCs w:val="32"/>
        </w:rPr>
        <w:t>。主要变动原因是教职工工资社保费用增加，所以收入支出增加。</w:t>
      </w:r>
    </w:p>
    <w:p>
      <w:pPr>
        <w:pStyle w:val="2"/>
        <w:spacing w:before="93"/>
        <w:jc w:val="center"/>
        <w:rPr>
          <w:rFonts w:cs="Times New Roman"/>
        </w:rPr>
      </w:pPr>
      <w:r>
        <w:drawing>
          <wp:inline distT="0" distB="0" distL="114300" distR="114300">
            <wp:extent cx="3829050" cy="2523490"/>
            <wp:effectExtent l="4445" t="4445" r="14605" b="5715"/>
            <wp:docPr id="157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17"/>
          <w:rFonts w:ascii="黑体" w:hAnsi="黑体" w:eastAsia="黑体" w:cs="Times New Roman"/>
          <w:b w:val="0"/>
          <w:bCs w:val="0"/>
        </w:rPr>
      </w:pPr>
      <w:bookmarkStart w:id="20" w:name="_Toc15396604"/>
      <w:bookmarkStart w:id="21" w:name="_Toc15377206"/>
      <w:r>
        <w:rPr>
          <w:rFonts w:hint="eastAsia" w:ascii="黑体" w:hAnsi="黑体" w:eastAsia="黑体" w:cs="黑体"/>
          <w:sz w:val="32"/>
          <w:szCs w:val="32"/>
        </w:rPr>
        <w:t>收</w:t>
      </w:r>
      <w:r>
        <w:rPr>
          <w:rStyle w:val="17"/>
          <w:rFonts w:hint="eastAsia" w:ascii="黑体" w:hAnsi="黑体" w:eastAsia="黑体" w:cs="黑体"/>
          <w:b w:val="0"/>
          <w:bCs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1344.85</w:t>
      </w:r>
      <w:r>
        <w:rPr>
          <w:rFonts w:hint="eastAsia" w:ascii="仿宋" w:hAnsi="仿宋" w:eastAsia="仿宋" w:cs="仿宋"/>
          <w:sz w:val="32"/>
          <w:szCs w:val="32"/>
        </w:rPr>
        <w:t>万元，其中：一般公共预算财政拨款收入</w:t>
      </w:r>
      <w:r>
        <w:rPr>
          <w:rFonts w:ascii="仿宋" w:hAnsi="仿宋" w:eastAsia="仿宋" w:cs="仿宋"/>
          <w:sz w:val="32"/>
          <w:szCs w:val="32"/>
        </w:rPr>
        <w:t>1344.85</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；政府性基金预算财政拨款收入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2"/>
        <w:spacing w:before="93"/>
        <w:jc w:val="center"/>
        <w:rPr>
          <w:rFonts w:cs="Times New Roman"/>
        </w:rPr>
      </w:pPr>
      <w:r>
        <w:drawing>
          <wp:inline distT="0" distB="0" distL="114300" distR="114300">
            <wp:extent cx="3086100" cy="2124075"/>
            <wp:effectExtent l="4445" t="4445" r="14605" b="5080"/>
            <wp:docPr id="157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：收入决算结构图）（饼状图）</w:t>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17"/>
          <w:rFonts w:ascii="黑体" w:hAnsi="黑体" w:eastAsia="黑体" w:cs="Times New Roman"/>
          <w:b w:val="0"/>
          <w:bCs w:val="0"/>
        </w:rPr>
      </w:pPr>
      <w:bookmarkStart w:id="22" w:name="_Toc15396605"/>
      <w:bookmarkStart w:id="23" w:name="_Toc15377207"/>
      <w:r>
        <w:rPr>
          <w:rFonts w:hint="eastAsia" w:ascii="黑体" w:hAnsi="黑体" w:eastAsia="黑体" w:cs="黑体"/>
          <w:sz w:val="32"/>
          <w:szCs w:val="32"/>
        </w:rPr>
        <w:t>支</w:t>
      </w:r>
      <w:r>
        <w:rPr>
          <w:rStyle w:val="17"/>
          <w:rFonts w:hint="eastAsia" w:ascii="黑体" w:hAnsi="黑体" w:eastAsia="黑体" w:cs="黑体"/>
          <w:b w:val="0"/>
          <w:bCs w:val="0"/>
        </w:rPr>
        <w:t>出决算情况说明</w:t>
      </w:r>
      <w:bookmarkEnd w:id="22"/>
      <w:bookmarkEnd w:id="23"/>
    </w:p>
    <w:p>
      <w:pPr>
        <w:spacing w:line="600" w:lineRule="exact"/>
        <w:ind w:firstLine="640" w:firstLineChars="200"/>
        <w:outlineLvl w:val="1"/>
        <w:rPr>
          <w:rFonts w:cs="Times New Roman"/>
        </w:rPr>
      </w:pPr>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1346.45</w:t>
      </w:r>
      <w:r>
        <w:rPr>
          <w:rFonts w:hint="eastAsia" w:ascii="仿宋" w:hAnsi="仿宋" w:eastAsia="仿宋" w:cs="仿宋"/>
          <w:sz w:val="32"/>
          <w:szCs w:val="32"/>
        </w:rPr>
        <w:t>万元，其中：基本支出</w:t>
      </w:r>
      <w:r>
        <w:rPr>
          <w:rFonts w:ascii="仿宋" w:hAnsi="仿宋" w:eastAsia="仿宋" w:cs="仿宋"/>
          <w:sz w:val="32"/>
          <w:szCs w:val="32"/>
        </w:rPr>
        <w:t>1343.8</w:t>
      </w:r>
      <w:r>
        <w:rPr>
          <w:rFonts w:hint="eastAsia" w:ascii="仿宋" w:hAnsi="仿宋" w:eastAsia="仿宋" w:cs="仿宋"/>
          <w:sz w:val="32"/>
          <w:szCs w:val="32"/>
          <w:lang w:val="en-US" w:eastAsia="zh-CN"/>
        </w:rPr>
        <w:t>6</w:t>
      </w:r>
      <w:r>
        <w:rPr>
          <w:rFonts w:hint="eastAsia" w:ascii="仿宋" w:hAnsi="仿宋" w:eastAsia="仿宋" w:cs="仿宋"/>
          <w:sz w:val="32"/>
          <w:szCs w:val="32"/>
        </w:rPr>
        <w:t>万元，占</w:t>
      </w:r>
      <w:r>
        <w:rPr>
          <w:rFonts w:ascii="仿宋" w:hAnsi="仿宋" w:eastAsia="仿宋" w:cs="仿宋"/>
          <w:sz w:val="32"/>
          <w:szCs w:val="32"/>
        </w:rPr>
        <w:t>99.81%</w:t>
      </w:r>
      <w:r>
        <w:rPr>
          <w:rFonts w:hint="eastAsia" w:ascii="仿宋" w:hAnsi="仿宋" w:eastAsia="仿宋" w:cs="仿宋"/>
          <w:sz w:val="32"/>
          <w:szCs w:val="32"/>
        </w:rPr>
        <w:t>；项目支出</w:t>
      </w:r>
      <w:r>
        <w:rPr>
          <w:rFonts w:ascii="仿宋" w:hAnsi="仿宋" w:eastAsia="仿宋" w:cs="仿宋"/>
          <w:sz w:val="32"/>
          <w:szCs w:val="32"/>
        </w:rPr>
        <w:t>2.5</w:t>
      </w:r>
      <w:r>
        <w:rPr>
          <w:rFonts w:hint="eastAsia" w:ascii="仿宋" w:hAnsi="仿宋" w:eastAsia="仿宋" w:cs="仿宋"/>
          <w:sz w:val="32"/>
          <w:szCs w:val="32"/>
          <w:lang w:val="en-US" w:eastAsia="zh-CN"/>
        </w:rPr>
        <w:t>9</w:t>
      </w:r>
      <w:r>
        <w:rPr>
          <w:rFonts w:hint="eastAsia" w:ascii="仿宋" w:hAnsi="仿宋" w:eastAsia="仿宋" w:cs="仿宋"/>
          <w:sz w:val="32"/>
          <w:szCs w:val="32"/>
        </w:rPr>
        <w:t>万元，占</w:t>
      </w:r>
      <w:r>
        <w:rPr>
          <w:rFonts w:ascii="仿宋" w:hAnsi="仿宋" w:eastAsia="仿宋" w:cs="仿宋"/>
          <w:sz w:val="32"/>
          <w:szCs w:val="32"/>
        </w:rPr>
        <w:t>0.19%</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2"/>
        <w:spacing w:before="93"/>
        <w:jc w:val="center"/>
        <w:rPr>
          <w:rFonts w:cs="Times New Roman"/>
        </w:rPr>
      </w:pPr>
      <w:r>
        <w:drawing>
          <wp:anchor distT="0" distB="0" distL="114300" distR="114300" simplePos="0" relativeHeight="251659264" behindDoc="0" locked="0" layoutInCell="1" allowOverlap="1">
            <wp:simplePos x="0" y="0"/>
            <wp:positionH relativeFrom="column">
              <wp:posOffset>957580</wp:posOffset>
            </wp:positionH>
            <wp:positionV relativeFrom="paragraph">
              <wp:posOffset>219710</wp:posOffset>
            </wp:positionV>
            <wp:extent cx="3276600" cy="2294890"/>
            <wp:effectExtent l="4445" t="4445" r="14605" b="5715"/>
            <wp:wrapTopAndBottom/>
            <wp:docPr id="158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jc w:val="both"/>
        <w:rPr>
          <w:rFonts w:cs="Times New Roman"/>
        </w:rPr>
      </w:pPr>
    </w:p>
    <w:p>
      <w:pPr>
        <w:spacing w:line="600" w:lineRule="exac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7"/>
          <w:rFonts w:ascii="黑体" w:hAnsi="黑体" w:eastAsia="黑体" w:cs="Times New Roman"/>
          <w:b w:val="0"/>
          <w:bCs w:val="0"/>
        </w:rPr>
      </w:pPr>
      <w:bookmarkStart w:id="24" w:name="_Toc15377208"/>
      <w:bookmarkStart w:id="25" w:name="_Toc15396606"/>
      <w:r>
        <w:rPr>
          <w:rFonts w:hint="eastAsia" w:ascii="黑体" w:hAnsi="黑体" w:eastAsia="黑体" w:cs="黑体"/>
          <w:sz w:val="32"/>
          <w:szCs w:val="32"/>
        </w:rPr>
        <w:t>四、财</w:t>
      </w:r>
      <w:r>
        <w:rPr>
          <w:rStyle w:val="17"/>
          <w:rFonts w:hint="eastAsia" w:ascii="黑体" w:hAnsi="黑体" w:eastAsia="黑体" w:cs="黑体"/>
          <w:b w:val="0"/>
          <w:bCs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1346.45</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年相比，财政拨款收、支总计各增加</w:t>
      </w:r>
      <w:r>
        <w:rPr>
          <w:rFonts w:ascii="仿宋" w:hAnsi="仿宋" w:eastAsia="仿宋" w:cs="仿宋"/>
          <w:sz w:val="32"/>
          <w:szCs w:val="32"/>
        </w:rPr>
        <w:t>159.07</w:t>
      </w:r>
      <w:r>
        <w:rPr>
          <w:rFonts w:hint="eastAsia" w:ascii="仿宋" w:hAnsi="仿宋" w:eastAsia="仿宋" w:cs="仿宋"/>
          <w:sz w:val="32"/>
          <w:szCs w:val="32"/>
        </w:rPr>
        <w:t>万元，增长</w:t>
      </w:r>
      <w:r>
        <w:rPr>
          <w:rFonts w:ascii="仿宋" w:hAnsi="仿宋" w:eastAsia="仿宋" w:cs="仿宋"/>
          <w:sz w:val="32"/>
          <w:szCs w:val="32"/>
        </w:rPr>
        <w:t>13.39%</w:t>
      </w:r>
      <w:r>
        <w:rPr>
          <w:rFonts w:hint="eastAsia" w:ascii="仿宋" w:hAnsi="仿宋" w:eastAsia="仿宋" w:cs="仿宋"/>
          <w:sz w:val="32"/>
          <w:szCs w:val="32"/>
        </w:rPr>
        <w:t>。主要变动原因是教职工工资社保费用增加，所以收入支出增加。</w:t>
      </w:r>
    </w:p>
    <w:p>
      <w:pPr>
        <w:pStyle w:val="2"/>
        <w:spacing w:before="93"/>
        <w:jc w:val="center"/>
        <w:rPr>
          <w:rFonts w:cs="Times New Roman"/>
        </w:rPr>
      </w:pPr>
      <w:r>
        <w:drawing>
          <wp:inline distT="0" distB="0" distL="114300" distR="114300">
            <wp:extent cx="3655060" cy="2295525"/>
            <wp:effectExtent l="4445" t="4445" r="17145" b="5080"/>
            <wp:docPr id="158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：财政拨款收、支决算总计变动情况）（柱状图）</w:t>
      </w:r>
    </w:p>
    <w:p>
      <w:pPr>
        <w:spacing w:line="600" w:lineRule="exact"/>
        <w:ind w:firstLine="640"/>
        <w:rPr>
          <w:rFonts w:ascii="仿宋" w:hAnsi="仿宋" w:eastAsia="仿宋"/>
          <w:b/>
          <w:bCs/>
          <w:sz w:val="32"/>
          <w:szCs w:val="32"/>
        </w:rPr>
      </w:pPr>
    </w:p>
    <w:p>
      <w:pPr>
        <w:spacing w:line="600" w:lineRule="exact"/>
        <w:ind w:firstLine="640" w:firstLineChars="200"/>
        <w:outlineLvl w:val="1"/>
        <w:rPr>
          <w:rStyle w:val="17"/>
          <w:rFonts w:ascii="黑体" w:hAnsi="黑体" w:eastAsia="黑体" w:cs="Times New Roman"/>
          <w:b w:val="0"/>
          <w:bCs w:val="0"/>
        </w:rPr>
      </w:pPr>
      <w:bookmarkStart w:id="26" w:name="_Toc15396607"/>
      <w:bookmarkStart w:id="27" w:name="_Toc15377209"/>
      <w:r>
        <w:rPr>
          <w:rFonts w:hint="eastAsia" w:ascii="黑体" w:hAnsi="黑体" w:eastAsia="黑体" w:cs="黑体"/>
          <w:sz w:val="32"/>
          <w:szCs w:val="32"/>
        </w:rPr>
        <w:t>五、</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般公共预算财政拨款支出决算情况说明</w:t>
      </w:r>
      <w:bookmarkEnd w:id="26"/>
      <w:bookmarkEnd w:id="27"/>
    </w:p>
    <w:p>
      <w:pPr>
        <w:spacing w:line="600" w:lineRule="exact"/>
        <w:ind w:firstLine="643" w:firstLineChars="200"/>
        <w:outlineLvl w:val="2"/>
        <w:rPr>
          <w:rFonts w:ascii="仿宋" w:hAnsi="仿宋" w:eastAsia="仿宋"/>
          <w:b/>
          <w:bCs/>
          <w:sz w:val="32"/>
          <w:szCs w:val="32"/>
        </w:rPr>
      </w:pPr>
      <w:bookmarkStart w:id="28" w:name="_Toc15377210"/>
      <w:r>
        <w:rPr>
          <w:rFonts w:hint="eastAsia" w:ascii="仿宋" w:hAnsi="仿宋" w:eastAsia="仿宋" w:cs="仿宋"/>
          <w:b/>
          <w:bCs/>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1344.85</w:t>
      </w:r>
      <w:r>
        <w:rPr>
          <w:rFonts w:hint="eastAsia" w:ascii="仿宋" w:hAnsi="仿宋" w:eastAsia="仿宋" w:cs="仿宋"/>
          <w:sz w:val="32"/>
          <w:szCs w:val="32"/>
        </w:rPr>
        <w:t>万元，占本年支出合计的</w:t>
      </w:r>
      <w:r>
        <w:rPr>
          <w:rFonts w:ascii="仿宋" w:hAnsi="仿宋" w:eastAsia="仿宋" w:cs="仿宋"/>
          <w:sz w:val="32"/>
          <w:szCs w:val="32"/>
        </w:rPr>
        <w:t>99.88%</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161.69</w:t>
      </w:r>
      <w:r>
        <w:rPr>
          <w:rFonts w:hint="eastAsia" w:ascii="仿宋" w:hAnsi="仿宋" w:eastAsia="仿宋" w:cs="仿宋"/>
          <w:sz w:val="32"/>
          <w:szCs w:val="32"/>
        </w:rPr>
        <w:t>万元，增长</w:t>
      </w:r>
      <w:r>
        <w:rPr>
          <w:rFonts w:ascii="仿宋" w:hAnsi="仿宋" w:eastAsia="仿宋" w:cs="仿宋"/>
          <w:sz w:val="32"/>
          <w:szCs w:val="32"/>
        </w:rPr>
        <w:t>13.66%</w:t>
      </w:r>
      <w:r>
        <w:rPr>
          <w:rFonts w:hint="eastAsia" w:ascii="仿宋" w:hAnsi="仿宋" w:eastAsia="仿宋" w:cs="仿宋"/>
          <w:sz w:val="32"/>
          <w:szCs w:val="32"/>
        </w:rPr>
        <w:t>。主要变动原因是教职工工资社保费用增加，所以收入支出增加。</w:t>
      </w:r>
    </w:p>
    <w:p>
      <w:pPr>
        <w:pStyle w:val="2"/>
        <w:spacing w:before="93"/>
        <w:jc w:val="center"/>
        <w:rPr>
          <w:rFonts w:cs="Times New Roman"/>
        </w:rPr>
      </w:pPr>
      <w:r>
        <w:drawing>
          <wp:inline distT="0" distB="0" distL="114300" distR="114300">
            <wp:extent cx="3886200" cy="2305050"/>
            <wp:effectExtent l="4445" t="4445" r="14605" b="14605"/>
            <wp:docPr id="157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pPr>
        <w:spacing w:line="600" w:lineRule="exact"/>
        <w:ind w:firstLine="643" w:firstLineChars="200"/>
        <w:outlineLvl w:val="2"/>
        <w:rPr>
          <w:rFonts w:ascii="仿宋" w:hAnsi="仿宋" w:eastAsia="仿宋"/>
          <w:b/>
          <w:bCs/>
          <w:sz w:val="32"/>
          <w:szCs w:val="32"/>
        </w:rPr>
      </w:pPr>
      <w:bookmarkStart w:id="29" w:name="_Toc15377211"/>
      <w:r>
        <w:rPr>
          <w:rFonts w:hint="eastAsia" w:ascii="仿宋" w:hAnsi="仿宋" w:eastAsia="仿宋" w:cs="仿宋"/>
          <w:b/>
          <w:bCs/>
          <w:sz w:val="32"/>
          <w:szCs w:val="32"/>
        </w:rPr>
        <w:t>（二）一般公共预算财政拨款支出决算结构情况</w:t>
      </w:r>
      <w:bookmarkEnd w:id="29"/>
    </w:p>
    <w:p>
      <w:pPr>
        <w:spacing w:line="600" w:lineRule="exact"/>
        <w:ind w:firstLine="640"/>
        <w:rPr>
          <w:rFonts w:ascii="仿宋" w:hAnsi="仿宋" w:eastAsia="仿宋"/>
          <w:b/>
          <w:bCs/>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1344.85</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0.99</w:t>
      </w:r>
      <w:r>
        <w:rPr>
          <w:rFonts w:hint="eastAsia" w:ascii="仿宋" w:hAnsi="仿宋" w:eastAsia="仿宋" w:cs="仿宋"/>
          <w:sz w:val="32"/>
          <w:szCs w:val="32"/>
        </w:rPr>
        <w:t>万元，占</w:t>
      </w:r>
      <w:r>
        <w:rPr>
          <w:rFonts w:ascii="仿宋" w:hAnsi="仿宋" w:eastAsia="仿宋" w:cs="仿宋"/>
          <w:sz w:val="32"/>
          <w:szCs w:val="32"/>
        </w:rPr>
        <w:t>0.07%</w:t>
      </w:r>
      <w:r>
        <w:rPr>
          <w:rFonts w:hint="eastAsia" w:ascii="仿宋" w:hAnsi="仿宋" w:eastAsia="仿宋" w:cs="仿宋"/>
          <w:sz w:val="32"/>
          <w:szCs w:val="32"/>
        </w:rPr>
        <w:t>；</w:t>
      </w:r>
      <w:r>
        <w:rPr>
          <w:rFonts w:hint="eastAsia" w:ascii="仿宋" w:hAnsi="仿宋" w:eastAsia="仿宋" w:cs="仿宋"/>
          <w:b/>
          <w:bCs/>
          <w:sz w:val="32"/>
          <w:szCs w:val="32"/>
        </w:rPr>
        <w:t>教育支出（类）</w:t>
      </w:r>
      <w:r>
        <w:rPr>
          <w:rFonts w:ascii="仿宋" w:hAnsi="仿宋" w:eastAsia="仿宋" w:cs="仿宋"/>
          <w:sz w:val="32"/>
          <w:szCs w:val="32"/>
        </w:rPr>
        <w:t>855.09</w:t>
      </w:r>
      <w:r>
        <w:rPr>
          <w:rFonts w:hint="eastAsia" w:ascii="仿宋" w:hAnsi="仿宋" w:eastAsia="仿宋" w:cs="仿宋"/>
          <w:sz w:val="32"/>
          <w:szCs w:val="32"/>
        </w:rPr>
        <w:t>万元，占</w:t>
      </w:r>
      <w:r>
        <w:rPr>
          <w:rFonts w:ascii="仿宋" w:hAnsi="仿宋" w:eastAsia="仿宋" w:cs="仿宋"/>
          <w:sz w:val="32"/>
          <w:szCs w:val="32"/>
        </w:rPr>
        <w:t>63.58%</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303.5</w:t>
      </w:r>
      <w:r>
        <w:rPr>
          <w:rFonts w:hint="eastAsia" w:ascii="仿宋" w:hAnsi="仿宋" w:eastAsia="仿宋" w:cs="仿宋"/>
          <w:sz w:val="32"/>
          <w:szCs w:val="32"/>
        </w:rPr>
        <w:t>万元，占</w:t>
      </w:r>
      <w:r>
        <w:rPr>
          <w:rFonts w:ascii="仿宋" w:hAnsi="仿宋" w:eastAsia="仿宋" w:cs="仿宋"/>
          <w:sz w:val="32"/>
          <w:szCs w:val="32"/>
        </w:rPr>
        <w:t>22.57%</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ascii="仿宋" w:hAnsi="仿宋" w:eastAsia="仿宋" w:cs="仿宋"/>
          <w:sz w:val="32"/>
          <w:szCs w:val="32"/>
        </w:rPr>
        <w:t>70.89</w:t>
      </w:r>
      <w:r>
        <w:rPr>
          <w:rFonts w:hint="eastAsia" w:ascii="仿宋" w:hAnsi="仿宋" w:eastAsia="仿宋" w:cs="仿宋"/>
          <w:sz w:val="32"/>
          <w:szCs w:val="32"/>
        </w:rPr>
        <w:t>万元，占</w:t>
      </w:r>
      <w:r>
        <w:rPr>
          <w:rFonts w:ascii="仿宋" w:hAnsi="仿宋" w:eastAsia="仿宋" w:cs="仿宋"/>
          <w:sz w:val="32"/>
          <w:szCs w:val="32"/>
        </w:rPr>
        <w:t>5.27%</w:t>
      </w:r>
      <w:r>
        <w:rPr>
          <w:rFonts w:hint="eastAsia" w:ascii="仿宋" w:hAnsi="仿宋" w:eastAsia="仿宋" w:cs="仿宋"/>
          <w:sz w:val="32"/>
          <w:szCs w:val="32"/>
        </w:rPr>
        <w:t>；住房保障支出</w:t>
      </w:r>
      <w:r>
        <w:rPr>
          <w:rFonts w:ascii="仿宋" w:hAnsi="仿宋" w:eastAsia="仿宋" w:cs="仿宋"/>
          <w:sz w:val="32"/>
          <w:szCs w:val="32"/>
        </w:rPr>
        <w:t>114.38</w:t>
      </w:r>
      <w:r>
        <w:rPr>
          <w:rFonts w:hint="eastAsia" w:ascii="仿宋" w:hAnsi="仿宋" w:eastAsia="仿宋" w:cs="仿宋"/>
          <w:sz w:val="32"/>
          <w:szCs w:val="32"/>
        </w:rPr>
        <w:t>万元，占</w:t>
      </w:r>
      <w:r>
        <w:rPr>
          <w:rFonts w:ascii="仿宋" w:hAnsi="仿宋" w:eastAsia="仿宋" w:cs="仿宋"/>
          <w:sz w:val="32"/>
          <w:szCs w:val="32"/>
        </w:rPr>
        <w:t>8.51%</w:t>
      </w:r>
      <w:r>
        <w:rPr>
          <w:rFonts w:hint="eastAsia" w:ascii="仿宋" w:hAnsi="仿宋" w:eastAsia="仿宋" w:cs="仿宋"/>
          <w:sz w:val="32"/>
          <w:szCs w:val="32"/>
        </w:rPr>
        <w:t>。</w:t>
      </w:r>
    </w:p>
    <w:p>
      <w:pPr>
        <w:pStyle w:val="2"/>
        <w:spacing w:before="93"/>
        <w:jc w:val="center"/>
        <w:rPr>
          <w:rFonts w:cs="Times New Roman"/>
        </w:rPr>
      </w:pPr>
      <w:r>
        <w:drawing>
          <wp:inline distT="0" distB="0" distL="114300" distR="114300">
            <wp:extent cx="3622040" cy="2493010"/>
            <wp:effectExtent l="4445" t="4445" r="12065" b="17145"/>
            <wp:docPr id="157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bCs/>
          <w:sz w:val="32"/>
          <w:szCs w:val="32"/>
        </w:rPr>
      </w:pPr>
      <w:bookmarkStart w:id="30" w:name="_Toc15377212"/>
      <w:r>
        <w:rPr>
          <w:rFonts w:hint="eastAsia" w:ascii="仿宋" w:hAnsi="仿宋" w:eastAsia="仿宋" w:cs="仿宋"/>
          <w:b/>
          <w:bCs/>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sz w:val="32"/>
          <w:szCs w:val="32"/>
        </w:rPr>
        <w:t>1344.85</w:t>
      </w:r>
      <w:r>
        <w:rPr>
          <w:rFonts w:hint="eastAsia" w:ascii="仿宋" w:hAnsi="仿宋" w:eastAsia="仿宋" w:cs="仿宋"/>
          <w:b/>
          <w:bCs/>
          <w:sz w:val="32"/>
          <w:szCs w:val="32"/>
        </w:rPr>
        <w:t>万元</w:t>
      </w:r>
      <w:r>
        <w:rPr>
          <w:rFonts w:hint="eastAsia" w:ascii="仿宋" w:hAnsi="仿宋" w:eastAsia="仿宋" w:cs="仿宋"/>
          <w:sz w:val="32"/>
          <w:szCs w:val="32"/>
        </w:rPr>
        <w:t>，</w:t>
      </w:r>
      <w:r>
        <w:rPr>
          <w:rStyle w:val="14"/>
          <w:rFonts w:hint="eastAsia" w:ascii="仿宋" w:hAnsi="仿宋" w:eastAsia="仿宋" w:cs="仿宋"/>
          <w:sz w:val="32"/>
          <w:szCs w:val="32"/>
        </w:rPr>
        <w:t>完成预算</w:t>
      </w:r>
      <w:r>
        <w:rPr>
          <w:rStyle w:val="14"/>
          <w:rFonts w:ascii="仿宋" w:hAnsi="仿宋" w:eastAsia="仿宋" w:cs="仿宋"/>
          <w:sz w:val="32"/>
          <w:szCs w:val="32"/>
        </w:rPr>
        <w:t>100%</w:t>
      </w:r>
      <w:r>
        <w:rPr>
          <w:rStyle w:val="14"/>
          <w:rFonts w:hint="eastAsia" w:ascii="仿宋" w:hAnsi="仿宋" w:eastAsia="仿宋" w:cs="仿宋"/>
          <w:sz w:val="32"/>
          <w:szCs w:val="32"/>
        </w:rPr>
        <w:t>。其中：</w:t>
      </w:r>
      <w:bookmarkEnd w:id="31"/>
      <w:bookmarkEnd w:id="32"/>
      <w:bookmarkEnd w:id="33"/>
    </w:p>
    <w:p>
      <w:pPr>
        <w:spacing w:line="600" w:lineRule="exact"/>
        <w:ind w:firstLine="643" w:firstLineChars="200"/>
        <w:rPr>
          <w:rFonts w:ascii="仿宋" w:hAnsi="仿宋" w:eastAsia="仿宋"/>
          <w:b/>
          <w:bCs/>
          <w:sz w:val="32"/>
          <w:szCs w:val="32"/>
        </w:rPr>
      </w:pPr>
      <w:r>
        <w:rPr>
          <w:rStyle w:val="14"/>
          <w:rFonts w:ascii="仿宋" w:hAnsi="仿宋" w:eastAsia="仿宋" w:cs="仿宋"/>
          <w:sz w:val="32"/>
          <w:szCs w:val="32"/>
        </w:rPr>
        <w:t>1.</w:t>
      </w:r>
      <w:r>
        <w:rPr>
          <w:rStyle w:val="14"/>
          <w:rFonts w:hint="eastAsia" w:ascii="仿宋" w:hAnsi="仿宋" w:eastAsia="仿宋" w:cs="仿宋"/>
          <w:sz w:val="32"/>
          <w:szCs w:val="32"/>
        </w:rPr>
        <w:t>一般公共服务支出（类）宣传事物（款）其他宣传事物支出（项）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0.99</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Fonts w:ascii="仿宋" w:hAnsi="仿宋" w:eastAsia="仿宋"/>
          <w:b/>
          <w:bCs/>
          <w:sz w:val="32"/>
          <w:szCs w:val="32"/>
        </w:rPr>
      </w:pPr>
      <w:r>
        <w:rPr>
          <w:rStyle w:val="14"/>
          <w:rFonts w:ascii="仿宋" w:hAnsi="仿宋" w:eastAsia="仿宋" w:cs="仿宋"/>
          <w:sz w:val="32"/>
          <w:szCs w:val="32"/>
        </w:rPr>
        <w:t>2.</w:t>
      </w:r>
      <w:r>
        <w:rPr>
          <w:rStyle w:val="14"/>
          <w:rFonts w:hint="eastAsia" w:ascii="仿宋" w:hAnsi="仿宋" w:eastAsia="仿宋" w:cs="仿宋"/>
          <w:sz w:val="32"/>
          <w:szCs w:val="32"/>
        </w:rPr>
        <w:t>教育支出（类）普通教育（款）小学教育（项）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855.09</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Style w:val="14"/>
          <w:rFonts w:ascii="仿宋" w:hAnsi="仿宋" w:eastAsia="仿宋"/>
          <w:b w:val="0"/>
          <w:bCs w:val="0"/>
          <w:sz w:val="32"/>
          <w:szCs w:val="32"/>
        </w:rPr>
      </w:pPr>
      <w:r>
        <w:rPr>
          <w:rStyle w:val="14"/>
          <w:rFonts w:hint="eastAsia" w:ascii="仿宋" w:hAnsi="仿宋" w:eastAsia="仿宋" w:cs="仿宋"/>
          <w:sz w:val="32"/>
          <w:szCs w:val="32"/>
          <w:lang w:val="en-US" w:eastAsia="zh-CN"/>
        </w:rPr>
        <w:t>3</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社会保障和就业（类）行政事业单位养老（款）事业单位离退休（项）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205.09</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Style w:val="14"/>
          <w:rFonts w:ascii="仿宋" w:hAnsi="仿宋" w:eastAsia="仿宋"/>
          <w:b w:val="0"/>
          <w:bCs w:val="0"/>
          <w:sz w:val="32"/>
          <w:szCs w:val="32"/>
        </w:rPr>
      </w:pPr>
      <w:r>
        <w:rPr>
          <w:rStyle w:val="14"/>
          <w:rFonts w:hint="eastAsia" w:ascii="仿宋" w:hAnsi="仿宋" w:eastAsia="仿宋" w:cs="仿宋"/>
          <w:sz w:val="32"/>
          <w:szCs w:val="32"/>
          <w:lang w:val="en-US" w:eastAsia="zh-CN"/>
        </w:rPr>
        <w:t>4</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社会保障和就业（类）行政事业单位养老（款）机关事业单位基本养老保险缴费（项）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92.36</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Style w:val="14"/>
          <w:rFonts w:ascii="仿宋" w:hAnsi="仿宋" w:eastAsia="仿宋"/>
          <w:b w:val="0"/>
          <w:bCs w:val="0"/>
          <w:sz w:val="32"/>
          <w:szCs w:val="32"/>
        </w:rPr>
      </w:pPr>
      <w:r>
        <w:rPr>
          <w:rStyle w:val="14"/>
          <w:rFonts w:hint="eastAsia" w:ascii="仿宋" w:hAnsi="仿宋" w:eastAsia="仿宋" w:cs="仿宋"/>
          <w:sz w:val="32"/>
          <w:szCs w:val="32"/>
          <w:lang w:val="en-US" w:eastAsia="zh-CN"/>
        </w:rPr>
        <w:t>5</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社会保障和就业（类）行政事业单位养老（款）机关事业单位职业年金缴费（项）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0.98</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Fonts w:ascii="仿宋" w:hAnsi="仿宋" w:eastAsia="仿宋"/>
          <w:b/>
          <w:bCs/>
          <w:sz w:val="32"/>
          <w:szCs w:val="32"/>
        </w:rPr>
      </w:pPr>
      <w:r>
        <w:rPr>
          <w:rStyle w:val="14"/>
          <w:rFonts w:hint="eastAsia" w:ascii="仿宋" w:hAnsi="仿宋" w:eastAsia="仿宋" w:cs="仿宋"/>
          <w:sz w:val="32"/>
          <w:szCs w:val="32"/>
          <w:lang w:val="en-US" w:eastAsia="zh-CN"/>
        </w:rPr>
        <w:t>6</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社会保障和就业（类）行政事业单位养老（款）死亡抚恤（项）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5.07</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Style w:val="14"/>
          <w:rFonts w:ascii="仿宋" w:hAnsi="仿宋" w:eastAsia="仿宋"/>
          <w:b w:val="0"/>
          <w:bCs w:val="0"/>
          <w:sz w:val="32"/>
          <w:szCs w:val="32"/>
        </w:rPr>
      </w:pPr>
      <w:r>
        <w:rPr>
          <w:rStyle w:val="14"/>
          <w:rFonts w:hint="eastAsia" w:ascii="仿宋" w:hAnsi="仿宋" w:eastAsia="仿宋" w:cs="仿宋"/>
          <w:sz w:val="32"/>
          <w:szCs w:val="32"/>
          <w:lang w:val="en-US" w:eastAsia="zh-CN"/>
        </w:rPr>
        <w:t>7</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（类）行政事业单位医疗（款）事业单位医疗（项）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56.82</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Fonts w:ascii="仿宋" w:hAnsi="仿宋" w:eastAsia="仿宋"/>
          <w:b/>
          <w:bCs/>
          <w:sz w:val="32"/>
          <w:szCs w:val="32"/>
        </w:rPr>
      </w:pPr>
      <w:r>
        <w:rPr>
          <w:rStyle w:val="14"/>
          <w:rFonts w:hint="eastAsia" w:ascii="仿宋" w:hAnsi="仿宋" w:eastAsia="仿宋" w:cs="仿宋"/>
          <w:sz w:val="32"/>
          <w:szCs w:val="32"/>
          <w:lang w:val="en-US" w:eastAsia="zh-CN"/>
        </w:rPr>
        <w:t>8</w:t>
      </w:r>
      <w:r>
        <w:rPr>
          <w:rStyle w:val="14"/>
          <w:rFonts w:ascii="仿宋" w:hAnsi="仿宋" w:eastAsia="仿宋" w:cs="仿宋"/>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（类）行政事业单位医疗（款）公务员医疗补助（项）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14.07</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3" w:firstLineChars="200"/>
        <w:rPr>
          <w:rFonts w:ascii="仿宋" w:hAnsi="仿宋" w:eastAsia="仿宋"/>
          <w:b/>
          <w:bCs/>
          <w:sz w:val="32"/>
          <w:szCs w:val="32"/>
        </w:rPr>
      </w:pPr>
      <w:r>
        <w:rPr>
          <w:rStyle w:val="14"/>
          <w:rFonts w:hint="eastAsia" w:ascii="仿宋" w:hAnsi="仿宋" w:eastAsia="仿宋" w:cs="仿宋"/>
          <w:sz w:val="32"/>
          <w:szCs w:val="32"/>
          <w:lang w:val="en-US" w:eastAsia="zh-CN"/>
        </w:rPr>
        <w:t>9</w:t>
      </w:r>
      <w:r>
        <w:rPr>
          <w:rStyle w:val="14"/>
          <w:rFonts w:ascii="仿宋" w:hAnsi="仿宋" w:eastAsia="仿宋" w:cs="仿宋"/>
          <w:sz w:val="32"/>
          <w:szCs w:val="32"/>
        </w:rPr>
        <w:t>.</w:t>
      </w:r>
      <w:r>
        <w:rPr>
          <w:rStyle w:val="14"/>
          <w:rFonts w:hint="eastAsia" w:ascii="仿宋" w:hAnsi="仿宋" w:eastAsia="仿宋" w:cs="仿宋"/>
          <w:sz w:val="32"/>
          <w:szCs w:val="32"/>
        </w:rPr>
        <w:t>住房保障（类）住房改革（款）住房公积金（项）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Fonts w:ascii="仿宋" w:hAnsi="仿宋" w:eastAsia="仿宋" w:cs="仿宋"/>
          <w:sz w:val="32"/>
          <w:szCs w:val="32"/>
        </w:rPr>
        <w:t>114.38</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spacing w:line="600" w:lineRule="exact"/>
        <w:ind w:firstLine="640"/>
        <w:rPr>
          <w:rFonts w:ascii="仿宋" w:hAnsi="仿宋" w:eastAsia="仿宋"/>
          <w:b/>
          <w:bCs/>
          <w:sz w:val="32"/>
          <w:szCs w:val="32"/>
        </w:rPr>
      </w:pPr>
    </w:p>
    <w:p>
      <w:pPr>
        <w:tabs>
          <w:tab w:val="right" w:pos="8306"/>
        </w:tabs>
        <w:spacing w:line="600" w:lineRule="exact"/>
        <w:ind w:firstLine="640"/>
        <w:outlineLvl w:val="1"/>
        <w:rPr>
          <w:rStyle w:val="17"/>
        </w:rPr>
      </w:pPr>
      <w:bookmarkStart w:id="34" w:name="_Toc15377214"/>
      <w:bookmarkStart w:id="35" w:name="_Toc15396608"/>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般公共预算财政拨款基本支出决算情况说明</w:t>
      </w:r>
      <w:bookmarkEnd w:id="34"/>
      <w:bookmarkEnd w:id="35"/>
      <w:r>
        <w:rPr>
          <w:rStyle w:val="17"/>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1343.8</w:t>
      </w:r>
      <w:r>
        <w:rPr>
          <w:rFonts w:hint="eastAsia" w:ascii="仿宋" w:hAnsi="仿宋" w:eastAsia="仿宋" w:cs="仿宋"/>
          <w:sz w:val="32"/>
          <w:szCs w:val="32"/>
          <w:lang w:val="en-US" w:eastAsia="zh-CN"/>
        </w:rPr>
        <w:t>6</w:t>
      </w:r>
      <w:bookmarkStart w:id="67" w:name="_GoBack"/>
      <w:bookmarkEnd w:id="67"/>
      <w:r>
        <w:rPr>
          <w:rFonts w:hint="eastAsia" w:ascii="仿宋" w:hAnsi="仿宋" w:eastAsia="仿宋" w:cs="仿宋"/>
          <w:sz w:val="32"/>
          <w:szCs w:val="32"/>
        </w:rPr>
        <w:t>万元，其中：</w:t>
      </w:r>
    </w:p>
    <w:p>
      <w:pPr>
        <w:spacing w:line="600" w:lineRule="exact"/>
        <w:ind w:firstLine="645"/>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ascii="仿宋" w:hAnsi="仿宋" w:eastAsia="仿宋" w:cs="仿宋"/>
          <w:sz w:val="32"/>
          <w:szCs w:val="32"/>
        </w:rPr>
        <w:t>1273.6</w:t>
      </w:r>
      <w:r>
        <w:rPr>
          <w:rFonts w:hint="eastAsia" w:ascii="仿宋" w:hAnsi="仿宋" w:eastAsia="仿宋" w:cs="仿宋"/>
          <w:sz w:val="32"/>
          <w:szCs w:val="32"/>
          <w:lang w:val="en-US" w:eastAsia="zh-CN"/>
        </w:rPr>
        <w:t>8</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70.18</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bCs/>
          <w:sz w:val="32"/>
          <w:szCs w:val="32"/>
        </w:rPr>
      </w:pPr>
    </w:p>
    <w:p>
      <w:pPr>
        <w:spacing w:line="600" w:lineRule="exact"/>
        <w:ind w:firstLine="640"/>
        <w:outlineLvl w:val="1"/>
        <w:rPr>
          <w:rStyle w:val="17"/>
          <w:rFonts w:ascii="黑体" w:hAnsi="黑体" w:eastAsia="黑体" w:cs="Times New Roman"/>
          <w:b w:val="0"/>
          <w:bCs w:val="0"/>
        </w:rPr>
      </w:pPr>
      <w:bookmarkStart w:id="36" w:name="_Toc15377215"/>
      <w:bookmarkStart w:id="37" w:name="_Toc15396609"/>
      <w:bookmarkStart w:id="38" w:name="_Toc15396613"/>
      <w:bookmarkStart w:id="39" w:name="_Toc15377225"/>
      <w:r>
        <w:rPr>
          <w:rFonts w:hint="eastAsia" w:ascii="黑体" w:eastAsia="黑体" w:cs="黑体"/>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36"/>
      <w:bookmarkEnd w:id="37"/>
    </w:p>
    <w:p>
      <w:pPr>
        <w:spacing w:line="600" w:lineRule="exact"/>
        <w:ind w:firstLine="640"/>
        <w:outlineLvl w:val="2"/>
        <w:rPr>
          <w:rFonts w:ascii="仿宋" w:hAnsi="仿宋" w:eastAsia="仿宋"/>
          <w:b/>
          <w:bCs/>
          <w:sz w:val="32"/>
          <w:szCs w:val="32"/>
        </w:rPr>
      </w:pPr>
      <w:bookmarkStart w:id="40" w:name="_Toc15377216"/>
      <w:r>
        <w:rPr>
          <w:rFonts w:hint="eastAsia" w:ascii="仿宋" w:hAnsi="仿宋" w:eastAsia="仿宋" w:cs="仿宋"/>
          <w:b/>
          <w:bCs/>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0</w:t>
      </w:r>
      <w:r>
        <w:rPr>
          <w:rFonts w:hint="eastAsia" w:ascii="仿宋" w:hAnsi="仿宋" w:eastAsia="仿宋" w:cs="仿宋"/>
          <w:sz w:val="32"/>
          <w:szCs w:val="32"/>
        </w:rPr>
        <w:t>万元，完成预算</w:t>
      </w:r>
      <w:r>
        <w:rPr>
          <w:rFonts w:ascii="仿宋" w:hAnsi="仿宋" w:eastAsia="仿宋" w:cs="仿宋"/>
          <w:sz w:val="32"/>
          <w:szCs w:val="32"/>
        </w:rPr>
        <w:t>0%</w:t>
      </w:r>
      <w:r>
        <w:rPr>
          <w:rFonts w:hint="eastAsia" w:ascii="仿宋" w:hAnsi="仿宋" w:eastAsia="仿宋" w:cs="仿宋"/>
          <w:sz w:val="32"/>
          <w:szCs w:val="32"/>
        </w:rPr>
        <w:t>，与预算数持平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与2020年决算数持平</w:t>
      </w:r>
      <w:r>
        <w:rPr>
          <w:rFonts w:hint="eastAsia" w:ascii="仿宋" w:hAnsi="仿宋" w:eastAsia="仿宋" w:cs="仿宋"/>
          <w:sz w:val="32"/>
          <w:szCs w:val="32"/>
        </w:rPr>
        <w:t>。</w:t>
      </w:r>
    </w:p>
    <w:p>
      <w:pPr>
        <w:spacing w:line="600" w:lineRule="exact"/>
        <w:ind w:firstLine="640"/>
        <w:outlineLvl w:val="2"/>
        <w:rPr>
          <w:rFonts w:ascii="仿宋" w:hAnsi="仿宋" w:eastAsia="仿宋"/>
          <w:b/>
          <w:bCs/>
          <w:sz w:val="32"/>
          <w:szCs w:val="32"/>
        </w:rPr>
      </w:pPr>
      <w:bookmarkStart w:id="41" w:name="_Toc15377217"/>
      <w:r>
        <w:rPr>
          <w:rFonts w:hint="eastAsia" w:ascii="仿宋" w:hAnsi="仿宋" w:eastAsia="仿宋" w:cs="仿宋"/>
          <w:b/>
          <w:bCs/>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；公务接待费支出决算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与2020年决算数持平</w:t>
      </w:r>
      <w:r>
        <w:rPr>
          <w:rFonts w:hint="eastAsia" w:ascii="仿宋" w:hAnsi="仿宋" w:eastAsia="仿宋" w:cs="仿宋"/>
          <w:sz w:val="32"/>
          <w:szCs w:val="32"/>
        </w:rPr>
        <w:t>。具体情况如下：</w:t>
      </w:r>
    </w:p>
    <w:p>
      <w:pPr>
        <w:spacing w:line="600" w:lineRule="exact"/>
        <w:ind w:firstLine="640"/>
        <w:rPr>
          <w:rFonts w:ascii="仿宋_GB2312" w:eastAsia="仿宋_GB2312"/>
          <w:sz w:val="32"/>
          <w:szCs w:val="32"/>
          <w:highlight w:val="yellow"/>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0</w:t>
      </w:r>
      <w:r>
        <w:rPr>
          <w:rFonts w:hint="eastAsia" w:ascii="仿宋_GB2312" w:eastAsia="仿宋_GB2312" w:cs="仿宋_GB2312"/>
          <w:sz w:val="32"/>
          <w:szCs w:val="32"/>
        </w:rPr>
        <w:t>万元，增长</w:t>
      </w:r>
      <w:r>
        <w:rPr>
          <w:rFonts w:ascii="仿宋_GB2312" w:eastAsia="仿宋_GB2312" w:cs="仿宋_GB2312"/>
          <w:sz w:val="32"/>
          <w:szCs w:val="32"/>
        </w:rPr>
        <w:t>0%</w:t>
      </w:r>
      <w:r>
        <w:rPr>
          <w:rFonts w:hint="eastAsia" w:ascii="仿宋_GB2312" w:eastAsia="仿宋_GB2312" w:cs="仿宋_GB2312"/>
          <w:sz w:val="32"/>
          <w:szCs w:val="32"/>
        </w:rPr>
        <w:t>。</w:t>
      </w:r>
      <w:r>
        <w:rPr>
          <w:rFonts w:hint="eastAsia" w:ascii="仿宋" w:hAnsi="仿宋" w:eastAsia="仿宋" w:cs="仿宋"/>
          <w:sz w:val="32"/>
          <w:szCs w:val="32"/>
          <w:lang w:val="en-US" w:eastAsia="zh-CN"/>
        </w:rPr>
        <w:t>与2020年决算数持平。</w:t>
      </w:r>
    </w:p>
    <w:p>
      <w:pPr>
        <w:spacing w:line="600" w:lineRule="exact"/>
        <w:ind w:firstLine="640"/>
        <w:rPr>
          <w:rFonts w:ascii="仿宋_GB2312" w:eastAsia="仿宋_GB2312"/>
          <w:b/>
          <w:bCs/>
          <w:sz w:val="32"/>
          <w:szCs w:val="32"/>
          <w:highlight w:val="yellow"/>
        </w:rPr>
      </w:pPr>
      <w:r>
        <w:rPr>
          <w:rFonts w:ascii="仿宋_GB2312" w:eastAsia="仿宋_GB2312" w:cs="仿宋_GB2312"/>
          <w:b/>
          <w:bCs/>
          <w:sz w:val="32"/>
          <w:szCs w:val="32"/>
          <w:highlight w:val="none"/>
        </w:rPr>
        <w:t>2.</w:t>
      </w:r>
      <w:r>
        <w:rPr>
          <w:rFonts w:hint="eastAsia" w:ascii="仿宋_GB2312" w:eastAsia="仿宋_GB2312" w:cs="仿宋_GB2312"/>
          <w:b/>
          <w:bCs/>
          <w:sz w:val="32"/>
          <w:szCs w:val="32"/>
          <w:highlight w:val="none"/>
        </w:rPr>
        <w:t>公务用车购置及运行维护费支出</w:t>
      </w:r>
      <w:r>
        <w:rPr>
          <w:rFonts w:ascii="仿宋_GB2312" w:eastAsia="仿宋_GB2312" w:cs="仿宋_GB2312"/>
          <w:sz w:val="32"/>
          <w:szCs w:val="32"/>
          <w:highlight w:val="none"/>
        </w:rPr>
        <w:t>0</w:t>
      </w:r>
      <w:r>
        <w:rPr>
          <w:rFonts w:hint="eastAsia" w:ascii="仿宋_GB2312" w:eastAsia="仿宋_GB2312" w:cs="仿宋_GB2312"/>
          <w:sz w:val="32"/>
          <w:szCs w:val="32"/>
          <w:highlight w:val="none"/>
        </w:rPr>
        <w:t>万元</w:t>
      </w:r>
      <w:r>
        <w:rPr>
          <w:rFonts w:ascii="仿宋_GB2312" w:eastAsia="仿宋_GB2312" w:cs="仿宋_GB2312"/>
          <w:sz w:val="32"/>
          <w:szCs w:val="32"/>
          <w:highlight w:val="none"/>
        </w:rPr>
        <w:t>,</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highlight w:val="none"/>
        </w:rPr>
        <w:t>公务用车购置及运行维护费支出决算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与2020年决算数持平。</w:t>
      </w:r>
    </w:p>
    <w:p>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万元，越野车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万元，载客汽车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辆、越野车</w:t>
      </w:r>
      <w:r>
        <w:rPr>
          <w:rFonts w:ascii="仿宋_GB2312" w:eastAsia="仿宋_GB2312" w:cs="仿宋_GB2312"/>
          <w:sz w:val="32"/>
          <w:szCs w:val="32"/>
        </w:rPr>
        <w:t>0</w:t>
      </w:r>
      <w:r>
        <w:rPr>
          <w:rFonts w:hint="eastAsia" w:ascii="仿宋_GB2312" w:eastAsia="仿宋_GB2312" w:cs="仿宋_GB2312"/>
          <w:sz w:val="32"/>
          <w:szCs w:val="32"/>
        </w:rPr>
        <w:t>辆、载客汽车</w:t>
      </w:r>
      <w:r>
        <w:rPr>
          <w:rFonts w:ascii="仿宋_GB2312" w:eastAsia="仿宋_GB2312" w:cs="仿宋_GB2312"/>
          <w:sz w:val="32"/>
          <w:szCs w:val="32"/>
        </w:rPr>
        <w:t>0</w:t>
      </w:r>
      <w:r>
        <w:rPr>
          <w:rFonts w:hint="eastAsia" w:ascii="仿宋_GB2312" w:eastAsia="仿宋_GB2312" w:cs="仿宋_GB2312"/>
          <w:sz w:val="32"/>
          <w:szCs w:val="32"/>
        </w:rPr>
        <w:t>辆。</w:t>
      </w:r>
    </w:p>
    <w:p>
      <w:pPr>
        <w:spacing w:line="600" w:lineRule="exact"/>
        <w:ind w:firstLine="640"/>
        <w:rPr>
          <w:rFonts w:ascii="仿宋_GB2312" w:eastAsia="仿宋_GB2312"/>
          <w:sz w:val="32"/>
          <w:szCs w:val="32"/>
          <w:highlight w:val="none"/>
        </w:rPr>
      </w:pPr>
      <w:r>
        <w:rPr>
          <w:rFonts w:hint="eastAsia" w:ascii="仿宋_GB2312" w:eastAsia="仿宋_GB2312" w:cs="仿宋_GB2312"/>
          <w:b/>
          <w:bCs/>
          <w:sz w:val="32"/>
          <w:szCs w:val="32"/>
          <w:highlight w:val="none"/>
        </w:rPr>
        <w:t>公务用车运行维护费支出</w:t>
      </w:r>
      <w:r>
        <w:rPr>
          <w:rFonts w:ascii="仿宋_GB2312" w:eastAsia="仿宋_GB2312" w:cs="仿宋_GB2312"/>
          <w:sz w:val="32"/>
          <w:szCs w:val="32"/>
          <w:highlight w:val="none"/>
        </w:rPr>
        <w:t>0</w:t>
      </w:r>
      <w:r>
        <w:rPr>
          <w:rFonts w:hint="eastAsia" w:ascii="仿宋_GB2312" w:eastAsia="仿宋_GB2312" w:cs="仿宋_GB2312"/>
          <w:sz w:val="32"/>
          <w:szCs w:val="32"/>
          <w:highlight w:val="none"/>
        </w:rPr>
        <w:t>万元。</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与2020年持平</w:t>
      </w:r>
      <w:r>
        <w:rPr>
          <w:rFonts w:hint="eastAsia" w:ascii="仿宋_GB2312" w:eastAsia="仿宋_GB2312" w:cs="仿宋_GB2312"/>
          <w:sz w:val="32"/>
          <w:szCs w:val="32"/>
        </w:rPr>
        <w:t>。</w:t>
      </w:r>
    </w:p>
    <w:p>
      <w:pPr>
        <w:spacing w:line="600" w:lineRule="exact"/>
        <w:ind w:firstLine="640"/>
        <w:rPr>
          <w:rFonts w:ascii="仿宋_GB2312" w:eastAsia="仿宋_GB2312"/>
          <w:sz w:val="32"/>
          <w:szCs w:val="32"/>
          <w:highlight w:val="none"/>
        </w:rPr>
      </w:pPr>
      <w:r>
        <w:rPr>
          <w:rFonts w:hint="eastAsia" w:ascii="仿宋" w:hAnsi="仿宋" w:eastAsia="仿宋" w:cs="仿宋"/>
          <w:b/>
          <w:bCs/>
          <w:sz w:val="32"/>
          <w:szCs w:val="32"/>
          <w:highlight w:val="none"/>
        </w:rPr>
        <w:t>国内公务接待支出</w:t>
      </w:r>
      <w:r>
        <w:rPr>
          <w:rFonts w:ascii="仿宋" w:hAnsi="仿宋" w:eastAsia="仿宋" w:cs="仿宋"/>
          <w:sz w:val="32"/>
          <w:szCs w:val="32"/>
          <w:highlight w:val="none"/>
        </w:rPr>
        <w:t>0</w:t>
      </w:r>
      <w:r>
        <w:rPr>
          <w:rFonts w:hint="eastAsia" w:ascii="仿宋_GB2312" w:eastAsia="仿宋_GB2312" w:cs="仿宋_GB2312"/>
          <w:sz w:val="32"/>
          <w:szCs w:val="32"/>
          <w:highlight w:val="none"/>
        </w:rPr>
        <w:t>万</w:t>
      </w:r>
      <w:r>
        <w:rPr>
          <w:rStyle w:val="14"/>
          <w:rFonts w:hint="eastAsia" w:ascii="仿宋" w:hAnsi="仿宋" w:eastAsia="仿宋" w:cs="仿宋"/>
          <w:b w:val="0"/>
          <w:bCs w:val="0"/>
          <w:sz w:val="32"/>
          <w:szCs w:val="32"/>
        </w:rPr>
        <w:t>元 。国内公务接待</w:t>
      </w:r>
      <w:r>
        <w:rPr>
          <w:rStyle w:val="14"/>
          <w:rFonts w:hint="eastAsia" w:ascii="仿宋" w:hAnsi="仿宋" w:eastAsia="仿宋" w:cs="仿宋"/>
          <w:b w:val="0"/>
          <w:bCs w:val="0"/>
          <w:sz w:val="32"/>
          <w:szCs w:val="32"/>
          <w:lang w:val="en-US" w:eastAsia="zh-CN"/>
        </w:rPr>
        <w:t>0</w:t>
      </w:r>
      <w:r>
        <w:rPr>
          <w:rStyle w:val="14"/>
          <w:rFonts w:hint="eastAsia" w:ascii="仿宋" w:hAnsi="仿宋" w:eastAsia="仿宋" w:cs="仿宋"/>
          <w:b w:val="0"/>
          <w:bCs w:val="0"/>
          <w:sz w:val="32"/>
          <w:szCs w:val="32"/>
        </w:rPr>
        <w:t>批次，</w:t>
      </w:r>
      <w:r>
        <w:rPr>
          <w:rStyle w:val="14"/>
          <w:rFonts w:hint="eastAsia" w:ascii="仿宋" w:hAnsi="仿宋" w:eastAsia="仿宋" w:cs="仿宋"/>
          <w:b w:val="0"/>
          <w:bCs w:val="0"/>
          <w:sz w:val="32"/>
          <w:szCs w:val="32"/>
          <w:lang w:val="en-US" w:eastAsia="zh-CN"/>
        </w:rPr>
        <w:t>0</w:t>
      </w:r>
      <w:r>
        <w:rPr>
          <w:rStyle w:val="14"/>
          <w:rFonts w:hint="eastAsia" w:ascii="仿宋" w:hAnsi="仿宋" w:eastAsia="仿宋" w:cs="仿宋"/>
          <w:b w:val="0"/>
          <w:bCs w:val="0"/>
          <w:sz w:val="32"/>
          <w:szCs w:val="32"/>
        </w:rPr>
        <w:t>人次（不包括陪同人员），共计支出</w:t>
      </w:r>
      <w:r>
        <w:rPr>
          <w:rStyle w:val="14"/>
          <w:rFonts w:hint="eastAsia" w:ascii="仿宋" w:hAnsi="仿宋" w:eastAsia="仿宋" w:cs="仿宋"/>
          <w:b w:val="0"/>
          <w:bCs w:val="0"/>
          <w:sz w:val="32"/>
          <w:szCs w:val="32"/>
          <w:lang w:val="en-US" w:eastAsia="zh-CN"/>
        </w:rPr>
        <w:t>0</w:t>
      </w:r>
      <w:r>
        <w:rPr>
          <w:rStyle w:val="14"/>
          <w:rFonts w:hint="eastAsia" w:ascii="仿宋" w:hAnsi="仿宋" w:eastAsia="仿宋" w:cs="仿宋"/>
          <w:b w:val="0"/>
          <w:bCs w:val="0"/>
          <w:sz w:val="32"/>
          <w:szCs w:val="32"/>
        </w:rPr>
        <w:t>万元。</w:t>
      </w:r>
    </w:p>
    <w:p>
      <w:pPr>
        <w:spacing w:line="600" w:lineRule="exact"/>
        <w:ind w:firstLine="643" w:firstLineChars="200"/>
        <w:rPr>
          <w:rFonts w:ascii="仿宋_GB2312" w:eastAsia="仿宋_GB2312"/>
          <w:sz w:val="32"/>
          <w:szCs w:val="32"/>
          <w:highlight w:val="none"/>
        </w:rPr>
      </w:pPr>
      <w:r>
        <w:rPr>
          <w:rFonts w:hint="eastAsia" w:ascii="仿宋" w:hAnsi="仿宋" w:eastAsia="仿宋" w:cs="仿宋"/>
          <w:b/>
          <w:bCs/>
          <w:sz w:val="32"/>
          <w:szCs w:val="32"/>
          <w:highlight w:val="none"/>
        </w:rPr>
        <w:t>外事接待支出</w:t>
      </w:r>
      <w:r>
        <w:rPr>
          <w:rFonts w:ascii="仿宋" w:hAnsi="仿宋" w:eastAsia="仿宋" w:cs="仿宋"/>
          <w:sz w:val="32"/>
          <w:szCs w:val="32"/>
          <w:highlight w:val="none"/>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仿宋_GB2312" w:eastAsia="仿宋_GB2312"/>
          <w:sz w:val="32"/>
          <w:szCs w:val="32"/>
          <w:highlight w:val="none"/>
        </w:rPr>
        <w:t>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pPr>
        <w:spacing w:line="600" w:lineRule="exact"/>
        <w:ind w:firstLine="640" w:firstLineChars="200"/>
        <w:outlineLvl w:val="1"/>
        <w:rPr>
          <w:rStyle w:val="17"/>
          <w:rFonts w:ascii="黑体" w:hAnsi="黑体" w:eastAsia="黑体" w:cs="Times New Roman"/>
        </w:rPr>
      </w:pPr>
      <w:bookmarkStart w:id="42" w:name="_Toc15396610"/>
      <w:bookmarkStart w:id="43" w:name="_Toc15377218"/>
      <w:r>
        <w:rPr>
          <w:rFonts w:hint="eastAsia" w:ascii="黑体" w:eastAsia="黑体" w:cs="黑体"/>
          <w:sz w:val="32"/>
          <w:szCs w:val="32"/>
        </w:rPr>
        <w:t>八、</w:t>
      </w:r>
      <w:r>
        <w:rPr>
          <w:rStyle w:val="17"/>
          <w:rFonts w:hint="eastAsia" w:ascii="黑体" w:hAnsi="黑体" w:eastAsia="黑体" w:cs="黑体"/>
          <w:b w:val="0"/>
          <w:bCs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1.6</w:t>
      </w:r>
      <w:r>
        <w:rPr>
          <w:rFonts w:hint="eastAsia" w:ascii="仿宋_GB2312" w:eastAsia="仿宋_GB2312" w:cs="仿宋_GB2312"/>
          <w:sz w:val="32"/>
          <w:szCs w:val="32"/>
        </w:rPr>
        <w:t>万元。</w:t>
      </w:r>
    </w:p>
    <w:p>
      <w:pPr>
        <w:numPr>
          <w:ilvl w:val="0"/>
          <w:numId w:val="3"/>
        </w:numPr>
        <w:spacing w:line="600" w:lineRule="exact"/>
        <w:ind w:firstLine="640"/>
        <w:outlineLvl w:val="1"/>
        <w:rPr>
          <w:rStyle w:val="17"/>
          <w:rFonts w:ascii="黑体" w:hAnsi="黑体" w:eastAsia="黑体" w:cs="Times New Roman"/>
          <w:b w:val="0"/>
          <w:bCs w:val="0"/>
        </w:rPr>
      </w:pPr>
      <w:bookmarkStart w:id="44" w:name="_Toc15396611"/>
      <w:bookmarkStart w:id="45" w:name="_Toc15377219"/>
      <w:r>
        <w:rPr>
          <w:rStyle w:val="17"/>
          <w:rFonts w:hint="eastAsia" w:ascii="黑体" w:hAnsi="黑体" w:eastAsia="黑体" w:cs="黑体"/>
          <w:b w:val="0"/>
          <w:bCs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3"/>
        </w:numPr>
        <w:spacing w:line="600" w:lineRule="exact"/>
        <w:ind w:firstLine="640"/>
        <w:outlineLvl w:val="1"/>
        <w:rPr>
          <w:rStyle w:val="17"/>
          <w:rFonts w:ascii="黑体" w:hAnsi="黑体" w:eastAsia="黑体" w:cs="Times New Roman"/>
          <w:b w:val="0"/>
          <w:bCs w:val="0"/>
        </w:rPr>
      </w:pPr>
      <w:bookmarkStart w:id="46" w:name="_Toc15396612"/>
      <w:bookmarkStart w:id="47" w:name="_Toc15377221"/>
      <w:r>
        <w:rPr>
          <w:rStyle w:val="17"/>
          <w:rFonts w:hint="eastAsia" w:ascii="黑体" w:hAnsi="黑体" w:eastAsia="黑体" w:cs="黑体"/>
          <w:b w:val="0"/>
          <w:bCs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cs="仿宋"/>
          <w:b/>
          <w:bCs/>
          <w:sz w:val="32"/>
          <w:szCs w:val="32"/>
        </w:rPr>
        <w:t>（一）机关运行经费支出情况</w:t>
      </w:r>
      <w:bookmarkEnd w:id="48"/>
    </w:p>
    <w:p>
      <w:pPr>
        <w:spacing w:line="600" w:lineRule="exact"/>
        <w:ind w:firstLine="640" w:firstLineChars="200"/>
        <w:rPr>
          <w:rFonts w:ascii="仿宋_GB2312" w:eastAsia="仿宋_GB2312"/>
          <w:sz w:val="32"/>
          <w:szCs w:val="32"/>
          <w:highlight w:val="yellow"/>
        </w:rPr>
      </w:pPr>
      <w:r>
        <w:rPr>
          <w:rFonts w:ascii="仿宋_GB2312" w:eastAsia="仿宋_GB2312" w:cs="仿宋_GB2312"/>
          <w:sz w:val="32"/>
          <w:szCs w:val="32"/>
          <w:highlight w:val="none"/>
        </w:rPr>
        <w:t>2021</w:t>
      </w:r>
      <w:r>
        <w:rPr>
          <w:rFonts w:hint="eastAsia" w:ascii="仿宋_GB2312" w:eastAsia="仿宋_GB2312" w:cs="仿宋_GB2312"/>
          <w:sz w:val="32"/>
          <w:szCs w:val="32"/>
          <w:highlight w:val="none"/>
        </w:rPr>
        <w:t>年，</w:t>
      </w:r>
      <w:r>
        <w:rPr>
          <w:rFonts w:hint="eastAsia" w:ascii="仿宋_GB2312" w:eastAsia="仿宋_GB2312" w:cs="仿宋_GB2312"/>
          <w:sz w:val="32"/>
          <w:szCs w:val="32"/>
        </w:rPr>
        <w:t>攀枝花市西区格里坪镇小学校</w:t>
      </w:r>
      <w:r>
        <w:rPr>
          <w:rFonts w:hint="eastAsia" w:ascii="仿宋_GB2312" w:eastAsia="仿宋_GB2312" w:cs="仿宋_GB2312"/>
          <w:sz w:val="32"/>
          <w:szCs w:val="32"/>
          <w:highlight w:val="none"/>
        </w:rPr>
        <w:t>机关运行经费支出</w:t>
      </w:r>
      <w:r>
        <w:rPr>
          <w:rFonts w:ascii="仿宋_GB2312" w:eastAsia="仿宋_GB2312" w:cs="仿宋_GB2312"/>
          <w:sz w:val="32"/>
          <w:szCs w:val="32"/>
          <w:highlight w:val="none"/>
        </w:rPr>
        <w:t>0</w:t>
      </w:r>
      <w:r>
        <w:rPr>
          <w:rFonts w:hint="eastAsia" w:ascii="仿宋_GB2312" w:eastAsia="仿宋_GB2312" w:cs="仿宋_GB2312"/>
          <w:sz w:val="32"/>
          <w:szCs w:val="32"/>
          <w:highlight w:val="none"/>
        </w:rPr>
        <w:t>万元。</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49" w:name="_Toc15377223"/>
      <w:r>
        <w:rPr>
          <w:rFonts w:hint="eastAsia" w:ascii="仿宋" w:hAnsi="仿宋" w:eastAsia="仿宋" w:cs="仿宋"/>
          <w:b/>
          <w:bCs/>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年，攀枝花市西区格里坪镇小学校政府采购支出总额</w:t>
      </w:r>
      <w:r>
        <w:rPr>
          <w:rFonts w:ascii="仿宋_GB2312" w:eastAsia="仿宋_GB2312" w:cs="仿宋_GB2312"/>
          <w:sz w:val="32"/>
          <w:szCs w:val="32"/>
        </w:rPr>
        <w:t>38.88</w:t>
      </w:r>
      <w:r>
        <w:rPr>
          <w:rFonts w:hint="eastAsia" w:ascii="仿宋_GB2312" w:eastAsia="仿宋_GB2312" w:cs="仿宋_GB2312"/>
          <w:sz w:val="32"/>
          <w:szCs w:val="32"/>
        </w:rPr>
        <w:t>万元，其中：政府采购货物支出</w:t>
      </w:r>
      <w:r>
        <w:rPr>
          <w:rFonts w:ascii="仿宋_GB2312" w:eastAsia="仿宋_GB2312" w:cs="仿宋_GB2312"/>
          <w:sz w:val="32"/>
          <w:szCs w:val="32"/>
        </w:rPr>
        <w:t>38.88</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万元。主要用于学校宿舍购买设备。授予中小企业合同金额</w:t>
      </w:r>
      <w:r>
        <w:rPr>
          <w:rFonts w:ascii="仿宋_GB2312" w:eastAsia="仿宋_GB2312" w:cs="仿宋_GB2312"/>
          <w:sz w:val="32"/>
          <w:szCs w:val="32"/>
        </w:rPr>
        <w:t>38.88</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，其中：授予小微企业合同金额</w:t>
      </w:r>
      <w:r>
        <w:rPr>
          <w:rFonts w:ascii="仿宋_GB2312" w:eastAsia="仿宋_GB2312" w:cs="仿宋_GB2312"/>
          <w:sz w:val="32"/>
          <w:szCs w:val="32"/>
        </w:rPr>
        <w:t>38.88</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50" w:name="_Toc15377224"/>
      <w:r>
        <w:rPr>
          <w:rFonts w:hint="eastAsia" w:ascii="仿宋" w:hAnsi="仿宋" w:eastAsia="仿宋" w:cs="仿宋"/>
          <w:b/>
          <w:bCs/>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日，攀枝花市西区格里坪镇小学校共有车辆</w:t>
      </w:r>
      <w:r>
        <w:rPr>
          <w:rFonts w:ascii="仿宋_GB2312" w:eastAsia="仿宋_GB2312" w:cs="仿宋_GB2312"/>
          <w:sz w:val="32"/>
          <w:szCs w:val="32"/>
        </w:rPr>
        <w:t>0</w:t>
      </w:r>
      <w:r>
        <w:rPr>
          <w:rFonts w:hint="eastAsia" w:ascii="仿宋_GB2312" w:eastAsia="仿宋_GB2312" w:cs="仿宋_GB2312"/>
          <w:sz w:val="32"/>
          <w:szCs w:val="32"/>
        </w:rPr>
        <w:t>辆，其中：主要领导干部用车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辆、应急保障用车</w:t>
      </w:r>
      <w:r>
        <w:rPr>
          <w:rFonts w:ascii="仿宋_GB2312" w:eastAsia="仿宋_GB2312" w:cs="仿宋_GB2312"/>
          <w:sz w:val="32"/>
          <w:szCs w:val="32"/>
        </w:rPr>
        <w:t>0</w:t>
      </w:r>
      <w:r>
        <w:rPr>
          <w:rFonts w:hint="eastAsia" w:ascii="仿宋_GB2312" w:eastAsia="仿宋_GB2312" w:cs="仿宋_GB2312"/>
          <w:sz w:val="32"/>
          <w:szCs w:val="32"/>
        </w:rPr>
        <w:t>辆、其</w:t>
      </w:r>
      <w:r>
        <w:rPr>
          <w:rFonts w:hint="eastAsia" w:ascii="仿宋_GB2312" w:eastAsia="仿宋_GB2312" w:cs="仿宋_GB2312"/>
          <w:sz w:val="32"/>
          <w:szCs w:val="32"/>
          <w:highlight w:val="none"/>
        </w:rPr>
        <w:t>他用车</w:t>
      </w:r>
      <w:r>
        <w:rPr>
          <w:rFonts w:ascii="仿宋_GB2312" w:eastAsia="仿宋_GB2312" w:cs="仿宋_GB2312"/>
          <w:sz w:val="32"/>
          <w:szCs w:val="32"/>
          <w:highlight w:val="none"/>
        </w:rPr>
        <w:t>0</w:t>
      </w:r>
      <w:r>
        <w:rPr>
          <w:rFonts w:hint="eastAsia" w:ascii="仿宋_GB2312" w:eastAsia="仿宋_GB2312" w:cs="仿宋_GB2312"/>
          <w:sz w:val="32"/>
          <w:szCs w:val="32"/>
          <w:highlight w:val="none"/>
        </w:rPr>
        <w:t>辆。单</w:t>
      </w:r>
      <w:r>
        <w:rPr>
          <w:rFonts w:hint="eastAsia" w:ascii="仿宋_GB2312" w:eastAsia="仿宋_GB2312" w:cs="仿宋_GB2312"/>
          <w:sz w:val="32"/>
          <w:szCs w:val="32"/>
        </w:rPr>
        <w:t>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根据预算绩效管理要求，本单位在</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年度预算编制阶段，组织对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建设文明校园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个项目开展了预算事前绩效评估，对</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个项目开展了绩效自评，</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年特定目标类部门预算项目绩效目标自评表见附件（第四部分）。</w:t>
      </w:r>
    </w:p>
    <w:p>
      <w:pPr>
        <w:pStyle w:val="2"/>
        <w:rPr>
          <w:rFonts w:hint="eastAsia"/>
        </w:rPr>
      </w:pPr>
    </w:p>
    <w:p>
      <w:pPr>
        <w:numPr>
          <w:ilvl w:val="0"/>
          <w:numId w:val="4"/>
        </w:numPr>
        <w:spacing w:line="600" w:lineRule="exact"/>
        <w:ind w:firstLine="660" w:firstLineChars="150"/>
        <w:jc w:val="center"/>
        <w:outlineLvl w:val="0"/>
        <w:rPr>
          <w:rStyle w:val="16"/>
          <w:rFonts w:ascii="黑体" w:hAnsi="黑体" w:eastAsia="黑体"/>
          <w:b w:val="0"/>
          <w:bCs w:val="0"/>
        </w:rPr>
      </w:pPr>
      <w:r>
        <w:rPr>
          <w:rFonts w:hint="eastAsia" w:ascii="黑体" w:hAnsi="黑体" w:eastAsia="黑体" w:cs="黑体"/>
          <w:sz w:val="44"/>
          <w:szCs w:val="44"/>
        </w:rPr>
        <w:t>名</w:t>
      </w:r>
      <w:r>
        <w:rPr>
          <w:rStyle w:val="16"/>
          <w:rFonts w:hint="eastAsia" w:ascii="黑体" w:hAnsi="黑体" w:eastAsia="黑体" w:cs="黑体"/>
          <w:b w:val="0"/>
          <w:bCs w:val="0"/>
        </w:rPr>
        <w:t>词解释</w:t>
      </w:r>
      <w:bookmarkEnd w:id="38"/>
      <w:bookmarkEnd w:id="39"/>
    </w:p>
    <w:p>
      <w:pPr>
        <w:spacing w:line="600" w:lineRule="exact"/>
        <w:jc w:val="left"/>
        <w:rPr>
          <w:rFonts w:ascii="宋体"/>
          <w:b/>
          <w:bCs/>
          <w:sz w:val="44"/>
          <w:szCs w:val="44"/>
        </w:rPr>
      </w:pP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bookmarkStart w:id="5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.一般公共服务（类）宣传事务（款） 其他宣传事务（项）：指主要用于思想理论建设、外宣网宣工作、网络舆情平台建设等方面的支出。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社会保障和就业（类）行政事业单位养老（款）事业单位离退休（项）：指反映实行归口管理的事业单位离退休经费。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社会保障和就业（类）行政事业单位养老（款）机关事业单位基本养老保险缴费（项）：指反映机关事业单位实施养老保险制度由单位缴纳的基本养老保险费支出。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社会保障和就业（类）行政事业单位养老（款）机关事业单位职业年金缴费（项）：指反映机关事业单位实施养老保险制度由单位实际缴纳的职业年金支出。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社会保障和就业（类）行政事业单位养老（款）死亡抚恤（项）：指反映按规定用于烈士和牺牲、病故人员家属的一次性定期抚恤金以及丧葬补助费。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卫生健康（类）行政事业单位医疗（款）事业单位医疗（项）：指反映财政部门集中安排事业单位基本医疗保险缴费经费，未参加医疗保险的事业单位的公费医疗经费，按国家规定享受离休人员待遇的医疗经费。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卫生健康（类）行政事业单位医疗（款）公务员医疗补助（项）：指反映财政部门集中安排的公务员医疗补助经费。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hint="eastAsia" w:ascii="仿宋_GB2312" w:eastAsia="仿宋_GB2312"/>
          <w:sz w:val="32"/>
          <w:szCs w:val="32"/>
        </w:rPr>
      </w:pPr>
    </w:p>
    <w:p>
      <w:pPr>
        <w:spacing w:line="600" w:lineRule="exact"/>
        <w:jc w:val="center"/>
        <w:outlineLvl w:val="0"/>
        <w:rPr>
          <w:rStyle w:val="16"/>
          <w:rFonts w:ascii="黑体" w:hAnsi="黑体" w:eastAsia="黑体"/>
          <w:b w:val="0"/>
          <w:bCs w:val="0"/>
        </w:rPr>
      </w:pPr>
      <w:r>
        <w:rPr>
          <w:rFonts w:ascii="宋体"/>
          <w:b/>
          <w:bCs/>
          <w:sz w:val="44"/>
          <w:szCs w:val="44"/>
        </w:rPr>
        <w:br w:type="page"/>
      </w:r>
      <w:bookmarkStart w:id="52" w:name="_Toc15396614"/>
      <w:r>
        <w:rPr>
          <w:rFonts w:hint="eastAsia" w:ascii="黑体" w:hAnsi="黑体" w:eastAsia="黑体" w:cs="黑体"/>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2"/>
    </w:p>
    <w:p>
      <w:pPr>
        <w:spacing w:line="572" w:lineRule="exact"/>
        <w:jc w:val="left"/>
        <w:outlineLvl w:val="0"/>
        <w:rPr>
          <w:rFonts w:ascii="仿宋_GB2312" w:hAnsi="仿宋_GB2312" w:eastAsia="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b/>
                <w:bCs/>
                <w:sz w:val="32"/>
                <w:szCs w:val="32"/>
              </w:rPr>
            </w:pPr>
            <w:bookmarkStart w:id="53" w:name="_Toc15396618"/>
            <w:r>
              <w:rPr>
                <w:rFonts w:ascii="宋体" w:hAnsi="宋体" w:cs="宋体"/>
                <w:b/>
                <w:bCs/>
                <w:sz w:val="32"/>
                <w:szCs w:val="32"/>
              </w:rPr>
              <w:t>2021</w:t>
            </w:r>
            <w:r>
              <w:rPr>
                <w:rFonts w:hint="eastAsia" w:ascii="宋体" w:hAnsi="宋体" w:cs="宋体"/>
                <w:b/>
                <w:bCs/>
                <w:sz w:val="32"/>
                <w:szCs w:val="32"/>
              </w:rPr>
              <w:t>年部门预算项目绩效目标自评</w:t>
            </w:r>
          </w:p>
        </w:tc>
        <w:tc>
          <w:tcPr>
            <w:tcW w:w="234"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sz w:val="24"/>
                <w:szCs w:val="24"/>
              </w:rPr>
              <w:t>攀枝花市西区教育和体育局</w:t>
            </w:r>
            <w:r>
              <w:rPr>
                <w:rFonts w:ascii="宋体" w:hAnsi="宋体" w:cs="宋体"/>
                <w:sz w:val="24"/>
                <w:szCs w:val="24"/>
              </w:rPr>
              <w:t>128001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攀枝花市西区格里坪镇小学校</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rPr>
              <w:t>项目预算</w:t>
            </w:r>
          </w:p>
          <w:p>
            <w:pPr>
              <w:widowControl/>
              <w:spacing w:line="320" w:lineRule="exact"/>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hint="eastAsia" w:ascii="宋体" w:eastAsia="宋体"/>
                <w:sz w:val="24"/>
                <w:szCs w:val="24"/>
                <w:lang w:val="en-US" w:eastAsia="zh-CN"/>
              </w:rPr>
            </w:pPr>
            <w:r>
              <w:rPr>
                <w:rFonts w:ascii="宋体" w:hAnsi="宋体" w:cs="宋体"/>
                <w:sz w:val="24"/>
                <w:szCs w:val="24"/>
              </w:rPr>
              <w:t>0.9</w:t>
            </w:r>
            <w:r>
              <w:rPr>
                <w:rFonts w:hint="eastAsia" w:ascii="宋体" w:hAnsi="宋体" w:cs="宋体"/>
                <w:sz w:val="24"/>
                <w:szCs w:val="24"/>
                <w:lang w:val="en-US" w:eastAsia="zh-CN"/>
              </w:rPr>
              <w:t>9</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sz w:val="24"/>
                <w:szCs w:val="24"/>
              </w:rPr>
            </w:pPr>
            <w:r>
              <w:rPr>
                <w:rFonts w:ascii="宋体" w:hAnsi="宋体" w:cs="宋体"/>
                <w:sz w:val="24"/>
                <w:szCs w:val="24"/>
              </w:rPr>
              <w:t>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hint="eastAsia" w:ascii="宋体" w:eastAsia="宋体"/>
                <w:sz w:val="24"/>
                <w:szCs w:val="24"/>
                <w:lang w:val="en-US" w:eastAsia="zh-CN"/>
              </w:rPr>
            </w:pPr>
            <w:r>
              <w:rPr>
                <w:rFonts w:ascii="宋体" w:hAnsi="宋体" w:cs="宋体"/>
                <w:sz w:val="24"/>
                <w:szCs w:val="24"/>
              </w:rPr>
              <w:t>0.9</w:t>
            </w:r>
            <w:r>
              <w:rPr>
                <w:rFonts w:hint="eastAsia" w:ascii="宋体" w:hAnsi="宋体" w:cs="宋体"/>
                <w:sz w:val="24"/>
                <w:szCs w:val="24"/>
                <w:lang w:val="en-US" w:eastAsia="zh-CN"/>
              </w:rPr>
              <w:t>9</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建设文明校园</w:t>
            </w:r>
          </w:p>
        </w:tc>
        <w:tc>
          <w:tcPr>
            <w:tcW w:w="36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已用于校园文明建设</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10个</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sz w:val="28"/>
                <w:szCs w:val="28"/>
                <w:lang w:val="en-US" w:eastAsia="zh-CN"/>
              </w:rPr>
              <w:t>10个</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sz w:val="28"/>
                <w:szCs w:val="28"/>
                <w:lang w:val="en-US" w:eastAsia="zh-CN"/>
              </w:rPr>
              <w:t>10个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良好</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sz w:val="28"/>
                <w:szCs w:val="28"/>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sz w:val="28"/>
                <w:szCs w:val="28"/>
                <w:lang w:val="en-US" w:eastAsia="zh-CN"/>
              </w:rPr>
              <w:t>良好</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一年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sz w:val="28"/>
                <w:szCs w:val="28"/>
                <w:lang w:val="en-US" w:eastAsia="zh-CN"/>
              </w:rPr>
              <w:t>一年</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sz w:val="28"/>
                <w:szCs w:val="28"/>
                <w:lang w:val="en-US" w:eastAsia="zh-CN"/>
              </w:rPr>
              <w:t>一年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0.99万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rPr>
            </w:pPr>
            <w:r>
              <w:rPr>
                <w:rFonts w:hint="eastAsia" w:ascii="仿宋_GB2312" w:hAnsi="仿宋_GB2312" w:eastAsia="仿宋_GB2312"/>
                <w:sz w:val="28"/>
                <w:szCs w:val="28"/>
                <w:lang w:val="en-US" w:eastAsia="zh-CN"/>
              </w:rPr>
              <w:t>0.99万</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rPr>
            </w:pPr>
            <w:r>
              <w:rPr>
                <w:rFonts w:hint="eastAsia" w:ascii="仿宋_GB2312" w:hAnsi="仿宋_GB2312" w:eastAsia="仿宋_GB2312"/>
                <w:sz w:val="28"/>
                <w:szCs w:val="28"/>
                <w:lang w:val="en-US" w:eastAsia="zh-CN"/>
              </w:rPr>
              <w:t>0.99万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学校知名度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提高</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提高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师生满意度</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90%</w:t>
            </w:r>
          </w:p>
        </w:tc>
        <w:tc>
          <w:tcPr>
            <w:tcW w:w="241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100%</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rPr>
          <w:rFonts w:ascii="黑体" w:hAnsi="黑体" w:eastAsia="黑体" w:cs="Times New Roman"/>
          <w:sz w:val="44"/>
          <w:szCs w:val="44"/>
        </w:rPr>
      </w:pPr>
    </w:p>
    <w:p>
      <w:pPr>
        <w:pStyle w:val="2"/>
        <w:spacing w:before="93"/>
        <w:rPr>
          <w:rFonts w:ascii="黑体" w:hAnsi="黑体" w:eastAsia="黑体" w:cs="Times New Roman"/>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cs="黑体"/>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1"/>
      <w:bookmarkEnd w:id="53"/>
      <w:bookmarkStart w:id="54" w:name="_Toc15396619"/>
    </w:p>
    <w:p>
      <w:pPr>
        <w:pStyle w:val="4"/>
        <w:rPr>
          <w:rFonts w:ascii="仿宋" w:hAnsi="仿宋" w:eastAsia="仿宋" w:cs="Times New Roman"/>
        </w:rPr>
      </w:pPr>
      <w:r>
        <w:rPr>
          <w:rFonts w:hint="eastAsia" w:ascii="仿宋" w:hAnsi="仿宋" w:eastAsia="仿宋" w:cs="仿宋"/>
          <w:b w:val="0"/>
          <w:bCs w:val="0"/>
        </w:rPr>
        <w:t>一、收</w:t>
      </w:r>
      <w:r>
        <w:rPr>
          <w:rStyle w:val="17"/>
          <w:rFonts w:hint="eastAsia" w:ascii="仿宋" w:hAnsi="仿宋" w:eastAsia="仿宋" w:cs="仿宋"/>
          <w:b w:val="0"/>
          <w:bCs w:val="0"/>
        </w:rPr>
        <w:t>入支出决算总表</w:t>
      </w:r>
      <w:bookmarkEnd w:id="54"/>
    </w:p>
    <w:p>
      <w:pPr>
        <w:pStyle w:val="4"/>
        <w:rPr>
          <w:rFonts w:ascii="仿宋" w:hAnsi="仿宋" w:eastAsia="仿宋" w:cs="Times New Roman"/>
        </w:rPr>
      </w:pPr>
      <w:bookmarkStart w:id="55" w:name="_Toc15396620"/>
      <w:r>
        <w:rPr>
          <w:rFonts w:hint="eastAsia" w:ascii="仿宋" w:hAnsi="仿宋" w:eastAsia="仿宋" w:cs="仿宋"/>
          <w:b w:val="0"/>
          <w:bCs w:val="0"/>
        </w:rPr>
        <w:t>二、收</w:t>
      </w:r>
      <w:r>
        <w:rPr>
          <w:rStyle w:val="17"/>
          <w:rFonts w:hint="eastAsia" w:ascii="仿宋" w:hAnsi="仿宋" w:eastAsia="仿宋" w:cs="仿宋"/>
          <w:b w:val="0"/>
          <w:bCs w:val="0"/>
        </w:rPr>
        <w:t>入决算表</w:t>
      </w:r>
      <w:bookmarkEnd w:id="55"/>
    </w:p>
    <w:p>
      <w:pPr>
        <w:pStyle w:val="4"/>
        <w:rPr>
          <w:rFonts w:ascii="仿宋" w:hAnsi="仿宋" w:eastAsia="仿宋" w:cs="Times New Roman"/>
        </w:rPr>
      </w:pPr>
      <w:bookmarkStart w:id="56" w:name="_Toc15396621"/>
      <w:r>
        <w:rPr>
          <w:rStyle w:val="17"/>
          <w:rFonts w:hint="eastAsia" w:ascii="仿宋" w:hAnsi="仿宋" w:eastAsia="仿宋" w:cs="仿宋"/>
          <w:b w:val="0"/>
          <w:bCs w:val="0"/>
        </w:rPr>
        <w:t>三、</w:t>
      </w:r>
      <w:r>
        <w:rPr>
          <w:rFonts w:hint="eastAsia" w:ascii="仿宋" w:hAnsi="仿宋" w:eastAsia="仿宋" w:cs="仿宋"/>
          <w:b w:val="0"/>
          <w:bCs w:val="0"/>
        </w:rPr>
        <w:t>支</w:t>
      </w:r>
      <w:r>
        <w:rPr>
          <w:rStyle w:val="17"/>
          <w:rFonts w:hint="eastAsia" w:ascii="仿宋" w:hAnsi="仿宋" w:eastAsia="仿宋" w:cs="仿宋"/>
          <w:b w:val="0"/>
          <w:bCs w:val="0"/>
        </w:rPr>
        <w:t>出决算表</w:t>
      </w:r>
      <w:bookmarkEnd w:id="56"/>
    </w:p>
    <w:p>
      <w:pPr>
        <w:pStyle w:val="4"/>
        <w:rPr>
          <w:rFonts w:ascii="仿宋" w:hAnsi="仿宋" w:eastAsia="仿宋" w:cs="Times New Roman"/>
          <w:b w:val="0"/>
          <w:bCs w:val="0"/>
        </w:rPr>
      </w:pPr>
      <w:bookmarkStart w:id="57" w:name="_Toc15396622"/>
      <w:r>
        <w:rPr>
          <w:rStyle w:val="17"/>
          <w:rFonts w:hint="eastAsia" w:ascii="仿宋" w:hAnsi="仿宋" w:eastAsia="仿宋" w:cs="仿宋"/>
          <w:b w:val="0"/>
          <w:bCs w:val="0"/>
        </w:rPr>
        <w:t>四、</w:t>
      </w:r>
      <w:r>
        <w:rPr>
          <w:rFonts w:hint="eastAsia" w:ascii="仿宋" w:hAnsi="仿宋" w:eastAsia="仿宋" w:cs="仿宋"/>
          <w:b w:val="0"/>
          <w:bCs w:val="0"/>
        </w:rPr>
        <w:t>财</w:t>
      </w:r>
      <w:r>
        <w:rPr>
          <w:rStyle w:val="17"/>
          <w:rFonts w:hint="eastAsia" w:ascii="仿宋" w:hAnsi="仿宋" w:eastAsia="仿宋" w:cs="仿宋"/>
          <w:b w:val="0"/>
          <w:bCs w:val="0"/>
        </w:rPr>
        <w:t>政拨款收入支出决算总表</w:t>
      </w:r>
      <w:bookmarkEnd w:id="57"/>
    </w:p>
    <w:p>
      <w:pPr>
        <w:pStyle w:val="4"/>
        <w:rPr>
          <w:rStyle w:val="17"/>
          <w:rFonts w:ascii="仿宋" w:hAnsi="仿宋" w:eastAsia="仿宋" w:cs="Times New Roman"/>
          <w:b w:val="0"/>
          <w:bCs w:val="0"/>
        </w:rPr>
      </w:pPr>
      <w:bookmarkStart w:id="58" w:name="_Toc15396623"/>
      <w:r>
        <w:rPr>
          <w:rStyle w:val="17"/>
          <w:rFonts w:hint="eastAsia" w:ascii="仿宋" w:hAnsi="仿宋" w:eastAsia="仿宋" w:cs="仿宋"/>
          <w:b w:val="0"/>
          <w:bCs w:val="0"/>
        </w:rPr>
        <w:t>五、</w:t>
      </w:r>
      <w:r>
        <w:rPr>
          <w:rFonts w:hint="eastAsia" w:ascii="仿宋" w:hAnsi="仿宋" w:eastAsia="仿宋" w:cs="仿宋"/>
          <w:b w:val="0"/>
          <w:bCs w:val="0"/>
        </w:rPr>
        <w:t>财</w:t>
      </w:r>
      <w:r>
        <w:rPr>
          <w:rStyle w:val="17"/>
          <w:rFonts w:hint="eastAsia" w:ascii="仿宋" w:hAnsi="仿宋" w:eastAsia="仿宋" w:cs="仿宋"/>
          <w:b w:val="0"/>
          <w:bCs w:val="0"/>
        </w:rPr>
        <w:t>政拨款支出决算明细表</w:t>
      </w:r>
      <w:bookmarkEnd w:id="58"/>
      <w:bookmarkStart w:id="59" w:name="_Toc15396624"/>
    </w:p>
    <w:p>
      <w:pPr>
        <w:pStyle w:val="4"/>
        <w:rPr>
          <w:rFonts w:ascii="仿宋" w:hAnsi="仿宋" w:eastAsia="仿宋" w:cs="Times New Roman"/>
        </w:rPr>
      </w:pPr>
      <w:r>
        <w:rPr>
          <w:rStyle w:val="17"/>
          <w:rFonts w:hint="eastAsia" w:ascii="仿宋" w:hAnsi="仿宋" w:eastAsia="仿宋" w:cs="仿宋"/>
          <w:b w:val="0"/>
          <w:bCs w:val="0"/>
        </w:rPr>
        <w:t>六、</w:t>
      </w:r>
      <w:r>
        <w:rPr>
          <w:rFonts w:hint="eastAsia" w:ascii="仿宋" w:hAnsi="仿宋" w:eastAsia="仿宋" w:cs="仿宋"/>
          <w:b w:val="0"/>
          <w:bCs w:val="0"/>
        </w:rPr>
        <w:t>一</w:t>
      </w:r>
      <w:r>
        <w:rPr>
          <w:rStyle w:val="17"/>
          <w:rFonts w:hint="eastAsia" w:ascii="仿宋" w:hAnsi="仿宋" w:eastAsia="仿宋" w:cs="仿宋"/>
          <w:b w:val="0"/>
          <w:bCs w:val="0"/>
        </w:rPr>
        <w:t>般公共预算财政拨款支出决算表</w:t>
      </w:r>
      <w:bookmarkEnd w:id="59"/>
    </w:p>
    <w:p>
      <w:pPr>
        <w:pStyle w:val="4"/>
        <w:rPr>
          <w:rFonts w:ascii="仿宋" w:hAnsi="仿宋" w:eastAsia="仿宋" w:cs="Times New Roman"/>
        </w:rPr>
      </w:pPr>
      <w:bookmarkStart w:id="60" w:name="_Toc15396625"/>
      <w:r>
        <w:rPr>
          <w:rStyle w:val="17"/>
          <w:rFonts w:hint="eastAsia" w:ascii="仿宋" w:hAnsi="仿宋" w:eastAsia="仿宋" w:cs="仿宋"/>
          <w:b w:val="0"/>
          <w:bCs w:val="0"/>
        </w:rPr>
        <w:t>七、</w:t>
      </w:r>
      <w:r>
        <w:rPr>
          <w:rFonts w:hint="eastAsia" w:ascii="仿宋" w:hAnsi="仿宋" w:eastAsia="仿宋" w:cs="仿宋"/>
          <w:b w:val="0"/>
          <w:bCs w:val="0"/>
        </w:rPr>
        <w:t>一</w:t>
      </w:r>
      <w:r>
        <w:rPr>
          <w:rStyle w:val="17"/>
          <w:rFonts w:hint="eastAsia" w:ascii="仿宋" w:hAnsi="仿宋" w:eastAsia="仿宋" w:cs="仿宋"/>
          <w:b w:val="0"/>
          <w:bCs w:val="0"/>
        </w:rPr>
        <w:t>般公共预算财政拨款支出决算明细表</w:t>
      </w:r>
      <w:bookmarkEnd w:id="60"/>
    </w:p>
    <w:p>
      <w:pPr>
        <w:pStyle w:val="4"/>
        <w:rPr>
          <w:rFonts w:ascii="仿宋" w:hAnsi="仿宋" w:eastAsia="仿宋" w:cs="Times New Roman"/>
        </w:rPr>
      </w:pPr>
      <w:bookmarkStart w:id="61" w:name="_Toc15396626"/>
      <w:r>
        <w:rPr>
          <w:rStyle w:val="17"/>
          <w:rFonts w:hint="eastAsia" w:ascii="仿宋" w:hAnsi="仿宋" w:eastAsia="仿宋" w:cs="仿宋"/>
          <w:b w:val="0"/>
          <w:bCs w:val="0"/>
        </w:rPr>
        <w:t>八、</w:t>
      </w:r>
      <w:r>
        <w:rPr>
          <w:rFonts w:hint="eastAsia" w:ascii="仿宋" w:hAnsi="仿宋" w:eastAsia="仿宋" w:cs="仿宋"/>
          <w:b w:val="0"/>
          <w:bCs w:val="0"/>
        </w:rPr>
        <w:t>一</w:t>
      </w:r>
      <w:r>
        <w:rPr>
          <w:rStyle w:val="17"/>
          <w:rFonts w:hint="eastAsia" w:ascii="仿宋" w:hAnsi="仿宋" w:eastAsia="仿宋" w:cs="仿宋"/>
          <w:b w:val="0"/>
          <w:bCs w:val="0"/>
        </w:rPr>
        <w:t>般公共预算财政拨款基本支出决算表</w:t>
      </w:r>
      <w:bookmarkEnd w:id="61"/>
    </w:p>
    <w:p>
      <w:pPr>
        <w:pStyle w:val="4"/>
        <w:rPr>
          <w:rFonts w:ascii="仿宋" w:hAnsi="仿宋" w:eastAsia="仿宋" w:cs="Times New Roman"/>
        </w:rPr>
      </w:pPr>
      <w:bookmarkStart w:id="62" w:name="_Toc15396627"/>
      <w:r>
        <w:rPr>
          <w:rStyle w:val="17"/>
          <w:rFonts w:hint="eastAsia" w:ascii="仿宋" w:hAnsi="仿宋" w:eastAsia="仿宋" w:cs="仿宋"/>
          <w:b w:val="0"/>
          <w:bCs w:val="0"/>
        </w:rPr>
        <w:t>九、</w:t>
      </w:r>
      <w:r>
        <w:rPr>
          <w:rFonts w:hint="eastAsia" w:ascii="仿宋" w:hAnsi="仿宋" w:eastAsia="仿宋" w:cs="仿宋"/>
          <w:b w:val="0"/>
          <w:bCs w:val="0"/>
        </w:rPr>
        <w:t>一</w:t>
      </w:r>
      <w:r>
        <w:rPr>
          <w:rStyle w:val="17"/>
          <w:rFonts w:hint="eastAsia" w:ascii="仿宋" w:hAnsi="仿宋" w:eastAsia="仿宋" w:cs="仿宋"/>
          <w:b w:val="0"/>
          <w:bCs w:val="0"/>
        </w:rPr>
        <w:t>般公共预算财政拨款项目支出决算表</w:t>
      </w:r>
      <w:bookmarkEnd w:id="62"/>
    </w:p>
    <w:p>
      <w:pPr>
        <w:pStyle w:val="4"/>
        <w:rPr>
          <w:rFonts w:ascii="仿宋" w:hAnsi="仿宋" w:eastAsia="仿宋" w:cs="Times New Roman"/>
        </w:rPr>
      </w:pPr>
      <w:bookmarkStart w:id="63" w:name="_Toc15396628"/>
      <w:r>
        <w:rPr>
          <w:rStyle w:val="17"/>
          <w:rFonts w:hint="eastAsia" w:ascii="仿宋" w:hAnsi="仿宋" w:eastAsia="仿宋" w:cs="仿宋"/>
          <w:b w:val="0"/>
          <w:bCs w:val="0"/>
        </w:rPr>
        <w:t>十、</w:t>
      </w:r>
      <w:r>
        <w:rPr>
          <w:rFonts w:hint="eastAsia" w:ascii="仿宋" w:hAnsi="仿宋" w:eastAsia="仿宋" w:cs="仿宋"/>
          <w:b w:val="0"/>
          <w:bCs w:val="0"/>
        </w:rPr>
        <w:t>一</w:t>
      </w:r>
      <w:r>
        <w:rPr>
          <w:rStyle w:val="17"/>
          <w:rFonts w:hint="eastAsia" w:ascii="仿宋" w:hAnsi="仿宋" w:eastAsia="仿宋" w:cs="仿宋"/>
          <w:b w:val="0"/>
          <w:bCs w:val="0"/>
        </w:rPr>
        <w:t>般公共预算财政拨款“三公”经费支出决算表</w:t>
      </w:r>
      <w:bookmarkEnd w:id="63"/>
    </w:p>
    <w:p>
      <w:pPr>
        <w:pStyle w:val="4"/>
        <w:rPr>
          <w:rFonts w:ascii="仿宋" w:hAnsi="仿宋" w:eastAsia="仿宋" w:cs="Times New Roman"/>
        </w:rPr>
      </w:pPr>
      <w:bookmarkStart w:id="64" w:name="_Toc15396629"/>
      <w:r>
        <w:rPr>
          <w:rStyle w:val="17"/>
          <w:rFonts w:hint="eastAsia" w:ascii="仿宋" w:hAnsi="仿宋" w:eastAsia="仿宋" w:cs="仿宋"/>
          <w:b w:val="0"/>
          <w:bCs w:val="0"/>
        </w:rPr>
        <w:t>十一、</w:t>
      </w:r>
      <w:r>
        <w:rPr>
          <w:rFonts w:hint="eastAsia" w:ascii="仿宋" w:hAnsi="仿宋" w:eastAsia="仿宋" w:cs="仿宋"/>
          <w:b w:val="0"/>
          <w:bCs w:val="0"/>
        </w:rPr>
        <w:t>政</w:t>
      </w:r>
      <w:r>
        <w:rPr>
          <w:rStyle w:val="17"/>
          <w:rFonts w:hint="eastAsia" w:ascii="仿宋" w:hAnsi="仿宋" w:eastAsia="仿宋" w:cs="仿宋"/>
          <w:b w:val="0"/>
          <w:bCs w:val="0"/>
        </w:rPr>
        <w:t>府性基金预算财政拨款收入支出决算表</w:t>
      </w:r>
      <w:bookmarkEnd w:id="64"/>
    </w:p>
    <w:p>
      <w:pPr>
        <w:pStyle w:val="4"/>
        <w:rPr>
          <w:rFonts w:ascii="仿宋" w:hAnsi="仿宋" w:eastAsia="仿宋" w:cs="Times New Roman"/>
        </w:rPr>
      </w:pPr>
      <w:bookmarkStart w:id="65" w:name="_Toc15396630"/>
      <w:r>
        <w:rPr>
          <w:rStyle w:val="17"/>
          <w:rFonts w:hint="eastAsia" w:ascii="仿宋" w:hAnsi="仿宋" w:eastAsia="仿宋" w:cs="仿宋"/>
          <w:b w:val="0"/>
          <w:bCs w:val="0"/>
        </w:rPr>
        <w:t>十二、</w:t>
      </w:r>
      <w:r>
        <w:rPr>
          <w:rFonts w:hint="eastAsia" w:ascii="仿宋" w:hAnsi="仿宋" w:eastAsia="仿宋" w:cs="仿宋"/>
          <w:b w:val="0"/>
          <w:bCs w:val="0"/>
        </w:rPr>
        <w:t>政</w:t>
      </w:r>
      <w:r>
        <w:rPr>
          <w:rStyle w:val="17"/>
          <w:rFonts w:hint="eastAsia" w:ascii="仿宋" w:hAnsi="仿宋" w:eastAsia="仿宋" w:cs="仿宋"/>
          <w:b w:val="0"/>
          <w:bCs w:val="0"/>
        </w:rPr>
        <w:t>府性基金预算财政拨款“三公”经费支出决算表</w:t>
      </w:r>
      <w:bookmarkEnd w:id="65"/>
    </w:p>
    <w:p>
      <w:pPr>
        <w:pStyle w:val="4"/>
        <w:rPr>
          <w:rStyle w:val="17"/>
          <w:rFonts w:ascii="仿宋" w:hAnsi="仿宋" w:eastAsia="仿宋" w:cs="Times New Roman"/>
          <w:b w:val="0"/>
          <w:bCs w:val="0"/>
        </w:rPr>
      </w:pPr>
      <w:bookmarkStart w:id="66" w:name="_Toc15396631"/>
      <w:r>
        <w:rPr>
          <w:rStyle w:val="17"/>
          <w:rFonts w:hint="eastAsia" w:ascii="仿宋" w:hAnsi="仿宋" w:eastAsia="仿宋" w:cs="仿宋"/>
          <w:b w:val="0"/>
          <w:bCs w:val="0"/>
        </w:rPr>
        <w:t>十三、</w:t>
      </w:r>
      <w:r>
        <w:rPr>
          <w:rFonts w:hint="eastAsia" w:ascii="仿宋" w:hAnsi="仿宋" w:eastAsia="仿宋" w:cs="仿宋"/>
          <w:b w:val="0"/>
          <w:bCs w:val="0"/>
        </w:rPr>
        <w:t>国</w:t>
      </w:r>
      <w:r>
        <w:rPr>
          <w:rStyle w:val="17"/>
          <w:rFonts w:hint="eastAsia" w:ascii="仿宋" w:hAnsi="仿宋" w:eastAsia="仿宋" w:cs="仿宋"/>
          <w:b w:val="0"/>
          <w:bCs w:val="0"/>
        </w:rPr>
        <w:t>有资本经营预算财政拨款收入支出决算表</w:t>
      </w:r>
      <w:bookmarkEnd w:id="66"/>
    </w:p>
    <w:p>
      <w:pPr>
        <w:rPr>
          <w:rFonts w:eastAsia="仿宋"/>
        </w:rPr>
      </w:pPr>
      <w:r>
        <w:rPr>
          <w:rStyle w:val="17"/>
          <w:rFonts w:hint="eastAsia" w:ascii="仿宋" w:hAnsi="仿宋" w:eastAsia="仿宋" w:cs="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C5AE99-1C15-4027-86F8-AE7D79106D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5FDA75BD-81CB-40D7-A2F9-9E5AB7F1F7B6}"/>
  </w:font>
  <w:font w:name="仿宋_GB2312">
    <w:panose1 w:val="02010609030101010101"/>
    <w:charset w:val="86"/>
    <w:family w:val="modern"/>
    <w:pitch w:val="default"/>
    <w:sig w:usb0="00000000" w:usb1="00000000" w:usb2="00000000" w:usb3="00000000" w:csb0="00000000" w:csb1="00000000"/>
    <w:embedRegular r:id="rId3" w:fontKey="{EE3ACBDE-C32D-401B-8492-1EF31F48C4F1}"/>
  </w:font>
  <w:font w:name="仿宋">
    <w:panose1 w:val="02010609060101010101"/>
    <w:charset w:val="86"/>
    <w:family w:val="modern"/>
    <w:pitch w:val="default"/>
    <w:sig w:usb0="800002BF" w:usb1="38CF7CFA" w:usb2="00000016" w:usb3="00000000" w:csb0="00040001" w:csb1="00000000"/>
    <w:embedRegular r:id="rId4" w:fontKey="{4CEA8B7F-BE6B-49A6-B8BF-9E3A6AE1792E}"/>
  </w:font>
  <w:font w:name="Arial Unicode MS">
    <w:panose1 w:val="020B0604020202020204"/>
    <w:charset w:val="86"/>
    <w:family w:val="auto"/>
    <w:pitch w:val="default"/>
    <w:sig w:usb0="FFFFFFFF" w:usb1="E9FFFFFF" w:usb2="0000003F" w:usb3="00000000" w:csb0="603F01FF" w:csb1="FFFF0000"/>
    <w:embedRegular r:id="rId5" w:fontKey="{5A7DD867-82D7-4948-A248-3D2FBDBC30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19</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4CE2E14"/>
    <w:multiLevelType w:val="multilevel"/>
    <w:tmpl w:val="54CE2E14"/>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WJmZGMxODdkNjEyMjQ1MmMzYWQ0NjU1YTQ0ZjUifQ=="/>
  </w:docVars>
  <w:rsids>
    <w:rsidRoot w:val="00F1361C"/>
    <w:rsid w:val="000222C6"/>
    <w:rsid w:val="0002549F"/>
    <w:rsid w:val="000333D1"/>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09E3"/>
    <w:rsid w:val="000E6613"/>
    <w:rsid w:val="000E7119"/>
    <w:rsid w:val="000F0432"/>
    <w:rsid w:val="001020F0"/>
    <w:rsid w:val="00114E9B"/>
    <w:rsid w:val="00142216"/>
    <w:rsid w:val="00144D6A"/>
    <w:rsid w:val="0014729F"/>
    <w:rsid w:val="00157BAB"/>
    <w:rsid w:val="001654D1"/>
    <w:rsid w:val="00174518"/>
    <w:rsid w:val="0018106D"/>
    <w:rsid w:val="001877A7"/>
    <w:rsid w:val="00190A94"/>
    <w:rsid w:val="00191536"/>
    <w:rsid w:val="00196687"/>
    <w:rsid w:val="001C0962"/>
    <w:rsid w:val="001D7531"/>
    <w:rsid w:val="001E737D"/>
    <w:rsid w:val="001F0592"/>
    <w:rsid w:val="001F7506"/>
    <w:rsid w:val="002006CD"/>
    <w:rsid w:val="00202B36"/>
    <w:rsid w:val="00204B7A"/>
    <w:rsid w:val="00204CDE"/>
    <w:rsid w:val="0021101A"/>
    <w:rsid w:val="00220536"/>
    <w:rsid w:val="00223F90"/>
    <w:rsid w:val="00235629"/>
    <w:rsid w:val="00260C38"/>
    <w:rsid w:val="002616C0"/>
    <w:rsid w:val="00265372"/>
    <w:rsid w:val="002662AA"/>
    <w:rsid w:val="00280496"/>
    <w:rsid w:val="00294DC9"/>
    <w:rsid w:val="00295495"/>
    <w:rsid w:val="002A31DE"/>
    <w:rsid w:val="002B2613"/>
    <w:rsid w:val="002D6D05"/>
    <w:rsid w:val="002F1818"/>
    <w:rsid w:val="002F567B"/>
    <w:rsid w:val="003130F9"/>
    <w:rsid w:val="003216A9"/>
    <w:rsid w:val="00335A74"/>
    <w:rsid w:val="0036561B"/>
    <w:rsid w:val="0037013F"/>
    <w:rsid w:val="00380C92"/>
    <w:rsid w:val="003A484F"/>
    <w:rsid w:val="003A4883"/>
    <w:rsid w:val="003B0BE0"/>
    <w:rsid w:val="003B0C1B"/>
    <w:rsid w:val="003B688C"/>
    <w:rsid w:val="003C0291"/>
    <w:rsid w:val="003C39AE"/>
    <w:rsid w:val="003C432B"/>
    <w:rsid w:val="003C7B60"/>
    <w:rsid w:val="003D0C0F"/>
    <w:rsid w:val="003D1FB2"/>
    <w:rsid w:val="003D66DA"/>
    <w:rsid w:val="003E1310"/>
    <w:rsid w:val="003E6F55"/>
    <w:rsid w:val="00406254"/>
    <w:rsid w:val="00414C53"/>
    <w:rsid w:val="004160CA"/>
    <w:rsid w:val="004223DE"/>
    <w:rsid w:val="00434489"/>
    <w:rsid w:val="00437085"/>
    <w:rsid w:val="00443880"/>
    <w:rsid w:val="004464F4"/>
    <w:rsid w:val="00471401"/>
    <w:rsid w:val="00473F31"/>
    <w:rsid w:val="0048263A"/>
    <w:rsid w:val="00487E5D"/>
    <w:rsid w:val="004A711F"/>
    <w:rsid w:val="004B199D"/>
    <w:rsid w:val="004B4690"/>
    <w:rsid w:val="004D362F"/>
    <w:rsid w:val="004E0A2D"/>
    <w:rsid w:val="004E206B"/>
    <w:rsid w:val="004E6DF7"/>
    <w:rsid w:val="004F0FBD"/>
    <w:rsid w:val="00505A47"/>
    <w:rsid w:val="00512FDA"/>
    <w:rsid w:val="00520DA0"/>
    <w:rsid w:val="00521CB2"/>
    <w:rsid w:val="005664BB"/>
    <w:rsid w:val="00566FFA"/>
    <w:rsid w:val="005732CE"/>
    <w:rsid w:val="0057481D"/>
    <w:rsid w:val="00577929"/>
    <w:rsid w:val="0058486E"/>
    <w:rsid w:val="00585B33"/>
    <w:rsid w:val="0059014D"/>
    <w:rsid w:val="005B5C64"/>
    <w:rsid w:val="005C5337"/>
    <w:rsid w:val="005C6BD0"/>
    <w:rsid w:val="005D1C8B"/>
    <w:rsid w:val="005D468D"/>
    <w:rsid w:val="005D5CED"/>
    <w:rsid w:val="005D7619"/>
    <w:rsid w:val="005F1A4C"/>
    <w:rsid w:val="00605688"/>
    <w:rsid w:val="006070AF"/>
    <w:rsid w:val="00607E6C"/>
    <w:rsid w:val="006101B1"/>
    <w:rsid w:val="00614E44"/>
    <w:rsid w:val="0062270A"/>
    <w:rsid w:val="00622830"/>
    <w:rsid w:val="00623DA0"/>
    <w:rsid w:val="00630AEF"/>
    <w:rsid w:val="00630AF4"/>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474B"/>
    <w:rsid w:val="006F020C"/>
    <w:rsid w:val="00711610"/>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CB2"/>
    <w:rsid w:val="007E23B0"/>
    <w:rsid w:val="007E23E5"/>
    <w:rsid w:val="007F1991"/>
    <w:rsid w:val="007F2C2F"/>
    <w:rsid w:val="007F55FC"/>
    <w:rsid w:val="007F5665"/>
    <w:rsid w:val="00800112"/>
    <w:rsid w:val="00813348"/>
    <w:rsid w:val="008253BB"/>
    <w:rsid w:val="0083706E"/>
    <w:rsid w:val="008408F6"/>
    <w:rsid w:val="008409EA"/>
    <w:rsid w:val="008423A5"/>
    <w:rsid w:val="00850625"/>
    <w:rsid w:val="00853718"/>
    <w:rsid w:val="00855221"/>
    <w:rsid w:val="00860645"/>
    <w:rsid w:val="0086271B"/>
    <w:rsid w:val="00871F71"/>
    <w:rsid w:val="00872FD8"/>
    <w:rsid w:val="00885AF4"/>
    <w:rsid w:val="008939CD"/>
    <w:rsid w:val="008A66AB"/>
    <w:rsid w:val="008B768C"/>
    <w:rsid w:val="008C4DB1"/>
    <w:rsid w:val="008C4EAF"/>
    <w:rsid w:val="008C5176"/>
    <w:rsid w:val="008C7FD0"/>
    <w:rsid w:val="008E1DE7"/>
    <w:rsid w:val="008E707C"/>
    <w:rsid w:val="00900B08"/>
    <w:rsid w:val="00902155"/>
    <w:rsid w:val="00902FA3"/>
    <w:rsid w:val="00923564"/>
    <w:rsid w:val="0092392E"/>
    <w:rsid w:val="009248C8"/>
    <w:rsid w:val="009315F9"/>
    <w:rsid w:val="00933499"/>
    <w:rsid w:val="00935C98"/>
    <w:rsid w:val="00946945"/>
    <w:rsid w:val="00951248"/>
    <w:rsid w:val="0095152F"/>
    <w:rsid w:val="00954C49"/>
    <w:rsid w:val="00955E37"/>
    <w:rsid w:val="0097099F"/>
    <w:rsid w:val="00971997"/>
    <w:rsid w:val="00971FFC"/>
    <w:rsid w:val="0098660A"/>
    <w:rsid w:val="009931C3"/>
    <w:rsid w:val="00995B29"/>
    <w:rsid w:val="00997404"/>
    <w:rsid w:val="009B2C43"/>
    <w:rsid w:val="009B4EAE"/>
    <w:rsid w:val="009B7573"/>
    <w:rsid w:val="009C22F4"/>
    <w:rsid w:val="009C2A4B"/>
    <w:rsid w:val="009C2E98"/>
    <w:rsid w:val="009D3447"/>
    <w:rsid w:val="009D4711"/>
    <w:rsid w:val="009F1185"/>
    <w:rsid w:val="009F18CD"/>
    <w:rsid w:val="009F2A13"/>
    <w:rsid w:val="009F3562"/>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07C"/>
    <w:rsid w:val="00A93B00"/>
    <w:rsid w:val="00A93C21"/>
    <w:rsid w:val="00AB64C9"/>
    <w:rsid w:val="00AC3C6A"/>
    <w:rsid w:val="00AC7828"/>
    <w:rsid w:val="00AD5620"/>
    <w:rsid w:val="00AD656B"/>
    <w:rsid w:val="00AD7C1B"/>
    <w:rsid w:val="00AE16BA"/>
    <w:rsid w:val="00AE1EBE"/>
    <w:rsid w:val="00AE1F75"/>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4557"/>
    <w:rsid w:val="00BF5BD6"/>
    <w:rsid w:val="00C03C37"/>
    <w:rsid w:val="00C03E31"/>
    <w:rsid w:val="00C32746"/>
    <w:rsid w:val="00C33E72"/>
    <w:rsid w:val="00C354B2"/>
    <w:rsid w:val="00C35554"/>
    <w:rsid w:val="00C42709"/>
    <w:rsid w:val="00C533CC"/>
    <w:rsid w:val="00C5751C"/>
    <w:rsid w:val="00C61BFC"/>
    <w:rsid w:val="00C62B85"/>
    <w:rsid w:val="00C645AE"/>
    <w:rsid w:val="00C65438"/>
    <w:rsid w:val="00C73B86"/>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48D"/>
    <w:rsid w:val="00E50624"/>
    <w:rsid w:val="00E568DF"/>
    <w:rsid w:val="00E64269"/>
    <w:rsid w:val="00E82267"/>
    <w:rsid w:val="00E853CE"/>
    <w:rsid w:val="00E867B6"/>
    <w:rsid w:val="00E8699D"/>
    <w:rsid w:val="00E90621"/>
    <w:rsid w:val="00EA010F"/>
    <w:rsid w:val="00ED1B63"/>
    <w:rsid w:val="00ED3C1F"/>
    <w:rsid w:val="00ED4085"/>
    <w:rsid w:val="00ED420E"/>
    <w:rsid w:val="00ED6FBE"/>
    <w:rsid w:val="00EE2F57"/>
    <w:rsid w:val="00EF298E"/>
    <w:rsid w:val="00EF4C34"/>
    <w:rsid w:val="00EF77C6"/>
    <w:rsid w:val="00F05438"/>
    <w:rsid w:val="00F065A0"/>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7EF7"/>
    <w:rsid w:val="00FD3CC1"/>
    <w:rsid w:val="00FF1E02"/>
    <w:rsid w:val="00FF30B4"/>
    <w:rsid w:val="013B3D53"/>
    <w:rsid w:val="018D5CB6"/>
    <w:rsid w:val="02EA7E81"/>
    <w:rsid w:val="0A2032A3"/>
    <w:rsid w:val="0B8A37D8"/>
    <w:rsid w:val="0E730683"/>
    <w:rsid w:val="10194D0D"/>
    <w:rsid w:val="10C055FF"/>
    <w:rsid w:val="1124350D"/>
    <w:rsid w:val="118107EC"/>
    <w:rsid w:val="11DD6519"/>
    <w:rsid w:val="11FB3D8E"/>
    <w:rsid w:val="1275527B"/>
    <w:rsid w:val="13F9552D"/>
    <w:rsid w:val="15B25DE7"/>
    <w:rsid w:val="16B3577E"/>
    <w:rsid w:val="16BB723D"/>
    <w:rsid w:val="18015F3F"/>
    <w:rsid w:val="1AD4308C"/>
    <w:rsid w:val="1AD53F72"/>
    <w:rsid w:val="1BE8440E"/>
    <w:rsid w:val="1D155CEE"/>
    <w:rsid w:val="20F57F95"/>
    <w:rsid w:val="210622B0"/>
    <w:rsid w:val="240371BF"/>
    <w:rsid w:val="25C741E6"/>
    <w:rsid w:val="27842671"/>
    <w:rsid w:val="29B228F9"/>
    <w:rsid w:val="29FD04D3"/>
    <w:rsid w:val="2ABE7A3E"/>
    <w:rsid w:val="2D8868B3"/>
    <w:rsid w:val="2EC63F06"/>
    <w:rsid w:val="2EFA178C"/>
    <w:rsid w:val="30B46D73"/>
    <w:rsid w:val="315225B6"/>
    <w:rsid w:val="319F7F4E"/>
    <w:rsid w:val="3935494B"/>
    <w:rsid w:val="39AE70AB"/>
    <w:rsid w:val="3A727139"/>
    <w:rsid w:val="3C0C0783"/>
    <w:rsid w:val="3D276643"/>
    <w:rsid w:val="3F9F3A96"/>
    <w:rsid w:val="3FC92B3F"/>
    <w:rsid w:val="41E061EF"/>
    <w:rsid w:val="428B6F72"/>
    <w:rsid w:val="42A03068"/>
    <w:rsid w:val="45D870F5"/>
    <w:rsid w:val="46B75DE7"/>
    <w:rsid w:val="47C43754"/>
    <w:rsid w:val="47EA3F9B"/>
    <w:rsid w:val="48F14EB5"/>
    <w:rsid w:val="493C27E9"/>
    <w:rsid w:val="496F39ED"/>
    <w:rsid w:val="49830203"/>
    <w:rsid w:val="49FF41D3"/>
    <w:rsid w:val="4BE068DB"/>
    <w:rsid w:val="4BF6002B"/>
    <w:rsid w:val="4D87111B"/>
    <w:rsid w:val="4ECE2238"/>
    <w:rsid w:val="51DB4B86"/>
    <w:rsid w:val="55333C3E"/>
    <w:rsid w:val="558E1092"/>
    <w:rsid w:val="55AB25E8"/>
    <w:rsid w:val="58CA7BFC"/>
    <w:rsid w:val="5AC17E99"/>
    <w:rsid w:val="5C80286E"/>
    <w:rsid w:val="61425A64"/>
    <w:rsid w:val="61C13B66"/>
    <w:rsid w:val="62345994"/>
    <w:rsid w:val="62DA0FF2"/>
    <w:rsid w:val="64CA39A1"/>
    <w:rsid w:val="67951292"/>
    <w:rsid w:val="6BD03532"/>
    <w:rsid w:val="6C4A05C8"/>
    <w:rsid w:val="72734D90"/>
    <w:rsid w:val="7540606D"/>
    <w:rsid w:val="79E7B28D"/>
    <w:rsid w:val="7B84284C"/>
    <w:rsid w:val="7E22570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Cambria"/>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szCs w:val="18"/>
    </w:rPr>
  </w:style>
  <w:style w:type="character" w:customStyle="1" w:styleId="24">
    <w:name w:val="Footer Char1"/>
    <w:link w:val="8"/>
    <w:qFormat/>
    <w:locked/>
    <w:uiPriority w:val="99"/>
    <w:rPr>
      <w:sz w:val="18"/>
      <w:szCs w:val="18"/>
    </w:rPr>
  </w:style>
  <w:style w:type="character" w:customStyle="1" w:styleId="25">
    <w:name w:val="Body Text Char1"/>
    <w:link w:val="2"/>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收、支决算总计变动情况图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97917069329975"/>
          <c:y val="0.215278507753187"/>
          <c:w val="0.789584939748006"/>
          <c:h val="0.465279355466565"/>
        </c:manualLayout>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[画图.xls]Sheet1!$B$16:$B$17</c:f>
              <c:strCache>
                <c:ptCount val="2"/>
                <c:pt idx="0">
                  <c:v>本年收、支总计</c:v>
                </c:pt>
                <c:pt idx="1">
                  <c:v>上年收、支总计</c:v>
                </c:pt>
              </c:strCache>
            </c:strRef>
          </c:cat>
          <c:val>
            <c:numRef>
              <c:f>[画图.xls]Sheet1!$C$16:$C$17</c:f>
              <c:numCache>
                <c:formatCode>General</c:formatCode>
                <c:ptCount val="2"/>
                <c:pt idx="0">
                  <c:v>1346.45</c:v>
                </c:pt>
                <c:pt idx="1">
                  <c:v>1187.47</c:v>
                </c:pt>
              </c:numCache>
            </c:numRef>
          </c:val>
        </c:ser>
        <c:dLbls>
          <c:showLegendKey val="0"/>
          <c:showVal val="0"/>
          <c:showCatName val="0"/>
          <c:showSerName val="0"/>
          <c:showPercent val="0"/>
          <c:showBubbleSize val="0"/>
        </c:dLbls>
        <c:gapWidth val="219"/>
        <c:overlap val="-27"/>
        <c:axId val="772823910"/>
        <c:axId val="155153441"/>
      </c:barChart>
      <c:catAx>
        <c:axId val="77282391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55153441"/>
        <c:crosses val="autoZero"/>
        <c:auto val="1"/>
        <c:lblAlgn val="ctr"/>
        <c:lblOffset val="100"/>
        <c:noMultiLvlLbl val="0"/>
      </c:catAx>
      <c:valAx>
        <c:axId val="15515344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7728239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收入决算结构图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dPt>
          <c:dLbls>
            <c:dLbl>
              <c:idx val="1"/>
              <c:layout>
                <c:manualLayout>
                  <c:x val="-0.0525374212727962"/>
                  <c:y val="0.0605007231766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769101906745"/>
                  <c:y val="0.04839151419840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[画图.xls]Sheet1!$P$18:$P$20</c:f>
              <c:strCache>
                <c:ptCount val="3"/>
                <c:pt idx="0">
                  <c:v>一般财政拨款收入</c:v>
                </c:pt>
              </c:strCache>
            </c:strRef>
          </c:cat>
          <c:val>
            <c:numRef>
              <c:f>[画图.xls]Sheet1!$Q$18:$Q$20</c:f>
              <c:numCache>
                <c:formatCode>General</c:formatCode>
                <c:ptCount val="3"/>
                <c:pt idx="0">
                  <c:v>1344.85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支出决算结构图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[画图.xls]Sheet1!$P$13:$P$14</c:f>
              <c:strCache>
                <c:ptCount val="2"/>
                <c:pt idx="0">
                  <c:v>基本支出</c:v>
                </c:pt>
                <c:pt idx="1">
                  <c:v>项目支出</c:v>
                </c:pt>
              </c:strCache>
            </c:strRef>
          </c:cat>
          <c:val>
            <c:numRef>
              <c:f>[画图.xls]Sheet1!$Q$13:$Q$14</c:f>
              <c:numCache>
                <c:formatCode>General</c:formatCode>
                <c:ptCount val="2"/>
                <c:pt idx="0">
                  <c:v>1343.86</c:v>
                </c:pt>
                <c:pt idx="1">
                  <c:v>2.59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0416664818306162"/>
          <c:y val="0.00694612343581534"/>
        </c:manualLayout>
      </c:layout>
      <c:overlay val="0"/>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[画图.xls]Sheet1!$P$6:$P$7</c:f>
              <c:strCache>
                <c:ptCount val="2"/>
                <c:pt idx="0">
                  <c:v>2021财政拨款收、支总计</c:v>
                </c:pt>
                <c:pt idx="1">
                  <c:v>2020财政拨款收、支总计</c:v>
                </c:pt>
              </c:strCache>
            </c:strRef>
          </c:cat>
          <c:val>
            <c:numRef>
              <c:f>[画图.xls]Sheet1!$Q$6:$Q$7</c:f>
              <c:numCache>
                <c:formatCode>General</c:formatCode>
                <c:ptCount val="2"/>
                <c:pt idx="0">
                  <c:v>1346.45</c:v>
                </c:pt>
                <c:pt idx="1">
                  <c:v>1187.38</c:v>
                </c:pt>
              </c:numCache>
            </c:numRef>
          </c:val>
        </c:ser>
        <c:dLbls>
          <c:showLegendKey val="0"/>
          <c:showVal val="0"/>
          <c:showCatName val="0"/>
          <c:showSerName val="0"/>
          <c:showPercent val="0"/>
          <c:showBubbleSize val="0"/>
        </c:dLbls>
        <c:gapWidth val="219"/>
        <c:overlap val="-27"/>
        <c:axId val="92750103"/>
        <c:axId val="21026346"/>
      </c:barChart>
      <c:catAx>
        <c:axId val="927501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1026346"/>
        <c:crosses val="autoZero"/>
        <c:auto val="1"/>
        <c:lblAlgn val="ctr"/>
        <c:lblOffset val="100"/>
        <c:noMultiLvlLbl val="0"/>
      </c:catAx>
      <c:valAx>
        <c:axId val="2102634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92750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一般公共预算财政拨款支出决算变动情况</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856103648808605"/>
          <c:y val="0.0296395666591059"/>
        </c:manualLayout>
      </c:layout>
      <c:overlay val="0"/>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[画图.xls]Sheet1!$B$12:$B$13</c:f>
              <c:strCache>
                <c:ptCount val="2"/>
                <c:pt idx="0">
                  <c:v>2020一般公共预算财政拨款支出</c:v>
                </c:pt>
                <c:pt idx="1">
                  <c:v>2021一般公共预算财政拨款支出</c:v>
                </c:pt>
              </c:strCache>
            </c:strRef>
          </c:cat>
          <c:val>
            <c:numRef>
              <c:f>[画图.xls]Sheet1!$C$12:$C$13</c:f>
              <c:numCache>
                <c:formatCode>General</c:formatCode>
                <c:ptCount val="2"/>
                <c:pt idx="0">
                  <c:v>1344.85</c:v>
                </c:pt>
                <c:pt idx="1">
                  <c:v>1183.16</c:v>
                </c:pt>
              </c:numCache>
            </c:numRef>
          </c:val>
        </c:ser>
        <c:dLbls>
          <c:showLegendKey val="0"/>
          <c:showVal val="0"/>
          <c:showCatName val="0"/>
          <c:showSerName val="0"/>
          <c:showPercent val="0"/>
          <c:showBubbleSize val="0"/>
        </c:dLbls>
        <c:gapWidth val="219"/>
        <c:overlap val="-27"/>
        <c:axId val="427158385"/>
        <c:axId val="105605290"/>
      </c:barChart>
      <c:catAx>
        <c:axId val="42715838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05605290"/>
        <c:crosses val="autoZero"/>
        <c:auto val="1"/>
        <c:lblAlgn val="ctr"/>
        <c:lblOffset val="100"/>
        <c:noMultiLvlLbl val="0"/>
      </c:catAx>
      <c:valAx>
        <c:axId val="10560529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4271583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一般公共预算财政拨款支出决算结构</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dPt>
          <c:dLbls>
            <c:dLbl>
              <c:idx val="0"/>
              <c:layout>
                <c:manualLayout>
                  <c:x val="0.0552007449347638"/>
                  <c:y val="0.005181311584430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[画图.xls]Sheet1!$B$24:$B$28</c:f>
              <c:strCache>
                <c:ptCount val="5"/>
                <c:pt idx="0">
                  <c:v>一般公共服务</c:v>
                </c:pt>
                <c:pt idx="1">
                  <c:v>教育支出</c:v>
                </c:pt>
                <c:pt idx="2">
                  <c:v>社会保障和就业</c:v>
                </c:pt>
                <c:pt idx="3">
                  <c:v>卫生健康支出</c:v>
                </c:pt>
                <c:pt idx="4">
                  <c:v>住房保障支出</c:v>
                </c:pt>
              </c:strCache>
            </c:strRef>
          </c:cat>
          <c:val>
            <c:numRef>
              <c:f>[画图.xls]Sheet1!$C$24:$C$28</c:f>
              <c:numCache>
                <c:formatCode>General</c:formatCode>
                <c:ptCount val="5"/>
                <c:pt idx="0">
                  <c:v>0.99</c:v>
                </c:pt>
                <c:pt idx="1">
                  <c:v>855.09</c:v>
                </c:pt>
                <c:pt idx="2">
                  <c:v>303.5</c:v>
                </c:pt>
                <c:pt idx="3">
                  <c:v>70.89</c:v>
                </c:pt>
                <c:pt idx="4">
                  <c:v>114.38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18</Pages>
  <Words>5442</Words>
  <Characters>5917</Characters>
  <Lines>0</Lines>
  <Paragraphs>0</Paragraphs>
  <TotalTime>6</TotalTime>
  <ScaleCrop>false</ScaleCrop>
  <LinksUpToDate>false</LinksUpToDate>
  <CharactersWithSpaces>6026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2023-10-09T09:21:17Z</dcterms:modified>
  <dc:title>四川省***</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8B72D75F4D1B45898E29E15AF5CFDA7D_13</vt:lpwstr>
  </property>
</Properties>
</file>