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黑体" w:hAnsi="黑体" w:eastAsia="黑体"/>
          <w:color w:val="000000"/>
          <w:sz w:val="72"/>
          <w:szCs w:val="72"/>
        </w:rPr>
      </w:pPr>
      <w:bookmarkStart w:id="1" w:name="_Toc15377425"/>
      <w:bookmarkStart w:id="2" w:name="_Toc15396475"/>
      <w:bookmarkStart w:id="3" w:name="_Toc15396597"/>
      <w:bookmarkStart w:id="4" w:name="_Toc15378441"/>
      <w:bookmarkStart w:id="5" w:name="_Toc15377193"/>
      <w:bookmarkStart w:id="6" w:name="_Toc15396476"/>
      <w:bookmarkStart w:id="7" w:name="_Toc15377194"/>
      <w:bookmarkStart w:id="8" w:name="_Toc15378442"/>
      <w:bookmarkStart w:id="9" w:name="_Toc15377426"/>
      <w:bookmarkStart w:id="10" w:name="_Toc15396598"/>
      <w:r>
        <w:rPr>
          <w:rFonts w:hint="eastAsia" w:ascii="黑体" w:hAnsi="黑体" w:eastAsia="黑体"/>
          <w:color w:val="000000"/>
          <w:sz w:val="72"/>
          <w:szCs w:val="72"/>
        </w:rPr>
        <w:t>20</w:t>
      </w:r>
      <w:r>
        <w:rPr>
          <w:rFonts w:hint="eastAsia" w:ascii="黑体" w:hAnsi="黑体" w:eastAsia="黑体"/>
          <w:color w:val="000000"/>
          <w:sz w:val="72"/>
          <w:szCs w:val="72"/>
          <w:lang w:val="en-US" w:eastAsia="zh-CN"/>
        </w:rPr>
        <w:t>21</w:t>
      </w:r>
      <w:r>
        <w:rPr>
          <w:rFonts w:hint="eastAsia" w:ascii="黑体" w:hAnsi="黑体" w:eastAsia="黑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黑体" w:hAnsi="黑体" w:eastAsia="黑体" w:cs="Times New Roman"/>
          <w:color w:val="000000"/>
          <w:sz w:val="72"/>
          <w:szCs w:val="72"/>
        </w:rPr>
      </w:pPr>
      <w:r>
        <w:rPr>
          <w:rFonts w:hint="eastAsia" w:ascii="黑体" w:hAnsi="黑体" w:eastAsia="黑体" w:cs="Times New Roman"/>
          <w:color w:val="000000"/>
          <w:sz w:val="72"/>
          <w:szCs w:val="72"/>
        </w:rPr>
        <w:t>四川省</w:t>
      </w:r>
      <w:bookmarkEnd w:id="0"/>
      <w:bookmarkStart w:id="11" w:name="_Toc15306268"/>
      <w:r>
        <w:rPr>
          <w:rFonts w:hint="eastAsia" w:ascii="黑体" w:hAnsi="黑体" w:eastAsia="黑体" w:cs="Times New Roman"/>
          <w:color w:val="000000"/>
          <w:sz w:val="72"/>
          <w:szCs w:val="72"/>
        </w:rPr>
        <w:t>攀枝花第三十一中小学校单位决算</w:t>
      </w:r>
      <w:bookmarkEnd w:id="6"/>
      <w:bookmarkEnd w:id="7"/>
      <w:bookmarkEnd w:id="8"/>
      <w:bookmarkEnd w:id="9"/>
      <w:bookmarkEnd w:id="10"/>
      <w:bookmarkEnd w:id="11"/>
    </w:p>
    <w:p>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w:t>
      </w:r>
      <w:r>
        <w:rPr>
          <w:rFonts w:hint="eastAsia"/>
          <w:lang w:val="en-US" w:eastAsia="zh-CN"/>
        </w:rPr>
        <w:t>10</w:t>
      </w:r>
      <w:r>
        <w:rPr>
          <w:rFonts w:hint="eastAsia"/>
        </w:rPr>
        <w:t>月</w:t>
      </w:r>
      <w:r>
        <w:rPr>
          <w:rFonts w:hint="eastAsia"/>
          <w:lang w:val="en-US" w:eastAsia="zh-CN"/>
        </w:rPr>
        <w:t>8</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rPr>
        <w:tab/>
      </w:r>
      <w:r>
        <w:rPr>
          <w:rFonts w:hint="eastAsia"/>
          <w:sz w:val="24"/>
        </w:rPr>
        <w:t>4</w:t>
      </w:r>
    </w:p>
    <w:p>
      <w:pPr>
        <w:pStyle w:val="11"/>
        <w:adjustRightInd w:val="0"/>
        <w:snapToGrid w:val="0"/>
        <w:spacing w:line="440" w:lineRule="exact"/>
        <w:jc w:val="left"/>
        <w:rPr>
          <w:sz w:val="24"/>
        </w:rPr>
      </w:pPr>
      <w:r>
        <w:rPr>
          <w:rFonts w:hint="eastAsia"/>
          <w:sz w:val="24"/>
        </w:rPr>
        <w:t>一、职能简介</w:t>
      </w:r>
      <w:r>
        <w:rPr>
          <w:rFonts w:hint="eastAsia"/>
          <w:sz w:val="24"/>
        </w:rPr>
        <w:tab/>
      </w:r>
      <w:r>
        <w:rPr>
          <w:rFonts w:hint="eastAsia"/>
          <w:sz w:val="24"/>
        </w:rPr>
        <w:t>4</w:t>
      </w:r>
    </w:p>
    <w:p>
      <w:pPr>
        <w:pStyle w:val="11"/>
        <w:adjustRightInd w:val="0"/>
        <w:snapToGrid w:val="0"/>
        <w:spacing w:line="440" w:lineRule="exact"/>
        <w:jc w:val="left"/>
        <w:rPr>
          <w:rFonts w:hint="eastAsia"/>
          <w:sz w:val="24"/>
        </w:rPr>
      </w:pPr>
      <w:r>
        <w:rPr>
          <w:rFonts w:hint="eastAsia" w:asciiTheme="minorEastAsia" w:hAnsiTheme="minorEastAsia" w:eastAsiaTheme="minorEastAsia" w:cstheme="minorEastAsia"/>
          <w:sz w:val="24"/>
        </w:rPr>
        <w:t>二、2021年重点工作完成情况</w:t>
      </w:r>
      <w:r>
        <w:rPr>
          <w:rFonts w:hint="eastAsia"/>
          <w:sz w:val="24"/>
        </w:rPr>
        <w:tab/>
      </w:r>
      <w:r>
        <w:rPr>
          <w:rFonts w:hint="eastAsia"/>
          <w:sz w:val="24"/>
        </w:rPr>
        <w:t>4</w:t>
      </w:r>
    </w:p>
    <w:p>
      <w:pPr>
        <w:pStyle w:val="11"/>
        <w:adjustRightInd w:val="0"/>
        <w:snapToGrid w:val="0"/>
        <w:spacing w:line="440" w:lineRule="exact"/>
        <w:jc w:val="left"/>
      </w:pPr>
      <w:r>
        <w:rPr>
          <w:rFonts w:hint="eastAsia" w:ascii="Times New Roman" w:hAnsi="Times New Roman" w:eastAsia="宋体" w:cs="Times New Roman"/>
          <w:kern w:val="2"/>
          <w:sz w:val="24"/>
          <w:szCs w:val="24"/>
          <w:lang w:val="en-US" w:eastAsia="zh-CN" w:bidi="ar-SA"/>
        </w:rPr>
        <w:t>三、</w:t>
      </w:r>
      <w:r>
        <w:rPr>
          <w:rFonts w:hint="eastAsia"/>
          <w:lang w:val="en-US" w:eastAsia="zh-CN"/>
        </w:rPr>
        <w:t>机构设置情况....................................................................................................................</w:t>
      </w:r>
      <w:r>
        <w:rPr>
          <w:rFonts w:hint="eastAsia" w:ascii="Times New Roman" w:hAnsi="Times New Roman" w:eastAsia="宋体" w:cs="Times New Roman"/>
          <w:sz w:val="24"/>
          <w:lang w:val="en-US" w:eastAsia="zh-CN"/>
        </w:rPr>
        <w:t>5</w:t>
      </w:r>
    </w:p>
    <w:p>
      <w:pPr>
        <w:pStyle w:val="10"/>
        <w:adjustRightInd w:val="0"/>
        <w:snapToGrid w:val="0"/>
        <w:spacing w:before="0" w:line="440" w:lineRule="exact"/>
        <w:jc w:val="left"/>
        <w:rPr>
          <w:sz w:val="24"/>
          <w:szCs w:val="24"/>
        </w:rPr>
      </w:pPr>
      <w:r>
        <w:rPr>
          <w:rFonts w:hint="eastAsia"/>
          <w:sz w:val="24"/>
        </w:rPr>
        <w:t>第二部分 2021年度单位决算情况说明</w:t>
      </w:r>
      <w:r>
        <w:rPr>
          <w:rFonts w:hint="eastAsia"/>
          <w:sz w:val="24"/>
        </w:rPr>
        <w:tab/>
      </w:r>
      <w:r>
        <w:rPr>
          <w:rFonts w:hint="eastAsia"/>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sz w:val="24"/>
        </w:rPr>
        <w:tab/>
      </w:r>
      <w:r>
        <w:rPr>
          <w:rFonts w:hint="eastAsia"/>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sz w:val="24"/>
        </w:rPr>
        <w:tab/>
      </w:r>
      <w:r>
        <w:rPr>
          <w:rFonts w:hint="eastAsia"/>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sz w:val="24"/>
        </w:rPr>
        <w:tab/>
      </w:r>
      <w:r>
        <w:rPr>
          <w:rFonts w:hint="eastAsia"/>
          <w:sz w:val="24"/>
        </w:rPr>
        <w:t>7</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sz w:val="24"/>
        </w:rPr>
        <w:tab/>
      </w:r>
      <w:r>
        <w:rPr>
          <w:rFonts w:hint="eastAsia"/>
          <w:sz w:val="24"/>
        </w:rPr>
        <w:t>8</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rPr>
        <w:tab/>
      </w:r>
      <w:r>
        <w:rPr>
          <w:rFonts w:hint="eastAsia"/>
          <w:sz w:val="24"/>
        </w:rPr>
        <w:t>9</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hint="eastAsia"/>
          <w:sz w:val="24"/>
        </w:rPr>
        <w:tab/>
      </w:r>
      <w:r>
        <w:rPr>
          <w:rFonts w:hint="eastAsia"/>
          <w:sz w:val="24"/>
        </w:rPr>
        <w:t>1</w:t>
      </w:r>
      <w:r>
        <w:rPr>
          <w:rFonts w:hint="eastAsia"/>
          <w:sz w:val="24"/>
          <w:lang w:val="en-US" w:eastAsia="zh-CN"/>
        </w:rPr>
        <w:t>1</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七、“三公”经费财政拨款支出决算情况说明</w:t>
      </w:r>
      <w:r>
        <w:rPr>
          <w:rFonts w:hint="eastAsia"/>
          <w:sz w:val="24"/>
        </w:rPr>
        <w:tab/>
      </w:r>
      <w:r>
        <w:rPr>
          <w:rFonts w:hint="eastAsia"/>
          <w:sz w:val="24"/>
        </w:rPr>
        <w:t>1</w:t>
      </w:r>
      <w:r>
        <w:rPr>
          <w:rFonts w:hint="eastAsia"/>
          <w:sz w:val="24"/>
          <w:lang w:val="en-US" w:eastAsia="zh-CN"/>
        </w:rPr>
        <w:t>2</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八、政府性基金预算支出决算情况说明</w:t>
      </w:r>
      <w:r>
        <w:rPr>
          <w:rFonts w:hint="eastAsia"/>
          <w:sz w:val="24"/>
        </w:rPr>
        <w:tab/>
      </w:r>
      <w:r>
        <w:rPr>
          <w:rFonts w:hint="eastAsia"/>
          <w:sz w:val="24"/>
        </w:rPr>
        <w:t>1</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九、国有资本经营预算支出决算情况说明</w:t>
      </w:r>
      <w:r>
        <w:rPr>
          <w:rFonts w:hint="eastAsia"/>
          <w:sz w:val="24"/>
        </w:rPr>
        <w:tab/>
      </w:r>
      <w:r>
        <w:rPr>
          <w:rFonts w:hint="eastAsia"/>
          <w:sz w:val="24"/>
        </w:rPr>
        <w:t>1</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十、其他重要事项的情况说明</w:t>
      </w:r>
      <w:r>
        <w:rPr>
          <w:rFonts w:hint="eastAsia"/>
          <w:sz w:val="24"/>
        </w:rPr>
        <w:tab/>
      </w:r>
      <w:r>
        <w:rPr>
          <w:rFonts w:hint="eastAsia"/>
          <w:sz w:val="24"/>
        </w:rPr>
        <w:t>1</w:t>
      </w:r>
      <w:r>
        <w:rPr>
          <w:rFonts w:hint="eastAsia"/>
          <w:sz w:val="24"/>
          <w:lang w:val="en-US" w:eastAsia="zh-CN"/>
        </w:rPr>
        <w:t>3</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rPr>
        <w:tab/>
      </w:r>
      <w:r>
        <w:rPr>
          <w:rFonts w:hint="eastAsia"/>
          <w:sz w:val="24"/>
          <w:lang w:val="en-US" w:eastAsia="zh-CN"/>
        </w:rPr>
        <w:t>15</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rPr>
        <w:tab/>
      </w:r>
      <w:r>
        <w:rPr>
          <w:rFonts w:hint="eastAsia"/>
          <w:sz w:val="24"/>
          <w:lang w:val="en-US" w:eastAsia="zh-CN"/>
        </w:rPr>
        <w:t>18</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十、一般公共预算财政拨款“三公”经费支出决算表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十一、政府性基金预算财政拨款收入支出决算表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十二、政府性基金预算财政拨款“三公”经费支出决算表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十三、国有资本经营预算财政拨款收入支出决算表</w:t>
      </w:r>
      <w:r>
        <w:rPr>
          <w:rFonts w:hint="eastAsia"/>
          <w:sz w:val="24"/>
        </w:rPr>
        <w:tab/>
      </w:r>
      <w:r>
        <w:rPr>
          <w:rFonts w:hint="eastAsia"/>
          <w:sz w:val="24"/>
          <w:lang w:val="en-US" w:eastAsia="zh-CN"/>
        </w:rPr>
        <w:t>19</w:t>
      </w:r>
    </w:p>
    <w:p>
      <w:pPr>
        <w:pStyle w:val="11"/>
        <w:adjustRightInd w:val="0"/>
        <w:snapToGrid w:val="0"/>
        <w:spacing w:line="440" w:lineRule="exact"/>
        <w:jc w:val="left"/>
        <w:rPr>
          <w:rFonts w:hint="default" w:eastAsia="宋体"/>
          <w:sz w:val="24"/>
          <w:lang w:val="en-US" w:eastAsia="zh-CN"/>
        </w:rPr>
      </w:pPr>
      <w:r>
        <w:rPr>
          <w:rFonts w:hint="eastAsia"/>
          <w:sz w:val="24"/>
        </w:rPr>
        <w:t>十四、国有资本经营预算财政拨款支出决算表</w:t>
      </w:r>
      <w:r>
        <w:rPr>
          <w:rFonts w:hint="eastAsia"/>
          <w:sz w:val="24"/>
        </w:rPr>
        <w:tab/>
      </w:r>
      <w:r>
        <w:rPr>
          <w:rFonts w:hint="eastAsia"/>
          <w:sz w:val="24"/>
          <w:lang w:val="en-US" w:eastAsia="zh-CN"/>
        </w:rPr>
        <w:t>19</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0"/>
        </w:numPr>
        <w:ind w:leftChars="0" w:firstLine="640" w:firstLineChars="200"/>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lang w:eastAsia="zh-CN"/>
        </w:rPr>
        <w:t>一、</w:t>
      </w:r>
      <w:r>
        <w:rPr>
          <w:rStyle w:val="25"/>
          <w:rFonts w:hint="eastAsia" w:ascii="黑体" w:hAnsi="黑体" w:eastAsia="黑体"/>
          <w:b w:val="0"/>
          <w:bCs w:val="0"/>
        </w:rPr>
        <w:t>职能简介</w:t>
      </w:r>
    </w:p>
    <w:p>
      <w:pPr>
        <w:spacing w:after="100"/>
        <w:ind w:firstLine="640" w:firstLineChars="200"/>
        <w:jc w:val="left"/>
        <w:rPr>
          <w:rFonts w:ascii="仿宋_GB2312" w:hAnsi="仿宋" w:eastAsia="仿宋_GB2312"/>
          <w:sz w:val="32"/>
          <w:szCs w:val="32"/>
        </w:rPr>
      </w:pPr>
      <w:r>
        <w:rPr>
          <w:rFonts w:hint="eastAsia" w:ascii="仿宋" w:hAnsi="仿宋" w:eastAsia="仿宋" w:cs="仿宋"/>
          <w:color w:val="000000"/>
          <w:sz w:val="32"/>
          <w:szCs w:val="32"/>
        </w:rPr>
        <w:t>攀枝花市第三十一中小学校全面贯彻党和国家教育方针，认真学习有关法律法规和政策，坚持社会主义办学方向。制定学校一定时期内的发展目标和学年计划</w:t>
      </w:r>
      <w:r>
        <w:rPr>
          <w:rFonts w:ascii="仿宋" w:hAnsi="仿宋" w:eastAsia="仿宋" w:cs="仿宋"/>
          <w:color w:val="000000"/>
          <w:sz w:val="32"/>
          <w:szCs w:val="32"/>
        </w:rPr>
        <w:t>,</w:t>
      </w:r>
      <w:r>
        <w:rPr>
          <w:rFonts w:hint="eastAsia" w:ascii="仿宋" w:hAnsi="仿宋" w:eastAsia="仿宋" w:cs="仿宋"/>
          <w:color w:val="000000"/>
          <w:sz w:val="32"/>
          <w:szCs w:val="32"/>
        </w:rPr>
        <w:t>组织实施、检查、总结，完成九年一贯制教育。</w:t>
      </w:r>
    </w:p>
    <w:p>
      <w:pPr>
        <w:pStyle w:val="4"/>
        <w:ind w:firstLine="640" w:firstLineChars="200"/>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pacing w:after="100"/>
        <w:jc w:val="left"/>
        <w:rPr>
          <w:rFonts w:ascii="仿宋" w:hAnsi="仿宋" w:eastAsia="仿宋" w:cs="仿宋"/>
          <w:color w:val="000000"/>
          <w:sz w:val="32"/>
          <w:szCs w:val="32"/>
        </w:rPr>
      </w:pPr>
      <w:r>
        <w:rPr>
          <w:rFonts w:hint="eastAsia" w:ascii="仿宋" w:hAnsi="仿宋" w:eastAsia="仿宋" w:cs="仿宋"/>
          <w:color w:val="000000"/>
          <w:sz w:val="32"/>
          <w:szCs w:val="32"/>
        </w:rPr>
        <w:t>在完成日常教学任务的同时，有以下工作亮点。</w:t>
      </w:r>
    </w:p>
    <w:p>
      <w:pPr>
        <w:spacing w:after="100"/>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笨鸟先飞，儿童漫画成效明显。西区“笨鸟漫画俱乐部”创建于2006年6月，14年来，从只有10余名学生的俱乐部逐渐发展壮大成为拥有核心450名中小学生的国家级儿童漫画教学创作基地。2011年被中国美术出版总社授予“儿童漫画教学创作基地”，成为西南地区首家国家级儿童漫画教学创作基地，先后编印学生作品集3本、漫画辅助教材3本，出版全国第一本手绘儿童漫画教材《嗨！漫画》。</w:t>
      </w:r>
    </w:p>
    <w:p>
      <w:pPr>
        <w:spacing w:after="100"/>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2.文学清香，学生社团才艺高。清香文学社连续7年获“全国示范校园文学社团”，为省、市、区争得荣誉。</w:t>
      </w:r>
    </w:p>
    <w:p>
      <w:pPr>
        <w:spacing w:after="100"/>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健康活力，体育教学增光彩。我校积极开展田径、足球、健美操、篮球、排球、软式棒垒球等项目的训练工作，积极组队参加各级各类体育比赛运动。特别是我校田径队每年代表攀枝花市参加省级、国家级各级比赛，均取得优异成绩。</w:t>
      </w:r>
    </w:p>
    <w:p>
      <w:pPr>
        <w:spacing w:after="100"/>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4.科技创新，机器人比赛有亮点。学校于2016年3月开始组建机器人兴趣活动小组，经过4年的训练，已经建立和完善了活动工作的各类制度，目前有教练3人，受训学生超过100</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。成立至今，参加省市区各级比赛，均取得优异成绩。</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三、机构设置情况</w:t>
      </w:r>
    </w:p>
    <w:p>
      <w:pPr>
        <w:snapToGrid/>
        <w:spacing w:after="100" w:line="240" w:lineRule="auto"/>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攀枝花市第三十一中小学校属于二类单位区教体局下属事业单位，下设独立编制机构0个，其中行政机构0个，参照公务员法管理的事业机构0个，其他事业机构0个。</w:t>
      </w:r>
    </w:p>
    <w:p>
      <w:pPr>
        <w:widowControl/>
        <w:jc w:val="left"/>
        <w:rPr>
          <w:rFonts w:ascii="仿宋" w:hAnsi="仿宋" w:eastAsia="仿宋"/>
          <w:kern w:val="0"/>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2021年度收、支总计4257.24万元。与2020年相比，收、支总计增加171.52万元，增长4.2</w:t>
      </w:r>
      <w:r>
        <w:rPr>
          <w:rFonts w:ascii="仿宋" w:hAnsi="仿宋" w:eastAsia="仿宋"/>
          <w:sz w:val="32"/>
          <w:szCs w:val="32"/>
        </w:rPr>
        <w:t>%</w:t>
      </w:r>
      <w:r>
        <w:rPr>
          <w:rFonts w:hint="eastAsia" w:ascii="仿宋" w:hAnsi="仿宋" w:eastAsia="仿宋"/>
          <w:sz w:val="32"/>
          <w:szCs w:val="32"/>
        </w:rPr>
        <w:t>。主要变动原因是2021年度工资福利收入、支出增加。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5191125" cy="2743200"/>
            <wp:effectExtent l="19050" t="0" r="9525"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pPr>
    </w:p>
    <w:p>
      <w:pPr>
        <w:pStyle w:val="23"/>
        <w:numPr>
          <w:ilvl w:val="0"/>
          <w:numId w:val="1"/>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4251.37</w:t>
      </w:r>
      <w:r>
        <w:rPr>
          <w:rFonts w:hint="eastAsia" w:ascii="仿宋" w:hAnsi="仿宋" w:eastAsia="仿宋"/>
          <w:sz w:val="32"/>
          <w:szCs w:val="32"/>
        </w:rPr>
        <w:t>万元，其中：一般公共预算财政拨款收入4251.37万元，占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114300" distR="114300">
            <wp:extent cx="5535295" cy="2395855"/>
            <wp:effectExtent l="4445" t="4445" r="22860" b="19050"/>
            <wp:docPr id="157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21年本年支出合计4257.24万元，其中：基本支出4256.24万元，占99.99</w:t>
      </w:r>
      <w:r>
        <w:rPr>
          <w:rFonts w:ascii="仿宋" w:hAnsi="仿宋" w:eastAsia="仿宋"/>
          <w:sz w:val="32"/>
          <w:szCs w:val="32"/>
        </w:rPr>
        <w:t>%</w:t>
      </w:r>
      <w:r>
        <w:rPr>
          <w:rFonts w:hint="eastAsia" w:ascii="仿宋" w:hAnsi="仿宋" w:eastAsia="仿宋"/>
          <w:sz w:val="32"/>
          <w:szCs w:val="32"/>
        </w:rPr>
        <w:t>；项目支出1万元，占0.01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p>
    <w:p>
      <w:pPr>
        <w:pStyle w:val="2"/>
        <w:spacing w:before="93"/>
      </w:pPr>
    </w:p>
    <w:p>
      <w:pPr>
        <w:pStyle w:val="2"/>
        <w:spacing w:before="93"/>
      </w:pPr>
      <w:r>
        <w:drawing>
          <wp:inline distT="0" distB="0" distL="0" distR="0">
            <wp:extent cx="4572000" cy="2743200"/>
            <wp:effectExtent l="19050" t="0" r="19050" b="0"/>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21年财政拨款收、支总计4251.37万元。与</w:t>
      </w:r>
      <w:r>
        <w:rPr>
          <w:rFonts w:ascii="仿宋" w:hAnsi="仿宋" w:eastAsia="仿宋"/>
          <w:sz w:val="32"/>
          <w:szCs w:val="32"/>
        </w:rPr>
        <w:t>20</w:t>
      </w:r>
      <w:r>
        <w:rPr>
          <w:rFonts w:hint="eastAsia" w:ascii="仿宋" w:hAnsi="仿宋" w:eastAsia="仿宋"/>
          <w:sz w:val="32"/>
          <w:szCs w:val="32"/>
        </w:rPr>
        <w:t>20年相比，财政拨款收、支总计各增加177.67万元，增长4.36</w:t>
      </w:r>
      <w:r>
        <w:rPr>
          <w:rFonts w:ascii="仿宋" w:hAnsi="仿宋" w:eastAsia="仿宋"/>
          <w:sz w:val="32"/>
          <w:szCs w:val="32"/>
        </w:rPr>
        <w:t>%</w:t>
      </w:r>
      <w:r>
        <w:rPr>
          <w:rFonts w:hint="eastAsia" w:ascii="仿宋" w:hAnsi="仿宋" w:eastAsia="仿宋"/>
          <w:sz w:val="32"/>
          <w:szCs w:val="32"/>
        </w:rPr>
        <w:t>。主要变动原因是工资福利收入支出增加。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drawing>
          <wp:inline distT="0" distB="0" distL="0" distR="0">
            <wp:extent cx="4572000" cy="2743200"/>
            <wp:effectExtent l="19050" t="0" r="19050" b="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b/>
          <w:sz w:val="32"/>
          <w:szCs w:val="32"/>
        </w:rPr>
      </w:pPr>
    </w:p>
    <w:p>
      <w:pPr>
        <w:pStyle w:val="2"/>
      </w:pP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21年一般公共预算财政拨款支出4257.24万元，占本年支出合计的100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20年相比，一般公共预算财政拨款支出增加171.52万元，增长42</w:t>
      </w:r>
      <w:r>
        <w:rPr>
          <w:rFonts w:ascii="仿宋" w:hAnsi="仿宋" w:eastAsia="仿宋"/>
          <w:sz w:val="32"/>
          <w:szCs w:val="32"/>
        </w:rPr>
        <w:t>%</w:t>
      </w:r>
      <w:r>
        <w:rPr>
          <w:rFonts w:hint="eastAsia" w:ascii="仿宋" w:hAnsi="仿宋" w:eastAsia="仿宋"/>
          <w:sz w:val="32"/>
          <w:szCs w:val="32"/>
        </w:rPr>
        <w:t>。主要变动原因是工资福利支出增加。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4572000" cy="2743200"/>
            <wp:effectExtent l="19050" t="0" r="19050" b="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21年一般公共预算财政拨款支出4257.24万元，主要用于以下方面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2974.14万元，占69.86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支出619万元，占14.55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245.29万元，占5.77</w:t>
      </w:r>
      <w:r>
        <w:rPr>
          <w:rFonts w:ascii="仿宋" w:hAnsi="仿宋" w:eastAsia="仿宋"/>
          <w:sz w:val="32"/>
          <w:szCs w:val="32"/>
        </w:rPr>
        <w:t>%</w:t>
      </w:r>
      <w:r>
        <w:rPr>
          <w:rFonts w:hint="eastAsia" w:ascii="仿宋" w:hAnsi="仿宋" w:eastAsia="仿宋"/>
          <w:sz w:val="32"/>
          <w:szCs w:val="32"/>
        </w:rPr>
        <w:t>；住房保障支出417.81万元，占9.82</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r>
        <w:drawing>
          <wp:inline distT="0" distB="0" distL="0" distR="0">
            <wp:extent cx="4572000" cy="2743200"/>
            <wp:effectExtent l="19050" t="0" r="19050" b="0"/>
            <wp:docPr id="1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2021年一般公共预算财政拨款支出决算数为3919.28万元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p>
    <w:p>
      <w:pPr>
        <w:spacing w:line="600" w:lineRule="exact"/>
        <w:ind w:firstLine="643" w:firstLineChars="200"/>
      </w:pPr>
      <w:r>
        <w:rPr>
          <w:rStyle w:val="14"/>
          <w:rFonts w:hint="eastAsia" w:ascii="仿宋" w:hAnsi="仿宋" w:eastAsia="仿宋"/>
          <w:bCs/>
          <w:sz w:val="32"/>
          <w:szCs w:val="32"/>
          <w:lang w:val="en-US" w:eastAsia="zh-CN"/>
        </w:rPr>
        <w:t>1</w:t>
      </w:r>
      <w:r>
        <w:rPr>
          <w:rStyle w:val="14"/>
          <w:rFonts w:ascii="仿宋" w:hAnsi="仿宋" w:eastAsia="仿宋"/>
          <w:bCs/>
          <w:sz w:val="32"/>
          <w:szCs w:val="32"/>
        </w:rPr>
        <w:t>.</w:t>
      </w:r>
      <w:r>
        <w:rPr>
          <w:rStyle w:val="14"/>
          <w:rFonts w:hint="eastAsia" w:ascii="仿宋" w:hAnsi="仿宋" w:eastAsia="仿宋" w:cs="仿宋"/>
          <w:sz w:val="32"/>
          <w:szCs w:val="32"/>
        </w:rPr>
        <w:t>教育支出（类）普通教育（款）小学教育（项）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支出决算为1496.36万元，完成预算100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2</w:t>
      </w:r>
      <w:r>
        <w:rPr>
          <w:rStyle w:val="14"/>
          <w:rFonts w:ascii="仿宋" w:hAnsi="仿宋" w:eastAsia="仿宋"/>
          <w:bCs/>
          <w:sz w:val="32"/>
          <w:szCs w:val="32"/>
        </w:rPr>
        <w:t>.</w:t>
      </w:r>
      <w:r>
        <w:rPr>
          <w:rStyle w:val="14"/>
          <w:rFonts w:hint="eastAsia" w:ascii="仿宋" w:hAnsi="仿宋" w:eastAsia="仿宋" w:cs="仿宋"/>
          <w:sz w:val="32"/>
          <w:szCs w:val="32"/>
        </w:rPr>
        <w:t>教育支出（类）普通教育（款）</w:t>
      </w:r>
      <w:r>
        <w:rPr>
          <w:rStyle w:val="14"/>
          <w:rFonts w:hint="eastAsia" w:ascii="仿宋" w:hAnsi="仿宋" w:eastAsia="仿宋" w:cs="仿宋"/>
          <w:sz w:val="32"/>
          <w:szCs w:val="32"/>
          <w:lang w:val="en-US" w:eastAsia="zh-CN"/>
        </w:rPr>
        <w:t>初中</w:t>
      </w:r>
      <w:r>
        <w:rPr>
          <w:rStyle w:val="14"/>
          <w:rFonts w:hint="eastAsia" w:ascii="仿宋" w:hAnsi="仿宋" w:eastAsia="仿宋" w:cs="仿宋"/>
          <w:sz w:val="32"/>
          <w:szCs w:val="32"/>
        </w:rPr>
        <w:t>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支出决算为1477.78万元，完成预算100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Cs/>
          <w:sz w:val="32"/>
          <w:szCs w:val="32"/>
        </w:rPr>
      </w:pPr>
      <w:r>
        <w:rPr>
          <w:rStyle w:val="14"/>
          <w:rFonts w:hint="eastAsia" w:ascii="仿宋" w:hAnsi="仿宋" w:eastAsia="仿宋"/>
          <w:bCs/>
          <w:sz w:val="32"/>
          <w:szCs w:val="32"/>
          <w:lang w:val="en-US" w:eastAsia="zh-CN"/>
        </w:rPr>
        <w:t>3</w:t>
      </w:r>
      <w:r>
        <w:rPr>
          <w:rStyle w:val="14"/>
          <w:rFonts w:ascii="仿宋" w:hAnsi="仿宋" w:eastAsia="仿宋"/>
          <w:bCs/>
          <w:sz w:val="32"/>
          <w:szCs w:val="32"/>
        </w:rPr>
        <w:t>.</w:t>
      </w:r>
      <w:r>
        <w:rPr>
          <w:rStyle w:val="14"/>
          <w:rFonts w:hint="eastAsia" w:ascii="仿宋" w:hAnsi="仿宋" w:eastAsia="仿宋"/>
          <w:bCs/>
          <w:sz w:val="32"/>
          <w:szCs w:val="32"/>
        </w:rPr>
        <w:t>教育（类）教育费附加安排（款）其他教育费附加安排（项）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支出决算为230.8万元，完成预算100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5</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社会保障和就业（类）行政事业单位养老（款）机关事业单位基本养老保险缴费（项）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支出决算为349.88万元，完成预算100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6</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社会保障和就业（类）行政事业单位养老（款）机关事业单位职业年金缴费（项）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支出决算为25.84万元，完成预算100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7</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社会保障和就业（类）行政事业单位养老（款）死亡抚恤（项）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支出决算为12.48万元，完成预算100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支出决算为208.24万元，完成预算100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9</w:t>
      </w:r>
      <w:r>
        <w:rPr>
          <w:rStyle w:val="14"/>
          <w:rFonts w:ascii="仿宋" w:hAnsi="仿宋" w:eastAsia="仿宋"/>
          <w:bCs/>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支出决算为37.05万元，完成预算100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 w:val="0"/>
          <w:bCs/>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0</w:t>
      </w:r>
      <w:r>
        <w:rPr>
          <w:rStyle w:val="14"/>
          <w:rFonts w:ascii="仿宋" w:hAnsi="仿宋" w:eastAsia="仿宋"/>
          <w:bCs/>
          <w:sz w:val="32"/>
          <w:szCs w:val="32"/>
        </w:rPr>
        <w:t>.</w:t>
      </w:r>
      <w:r>
        <w:rPr>
          <w:rFonts w:hint="eastAsia" w:ascii="仿宋" w:hAnsi="仿宋" w:eastAsia="仿宋"/>
          <w:b/>
          <w:bCs/>
          <w:sz w:val="32"/>
          <w:szCs w:val="32"/>
        </w:rPr>
        <w:t xml:space="preserve"> </w:t>
      </w:r>
      <w:r>
        <w:rPr>
          <w:rStyle w:val="14"/>
          <w:rFonts w:hint="eastAsia" w:ascii="仿宋" w:hAnsi="仿宋" w:eastAsia="仿宋" w:cs="仿宋"/>
          <w:sz w:val="32"/>
          <w:szCs w:val="32"/>
        </w:rPr>
        <w:t>住房保障（类）住房改革（款）住房公积金（项）</w:t>
      </w:r>
      <w:r>
        <w:rPr>
          <w:rStyle w:val="14"/>
          <w:rFonts w:hint="eastAsia" w:ascii="仿宋" w:hAnsi="仿宋" w:eastAsia="仿宋"/>
          <w:bCs/>
          <w:sz w:val="32"/>
          <w:szCs w:val="32"/>
        </w:rPr>
        <w:t>：支</w:t>
      </w:r>
      <w:r>
        <w:rPr>
          <w:rStyle w:val="14"/>
          <w:rFonts w:hint="eastAsia" w:ascii="仿宋" w:hAnsi="仿宋" w:eastAsia="仿宋"/>
          <w:b w:val="0"/>
          <w:bCs/>
          <w:sz w:val="32"/>
          <w:szCs w:val="32"/>
        </w:rPr>
        <w:t>出决算417.81万元，完成预算100%。</w:t>
      </w:r>
    </w:p>
    <w:p>
      <w:pPr>
        <w:pStyle w:val="2"/>
      </w:pPr>
    </w:p>
    <w:p>
      <w:pPr>
        <w:tabs>
          <w:tab w:val="right" w:pos="8306"/>
        </w:tabs>
        <w:spacing w:line="600" w:lineRule="exact"/>
        <w:ind w:firstLine="640"/>
        <w:outlineLvl w:val="1"/>
        <w:rPr>
          <w:rStyle w:val="25"/>
        </w:rPr>
      </w:pPr>
      <w:bookmarkStart w:id="31" w:name="_Toc15396608"/>
      <w:bookmarkStart w:id="3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1"/>
      <w:bookmarkEnd w:id="32"/>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21年一般公共预算财政拨款基本支出425</w:t>
      </w:r>
      <w:r>
        <w:rPr>
          <w:rFonts w:hint="eastAsia" w:ascii="仿宋" w:hAnsi="仿宋" w:eastAsia="仿宋"/>
          <w:sz w:val="32"/>
          <w:szCs w:val="32"/>
          <w:lang w:val="en-US" w:eastAsia="zh-CN"/>
        </w:rPr>
        <w:t>6</w:t>
      </w:r>
      <w:r>
        <w:rPr>
          <w:rFonts w:hint="eastAsia" w:ascii="仿宋" w:hAnsi="仿宋" w:eastAsia="仿宋"/>
          <w:sz w:val="32"/>
          <w:szCs w:val="32"/>
        </w:rPr>
        <w:t>.24万元，其中：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3989.03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公用经费26</w:t>
      </w:r>
      <w:r>
        <w:rPr>
          <w:rFonts w:hint="eastAsia" w:ascii="仿宋" w:hAnsi="仿宋" w:eastAsia="仿宋"/>
          <w:sz w:val="32"/>
          <w:szCs w:val="32"/>
          <w:lang w:val="en-US" w:eastAsia="zh-CN"/>
        </w:rPr>
        <w:t>7</w:t>
      </w:r>
      <w:bookmarkStart w:id="64" w:name="_GoBack"/>
      <w:bookmarkEnd w:id="64"/>
      <w:r>
        <w:rPr>
          <w:rFonts w:hint="eastAsia" w:ascii="仿宋" w:hAnsi="仿宋" w:eastAsia="仿宋"/>
          <w:sz w:val="32"/>
          <w:szCs w:val="32"/>
        </w:rPr>
        <w:t>.21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pStyle w:val="2"/>
        <w:spacing w:before="93"/>
      </w:pPr>
    </w:p>
    <w:p>
      <w:pPr>
        <w:spacing w:line="600" w:lineRule="exact"/>
        <w:ind w:firstLine="640"/>
        <w:outlineLvl w:val="1"/>
        <w:rPr>
          <w:rStyle w:val="25"/>
          <w:rFonts w:ascii="黑体" w:hAnsi="黑体" w:eastAsia="黑体"/>
          <w:b w:val="0"/>
        </w:rPr>
      </w:pPr>
      <w:bookmarkStart w:id="33" w:name="_Toc15396609"/>
      <w:bookmarkStart w:id="34"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3"/>
      <w:bookmarkEnd w:id="34"/>
    </w:p>
    <w:p>
      <w:pPr>
        <w:spacing w:line="600" w:lineRule="exact"/>
        <w:ind w:firstLine="640"/>
        <w:outlineLvl w:val="2"/>
        <w:rPr>
          <w:rFonts w:ascii="仿宋" w:hAnsi="仿宋" w:eastAsia="仿宋"/>
          <w:b/>
          <w:sz w:val="32"/>
          <w:szCs w:val="32"/>
        </w:rPr>
      </w:pPr>
      <w:bookmarkStart w:id="35" w:name="_Toc15377216"/>
      <w:r>
        <w:rPr>
          <w:rFonts w:hint="eastAsia" w:ascii="仿宋" w:hAnsi="仿宋" w:eastAsia="仿宋"/>
          <w:b/>
          <w:sz w:val="32"/>
          <w:szCs w:val="32"/>
        </w:rPr>
        <w:t>（一）“三公”经费财政拨款支出决算总体情况说明</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与2020年决算数持平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6" w:name="_Toc15377217"/>
      <w:r>
        <w:rPr>
          <w:rFonts w:hint="eastAsia" w:ascii="仿宋" w:hAnsi="仿宋" w:eastAsia="仿宋"/>
          <w:b/>
          <w:sz w:val="32"/>
          <w:szCs w:val="32"/>
        </w:rPr>
        <w:t>（二）“三公”经费财政拨款支出决算具体情况说明</w:t>
      </w:r>
      <w:bookmarkEnd w:id="3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与2020年决算数持平，</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Fonts w:hint="eastAsia" w:ascii="仿宋" w:hAnsi="仿宋" w:eastAsia="仿宋"/>
          <w:sz w:val="32"/>
          <w:szCs w:val="32"/>
          <w:lang w:val="en-US" w:eastAsia="zh-CN"/>
        </w:rPr>
        <w:t>与2020年决算数持平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 w:hAnsi="仿宋" w:eastAsia="仿宋"/>
          <w:sz w:val="32"/>
          <w:szCs w:val="32"/>
          <w:lang w:val="en-US" w:eastAsia="zh-CN"/>
        </w:rPr>
        <w:t>与2020年决算数持平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lang w:val="en-US" w:eastAsia="zh-CN"/>
        </w:rPr>
        <w:t>与2020年决算数持平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37" w:name="_Toc15396610"/>
      <w:bookmarkStart w:id="38"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37"/>
      <w:bookmarkEnd w:id="3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5"/>
          <w:rFonts w:ascii="黑体" w:hAnsi="黑体" w:eastAsia="黑体"/>
          <w:b w:val="0"/>
        </w:rPr>
      </w:pPr>
      <w:bookmarkStart w:id="39" w:name="_Toc15396611"/>
      <w:bookmarkStart w:id="40" w:name="_Toc15377219"/>
      <w:r>
        <w:rPr>
          <w:rStyle w:val="25"/>
          <w:rFonts w:hint="eastAsia" w:ascii="黑体" w:hAnsi="黑体" w:eastAsia="黑体"/>
          <w:b w:val="0"/>
        </w:rPr>
        <w:t>国有资本经营预算支出决算情况说明</w:t>
      </w:r>
      <w:bookmarkEnd w:id="39"/>
      <w:bookmarkEnd w:id="4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5"/>
          <w:rFonts w:ascii="黑体" w:hAnsi="黑体" w:eastAsia="黑体"/>
          <w:b w:val="0"/>
        </w:rPr>
      </w:pPr>
      <w:bookmarkStart w:id="41" w:name="_Toc15377221"/>
      <w:bookmarkStart w:id="42" w:name="_Toc15396612"/>
      <w:r>
        <w:rPr>
          <w:rStyle w:val="25"/>
          <w:rFonts w:hint="eastAsia" w:ascii="黑体" w:hAnsi="黑体" w:eastAsia="黑体"/>
          <w:b w:val="0"/>
        </w:rPr>
        <w:t>其他重要事项的情况说明</w:t>
      </w:r>
      <w:bookmarkEnd w:id="41"/>
      <w:bookmarkEnd w:id="42"/>
    </w:p>
    <w:p>
      <w:pPr>
        <w:spacing w:line="600" w:lineRule="exact"/>
        <w:ind w:firstLine="643" w:firstLineChars="200"/>
        <w:outlineLvl w:val="2"/>
        <w:rPr>
          <w:rFonts w:ascii="仿宋" w:hAnsi="仿宋" w:eastAsia="仿宋"/>
          <w:sz w:val="32"/>
          <w:szCs w:val="32"/>
        </w:rPr>
      </w:pPr>
      <w:bookmarkStart w:id="43" w:name="_Toc15377222"/>
      <w:r>
        <w:rPr>
          <w:rFonts w:hint="eastAsia" w:ascii="仿宋" w:hAnsi="仿宋" w:eastAsia="仿宋"/>
          <w:b/>
          <w:sz w:val="32"/>
          <w:szCs w:val="32"/>
        </w:rPr>
        <w:t>（一）机关运行经费支出情况</w:t>
      </w:r>
      <w:bookmarkEnd w:id="4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21年，攀枝花市第三十一中小学校机关运行经费支出0万元，与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4" w:name="_Toc15377223"/>
      <w:r>
        <w:rPr>
          <w:rFonts w:hint="eastAsia" w:ascii="仿宋" w:hAnsi="仿宋" w:eastAsia="仿宋"/>
          <w:b/>
          <w:sz w:val="32"/>
          <w:szCs w:val="32"/>
        </w:rPr>
        <w:t>（二）政府采购支出情况</w:t>
      </w:r>
      <w:bookmarkEnd w:id="44"/>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21年，攀枝花市第三十一中小学校政府采购支出总额103.59万元，其中：政府采购货物支出103.59万元、政府采购工程支出0万元、政府采购服务支出0万元。主要用于购买日常教学活动所需物品。授予中小企业合同金额97.19万元，占政府采购支出总额的93.82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，其中：授予小微企业合同金额97.19万元，占政府采购支出总额的100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4"/>
      <w:r>
        <w:rPr>
          <w:rFonts w:hint="eastAsia" w:ascii="仿宋" w:hAnsi="仿宋" w:eastAsia="仿宋"/>
          <w:b/>
          <w:sz w:val="32"/>
          <w:szCs w:val="32"/>
        </w:rPr>
        <w:t>（三）国有资产占有使用情况</w:t>
      </w:r>
      <w:bookmarkEnd w:id="4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日，攀枝花市第三十一中小学校共有车辆0辆，其中：主要领导干部用车0辆、机要通信用车0辆、应急保障用车0辆、其他用车0辆。单价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2021年第一批市级财政教育资金-职业教育经费项目（项目名称）1个项目开展了预算事前绩效评估，对1个项目编制了绩效目标，预算执行过程中，选取1个项目开展绩效监控，年终执行完毕后，对1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6" w:name="_Toc15377225"/>
      <w:bookmarkStart w:id="47" w:name="_Toc15396613"/>
      <w:r>
        <w:rPr>
          <w:rFonts w:hint="eastAsia" w:ascii="黑体" w:hAnsi="黑体" w:eastAsia="黑体"/>
          <w:sz w:val="44"/>
          <w:szCs w:val="44"/>
        </w:rPr>
        <w:t>名</w:t>
      </w:r>
      <w:r>
        <w:rPr>
          <w:rStyle w:val="24"/>
          <w:rFonts w:hint="eastAsia" w:ascii="黑体" w:hAnsi="黑体" w:eastAsia="黑体"/>
          <w:b w:val="0"/>
        </w:rPr>
        <w:t>词解释</w:t>
      </w:r>
      <w:bookmarkEnd w:id="46"/>
      <w:bookmarkEnd w:id="47"/>
    </w:p>
    <w:p>
      <w:pPr>
        <w:spacing w:line="600" w:lineRule="exact"/>
        <w:jc w:val="left"/>
        <w:rPr>
          <w:rFonts w:ascii="宋体"/>
          <w:b/>
          <w:sz w:val="44"/>
          <w:szCs w:val="44"/>
        </w:rPr>
      </w:pP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bookmarkStart w:id="48"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教育（类）普通教育（款）小学教育（项）：指反映各部门举办的小学教育支出。政府各部门对社会中介组织等举办的小学的资助，如各类捐赠、补贴等，也在本科目中反映。</w:t>
      </w:r>
    </w:p>
    <w:p>
      <w:pPr>
        <w:pStyle w:val="2"/>
        <w:ind w:firstLine="640" w:firstLineChars="200"/>
      </w:pPr>
      <w:r>
        <w:rPr>
          <w:rFonts w:hint="eastAsia"/>
          <w:color w:val="000000"/>
          <w:sz w:val="32"/>
          <w:szCs w:val="32"/>
          <w:lang w:val="en-US" w:eastAsia="zh-CN"/>
        </w:rPr>
        <w:t>6.</w:t>
      </w:r>
      <w:r>
        <w:rPr>
          <w:rFonts w:hint="eastAsia" w:ascii="仿宋_GB2312" w:eastAsia="仿宋_GB2312"/>
          <w:color w:val="000000"/>
          <w:sz w:val="32"/>
          <w:szCs w:val="32"/>
        </w:rPr>
        <w:t>教育（类）普通教育（款）</w:t>
      </w:r>
      <w:r>
        <w:rPr>
          <w:rFonts w:hint="eastAsia"/>
          <w:color w:val="000000"/>
          <w:sz w:val="32"/>
          <w:szCs w:val="32"/>
          <w:lang w:val="en-US" w:eastAsia="zh-CN"/>
        </w:rPr>
        <w:t>初中</w:t>
      </w:r>
      <w:r>
        <w:rPr>
          <w:rFonts w:hint="eastAsia" w:ascii="仿宋_GB2312" w:eastAsia="仿宋_GB2312"/>
          <w:color w:val="000000"/>
          <w:sz w:val="32"/>
          <w:szCs w:val="32"/>
        </w:rPr>
        <w:t>教育（项）：指反映各部门举办的</w:t>
      </w:r>
      <w:r>
        <w:rPr>
          <w:rFonts w:hint="eastAsia"/>
          <w:color w:val="000000"/>
          <w:sz w:val="32"/>
          <w:szCs w:val="32"/>
          <w:lang w:val="en-US" w:eastAsia="zh-CN"/>
        </w:rPr>
        <w:t>初中</w:t>
      </w:r>
      <w:r>
        <w:rPr>
          <w:rFonts w:hint="eastAsia" w:ascii="仿宋_GB2312" w:eastAsia="仿宋_GB2312"/>
          <w:color w:val="000000"/>
          <w:sz w:val="32"/>
          <w:szCs w:val="32"/>
        </w:rPr>
        <w:t>教育支出。政府各部门对社会中介组织等举办的小学的资助，如各类捐赠、补贴等，也在本科目中反映。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社会保障和就业（类）行政事业单位养老（款）事业单位离退休（项）：指反映实行归口管理的事业单位离退休经费。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社会保障和就业（类）行政事业单位养老（款）机关事业单位基本养老保险缴费（项）：指反映机关事业单位实施养老保险制度由单位缴纳的基本养老保险费支出。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社会保障和就业（类）行政事业单位养老（款）机关事业单位职业年金缴费（项）：指反映机关事业单位实施养老保险制度由单位实际缴纳的职业年金支出。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社会保障和就业（类）行政事业单位养老（款）死亡抚恤（项）：指反映按规定用于烈士和牺牲、病故人员家属的一次性定期抚恤金以及丧葬补助费。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卫生健康（类）行政事业单位医疗（款）事业单位医疗（项）：指反映财政部门集中安排事业单位基本医疗保险缴费经费，未参加医疗保险的事业单位的公费医疗经费，按国家规定享受离休人员待遇的医疗经费。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卫生健康（类）行政事业单位医疗（款）公务员医疗补助（项）：指反映财政部门集中安排的公务员医疗补助经费。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r>
        <w:rPr>
          <w:rFonts w:ascii="宋体"/>
          <w:b/>
          <w:sz w:val="44"/>
          <w:szCs w:val="44"/>
        </w:rPr>
        <w:br w:type="page"/>
      </w:r>
      <w:bookmarkStart w:id="49" w:name="_Toc15396614"/>
      <w:r>
        <w:rPr>
          <w:rFonts w:hint="eastAsia" w:ascii="黑体" w:hAnsi="黑体" w:eastAsia="黑体"/>
          <w:sz w:val="44"/>
          <w:szCs w:val="44"/>
        </w:rPr>
        <w:t>第</w:t>
      </w:r>
      <w:r>
        <w:rPr>
          <w:rStyle w:val="24"/>
          <w:rFonts w:hint="eastAsia" w:ascii="黑体" w:hAnsi="黑体" w:eastAsia="黑体"/>
          <w:b w:val="0"/>
        </w:rPr>
        <w:t>四部分 附件</w:t>
      </w:r>
      <w:bookmarkEnd w:id="49"/>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0" w:name="_Toc15396618"/>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攀枝花市西区教育和体育局  128001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攀枝花市第三十一中小学校</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ascii="宋体" w:hAnsi="宋体" w:cs="宋体"/>
                <w:sz w:val="24"/>
              </w:rPr>
              <w:t>宣传职业教育</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ascii="宋体" w:hAnsi="宋体" w:cs="宋体"/>
                <w:sz w:val="24"/>
              </w:rPr>
              <w:t>带领初三学生开展职业教育体验活动，获得了良好的效果</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经费使用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支付1万元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良好宣传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本年内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按时完成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按时完成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提高师生对职业教育的认识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获得良好的</w:t>
            </w:r>
            <w:r>
              <w:rPr>
                <w:rFonts w:hint="eastAsia" w:ascii="仿宋_GB2312" w:hAnsi="仿宋_GB2312" w:eastAsia="仿宋_GB2312" w:cs="仿宋_GB2312"/>
                <w:sz w:val="28"/>
                <w:szCs w:val="28"/>
                <w:lang w:val="en-US" w:eastAsia="zh-CN"/>
              </w:rPr>
              <w:t>宣传</w:t>
            </w:r>
            <w:r>
              <w:rPr>
                <w:rFonts w:ascii="仿宋_GB2312" w:hAnsi="仿宋_GB2312" w:eastAsia="仿宋_GB2312" w:cs="仿宋_GB2312"/>
                <w:sz w:val="28"/>
                <w:szCs w:val="28"/>
              </w:rPr>
              <w:t>效果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带领初三学生开展职业教育体验活动，获得了良好的效果</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学生及家长满意度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学生和家长满意此次活动</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初三学生和家长都很满意此次活动</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both"/>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48"/>
      <w:bookmarkEnd w:id="50"/>
      <w:bookmarkStart w:id="51"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1"/>
    </w:p>
    <w:p>
      <w:pPr>
        <w:pStyle w:val="4"/>
        <w:rPr>
          <w:rFonts w:ascii="仿宋" w:hAnsi="仿宋" w:eastAsia="仿宋"/>
        </w:rPr>
      </w:pPr>
      <w:bookmarkStart w:id="52" w:name="_Toc15396620"/>
      <w:r>
        <w:rPr>
          <w:rFonts w:hint="eastAsia" w:ascii="仿宋" w:hAnsi="仿宋" w:eastAsia="仿宋"/>
          <w:b w:val="0"/>
        </w:rPr>
        <w:t>二、收</w:t>
      </w:r>
      <w:r>
        <w:rPr>
          <w:rStyle w:val="25"/>
          <w:rFonts w:hint="eastAsia" w:ascii="仿宋" w:hAnsi="仿宋" w:eastAsia="仿宋"/>
          <w:b w:val="0"/>
          <w:bCs w:val="0"/>
        </w:rPr>
        <w:t>入决算表</w:t>
      </w:r>
      <w:bookmarkEnd w:id="52"/>
    </w:p>
    <w:p>
      <w:pPr>
        <w:pStyle w:val="4"/>
        <w:rPr>
          <w:rFonts w:ascii="仿宋" w:hAnsi="仿宋" w:eastAsia="仿宋"/>
        </w:rPr>
      </w:pPr>
      <w:bookmarkStart w:id="53"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3"/>
    </w:p>
    <w:p>
      <w:pPr>
        <w:pStyle w:val="4"/>
        <w:rPr>
          <w:rFonts w:ascii="仿宋" w:hAnsi="仿宋" w:eastAsia="仿宋"/>
          <w:b w:val="0"/>
        </w:rPr>
      </w:pPr>
      <w:bookmarkStart w:id="54"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4"/>
    </w:p>
    <w:p>
      <w:pPr>
        <w:pStyle w:val="4"/>
        <w:rPr>
          <w:rStyle w:val="25"/>
          <w:rFonts w:ascii="仿宋" w:hAnsi="仿宋" w:eastAsia="仿宋"/>
          <w:b w:val="0"/>
          <w:bCs w:val="0"/>
        </w:rPr>
      </w:pPr>
      <w:bookmarkStart w:id="55"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5"/>
      <w:bookmarkStart w:id="56"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6"/>
    </w:p>
    <w:p>
      <w:pPr>
        <w:pStyle w:val="4"/>
        <w:rPr>
          <w:rFonts w:ascii="仿宋" w:hAnsi="仿宋" w:eastAsia="仿宋"/>
        </w:rPr>
      </w:pPr>
      <w:bookmarkStart w:id="57"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57"/>
    </w:p>
    <w:p>
      <w:pPr>
        <w:pStyle w:val="4"/>
        <w:rPr>
          <w:rFonts w:ascii="仿宋" w:hAnsi="仿宋" w:eastAsia="仿宋"/>
        </w:rPr>
      </w:pPr>
      <w:bookmarkStart w:id="58"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58"/>
    </w:p>
    <w:p>
      <w:pPr>
        <w:pStyle w:val="4"/>
        <w:rPr>
          <w:rFonts w:ascii="仿宋" w:hAnsi="仿宋" w:eastAsia="仿宋"/>
        </w:rPr>
      </w:pPr>
      <w:bookmarkStart w:id="59"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59"/>
    </w:p>
    <w:p>
      <w:pPr>
        <w:pStyle w:val="4"/>
        <w:rPr>
          <w:rFonts w:ascii="仿宋" w:hAnsi="仿宋" w:eastAsia="仿宋"/>
        </w:rPr>
      </w:pPr>
      <w:bookmarkStart w:id="60"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0"/>
    </w:p>
    <w:p>
      <w:pPr>
        <w:pStyle w:val="4"/>
        <w:rPr>
          <w:rFonts w:ascii="仿宋" w:hAnsi="仿宋" w:eastAsia="仿宋"/>
        </w:rPr>
      </w:pPr>
      <w:bookmarkStart w:id="61"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1"/>
    </w:p>
    <w:p>
      <w:pPr>
        <w:pStyle w:val="4"/>
        <w:rPr>
          <w:rFonts w:ascii="仿宋" w:hAnsi="仿宋" w:eastAsia="仿宋"/>
        </w:rPr>
      </w:pPr>
      <w:bookmarkStart w:id="62"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2"/>
    </w:p>
    <w:p>
      <w:pPr>
        <w:pStyle w:val="4"/>
        <w:rPr>
          <w:rStyle w:val="25"/>
          <w:rFonts w:ascii="仿宋" w:hAnsi="仿宋" w:eastAsia="仿宋"/>
          <w:b w:val="0"/>
          <w:bCs w:val="0"/>
        </w:rPr>
      </w:pPr>
      <w:bookmarkStart w:id="63"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3"/>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MDcyYjBhZmJkNDg0ZDBhMWNjMDJmY2FmNjY5NzUifQ=="/>
  </w:docVars>
  <w:rsids>
    <w:rsidRoot w:val="00F1361C"/>
    <w:rsid w:val="00011932"/>
    <w:rsid w:val="000222C6"/>
    <w:rsid w:val="0002549F"/>
    <w:rsid w:val="000468DB"/>
    <w:rsid w:val="0006487A"/>
    <w:rsid w:val="00065F8F"/>
    <w:rsid w:val="00070A43"/>
    <w:rsid w:val="000768F2"/>
    <w:rsid w:val="0009184B"/>
    <w:rsid w:val="00094236"/>
    <w:rsid w:val="0009593C"/>
    <w:rsid w:val="00097322"/>
    <w:rsid w:val="00097DF7"/>
    <w:rsid w:val="000A6A92"/>
    <w:rsid w:val="000B047F"/>
    <w:rsid w:val="000B5923"/>
    <w:rsid w:val="000B5A48"/>
    <w:rsid w:val="000B6FF3"/>
    <w:rsid w:val="000C3467"/>
    <w:rsid w:val="000C3CA6"/>
    <w:rsid w:val="000C6614"/>
    <w:rsid w:val="000D1267"/>
    <w:rsid w:val="000D1D50"/>
    <w:rsid w:val="000D5782"/>
    <w:rsid w:val="000E6613"/>
    <w:rsid w:val="000E7119"/>
    <w:rsid w:val="00107F06"/>
    <w:rsid w:val="00114E9B"/>
    <w:rsid w:val="00116152"/>
    <w:rsid w:val="00142216"/>
    <w:rsid w:val="00144D6A"/>
    <w:rsid w:val="0014729F"/>
    <w:rsid w:val="00157BAB"/>
    <w:rsid w:val="001654D1"/>
    <w:rsid w:val="00174518"/>
    <w:rsid w:val="0018106D"/>
    <w:rsid w:val="001877A7"/>
    <w:rsid w:val="00191536"/>
    <w:rsid w:val="00196687"/>
    <w:rsid w:val="001C0962"/>
    <w:rsid w:val="001C0EAB"/>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3465"/>
    <w:rsid w:val="00280496"/>
    <w:rsid w:val="00294DC9"/>
    <w:rsid w:val="00295495"/>
    <w:rsid w:val="002A31DE"/>
    <w:rsid w:val="002B03B2"/>
    <w:rsid w:val="002B2613"/>
    <w:rsid w:val="002D6D05"/>
    <w:rsid w:val="002F1818"/>
    <w:rsid w:val="002F567B"/>
    <w:rsid w:val="00312ADE"/>
    <w:rsid w:val="003216A9"/>
    <w:rsid w:val="00335A74"/>
    <w:rsid w:val="0036561B"/>
    <w:rsid w:val="0037013F"/>
    <w:rsid w:val="00380C92"/>
    <w:rsid w:val="003A484F"/>
    <w:rsid w:val="003A4883"/>
    <w:rsid w:val="003B0BE0"/>
    <w:rsid w:val="003B0C1B"/>
    <w:rsid w:val="003B4CB0"/>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74FE"/>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3549"/>
    <w:rsid w:val="00664777"/>
    <w:rsid w:val="006748A4"/>
    <w:rsid w:val="00681A31"/>
    <w:rsid w:val="00683E73"/>
    <w:rsid w:val="006A3141"/>
    <w:rsid w:val="006A5E34"/>
    <w:rsid w:val="006B2422"/>
    <w:rsid w:val="006B2B9A"/>
    <w:rsid w:val="006C1937"/>
    <w:rsid w:val="006F020C"/>
    <w:rsid w:val="006F7148"/>
    <w:rsid w:val="007127B7"/>
    <w:rsid w:val="0071798E"/>
    <w:rsid w:val="007201FF"/>
    <w:rsid w:val="007416B6"/>
    <w:rsid w:val="00746F48"/>
    <w:rsid w:val="0075404D"/>
    <w:rsid w:val="0076182A"/>
    <w:rsid w:val="00767B7E"/>
    <w:rsid w:val="007770C3"/>
    <w:rsid w:val="00784D24"/>
    <w:rsid w:val="00785FBA"/>
    <w:rsid w:val="00786E4A"/>
    <w:rsid w:val="007875EB"/>
    <w:rsid w:val="0079426B"/>
    <w:rsid w:val="007C33B0"/>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3CC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0CAF"/>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38B3"/>
    <w:rsid w:val="00B440AA"/>
    <w:rsid w:val="00B44B70"/>
    <w:rsid w:val="00B53C56"/>
    <w:rsid w:val="00B57DAF"/>
    <w:rsid w:val="00B77EA6"/>
    <w:rsid w:val="00B81598"/>
    <w:rsid w:val="00B841F1"/>
    <w:rsid w:val="00B944D6"/>
    <w:rsid w:val="00BB4DF0"/>
    <w:rsid w:val="00BC289F"/>
    <w:rsid w:val="00BC2D50"/>
    <w:rsid w:val="00BC39E9"/>
    <w:rsid w:val="00BC5361"/>
    <w:rsid w:val="00BC5460"/>
    <w:rsid w:val="00BC6988"/>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8A"/>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126E"/>
    <w:rsid w:val="00E331A1"/>
    <w:rsid w:val="00E33202"/>
    <w:rsid w:val="00E336A9"/>
    <w:rsid w:val="00E41CA5"/>
    <w:rsid w:val="00E472B1"/>
    <w:rsid w:val="00E50624"/>
    <w:rsid w:val="00E568DF"/>
    <w:rsid w:val="00E64269"/>
    <w:rsid w:val="00E82267"/>
    <w:rsid w:val="00E853CE"/>
    <w:rsid w:val="00E867B6"/>
    <w:rsid w:val="00EA010F"/>
    <w:rsid w:val="00EA7A8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0666"/>
    <w:rsid w:val="00F754A1"/>
    <w:rsid w:val="00F81FD9"/>
    <w:rsid w:val="00F841AA"/>
    <w:rsid w:val="00F84A94"/>
    <w:rsid w:val="00F87E96"/>
    <w:rsid w:val="00FA23E8"/>
    <w:rsid w:val="00FB34C9"/>
    <w:rsid w:val="00FD3CC1"/>
    <w:rsid w:val="00FE1479"/>
    <w:rsid w:val="00FF1E02"/>
    <w:rsid w:val="00FF30B4"/>
    <w:rsid w:val="02B84F64"/>
    <w:rsid w:val="09FB3331"/>
    <w:rsid w:val="0A2032A3"/>
    <w:rsid w:val="0B8A37D8"/>
    <w:rsid w:val="0C284270"/>
    <w:rsid w:val="10C055FF"/>
    <w:rsid w:val="118107EC"/>
    <w:rsid w:val="11DD6519"/>
    <w:rsid w:val="16BB723D"/>
    <w:rsid w:val="18015F3F"/>
    <w:rsid w:val="1BE8440E"/>
    <w:rsid w:val="1CB12CD1"/>
    <w:rsid w:val="1D155CEE"/>
    <w:rsid w:val="1EF2523B"/>
    <w:rsid w:val="2098715A"/>
    <w:rsid w:val="20C375EE"/>
    <w:rsid w:val="20F57F95"/>
    <w:rsid w:val="22777ED2"/>
    <w:rsid w:val="240371BF"/>
    <w:rsid w:val="25C741E6"/>
    <w:rsid w:val="27842671"/>
    <w:rsid w:val="27F53789"/>
    <w:rsid w:val="29FD04D3"/>
    <w:rsid w:val="2ABE7A3E"/>
    <w:rsid w:val="2EFA178C"/>
    <w:rsid w:val="30B46D73"/>
    <w:rsid w:val="319F7F4E"/>
    <w:rsid w:val="32933D30"/>
    <w:rsid w:val="333C59E9"/>
    <w:rsid w:val="39AE70AB"/>
    <w:rsid w:val="3C0C0783"/>
    <w:rsid w:val="3F9F3A96"/>
    <w:rsid w:val="4388397C"/>
    <w:rsid w:val="47CD03FF"/>
    <w:rsid w:val="493C27E9"/>
    <w:rsid w:val="496F39ED"/>
    <w:rsid w:val="49FF41D3"/>
    <w:rsid w:val="4BE068DB"/>
    <w:rsid w:val="4BF6002B"/>
    <w:rsid w:val="4ECE2238"/>
    <w:rsid w:val="51DB4B86"/>
    <w:rsid w:val="55333C3E"/>
    <w:rsid w:val="560D6825"/>
    <w:rsid w:val="64CA39A1"/>
    <w:rsid w:val="66E700AB"/>
    <w:rsid w:val="67C4603C"/>
    <w:rsid w:val="6C4A05C8"/>
    <w:rsid w:val="6FC43330"/>
    <w:rsid w:val="72734D90"/>
    <w:rsid w:val="79E7B28D"/>
    <w:rsid w:val="7B84284C"/>
    <w:rsid w:val="7E0F1F3B"/>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Administrator\Desktop\&#20915;&#31639;&#20844;&#24320;&#30011;&#22270;&#34920;&#266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Desktop\&#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Administrator\Desktop\&#20915;&#31639;&#20844;&#24320;&#30011;&#22270;&#34920;&#266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Administrator\Desktop\&#20915;&#31639;&#20844;&#24320;&#30011;&#22270;&#34920;&#266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Administrator\Desktop\&#20915;&#31639;&#20844;&#24320;&#30011;&#22270;&#34920;&#2668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Administrator\Desktop\&#20915;&#31639;&#20844;&#24320;&#30011;&#2227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610555555555556"/>
          <c:y val="0.152083333333334"/>
          <c:w val="0.882"/>
          <c:h val="0.606574074074077"/>
        </c:manualLayout>
      </c:layout>
      <c:barChart>
        <c:barDir val="col"/>
        <c:grouping val="clustered"/>
        <c:varyColors val="0"/>
        <c:ser>
          <c:idx val="0"/>
          <c:order val="0"/>
          <c:tx>
            <c:strRef>
              <c:f>Sheet1!$F$61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Sheet1!$G$60:$H$60</c:f>
              <c:strCache>
                <c:ptCount val="2"/>
                <c:pt idx="0">
                  <c:v>财政拨款收入</c:v>
                </c:pt>
                <c:pt idx="1">
                  <c:v>财政拨款支出</c:v>
                </c:pt>
              </c:strCache>
            </c:strRef>
          </c:cat>
          <c:val>
            <c:numRef>
              <c:f>Sheet1!$G$61:$H$61</c:f>
              <c:numCache>
                <c:formatCode>General</c:formatCode>
                <c:ptCount val="2"/>
                <c:pt idx="0">
                  <c:v>4257.24</c:v>
                </c:pt>
                <c:pt idx="1">
                  <c:v>4257.24</c:v>
                </c:pt>
              </c:numCache>
            </c:numRef>
          </c:val>
        </c:ser>
        <c:ser>
          <c:idx val="1"/>
          <c:order val="1"/>
          <c:tx>
            <c:strRef>
              <c:f>Sheet1!$F$62</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Sheet1!$G$60:$H$60</c:f>
              <c:strCache>
                <c:ptCount val="2"/>
                <c:pt idx="0">
                  <c:v>财政拨款收入</c:v>
                </c:pt>
                <c:pt idx="1">
                  <c:v>财政拨款支出</c:v>
                </c:pt>
              </c:strCache>
            </c:strRef>
          </c:cat>
          <c:val>
            <c:numRef>
              <c:f>Sheet1!$G$62:$H$62</c:f>
              <c:numCache>
                <c:formatCode>General</c:formatCode>
                <c:ptCount val="2"/>
                <c:pt idx="0">
                  <c:v>4085.72</c:v>
                </c:pt>
                <c:pt idx="1">
                  <c:v>4085.72</c:v>
                </c:pt>
              </c:numCache>
            </c:numRef>
          </c:val>
        </c:ser>
        <c:dLbls>
          <c:showLegendKey val="0"/>
          <c:showVal val="1"/>
          <c:showCatName val="0"/>
          <c:showSerName val="0"/>
          <c:showPercent val="0"/>
          <c:showBubbleSize val="0"/>
        </c:dLbls>
        <c:gapWidth val="219"/>
        <c:overlap val="-27"/>
        <c:axId val="101010432"/>
        <c:axId val="119169792"/>
      </c:barChart>
      <c:catAx>
        <c:axId val="1010104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169792"/>
        <c:crosses val="autoZero"/>
        <c:auto val="1"/>
        <c:lblAlgn val="ctr"/>
        <c:lblOffset val="100"/>
        <c:noMultiLvlLbl val="0"/>
      </c:catAx>
      <c:valAx>
        <c:axId val="11916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0104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收入决算结构图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dPt>
          <c:dLbls>
            <c:dLbl>
              <c:idx val="1"/>
              <c:layout>
                <c:manualLayout>
                  <c:x val="-0.0525374212727962"/>
                  <c:y val="0.06050072317667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7769101906745"/>
                  <c:y val="0.04839151419840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[画图.xls]Sheet1!$P$18:$P$20</c:f>
              <c:strCache>
                <c:ptCount val="3"/>
                <c:pt idx="0">
                  <c:v>一般财政拨款收入</c:v>
                </c:pt>
              </c:strCache>
            </c:strRef>
          </c:cat>
          <c:val>
            <c:numRef>
              <c:f>[画图.xls]Sheet1!$Q$18:$Q$20</c:f>
              <c:numCache>
                <c:formatCode>General</c:formatCode>
                <c:ptCount val="3"/>
                <c:pt idx="0">
                  <c:v>4251.37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Sheet1!$N$36:$N$37</c:f>
              <c:strCache>
                <c:ptCount val="2"/>
                <c:pt idx="0">
                  <c:v>基本支出4256.24万元</c:v>
                </c:pt>
                <c:pt idx="1">
                  <c:v>项目支出1万元</c:v>
                </c:pt>
              </c:strCache>
            </c:strRef>
          </c:cat>
          <c:val>
            <c:numRef>
              <c:f>Sheet1!$O$36:$O$37</c:f>
              <c:numCache>
                <c:formatCode>0%</c:formatCode>
                <c:ptCount val="2"/>
                <c:pt idx="0">
                  <c:v>0.9999</c:v>
                </c:pt>
                <c:pt idx="1">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a:t>
            </a: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Sheet1!$A$3</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Sheet1!$B$2:$C$2</c:f>
              <c:strCache>
                <c:ptCount val="2"/>
                <c:pt idx="0">
                  <c:v>收入</c:v>
                </c:pt>
                <c:pt idx="1">
                  <c:v>支出</c:v>
                </c:pt>
              </c:strCache>
            </c:strRef>
          </c:cat>
          <c:val>
            <c:numRef>
              <c:f>Sheet1!$B$3:$C$3</c:f>
              <c:numCache>
                <c:formatCode>General</c:formatCode>
                <c:ptCount val="2"/>
                <c:pt idx="0">
                  <c:v>4251.37</c:v>
                </c:pt>
                <c:pt idx="1">
                  <c:v>4251.37</c:v>
                </c:pt>
              </c:numCache>
            </c:numRef>
          </c:val>
        </c:ser>
        <c:ser>
          <c:idx val="1"/>
          <c:order val="1"/>
          <c:tx>
            <c:strRef>
              <c:f>Sheet1!$A$4</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Sheet1!$B$2:$C$2</c:f>
              <c:strCache>
                <c:ptCount val="2"/>
                <c:pt idx="0">
                  <c:v>收入</c:v>
                </c:pt>
                <c:pt idx="1">
                  <c:v>支出</c:v>
                </c:pt>
              </c:strCache>
            </c:strRef>
          </c:cat>
          <c:val>
            <c:numRef>
              <c:f>Sheet1!$B$4:$C$4</c:f>
              <c:numCache>
                <c:formatCode>General</c:formatCode>
                <c:ptCount val="2"/>
                <c:pt idx="0">
                  <c:v>4073.7</c:v>
                </c:pt>
                <c:pt idx="1">
                  <c:v>4073.7</c:v>
                </c:pt>
              </c:numCache>
            </c:numRef>
          </c:val>
        </c:ser>
        <c:dLbls>
          <c:showLegendKey val="0"/>
          <c:showVal val="1"/>
          <c:showCatName val="0"/>
          <c:showSerName val="0"/>
          <c:showPercent val="0"/>
          <c:showBubbleSize val="0"/>
        </c:dLbls>
        <c:gapWidth val="219"/>
        <c:overlap val="-27"/>
        <c:axId val="120873344"/>
        <c:axId val="120874880"/>
      </c:barChart>
      <c:catAx>
        <c:axId val="1208733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874880"/>
        <c:crosses val="autoZero"/>
        <c:auto val="1"/>
        <c:lblAlgn val="ctr"/>
        <c:lblOffset val="100"/>
        <c:noMultiLvlLbl val="0"/>
      </c:catAx>
      <c:valAx>
        <c:axId val="120874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873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41527777777778"/>
          <c:y val="0.0486111111111111"/>
        </c:manualLayout>
      </c:layout>
      <c:overlay val="0"/>
      <c:spPr>
        <a:noFill/>
        <a:ln>
          <a:noFill/>
        </a:ln>
        <a:effectLst/>
      </c:spPr>
    </c:title>
    <c:autoTitleDeleted val="0"/>
    <c:plotArea>
      <c:layout/>
      <c:barChart>
        <c:barDir val="col"/>
        <c:grouping val="clustered"/>
        <c:varyColors val="0"/>
        <c:ser>
          <c:idx val="0"/>
          <c:order val="0"/>
          <c:tx>
            <c:strRef>
              <c:f>Sheet1!$L$64</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Sheet1!$M$63:$O$63</c:f>
              <c:strCache>
                <c:ptCount val="1"/>
                <c:pt idx="0">
                  <c:v>一般公共预算财政拨款支出</c:v>
                </c:pt>
              </c:strCache>
            </c:strRef>
          </c:cat>
          <c:val>
            <c:numRef>
              <c:f>Sheet1!$M$64:$O$64</c:f>
              <c:numCache>
                <c:formatCode>General</c:formatCode>
                <c:ptCount val="3"/>
                <c:pt idx="0">
                  <c:v>4257.24</c:v>
                </c:pt>
              </c:numCache>
            </c:numRef>
          </c:val>
        </c:ser>
        <c:ser>
          <c:idx val="1"/>
          <c:order val="1"/>
          <c:tx>
            <c:strRef>
              <c:f>Sheet1!$L$65</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Sheet1!$M$63:$O$63</c:f>
              <c:strCache>
                <c:ptCount val="1"/>
                <c:pt idx="0">
                  <c:v>一般公共预算财政拨款支出</c:v>
                </c:pt>
              </c:strCache>
            </c:strRef>
          </c:cat>
          <c:val>
            <c:numRef>
              <c:f>Sheet1!$M$65:$O$65</c:f>
              <c:numCache>
                <c:formatCode>General</c:formatCode>
                <c:ptCount val="3"/>
                <c:pt idx="0">
                  <c:v>4085.72</c:v>
                </c:pt>
              </c:numCache>
            </c:numRef>
          </c:val>
        </c:ser>
        <c:dLbls>
          <c:showLegendKey val="0"/>
          <c:showVal val="1"/>
          <c:showCatName val="0"/>
          <c:showSerName val="0"/>
          <c:showPercent val="0"/>
          <c:showBubbleSize val="0"/>
        </c:dLbls>
        <c:gapWidth val="219"/>
        <c:overlap val="-27"/>
        <c:axId val="120912896"/>
        <c:axId val="120992512"/>
      </c:barChart>
      <c:catAx>
        <c:axId val="12091289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992512"/>
        <c:crosses val="autoZero"/>
        <c:auto val="1"/>
        <c:lblAlgn val="ctr"/>
        <c:lblOffset val="100"/>
        <c:noMultiLvlLbl val="0"/>
      </c:catAx>
      <c:valAx>
        <c:axId val="120992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912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Sheet1!$F$86</c:f>
              <c:strCache>
                <c:ptCount val="1"/>
                <c:pt idx="0">
                  <c:v>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Sheet1!$E$87:$E$90</c:f>
              <c:strCache>
                <c:ptCount val="4"/>
                <c:pt idx="0">
                  <c:v>教育支出2974.14万元</c:v>
                </c:pt>
                <c:pt idx="1">
                  <c:v>社会保障和就业619万元</c:v>
                </c:pt>
                <c:pt idx="2">
                  <c:v>卫生健康支出245.29万元</c:v>
                </c:pt>
                <c:pt idx="3">
                  <c:v>住房保障支出417.81万元</c:v>
                </c:pt>
              </c:strCache>
            </c:strRef>
          </c:cat>
          <c:val>
            <c:numRef>
              <c:f>Sheet1!$F$87:$F$90</c:f>
              <c:numCache>
                <c:formatCode>0.00%</c:formatCode>
                <c:ptCount val="4"/>
                <c:pt idx="0">
                  <c:v>0.698600000000002</c:v>
                </c:pt>
                <c:pt idx="1">
                  <c:v>0.1455</c:v>
                </c:pt>
                <c:pt idx="2">
                  <c:v>0.0577000000000001</c:v>
                </c:pt>
                <c:pt idx="3">
                  <c:v>0.0982000000000001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5671</Words>
  <Characters>6262</Characters>
  <Lines>52</Lines>
  <Paragraphs>14</Paragraphs>
  <TotalTime>10</TotalTime>
  <ScaleCrop>false</ScaleCrop>
  <LinksUpToDate>false</LinksUpToDate>
  <CharactersWithSpaces>6325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2022-09-26T01:01:00Z</dcterms:created>
  <dc:creator>曹颖</dc:creator>
  <cp:lastModifiedBy>T</cp:lastModifiedBy>
  <cp:lastPrinted>2022-08-06T02:23:00Z</cp:lastPrinted>
  <dcterms:modified xsi:type="dcterms:W3CDTF">2023-10-09T09:31:24Z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ACF301402E0846D3B931EB84699E9B4D_13</vt:lpwstr>
  </property>
</Properties>
</file>