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</w:rPr>
        <w:t>攀枝花市西区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  <w:lang w:eastAsia="zh-CN"/>
        </w:rPr>
        <w:t>水利局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</w:rPr>
        <w:t>2022年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</w:rPr>
        <w:t>预算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</w:rPr>
      </w:pPr>
    </w:p>
    <w:p>
      <w:pPr>
        <w:rPr>
          <w:rFonts w:hint="eastAsia" w:ascii="方正小标宋_GBK" w:hAnsi="方正小标宋_GBK" w:eastAsia="方正小标宋_GBK" w:cs="方正小标宋_GBK"/>
          <w:color w:val="000000"/>
          <w:sz w:val="72"/>
          <w:szCs w:val="7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目  录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</w:rPr>
      </w:pPr>
    </w:p>
    <w:p>
      <w:pPr>
        <w:numPr>
          <w:numId w:val="0"/>
        </w:num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攀枝花市西区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水利局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概况</w:t>
      </w:r>
    </w:p>
    <w:p>
      <w:pPr>
        <w:numPr>
          <w:ilvl w:val="0"/>
          <w:numId w:val="1"/>
        </w:num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职能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简介</w:t>
      </w:r>
    </w:p>
    <w:p>
      <w:pPr>
        <w:numPr>
          <w:ilvl w:val="0"/>
          <w:numId w:val="1"/>
        </w:num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2022年重点工作</w:t>
      </w:r>
    </w:p>
    <w:p>
      <w:pPr>
        <w:numPr>
          <w:numId w:val="0"/>
        </w:num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第二部分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攀枝花市西区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水利局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2022年部门预算情况说明</w:t>
      </w: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一、收支预算情况说明</w:t>
      </w: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二、财政拨款收支预算情况说明</w:t>
      </w: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三、一般公共预算当年拨款情况说明</w:t>
      </w: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四、一般公共预算基本支出情况说明</w:t>
      </w: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五、“三公”经费财政拨款预算安排情况说明</w:t>
      </w: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六、政府性基金预算支出情况说明</w:t>
      </w: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七、其他重要事项的情况说明</w:t>
      </w:r>
    </w:p>
    <w:p>
      <w:pPr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第三部分  名词解释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第四部分  附表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一、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单位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收支总表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二、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单位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收入总表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三、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单位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支出总表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四、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财政拨款收支预算总表</w:t>
      </w: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五、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财政拨款支出预算表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（部门经济分类科目）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六、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一般公共预算支出预算表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七、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一般公共预算基本支出预算表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八、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一般公共预算项目支出预算表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九、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一般公共预算“三公”经费支出预算表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十、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政府性基金预算支出预算表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十一、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政府性基金预算“三公”经费支出预算表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十二、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国有资本经营预算支出预算表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十三、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部门预算项目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支出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绩效目标表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十四、</w:t>
      </w:r>
      <w:r>
        <w:rPr>
          <w:rFonts w:ascii="楷体_GB2312" w:hAnsi="楷体_GB2312" w:eastAsia="楷体_GB2312" w:cs="楷体_GB2312"/>
          <w:color w:val="000000"/>
          <w:sz w:val="32"/>
          <w:szCs w:val="32"/>
        </w:rPr>
        <w:t>部门整体支出绩效目标表</w:t>
      </w: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第一部分  攀枝花市西区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水利局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概况</w:t>
      </w: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spacing w:line="353" w:lineRule="auto"/>
        <w:ind w:firstLine="640" w:firstLineChars="200"/>
        <w:rPr>
          <w:rFonts w:hint="eastAsia" w:ascii="仿宋_GB2312" w:hAnsi="仿宋" w:eastAsia="仿宋_GB2312" w:cs="仿宋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主要职责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执行国家、省、市有关水行政管理工作的法律、法规和方针、政策。负责保障水资源的合理开发利用；负责全区水务、水土保持、地方水电行政管理的制度建设，拟订政策和发展规划。组织编制全区重要江河湖库的流域综合规划、水资源保护和水源地保护规划、节约用水、防洪规划等重要水务规划，组织有关全区国民经济总体规划、城乡规划、重大建设项目中涉及水务、水土保持、地方水电等方面的论证工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区水资源统一管理。合理配置水资源，统筹兼顾和保障生活、生产经营、生态环境用水；实施水资源的统一监督管理，组织实施取水许可、水资源有偿使用和按规定开展水能资源调查工作；负责重要流域、区域以及重大调水工程的水资源调度，组织实施水资源有偿使用制度和水资源论证、防洪论证制度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区水资源保护工作，组织水功能区的划分，审定水域纳污能力，提出限制排污总量的建议；审查入河（库）排污口的设置、改建和扩建，指导地下水开发利用和管理保护工作；指导饮用水水源保护工作；负责拟定全区节约用水政策和指导节水工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负责全区供水、再生水利用的行业管理指导工作和监督工作（含自备水源）。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负责全区水务行业体制改革工作；监管区政府授权管理的区级水务资产，负责全区水务行业国有资产的业务管理工作。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负责全区水务、水土保持、地方水电基本建设的指导并实施行业监督。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负责组织实施有关水务、水土保持、地方水电的法律法规及执法工作；查处辖区内重大水事纠纷；负责有关行政复议和行政诉讼应诉工作。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负责全区水土保持工作。拟订水土保持规划并监督实施，负责全区水土流失综合治理及监测工作；负责权限范围内开发建设项目水土保持的审批、实施、监督及水土保持设施的验收工作。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负责行业内的地方电力管理工作。负责全区水电建设项目涉水事务的监督管理。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辖区内河道、水库、湖泊（包括人工水道、行洪区、蓄水区、滞洪区）、河口滩涂的行政管理及河道管护范围内砂石资源等的开发、利用和保护；负责对占用河道、河堤通道设施（包括临时设施）等行为的行政监督管理工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农村水利工作。组织协调农田水利基本建设，指导农村饮水安全、节水灌溉等工程建设与管理工作，指导农村水利社会化服务体系建设；按规定指导农村水能资源开发工作，指导水电农村电气化和小水电代燃料工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指导全区水务发展和水务行业劳动保护、科技推广、安全生产工作。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负责防治水旱灾害，组织、协调、监督、指导全区防洪抢险及抗旱工作。编制全区防汛抗旱应急预案并组织实施，指导水务突发公共事件应急管理工作。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承担区政府公布的有关行政审批事项。</w:t>
      </w:r>
    </w:p>
    <w:p>
      <w:pPr>
        <w:widowControl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承办区政府交办的其他事项。</w:t>
      </w:r>
    </w:p>
    <w:p>
      <w:pPr>
        <w:spacing w:line="353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楷体_GB2312" w:cs="Times New Roman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2</w:t>
      </w:r>
      <w:r>
        <w:rPr>
          <w:rFonts w:ascii="Times New Roman" w:hAnsi="Times New Roman" w:eastAsia="楷体_GB2312" w:cs="Times New Roman"/>
          <w:sz w:val="32"/>
          <w:szCs w:val="32"/>
        </w:rPr>
        <w:t>年重点工作任务。</w:t>
      </w:r>
    </w:p>
    <w:p>
      <w:pPr>
        <w:tabs>
          <w:tab w:val="left" w:pos="7371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根据区委区政府建设“一区一城”的综合性发展目标，即“攀西工业强区”和 “山水灵秀新城”。区水利局</w:t>
      </w:r>
      <w:r>
        <w:rPr>
          <w:rFonts w:ascii="Times New Roman" w:hAnsi="Times New Roman" w:eastAsia="仿宋_GB2312" w:cs="Times New Roman"/>
          <w:sz w:val="32"/>
          <w:szCs w:val="32"/>
        </w:rPr>
        <w:t>将继续加大基础设施建设，拟实施农村供水保障、防洪抗旱、灌区配套、引水上山、水土保持等水利工程，工程实施后将进一步完善县域水利基础设施，全面提升水利基础保障能力。持续深化水利改革工作，以农业水价综合改革为牵引，建立初始水权，探索水权交易市场建立，深化小型农田水利工程产权制度改革，建立健全基层用水管水体系，以体制改革促进水利发展。不断强化河湖治理和水政执法工作，以最严格水资源管理制度为抓手，大力推进水生态文明建设。加大水利法制建设和水利行业能力建设，强化依法治水和科技兴水，构建现代水治理体制机制，为西区社会经济建设发展提供坚实的水利保障。</w:t>
      </w:r>
    </w:p>
    <w:p>
      <w:p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0"/>
        </w:pBdr>
        <w:spacing w:line="353" w:lineRule="auto"/>
        <w:ind w:firstLine="640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</w:t>
      </w:r>
      <w:r>
        <w:rPr>
          <w:rFonts w:ascii="Times New Roman" w:hAnsi="Times New Roman" w:eastAsia="楷体_GB2312" w:cs="Times New Roman"/>
          <w:sz w:val="32"/>
          <w:szCs w:val="32"/>
        </w:rPr>
        <w:t>以惠民利农为根本，着力构建民生水利新格局。</w:t>
      </w:r>
    </w:p>
    <w:p>
      <w:p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0"/>
        </w:pBdr>
        <w:spacing w:line="353" w:lineRule="auto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一是加强项目储备。</w:t>
      </w:r>
      <w:r>
        <w:rPr>
          <w:rFonts w:ascii="Times New Roman" w:hAnsi="Times New Roman" w:eastAsia="仿宋_GB2312"/>
          <w:sz w:val="32"/>
          <w:szCs w:val="32"/>
        </w:rPr>
        <w:t>切实把准水利投资方向，认真吃透</w:t>
      </w:r>
      <w:r>
        <w:rPr>
          <w:rFonts w:hint="eastAsia" w:ascii="Times New Roman" w:hAnsi="Times New Roman" w:eastAsia="仿宋_GB2312"/>
          <w:sz w:val="32"/>
          <w:szCs w:val="32"/>
        </w:rPr>
        <w:t>相关</w:t>
      </w:r>
      <w:r>
        <w:rPr>
          <w:rFonts w:ascii="Times New Roman" w:hAnsi="Times New Roman" w:eastAsia="仿宋_GB2312"/>
          <w:sz w:val="32"/>
          <w:szCs w:val="32"/>
        </w:rPr>
        <w:t>政策精神，结合西区水利工程实际，科学制定中、长期规划，</w:t>
      </w:r>
      <w:r>
        <w:rPr>
          <w:rFonts w:hint="eastAsia" w:ascii="Times New Roman" w:hAnsi="Times New Roman" w:eastAsia="仿宋_GB2312"/>
          <w:sz w:val="32"/>
          <w:szCs w:val="32"/>
        </w:rPr>
        <w:t>积极向</w:t>
      </w:r>
      <w:r>
        <w:rPr>
          <w:rFonts w:ascii="Times New Roman" w:hAnsi="Times New Roman" w:eastAsia="仿宋_GB2312"/>
          <w:sz w:val="32"/>
          <w:szCs w:val="32"/>
        </w:rPr>
        <w:t>省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市主管部门对接汇报，争取项目</w:t>
      </w:r>
      <w:r>
        <w:rPr>
          <w:rFonts w:hint="eastAsia" w:ascii="Times New Roman" w:hAnsi="Times New Roman" w:eastAsia="仿宋_GB2312"/>
          <w:sz w:val="32"/>
          <w:szCs w:val="32"/>
        </w:rPr>
        <w:t>支持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b/>
          <w:sz w:val="32"/>
          <w:szCs w:val="32"/>
        </w:rPr>
        <w:t>二是加快</w:t>
      </w:r>
      <w:r>
        <w:rPr>
          <w:rFonts w:hint="eastAsia" w:ascii="Times New Roman" w:hAnsi="Times New Roman" w:eastAsia="仿宋_GB2312"/>
          <w:b/>
          <w:sz w:val="32"/>
          <w:szCs w:val="32"/>
        </w:rPr>
        <w:t>在建</w:t>
      </w:r>
      <w:r>
        <w:rPr>
          <w:rFonts w:ascii="Times New Roman" w:hAnsi="Times New Roman" w:eastAsia="仿宋_GB2312"/>
          <w:b/>
          <w:sz w:val="32"/>
          <w:szCs w:val="32"/>
        </w:rPr>
        <w:t>项目推进。</w:t>
      </w:r>
      <w:r>
        <w:rPr>
          <w:rFonts w:ascii="Times New Roman" w:hAnsi="Times New Roman" w:eastAsia="仿宋_GB2312"/>
          <w:sz w:val="32"/>
          <w:szCs w:val="32"/>
        </w:rPr>
        <w:t>加快推进梅子箐水库扩建工程</w:t>
      </w:r>
      <w:r>
        <w:rPr>
          <w:rFonts w:ascii="Times New Roman" w:hAnsi="Times New Roman"/>
          <w:sz w:val="32"/>
          <w:szCs w:val="32"/>
        </w:rPr>
        <w:t>Ⅴ</w:t>
      </w:r>
      <w:r>
        <w:rPr>
          <w:rFonts w:ascii="Times New Roman" w:hAnsi="Times New Roman" w:eastAsia="仿宋_GB2312"/>
          <w:sz w:val="32"/>
          <w:szCs w:val="32"/>
        </w:rPr>
        <w:t>标</w:t>
      </w:r>
      <w:r>
        <w:rPr>
          <w:rFonts w:hint="eastAsia" w:ascii="Times New Roman" w:hAnsi="Times New Roman" w:eastAsia="仿宋_GB2312"/>
          <w:sz w:val="32"/>
          <w:szCs w:val="32"/>
        </w:rPr>
        <w:t>、庄上小流域综合治理项目</w:t>
      </w:r>
      <w:r>
        <w:rPr>
          <w:rFonts w:ascii="Times New Roman" w:hAnsi="Times New Roman" w:eastAsia="仿宋_GB2312"/>
          <w:sz w:val="32"/>
          <w:szCs w:val="32"/>
        </w:rPr>
        <w:t>建设进度，确保工程顺利推进，早日运行。</w:t>
      </w:r>
      <w:r>
        <w:rPr>
          <w:rFonts w:ascii="Times New Roman" w:hAnsi="Times New Roman" w:eastAsia="仿宋_GB2312"/>
          <w:b/>
          <w:sz w:val="32"/>
          <w:szCs w:val="32"/>
        </w:rPr>
        <w:t>三是抓好</w:t>
      </w:r>
      <w:r>
        <w:rPr>
          <w:rFonts w:hint="eastAsia" w:ascii="Times New Roman" w:hAnsi="Times New Roman" w:eastAsia="仿宋_GB2312"/>
          <w:b/>
          <w:sz w:val="32"/>
          <w:szCs w:val="32"/>
        </w:rPr>
        <w:t>待建</w:t>
      </w:r>
      <w:r>
        <w:rPr>
          <w:rFonts w:ascii="Times New Roman" w:hAnsi="Times New Roman" w:eastAsia="仿宋_GB2312"/>
          <w:b/>
          <w:sz w:val="32"/>
          <w:szCs w:val="32"/>
        </w:rPr>
        <w:t>项目前期</w:t>
      </w:r>
      <w:r>
        <w:rPr>
          <w:rFonts w:hint="eastAsia" w:ascii="Times New Roman" w:hAnsi="Times New Roman" w:eastAsia="仿宋_GB2312"/>
          <w:b/>
          <w:sz w:val="32"/>
          <w:szCs w:val="32"/>
        </w:rPr>
        <w:t>工作</w:t>
      </w:r>
      <w:r>
        <w:rPr>
          <w:rFonts w:ascii="Times New Roman" w:hAnsi="Times New Roman" w:eastAsia="仿宋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加快推进拉罗箐沟山洪治理项目前期工作，力争尽早开工。</w:t>
      </w:r>
      <w:r>
        <w:rPr>
          <w:rFonts w:ascii="Times New Roman" w:hAnsi="Times New Roman" w:eastAsia="仿宋_GB2312"/>
          <w:b/>
          <w:sz w:val="32"/>
          <w:szCs w:val="32"/>
        </w:rPr>
        <w:t>四是推进城乡供水一体化进程</w:t>
      </w:r>
      <w:r>
        <w:rPr>
          <w:rFonts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推进规模化集中供水设施建设和供水工程建设，建立健全有偿用水机制，破解长效管理难题。</w:t>
      </w:r>
      <w:r>
        <w:rPr>
          <w:rFonts w:ascii="Times New Roman" w:hAnsi="Times New Roman" w:eastAsia="仿宋_GB2312"/>
          <w:b/>
          <w:sz w:val="32"/>
          <w:szCs w:val="32"/>
        </w:rPr>
        <w:t>五是做好水利建设项目验收工作。</w:t>
      </w:r>
      <w:r>
        <w:rPr>
          <w:rFonts w:ascii="Times New Roman" w:hAnsi="Times New Roman" w:eastAsia="仿宋_GB2312"/>
          <w:sz w:val="32"/>
          <w:szCs w:val="32"/>
        </w:rPr>
        <w:t>按照水利厅“退一进一”要求，切实推进梅子箐水库</w:t>
      </w:r>
      <w:r>
        <w:rPr>
          <w:rFonts w:hint="eastAsia" w:ascii="Times New Roman" w:hAnsi="Times New Roman" w:eastAsia="仿宋_GB2312"/>
          <w:sz w:val="32"/>
          <w:szCs w:val="32"/>
        </w:rPr>
        <w:t>竣工验收</w:t>
      </w:r>
      <w:r>
        <w:rPr>
          <w:rFonts w:ascii="Times New Roman" w:hAnsi="Times New Roman" w:eastAsia="仿宋_GB2312"/>
          <w:sz w:val="32"/>
          <w:szCs w:val="32"/>
        </w:rPr>
        <w:t>、小流域水土流失综合治理项目等</w:t>
      </w:r>
      <w:r>
        <w:rPr>
          <w:rFonts w:hint="eastAsia" w:ascii="Times New Roman" w:hAnsi="Times New Roman" w:eastAsia="仿宋_GB2312"/>
          <w:sz w:val="32"/>
          <w:szCs w:val="32"/>
        </w:rPr>
        <w:t>完工</w:t>
      </w:r>
      <w:r>
        <w:rPr>
          <w:rFonts w:ascii="Times New Roman" w:hAnsi="Times New Roman" w:eastAsia="仿宋_GB2312"/>
          <w:sz w:val="32"/>
          <w:szCs w:val="32"/>
        </w:rPr>
        <w:t>项目竣工验收工作。</w:t>
      </w:r>
    </w:p>
    <w:p>
      <w:p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0"/>
        </w:pBdr>
        <w:spacing w:line="353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</w:t>
      </w:r>
      <w:r>
        <w:rPr>
          <w:rFonts w:ascii="Times New Roman" w:hAnsi="Times New Roman" w:eastAsia="楷体_GB2312" w:cs="Times New Roman"/>
          <w:sz w:val="32"/>
          <w:szCs w:val="32"/>
        </w:rPr>
        <w:t>以美丽河湖为重点，着力构建水环境整治新格局。</w:t>
      </w:r>
    </w:p>
    <w:p>
      <w:p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0"/>
        </w:pBdr>
        <w:spacing w:line="353" w:lineRule="auto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/>
          <w:sz w:val="32"/>
          <w:szCs w:val="32"/>
        </w:rPr>
        <w:t>完成“一河（湖）一策”管理保护方案（2021—2025年）、年度工作要点、各条河流四张清单、河流湖库健康评价编制工作。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二是推进长江经济带集中排查整治问题整改工作。</w:t>
      </w:r>
      <w:r>
        <w:rPr>
          <w:rFonts w:hint="eastAsia" w:ascii="Times New Roman" w:hAnsi="Times New Roman" w:eastAsia="仿宋_GB2312"/>
          <w:sz w:val="32"/>
          <w:szCs w:val="32"/>
        </w:rPr>
        <w:t>对照四川省2020年长江经济带生态环境问题集中排查整治整改清单，完成涉水突出生态环境问题整改并开展“回头看”，确保问题不反弹。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三是依法规范河道采砂监督管理。</w:t>
      </w:r>
      <w:r>
        <w:rPr>
          <w:rFonts w:hint="eastAsia" w:ascii="Times New Roman" w:hAnsi="Times New Roman" w:eastAsia="仿宋_GB2312"/>
          <w:sz w:val="32"/>
          <w:szCs w:val="32"/>
        </w:rPr>
        <w:t>全面构建水利、公安和交通运输三部门河道采砂合作机制，开展打击非法采砂联合行动，开展长江（金沙江）干流清江行动，严厉打击非法采砂行为。</w:t>
      </w:r>
    </w:p>
    <w:p>
      <w:p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0"/>
        </w:pBdr>
        <w:spacing w:line="353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（三）</w:t>
      </w:r>
      <w:r>
        <w:rPr>
          <w:rFonts w:ascii="Times New Roman" w:hAnsi="Times New Roman" w:eastAsia="楷体_GB2312" w:cs="Times New Roman"/>
          <w:sz w:val="32"/>
          <w:szCs w:val="32"/>
        </w:rPr>
        <w:t>以节水行动为驱动，着力构建资源水利新格局。</w:t>
      </w:r>
    </w:p>
    <w:p>
      <w:p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0"/>
        </w:pBdr>
        <w:spacing w:line="353" w:lineRule="auto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一是</w:t>
      </w:r>
      <w:r>
        <w:rPr>
          <w:rFonts w:ascii="Times New Roman" w:hAnsi="Times New Roman" w:eastAsia="仿宋_GB2312"/>
          <w:sz w:val="32"/>
          <w:szCs w:val="32"/>
        </w:rPr>
        <w:t>坚持节水优先，按照“把水资源作为最大的刚性约束”要求，强化水资源“三条红线”意识，全面落实最严格水资源管理制度。</w:t>
      </w:r>
      <w:r>
        <w:rPr>
          <w:rFonts w:ascii="Times New Roman" w:hAnsi="Times New Roman" w:eastAsia="仿宋_GB2312"/>
          <w:b/>
          <w:sz w:val="32"/>
          <w:szCs w:val="32"/>
        </w:rPr>
        <w:t>二是</w:t>
      </w:r>
      <w:r>
        <w:rPr>
          <w:rFonts w:ascii="Times New Roman" w:hAnsi="Times New Roman" w:eastAsia="仿宋_GB2312"/>
          <w:sz w:val="32"/>
          <w:szCs w:val="32"/>
        </w:rPr>
        <w:t>强化水资源论证和取水许可管理，开展取水工程（设施）核查登记整改工作。</w:t>
      </w:r>
      <w:r>
        <w:rPr>
          <w:rFonts w:ascii="Times New Roman" w:hAnsi="Times New Roman" w:eastAsia="仿宋_GB2312"/>
          <w:b/>
          <w:sz w:val="32"/>
          <w:szCs w:val="32"/>
        </w:rPr>
        <w:t>三是</w:t>
      </w:r>
      <w:r>
        <w:rPr>
          <w:rFonts w:ascii="Times New Roman" w:hAnsi="Times New Roman" w:eastAsia="仿宋_GB2312"/>
          <w:sz w:val="32"/>
          <w:szCs w:val="32"/>
        </w:rPr>
        <w:t>全面推进节水型机关、企业、学校建设，推进县域节水型社会达标建设。</w:t>
      </w:r>
      <w:r>
        <w:rPr>
          <w:rFonts w:ascii="Times New Roman" w:hAnsi="Times New Roman" w:eastAsia="仿宋_GB2312"/>
          <w:b/>
          <w:sz w:val="32"/>
          <w:szCs w:val="32"/>
        </w:rPr>
        <w:t>四是</w:t>
      </w:r>
      <w:r>
        <w:rPr>
          <w:rFonts w:ascii="Times New Roman" w:hAnsi="Times New Roman" w:eastAsia="仿宋_GB2312"/>
          <w:sz w:val="32"/>
          <w:szCs w:val="32"/>
        </w:rPr>
        <w:t>开展“世界水日”“中国水周”等宣传活动，推进节水护水志愿行动，推进节水</w:t>
      </w:r>
      <w:r>
        <w:rPr>
          <w:rFonts w:hint="eastAsia" w:ascii="Times New Roman" w:hAnsi="Times New Roman" w:eastAsia="仿宋_GB2312"/>
          <w:sz w:val="32"/>
          <w:szCs w:val="32"/>
        </w:rPr>
        <w:t>“七进”</w:t>
      </w:r>
      <w:r>
        <w:rPr>
          <w:rFonts w:ascii="Times New Roman" w:hAnsi="Times New Roman" w:eastAsia="仿宋_GB2312"/>
          <w:sz w:val="32"/>
          <w:szCs w:val="32"/>
        </w:rPr>
        <w:t>，引领社会形成珍惜水、节约水和爱护水的良好风尚。</w:t>
      </w:r>
    </w:p>
    <w:p>
      <w:p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0"/>
        </w:pBdr>
        <w:spacing w:line="353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（四）</w:t>
      </w:r>
      <w:r>
        <w:rPr>
          <w:rFonts w:ascii="Times New Roman" w:hAnsi="Times New Roman" w:eastAsia="楷体_GB2312" w:cs="Times New Roman"/>
          <w:sz w:val="32"/>
          <w:szCs w:val="32"/>
        </w:rPr>
        <w:t>以强化责任为抓手，着力构建安全水利新格局。</w:t>
      </w:r>
    </w:p>
    <w:p>
      <w:p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0"/>
        </w:pBdr>
        <w:spacing w:line="353" w:lineRule="auto"/>
        <w:ind w:firstLine="643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一是加强水利工程项目质量监督工作。</w:t>
      </w:r>
      <w:r>
        <w:rPr>
          <w:rFonts w:ascii="Times New Roman" w:hAnsi="Times New Roman" w:eastAsia="仿宋_GB2312"/>
          <w:sz w:val="32"/>
          <w:szCs w:val="32"/>
        </w:rPr>
        <w:t>积极推行水利工程项目质量监督分级管理，突出工作重点，把握关键环节，不断提升水利工程项目建设质量。</w:t>
      </w:r>
      <w:r>
        <w:rPr>
          <w:rFonts w:ascii="Times New Roman" w:hAnsi="Times New Roman" w:eastAsia="仿宋_GB2312"/>
          <w:b/>
          <w:bCs/>
          <w:sz w:val="32"/>
          <w:szCs w:val="32"/>
        </w:rPr>
        <w:t>二是加强安全生产监管。</w:t>
      </w:r>
      <w:r>
        <w:rPr>
          <w:rFonts w:ascii="Times New Roman" w:hAnsi="Times New Roman" w:eastAsia="仿宋_GB2312"/>
          <w:sz w:val="32"/>
          <w:szCs w:val="32"/>
        </w:rPr>
        <w:t>严格落实安全生产主体责任，加强隐患排查、整治，抓好水利工程建设监管，坚决防范各类安全事故发生。</w:t>
      </w:r>
      <w:r>
        <w:rPr>
          <w:rFonts w:ascii="Times New Roman" w:hAnsi="Times New Roman" w:eastAsia="仿宋_GB2312"/>
          <w:b/>
          <w:bCs/>
          <w:sz w:val="32"/>
          <w:szCs w:val="32"/>
        </w:rPr>
        <w:t>三是强化防汛减灾工作。</w:t>
      </w:r>
      <w:r>
        <w:rPr>
          <w:rFonts w:ascii="Times New Roman" w:hAnsi="Times New Roman" w:eastAsia="仿宋_GB2312"/>
          <w:sz w:val="32"/>
          <w:szCs w:val="32"/>
        </w:rPr>
        <w:t>加强部门职能衔接，细化水旱灾害突发事件应急防御方案。加强山洪灾害防御，强化人员培训与物资储备，不断提升应急保障能力。强化防汛抗旱工作制度化、规范化、信息化建设。</w:t>
      </w:r>
      <w:r>
        <w:rPr>
          <w:rFonts w:hint="eastAsia" w:ascii="Times New Roman" w:hAnsi="Times New Roman" w:eastAsia="仿宋_GB2312"/>
          <w:sz w:val="32"/>
          <w:szCs w:val="32"/>
        </w:rPr>
        <w:t>落实“三查”“三避让”制度，全面提升抗旱减损、防汛减灾能力。</w:t>
      </w:r>
      <w:r>
        <w:rPr>
          <w:rFonts w:hint="eastAsia" w:ascii="Times New Roman" w:hAnsi="Times New Roman" w:eastAsia="仿宋_GB2312"/>
          <w:b/>
          <w:sz w:val="32"/>
          <w:szCs w:val="32"/>
        </w:rPr>
        <w:t>四是做好水利水电工程移民及后期扶持工作。</w:t>
      </w:r>
      <w:r>
        <w:rPr>
          <w:rFonts w:hint="eastAsia" w:ascii="Times New Roman" w:hAnsi="Times New Roman" w:eastAsia="仿宋_GB2312"/>
          <w:sz w:val="32"/>
          <w:szCs w:val="32"/>
        </w:rPr>
        <w:t>继续开展金沙水电站、银江水电站、观音岩水电和梅子箐水库扩建工程的移民安置后续工作。协助、配合区相关职能部门开展移民安置专业项目的验收、结算及移交使用等工作。协调解决移民安置遗留问题及新发生的问题。</w:t>
      </w:r>
    </w:p>
    <w:p>
      <w:p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0"/>
        </w:pBdr>
        <w:spacing w:line="353" w:lineRule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根据全区的发展规划，配合相关部门开展库区文旅项目的实施。       </w:t>
      </w:r>
    </w:p>
    <w:p>
      <w:p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0"/>
        </w:pBdr>
        <w:spacing w:line="353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（五）以深化改革为动力，着力构建行业管理新格局。</w:t>
      </w:r>
    </w:p>
    <w:p>
      <w:p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0"/>
        </w:pBdr>
        <w:spacing w:line="353" w:lineRule="auto"/>
        <w:ind w:firstLine="643" w:firstLineChars="200"/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一是深化“放管服”改革。</w:t>
      </w:r>
      <w:r>
        <w:rPr>
          <w:rFonts w:hint="eastAsia" w:ascii="Times New Roman" w:hAnsi="Times New Roman" w:eastAsia="仿宋_GB2312"/>
          <w:sz w:val="32"/>
          <w:szCs w:val="32"/>
        </w:rPr>
        <w:t>优化政务服务流程、减少环节、推行网上办理，扩大容缺审批服务范围，压减审批承诺时限，持续减少办件材料，建设水利服务信息平台，畅通水利服务热线。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二是加强行业监管能力建设。</w:t>
      </w:r>
      <w:r>
        <w:rPr>
          <w:rFonts w:hint="eastAsia" w:ascii="Times New Roman" w:hAnsi="Times New Roman" w:eastAsia="仿宋_GB2312"/>
          <w:sz w:val="32"/>
          <w:szCs w:val="32"/>
        </w:rPr>
        <w:t>坚持有案必查，有查必果，持续保持执法高压态势，全面加强水利工作全链体系和关键环节监管，推动行业监管从“整体弱”向“全面强”转变。</w:t>
      </w:r>
    </w:p>
    <w:p>
      <w:pPr>
        <w:numPr>
          <w:ilvl w:val="0"/>
          <w:numId w:val="0"/>
        </w:numPr>
        <w:spacing w:line="0" w:lineRule="atLeas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第二部分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攀枝花市西区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水利局</w:t>
      </w:r>
    </w:p>
    <w:p>
      <w:pPr>
        <w:numPr>
          <w:ilvl w:val="0"/>
          <w:numId w:val="0"/>
        </w:numPr>
        <w:spacing w:line="0" w:lineRule="atLeas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部门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预算情况说明</w:t>
      </w:r>
    </w:p>
    <w:p>
      <w:pPr>
        <w:spacing w:line="353" w:lineRule="auto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一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、收支预算总体情况</w:t>
      </w:r>
    </w:p>
    <w:p>
      <w:pPr>
        <w:spacing w:line="353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（一）收入预算情况。</w:t>
      </w:r>
    </w:p>
    <w:p>
      <w:pPr>
        <w:spacing w:line="353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收入预算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310.84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万元，其中：一般公共预算收入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310.84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%；政府性基金预算收入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353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（二）支出预算情况。</w:t>
      </w:r>
    </w:p>
    <w:p>
      <w:pPr>
        <w:spacing w:line="353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支出预算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310.84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254.04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81.73</w:t>
      </w:r>
      <w:r>
        <w:rPr>
          <w:rFonts w:ascii="Times New Roman" w:hAnsi="Times New Roman" w:eastAsia="仿宋_GB2312" w:cs="Times New Roman"/>
          <w:sz w:val="32"/>
          <w:szCs w:val="32"/>
        </w:rPr>
        <w:t>%；项目支出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56.80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18.27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353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西区水利局预算安排支出主要用于日常人员工资福利、社保、医保、住房保障、日常办公运行支出、公务用车日常运行及维护、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汛期物资储备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254.04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万元，用于保障人员工资福利、社保、医保、住房保障及时足额缴纳；保障日常办公正常运行及公务用车日常运行和维护等。</w:t>
      </w:r>
      <w:bookmarkStart w:id="0" w:name="_GoBack"/>
      <w:bookmarkEnd w:id="0"/>
    </w:p>
    <w:p>
      <w:pPr>
        <w:spacing w:line="353" w:lineRule="auto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6.8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万元，用于保障2022年水资源、水土保持行政审批，行政执法工作，小流域治理规划及项目申报；河道日常管护费；抗旱设施设备维修养护、防汛减灾相关知识培训；西区山洪灾害预警系统正常运行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按支出功能分类主要用于以下方面支出：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农林水支出（类）水利（款）行政运行（项）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81.71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万元;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主要用于人员日常工资、工会经费、单位办公运行费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农林水支出（类）水利（款）其他水利支出（项）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133.32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万元;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主要用于人员日常工资、工会经费、单位办公运行费，车辆运行及维护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，项目工作经费等。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农林水支出（类）水利（款）水资源节约管理与保护（项）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万元;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主要用于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行政审批，行政执法工作，小流域治理规划及项目申报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农林水支出（类）水利（款）防汛（项）24.8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万元;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主要用于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汛期值班值守、抗旱设施设备维修养护、防汛减灾相关知识培训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353" w:lineRule="auto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社会保障和就业支出（类）行政事业单位离退休（款）未归口管理的行政单位离退休（项）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3.26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万元;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主要用于人员养老保险缴纳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353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社会保障和就业支出（类）行政事业单位离退休（款）机关事业单位基本养老保险缴费支出（项）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15.93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万元;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主要用于人员养老保险缴纳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353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卫生健康支出（类）行政事业单位医疗（款）行政单位医疗（项）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3.71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万元;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主要用于职工基本医保及医疗补助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353" w:lineRule="auto"/>
        <w:ind w:firstLine="640" w:firstLineChars="200"/>
        <w:rPr>
          <w:rFonts w:hint="eastAsia" w:eastAsia="仿宋_GB2312"/>
          <w:b w:val="0"/>
          <w:bCs w:val="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卫生健康支出（类）行政事业单位医疗（款）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事业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单位医疗（项）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7.45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万元;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主要用于职工基本医保及医疗补助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353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卫生健康支出（类）行政事业单位医疗（款）公务员医疗补助（项）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0.64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万元;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主要用于职工基本医保及医疗补助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353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卫生健康支出（类）行政事业单位医疗（款）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其他行政事业单位医疗支出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（项）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0.80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万元;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主要用于职工基本医保及医疗补助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住房保障支出（类）住房改革支出（款）住房公积金（项）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万元;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主要用于职工住房公积金支出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、财政拨款收支预算情况说明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财政拨款收支总预算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310.84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万元。收入包括：本年一般公共预算拨款收入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254.04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万元、本年政府性基金预算拨款收入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56.80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万元；支出包括：社会保障和就业支出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19.19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医疗卫生支出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12.60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农林水支出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258.83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住房保障支出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20.22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spacing w:line="353" w:lineRule="auto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、一般公共预算当年拨款情况说明</w:t>
      </w:r>
    </w:p>
    <w:p>
      <w:pPr>
        <w:spacing w:line="353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（一）一般公共预算当年拨款规模变化情况。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一般公共预算当年拨款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310.84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万元，比20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年预算数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5.53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万元，主要原因是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人员经费增加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353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（二）一般公共预算当年拨款结构情况。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社会保障和就业支出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19.19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医疗卫生支出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12.60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农林水支出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258.83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住房保障支出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20.22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spacing w:line="353" w:lineRule="auto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四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、一般公共预算基本支出情况说明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一般公共预算基本支出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254.04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万元，其中：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人员经费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231.49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万元，主要包括：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基本工资、津贴补贴、机关事业单位基本养老保险缴费、职业年金缴费、其他社会保障缴费、医疗费补助、住房公积金、其他对个人和家庭的补助支出等。</w:t>
      </w:r>
    </w:p>
    <w:p>
      <w:pPr>
        <w:spacing w:line="353" w:lineRule="auto"/>
        <w:ind w:firstLine="640" w:firstLineChars="20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公用经费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22.55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万元，主要包括：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办公费、水费、电费、差旅费、公务接待费、工会经费、福利费、公务用车运行维护费、其他商品和服务支出等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353" w:lineRule="auto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五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、“三公”经费财政拨款预算安排情况说明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“三公”经费财政拨款预算数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5.32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万元，其中：因公出国（境）经费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公务接待费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0.32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公务用车购置及运行维护费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numPr>
          <w:ilvl w:val="0"/>
          <w:numId w:val="2"/>
        </w:numPr>
        <w:spacing w:line="353" w:lineRule="auto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因公出国（境）经费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0万元，与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持平。</w:t>
      </w:r>
    </w:p>
    <w:p>
      <w:pPr>
        <w:numPr>
          <w:ilvl w:val="0"/>
          <w:numId w:val="2"/>
        </w:num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公务接待费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0.32万元，与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持平。</w:t>
      </w:r>
    </w:p>
    <w:p>
      <w:pPr>
        <w:numPr>
          <w:ilvl w:val="0"/>
          <w:numId w:val="0"/>
        </w:num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（三）公务用车购置及运行维护费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5.00万元，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持平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现有公务用车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辆，其中：轿车（含7座以下商务车、城市越野车）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辆，7座以上19座（含19座）以下客车0辆，越野车0辆，货车及19座以上客车0辆，摩托车0辆。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安排公务用车购置费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万元，购置公务用车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辆，其中：轿车（含7座以下商务车、城市越野车）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辆，7座以上19座（含19座）以下客车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辆，越野车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辆，货车及19座以上客车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辆，摩托车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辆。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安排公务用车运行维护费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用于单位公务用车的燃料费、维修费、过桥过路费、保险费等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353" w:lineRule="auto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六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、政府性基金预算支出情况说明</w:t>
      </w:r>
    </w:p>
    <w:p>
      <w:pPr>
        <w:spacing w:line="353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政府性基金预算支出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353" w:lineRule="auto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七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、其他重要事项的情况说明</w:t>
      </w:r>
    </w:p>
    <w:p>
      <w:pPr>
        <w:autoSpaceDE w:val="0"/>
        <w:autoSpaceDN w:val="0"/>
        <w:adjustRightInd w:val="0"/>
        <w:spacing w:line="353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（一）机关运行经费</w:t>
      </w:r>
    </w:p>
    <w:p>
      <w:pPr>
        <w:autoSpaceDE w:val="0"/>
        <w:autoSpaceDN w:val="0"/>
        <w:adjustRightInd w:val="0"/>
        <w:spacing w:line="353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年，机关运行经费财政拨款预算为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22.55</w:t>
      </w:r>
      <w:r>
        <w:rPr>
          <w:rFonts w:ascii="Times New Roman" w:hAnsi="Times New Roman" w:eastAsia="仿宋_GB2312" w:cs="Times New Roman"/>
          <w:sz w:val="32"/>
          <w:szCs w:val="32"/>
        </w:rPr>
        <w:t>万元，比20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算</w:t>
      </w:r>
      <w:r>
        <w:rPr>
          <w:rFonts w:ascii="Times New Roman" w:hAnsi="Times New Roman" w:eastAsia="仿宋_GB2312" w:cs="Times New Roman"/>
          <w:sz w:val="32"/>
          <w:szCs w:val="32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0.35</w:t>
      </w:r>
      <w:r>
        <w:rPr>
          <w:rFonts w:ascii="Times New Roman" w:hAnsi="Times New Roman" w:eastAsia="仿宋_GB2312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1.45</w:t>
      </w:r>
      <w:r>
        <w:rPr>
          <w:rFonts w:ascii="Times New Roman" w:hAnsi="Times New Roman" w:eastAsia="仿宋_GB2312" w:cs="Times New Roman"/>
          <w:sz w:val="32"/>
          <w:szCs w:val="32"/>
        </w:rPr>
        <w:t>%。包括：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工会费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万元、福利费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万元、其他商品服务支出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、其他交通费用减少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0.60万元。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53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政府采购情况</w:t>
      </w:r>
    </w:p>
    <w:p>
      <w:pPr>
        <w:autoSpaceDE w:val="0"/>
        <w:autoSpaceDN w:val="0"/>
        <w:adjustRightInd w:val="0"/>
        <w:spacing w:line="353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2022年，安排政府采购预算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,其中，政府采购货物预算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万元；政府采购工程预算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万元；政府购买服务预算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353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（二）国有资产占有使用情况</w:t>
      </w:r>
    </w:p>
    <w:p>
      <w:pPr>
        <w:autoSpaceDE w:val="0"/>
        <w:autoSpaceDN w:val="0"/>
        <w:adjustRightInd w:val="0"/>
        <w:spacing w:line="353" w:lineRule="auto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截至202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年底，共有车辆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辆，其中：一般公务用车0辆、一般执法执勤用车0辆、特种专业技术用车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辆、其他用车0辆；单价50万元以上通用设备0台（套），单价100万元以上专用设备0台（套）。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（三）绩效目标设置情况</w:t>
      </w:r>
    </w:p>
    <w:p>
      <w:pPr>
        <w:spacing w:line="353" w:lineRule="auto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，部门整体支出及</w:t>
      </w:r>
      <w:r>
        <w:rPr>
          <w:rFonts w:ascii="Times New Roman" w:hAnsi="Times New Roman" w:eastAsia="仿宋_GB2312" w:cs="Times New Roman"/>
          <w:sz w:val="32"/>
          <w:szCs w:val="32"/>
        </w:rPr>
        <w:t>预算批复项目均按要求实行绩效目标管理，涉及项目资金共计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56.80</w:t>
      </w:r>
      <w:r>
        <w:rPr>
          <w:rFonts w:ascii="Times New Roman" w:hAnsi="Times New Roman" w:eastAsia="仿宋_GB2312" w:cs="Times New Roman"/>
          <w:sz w:val="32"/>
          <w:szCs w:val="32"/>
        </w:rPr>
        <w:t>万元，其中，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2022年水资源、水土保持工作经费16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万元、2022年河（湖）长制工作经费11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万元、2022年度山洪灾害防治县级非工程措施维保项目经费17.8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万元、2022年水库运行管护经费1万元、2022年水利工程质量与安全监督经费1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万元、2022年防汛抗旱物资经费7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万元、2022年农村饮水安全项目经费3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353" w:lineRule="auto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353" w:lineRule="auto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0" w:lineRule="atLeast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第三部分  名词解释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1.财政拨款：指由一般公共预算、政府性基金预算安排的财政拨款数。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2.一般公共预算：包括公共财政拨款（补助）资金、专项收入。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3.基本支出：包括人员经费、商品和服务支出（定额）。其中，人员经费包括工资福利支出、对个人和家庭的补助。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4.项目支出：包括编入部门预算的单位运转性项目、政府专项资金项目的支出安排数。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“三公”经费：指使用一般公共预算财政拨款安排的因公出国（境）费、公务用车购置及运行维护费和公务接待费。其中，因公出国（境）费用反映单位公务出国（境）的国际旅费、国外城市间交通费、住宿费、伙食费、培训费、公杂费等支出；公务用车购置及运行维护费反映单位公务用车车辆购置支出（含车辆购置税）及租用费、燃料费、维修费、过桥过路费、保险费、安全奖励费用等支出；公务接待费反映单位按规定开支的各类公务接待（含外宾接待）费用。</w:t>
      </w: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第四部分  附表</w:t>
      </w:r>
    </w:p>
    <w:p>
      <w:pPr>
        <w:spacing w:line="353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53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53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53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53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53" w:lineRule="auto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8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92D1D"/>
    <w:multiLevelType w:val="singleLevel"/>
    <w:tmpl w:val="0C592D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101A490"/>
    <w:multiLevelType w:val="singleLevel"/>
    <w:tmpl w:val="1101A4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D04B87D"/>
    <w:multiLevelType w:val="singleLevel"/>
    <w:tmpl w:val="7D04B8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OThmNzk1N2FiNWM3YTBkMDk5MjFiN2UyZDQ2NDcifQ=="/>
  </w:docVars>
  <w:rsids>
    <w:rsidRoot w:val="566E2D7D"/>
    <w:rsid w:val="06314A18"/>
    <w:rsid w:val="06410DF3"/>
    <w:rsid w:val="30331840"/>
    <w:rsid w:val="566E2D7D"/>
    <w:rsid w:val="586C01F0"/>
    <w:rsid w:val="5FBC0F84"/>
    <w:rsid w:val="621704A6"/>
    <w:rsid w:val="6DD51760"/>
    <w:rsid w:val="727B72DD"/>
    <w:rsid w:val="758A07F1"/>
    <w:rsid w:val="7A94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5857</Words>
  <Characters>6207</Characters>
  <Lines>0</Lines>
  <Paragraphs>0</Paragraphs>
  <TotalTime>134</TotalTime>
  <ScaleCrop>false</ScaleCrop>
  <LinksUpToDate>false</LinksUpToDate>
  <CharactersWithSpaces>6233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2023-07-17T08:02:00Z</dcterms:created>
  <dc:creator>默点</dc:creator>
  <cp:lastModifiedBy>默点</cp:lastModifiedBy>
  <dcterms:modified xsi:type="dcterms:W3CDTF">2023-10-09T09:02:37Z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2343CF944CB44F9A9029038737028FAD_11</vt:lpwstr>
  </property>
</Properties>
</file>