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30" w:rsidRDefault="00485B30">
      <w:pPr>
        <w:spacing w:line="600" w:lineRule="exact"/>
        <w:jc w:val="center"/>
        <w:outlineLvl w:val="0"/>
        <w:rPr>
          <w:rFonts w:ascii="方正小标宋简体" w:eastAsia="方正小标宋简体" w:hAnsi="宋体"/>
          <w:sz w:val="72"/>
          <w:szCs w:val="72"/>
        </w:rPr>
      </w:pPr>
      <w:bookmarkStart w:id="0" w:name="_Toc15377425"/>
      <w:bookmarkStart w:id="1" w:name="_Toc15396475"/>
      <w:bookmarkStart w:id="2" w:name="_Toc15377193"/>
      <w:bookmarkStart w:id="3" w:name="_Toc15378441"/>
      <w:bookmarkStart w:id="4" w:name="_Toc15396597"/>
      <w:bookmarkStart w:id="5" w:name="_Toc15306267"/>
    </w:p>
    <w:p w:rsidR="00485B30" w:rsidRDefault="00485B30">
      <w:pPr>
        <w:spacing w:line="600" w:lineRule="exact"/>
        <w:jc w:val="center"/>
        <w:outlineLvl w:val="0"/>
        <w:rPr>
          <w:rFonts w:ascii="方正小标宋简体" w:eastAsia="方正小标宋简体" w:hAnsi="宋体"/>
          <w:sz w:val="72"/>
          <w:szCs w:val="72"/>
        </w:rPr>
      </w:pPr>
    </w:p>
    <w:p w:rsidR="00485B30" w:rsidRDefault="00485B30">
      <w:pPr>
        <w:spacing w:line="600" w:lineRule="exact"/>
        <w:jc w:val="center"/>
        <w:outlineLvl w:val="0"/>
        <w:rPr>
          <w:rFonts w:ascii="方正小标宋简体" w:eastAsia="方正小标宋简体" w:hAnsi="宋体"/>
          <w:sz w:val="72"/>
          <w:szCs w:val="72"/>
        </w:rPr>
      </w:pPr>
    </w:p>
    <w:p w:rsidR="00485B30" w:rsidRDefault="00485B30">
      <w:pPr>
        <w:spacing w:line="600" w:lineRule="exact"/>
        <w:jc w:val="center"/>
        <w:outlineLvl w:val="0"/>
        <w:rPr>
          <w:rFonts w:ascii="方正小标宋简体" w:eastAsia="方正小标宋简体" w:hAnsi="宋体"/>
          <w:sz w:val="72"/>
          <w:szCs w:val="72"/>
        </w:rPr>
      </w:pPr>
    </w:p>
    <w:p w:rsidR="00485B30" w:rsidRDefault="00A90FDE">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485B30" w:rsidRDefault="00A90FDE">
      <w:pPr>
        <w:adjustRightInd w:val="0"/>
        <w:snapToGrid w:val="0"/>
        <w:spacing w:line="360" w:lineRule="auto"/>
        <w:jc w:val="center"/>
        <w:outlineLvl w:val="0"/>
        <w:rPr>
          <w:rFonts w:ascii="方正小标宋简体" w:eastAsia="方正小标宋简体" w:hAnsi="宋体"/>
          <w:sz w:val="62"/>
          <w:szCs w:val="72"/>
        </w:rPr>
      </w:pPr>
      <w:bookmarkStart w:id="6" w:name="_Toc15377426"/>
      <w:bookmarkStart w:id="7" w:name="_Toc15396476"/>
      <w:bookmarkStart w:id="8" w:name="_Toc15396598"/>
      <w:bookmarkStart w:id="9" w:name="_Toc15378442"/>
      <w:bookmarkStart w:id="10" w:name="_Toc15377194"/>
      <w:bookmarkStart w:id="11" w:name="_Toc15306268"/>
      <w:bookmarkEnd w:id="5"/>
      <w:r>
        <w:rPr>
          <w:rFonts w:ascii="方正小标宋简体" w:eastAsia="方正小标宋简体" w:hAnsi="宋体" w:hint="eastAsia"/>
          <w:sz w:val="62"/>
          <w:szCs w:val="72"/>
        </w:rPr>
        <w:t>攀枝花市西区市场监督管理局</w:t>
      </w:r>
    </w:p>
    <w:p w:rsidR="00485B30" w:rsidRDefault="00A90FDE">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部门决算</w:t>
      </w:r>
      <w:bookmarkEnd w:id="6"/>
      <w:bookmarkEnd w:id="7"/>
      <w:bookmarkEnd w:id="8"/>
      <w:bookmarkEnd w:id="9"/>
      <w:bookmarkEnd w:id="10"/>
      <w:bookmarkEnd w:id="11"/>
    </w:p>
    <w:p w:rsidR="00485B30" w:rsidRDefault="00A90FDE">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85B30" w:rsidRDefault="00485B30">
      <w:pPr>
        <w:widowControl/>
        <w:jc w:val="center"/>
        <w:rPr>
          <w:rFonts w:ascii="黑体" w:eastAsia="黑体" w:hAnsi="黑体" w:cstheme="minorBidi"/>
          <w:sz w:val="28"/>
          <w:szCs w:val="28"/>
        </w:rPr>
      </w:pPr>
    </w:p>
    <w:p w:rsidR="00485B30" w:rsidRDefault="00A90FDE">
      <w:pPr>
        <w:pStyle w:val="10"/>
      </w:pPr>
      <w:r>
        <w:rPr>
          <w:rFonts w:hint="eastAsia"/>
        </w:rPr>
        <w:t>公开时间：2022年9月28日</w:t>
      </w:r>
    </w:p>
    <w:p w:rsidR="00485B30" w:rsidRDefault="00485B30"/>
    <w:p w:rsidR="00485B30" w:rsidRDefault="00A90FDE">
      <w:pPr>
        <w:pStyle w:val="10"/>
        <w:adjustRightInd w:val="0"/>
        <w:snapToGrid w:val="0"/>
        <w:spacing w:before="0" w:line="440" w:lineRule="exact"/>
        <w:jc w:val="left"/>
        <w:rPr>
          <w:sz w:val="24"/>
          <w:szCs w:val="24"/>
        </w:rPr>
      </w:pPr>
      <w:r>
        <w:rPr>
          <w:rFonts w:hint="eastAsia"/>
          <w:sz w:val="24"/>
        </w:rPr>
        <w:t>第一部分部门概况</w:t>
      </w:r>
      <w:r>
        <w:rPr>
          <w:sz w:val="24"/>
        </w:rPr>
        <w:t>………………………………………………………………………</w:t>
      </w:r>
      <w:r>
        <w:rPr>
          <w:rFonts w:hint="eastAsia"/>
          <w:sz w:val="24"/>
        </w:rPr>
        <w:t>4</w:t>
      </w:r>
    </w:p>
    <w:p w:rsidR="00485B30" w:rsidRDefault="00A90FDE">
      <w:pPr>
        <w:pStyle w:val="20"/>
        <w:adjustRightInd w:val="0"/>
        <w:snapToGrid w:val="0"/>
        <w:spacing w:line="440" w:lineRule="exact"/>
        <w:jc w:val="left"/>
        <w:rPr>
          <w:rFonts w:ascii="仿宋" w:eastAsia="仿宋" w:hAnsi="仿宋"/>
          <w:sz w:val="24"/>
        </w:rPr>
      </w:pPr>
      <w:r>
        <w:rPr>
          <w:rFonts w:hint="eastAsia"/>
          <w:sz w:val="24"/>
        </w:rPr>
        <w:t>一、基本职能及主要工作</w:t>
      </w:r>
      <w:r>
        <w:rPr>
          <w:sz w:val="24"/>
        </w:rPr>
        <w:t>……………………………………………………………</w:t>
      </w:r>
      <w:r>
        <w:rPr>
          <w:rFonts w:hint="eastAsia"/>
          <w:sz w:val="24"/>
        </w:rPr>
        <w:t>4</w:t>
      </w:r>
    </w:p>
    <w:p w:rsidR="00485B30" w:rsidRDefault="00A90FDE">
      <w:pPr>
        <w:pStyle w:val="20"/>
        <w:adjustRightInd w:val="0"/>
        <w:snapToGrid w:val="0"/>
        <w:spacing w:line="440" w:lineRule="exact"/>
        <w:jc w:val="left"/>
        <w:rPr>
          <w:rFonts w:ascii="仿宋" w:eastAsia="仿宋" w:hAnsi="仿宋" w:cstheme="minorBidi"/>
          <w:sz w:val="24"/>
        </w:rPr>
      </w:pPr>
      <w:r>
        <w:rPr>
          <w:rFonts w:hint="eastAsia"/>
          <w:sz w:val="24"/>
        </w:rPr>
        <w:t>二、机构设置</w:t>
      </w:r>
      <w:r>
        <w:rPr>
          <w:sz w:val="24"/>
        </w:rPr>
        <w:t>…………………………………………………………………………</w:t>
      </w:r>
      <w:r>
        <w:rPr>
          <w:rFonts w:hint="eastAsia"/>
          <w:sz w:val="24"/>
        </w:rPr>
        <w:t>12</w:t>
      </w:r>
    </w:p>
    <w:p w:rsidR="00485B30" w:rsidRDefault="00A90FDE">
      <w:pPr>
        <w:pStyle w:val="10"/>
        <w:adjustRightInd w:val="0"/>
        <w:snapToGrid w:val="0"/>
        <w:spacing w:before="0" w:line="440" w:lineRule="exact"/>
        <w:jc w:val="left"/>
        <w:rPr>
          <w:sz w:val="24"/>
          <w:szCs w:val="24"/>
        </w:rPr>
      </w:pPr>
      <w:r>
        <w:rPr>
          <w:rFonts w:hint="eastAsia"/>
          <w:sz w:val="24"/>
        </w:rPr>
        <w:t>第二部分 2021年度部门决算情况说明</w:t>
      </w:r>
      <w:r>
        <w:rPr>
          <w:sz w:val="24"/>
        </w:rPr>
        <w:t>…………………………………………………</w:t>
      </w:r>
      <w:r>
        <w:rPr>
          <w:rFonts w:hint="eastAsia"/>
          <w:sz w:val="24"/>
        </w:rPr>
        <w:t>13</w:t>
      </w:r>
    </w:p>
    <w:p w:rsidR="00485B30" w:rsidRDefault="00A90FDE">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sz w:val="24"/>
        </w:rPr>
        <w:t>……………………………………………………</w:t>
      </w:r>
      <w:r>
        <w:rPr>
          <w:rFonts w:hint="eastAsia"/>
          <w:sz w:val="24"/>
        </w:rPr>
        <w:t>13</w:t>
      </w:r>
    </w:p>
    <w:p w:rsidR="00485B30" w:rsidRDefault="00A90FDE">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sz w:val="24"/>
        </w:rPr>
        <w:t>………………………………………………………………</w:t>
      </w:r>
      <w:r>
        <w:rPr>
          <w:rFonts w:hint="eastAsia"/>
          <w:sz w:val="24"/>
        </w:rPr>
        <w:t>13</w:t>
      </w:r>
    </w:p>
    <w:p w:rsidR="00485B30" w:rsidRDefault="00A90FDE">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sz w:val="24"/>
        </w:rPr>
        <w:t>………………………………………………………………</w:t>
      </w:r>
      <w:r>
        <w:rPr>
          <w:rFonts w:hint="eastAsia"/>
          <w:sz w:val="24"/>
        </w:rPr>
        <w:t>14</w:t>
      </w:r>
    </w:p>
    <w:p w:rsidR="00485B30" w:rsidRDefault="00A90FDE">
      <w:pPr>
        <w:pStyle w:val="20"/>
        <w:adjustRightInd w:val="0"/>
        <w:snapToGrid w:val="0"/>
        <w:spacing w:line="440" w:lineRule="exact"/>
        <w:jc w:val="left"/>
        <w:rPr>
          <w:sz w:val="24"/>
        </w:rPr>
      </w:pPr>
      <w:r>
        <w:rPr>
          <w:rFonts w:hint="eastAsia"/>
          <w:sz w:val="24"/>
        </w:rPr>
        <w:t>四、财政拨款收入支出决算总体情况说明</w:t>
      </w:r>
      <w:r>
        <w:rPr>
          <w:sz w:val="24"/>
        </w:rPr>
        <w:t>…………………………………………</w:t>
      </w:r>
      <w:r>
        <w:rPr>
          <w:rFonts w:hint="eastAsia"/>
          <w:sz w:val="24"/>
        </w:rPr>
        <w:t>14</w:t>
      </w:r>
    </w:p>
    <w:p w:rsidR="00485B30" w:rsidRDefault="00A90FDE">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sz w:val="24"/>
        </w:rPr>
        <w:t>……………………………………</w:t>
      </w:r>
      <w:r>
        <w:rPr>
          <w:rFonts w:hint="eastAsia"/>
          <w:sz w:val="24"/>
        </w:rPr>
        <w:t>15</w:t>
      </w:r>
    </w:p>
    <w:p w:rsidR="00485B30" w:rsidRDefault="00A90FDE">
      <w:pPr>
        <w:pStyle w:val="20"/>
        <w:adjustRightInd w:val="0"/>
        <w:snapToGrid w:val="0"/>
        <w:spacing w:line="440" w:lineRule="exact"/>
        <w:jc w:val="left"/>
        <w:rPr>
          <w:sz w:val="24"/>
        </w:rPr>
      </w:pPr>
      <w:r>
        <w:rPr>
          <w:rFonts w:hint="eastAsia"/>
          <w:sz w:val="24"/>
        </w:rPr>
        <w:t>六、一般公共预算财政拨款基本支出决算情况说明</w:t>
      </w:r>
      <w:r>
        <w:rPr>
          <w:sz w:val="24"/>
        </w:rPr>
        <w:t>………………………………</w:t>
      </w:r>
      <w:r>
        <w:rPr>
          <w:rFonts w:hint="eastAsia"/>
          <w:sz w:val="24"/>
        </w:rPr>
        <w:t>19</w:t>
      </w:r>
    </w:p>
    <w:p w:rsidR="00485B30" w:rsidRDefault="00A90FDE">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Pr>
          <w:sz w:val="24"/>
        </w:rPr>
        <w:t>………………………………………</w:t>
      </w:r>
      <w:r>
        <w:rPr>
          <w:rFonts w:hint="eastAsia"/>
          <w:sz w:val="24"/>
        </w:rPr>
        <w:t>19</w:t>
      </w:r>
    </w:p>
    <w:p w:rsidR="00485B30" w:rsidRDefault="00A90FDE">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sz w:val="24"/>
        </w:rPr>
        <w:t>……………………………………………</w:t>
      </w:r>
      <w:r>
        <w:rPr>
          <w:rFonts w:hint="eastAsia"/>
          <w:sz w:val="24"/>
        </w:rPr>
        <w:t>21</w:t>
      </w:r>
    </w:p>
    <w:p w:rsidR="00485B30" w:rsidRDefault="00A90FDE">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sz w:val="24"/>
        </w:rPr>
        <w:t>…………………………………………</w:t>
      </w:r>
      <w:r>
        <w:rPr>
          <w:rFonts w:hint="eastAsia"/>
          <w:sz w:val="24"/>
        </w:rPr>
        <w:t>21</w:t>
      </w:r>
    </w:p>
    <w:p w:rsidR="00485B30" w:rsidRDefault="00A90FDE">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sz w:val="24"/>
        </w:rPr>
        <w:t>……………………………………………………</w:t>
      </w:r>
      <w:r>
        <w:rPr>
          <w:rFonts w:asciiTheme="minorEastAsia" w:eastAsiaTheme="minorEastAsia" w:hAnsiTheme="minorEastAsia" w:cstheme="minorEastAsia" w:hint="eastAsia"/>
          <w:sz w:val="24"/>
        </w:rPr>
        <w:tab/>
        <w:t>21</w:t>
      </w:r>
    </w:p>
    <w:p w:rsidR="00485B30" w:rsidRDefault="00A90FDE">
      <w:pPr>
        <w:pStyle w:val="10"/>
        <w:adjustRightInd w:val="0"/>
        <w:snapToGrid w:val="0"/>
        <w:spacing w:before="0" w:line="440" w:lineRule="exact"/>
        <w:jc w:val="left"/>
        <w:rPr>
          <w:rFonts w:cstheme="minorBidi"/>
          <w:sz w:val="24"/>
          <w:szCs w:val="24"/>
        </w:rPr>
      </w:pPr>
      <w:r>
        <w:rPr>
          <w:rFonts w:hint="eastAsia"/>
          <w:sz w:val="24"/>
        </w:rPr>
        <w:t>第三部分名词解释</w:t>
      </w:r>
      <w:r>
        <w:rPr>
          <w:sz w:val="24"/>
        </w:rPr>
        <w:t>……………………………………………………………………</w:t>
      </w:r>
      <w:r>
        <w:rPr>
          <w:rFonts w:asciiTheme="minorEastAsia" w:eastAsiaTheme="minorEastAsia" w:hAnsiTheme="minorEastAsia" w:cstheme="minorEastAsia" w:hint="eastAsia"/>
          <w:sz w:val="24"/>
        </w:rPr>
        <w:tab/>
        <w:t>30</w:t>
      </w:r>
    </w:p>
    <w:p w:rsidR="00485B30" w:rsidRDefault="00A90FDE">
      <w:pPr>
        <w:pStyle w:val="10"/>
        <w:adjustRightInd w:val="0"/>
        <w:snapToGrid w:val="0"/>
        <w:spacing w:before="0" w:line="440" w:lineRule="exact"/>
        <w:jc w:val="left"/>
        <w:rPr>
          <w:rFonts w:cstheme="minorBidi"/>
          <w:sz w:val="24"/>
          <w:szCs w:val="24"/>
        </w:rPr>
      </w:pPr>
      <w:r>
        <w:rPr>
          <w:rFonts w:hint="eastAsia"/>
          <w:sz w:val="24"/>
        </w:rPr>
        <w:t>第四部分附件</w:t>
      </w:r>
      <w:r>
        <w:rPr>
          <w:sz w:val="24"/>
        </w:rPr>
        <w:t>…………………………………………………………………………</w:t>
      </w:r>
      <w:r>
        <w:rPr>
          <w:rFonts w:hint="eastAsia"/>
          <w:sz w:val="24"/>
        </w:rPr>
        <w:t>33</w:t>
      </w:r>
    </w:p>
    <w:p w:rsidR="00485B30" w:rsidRDefault="00A90FDE">
      <w:pPr>
        <w:pStyle w:val="10"/>
        <w:adjustRightInd w:val="0"/>
        <w:snapToGrid w:val="0"/>
        <w:spacing w:before="0" w:line="440" w:lineRule="exact"/>
        <w:jc w:val="left"/>
        <w:rPr>
          <w:rFonts w:cstheme="minorBidi"/>
          <w:sz w:val="24"/>
          <w:szCs w:val="24"/>
        </w:rPr>
      </w:pPr>
      <w:r>
        <w:rPr>
          <w:rFonts w:hint="eastAsia"/>
          <w:sz w:val="24"/>
        </w:rPr>
        <w:t>第五部分附表</w:t>
      </w:r>
      <w:r>
        <w:rPr>
          <w:sz w:val="24"/>
        </w:rPr>
        <w:t>…………………………………………………………………………</w:t>
      </w:r>
      <w:r>
        <w:rPr>
          <w:rFonts w:hint="eastAsia"/>
          <w:sz w:val="24"/>
        </w:rPr>
        <w:t>49</w:t>
      </w:r>
    </w:p>
    <w:p w:rsidR="00485B30" w:rsidRDefault="00A90FD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十、一般公共预算财政拨款“三公”经费支出决算表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p>
    <w:p w:rsidR="00485B30" w:rsidRDefault="00A90FDE">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p>
    <w:p w:rsidR="00485B30" w:rsidRDefault="00A90FDE">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485B30" w:rsidRDefault="00A90F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485B30" w:rsidRDefault="00A90FDE">
      <w:pPr>
        <w:pStyle w:val="2"/>
        <w:adjustRightInd w:val="0"/>
        <w:snapToGrid w:val="0"/>
        <w:spacing w:before="0" w:after="0" w:line="540" w:lineRule="exact"/>
        <w:ind w:firstLineChars="200" w:firstLine="640"/>
        <w:rPr>
          <w:rStyle w:val="2Char"/>
          <w:rFonts w:ascii="黑体" w:eastAsia="黑体" w:hAnsi="黑体"/>
        </w:rPr>
      </w:pPr>
      <w:bookmarkStart w:id="14" w:name="_Toc15377197"/>
      <w:bookmarkStart w:id="15" w:name="_Toc15396600"/>
      <w:r>
        <w:rPr>
          <w:rFonts w:ascii="黑体" w:eastAsia="黑体" w:hAnsi="黑体" w:hint="eastAsia"/>
          <w:b w:val="0"/>
        </w:rPr>
        <w:t>一、基</w:t>
      </w:r>
      <w:r>
        <w:rPr>
          <w:rStyle w:val="2Char"/>
          <w:rFonts w:ascii="黑体" w:eastAsia="黑体" w:hAnsi="黑体" w:hint="eastAsia"/>
        </w:rPr>
        <w:t>本职能及主要工作</w:t>
      </w:r>
      <w:bookmarkStart w:id="16" w:name="_Toc15377198"/>
      <w:bookmarkStart w:id="17" w:name="_Toc15378445"/>
      <w:bookmarkEnd w:id="14"/>
      <w:bookmarkEnd w:id="15"/>
    </w:p>
    <w:p w:rsidR="00485B30" w:rsidRDefault="00A90FDE">
      <w:pPr>
        <w:pStyle w:val="2"/>
        <w:adjustRightInd w:val="0"/>
        <w:snapToGrid w:val="0"/>
        <w:spacing w:before="0" w:after="0" w:line="540" w:lineRule="exact"/>
        <w:ind w:firstLineChars="200" w:firstLine="643"/>
        <w:rPr>
          <w:rFonts w:ascii="楷体_GB2312" w:eastAsia="楷体_GB2312" w:hAnsi="仿宋"/>
          <w:bCs w:val="0"/>
        </w:rPr>
      </w:pPr>
      <w:r>
        <w:rPr>
          <w:rFonts w:ascii="楷体_GB2312" w:eastAsia="楷体_GB2312" w:hAnsi="仿宋" w:hint="eastAsia"/>
          <w:bCs w:val="0"/>
        </w:rPr>
        <w:t>（一）主要职能。</w:t>
      </w:r>
      <w:bookmarkStart w:id="18" w:name="_Toc15377199"/>
      <w:bookmarkStart w:id="19" w:name="_Toc15378446"/>
      <w:bookmarkEnd w:id="16"/>
      <w:bookmarkEnd w:id="17"/>
    </w:p>
    <w:p w:rsidR="00485B30" w:rsidRDefault="00A90FDE">
      <w:pPr>
        <w:pStyle w:val="2"/>
        <w:adjustRightInd w:val="0"/>
        <w:snapToGrid w:val="0"/>
        <w:spacing w:before="0" w:after="0" w:line="540" w:lineRule="exact"/>
        <w:ind w:firstLineChars="200" w:firstLine="640"/>
        <w:rPr>
          <w:rFonts w:ascii="仿宋" w:eastAsia="仿宋" w:hAnsi="仿宋"/>
          <w:b w:val="0"/>
          <w:bCs w:val="0"/>
        </w:rPr>
      </w:pPr>
      <w:r>
        <w:rPr>
          <w:rFonts w:ascii="仿宋_GB2312" w:eastAsia="仿宋_GB2312" w:hAnsi="仿宋_GB2312" w:cs="仿宋_GB2312" w:hint="eastAsia"/>
          <w:b w:val="0"/>
        </w:rPr>
        <w:t>1.</w:t>
      </w:r>
      <w:r>
        <w:rPr>
          <w:rFonts w:ascii="仿宋_GB2312" w:eastAsia="仿宋_GB2312" w:hAnsi="仿宋_GB2312" w:cs="仿宋_GB2312" w:hint="eastAsia"/>
          <w:b w:val="0"/>
          <w:bCs w:val="0"/>
          <w:kern w:val="0"/>
        </w:rPr>
        <w:t>贯彻执行国家、省、市、区有关食品药品监督管理、工商行政管理等方面的法律、法规和政策；拟订相关规范性文件和措施，经批准后组织实施。</w:t>
      </w:r>
    </w:p>
    <w:p w:rsidR="00485B30" w:rsidRDefault="00A90FDE">
      <w:pPr>
        <w:adjustRightInd w:val="0"/>
        <w:snapToGrid w:val="0"/>
        <w:spacing w:line="540" w:lineRule="exact"/>
        <w:ind w:leftChars="67" w:left="141" w:firstLineChars="177" w:firstLine="566"/>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2.承担依法规范和维护各类市场经营秩序的责任，负责市场监督管理和行政执法，组织查处违反食品药品监督管理、工商行政管理法律、法规、规章的行为。</w:t>
      </w:r>
    </w:p>
    <w:p w:rsidR="00485B30" w:rsidRDefault="00A90FDE">
      <w:pPr>
        <w:adjustRightInd w:val="0"/>
        <w:snapToGrid w:val="0"/>
        <w:spacing w:line="540" w:lineRule="exact"/>
        <w:ind w:leftChars="67" w:left="141" w:firstLineChars="177" w:firstLine="566"/>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承担监督管理流通领域商品质量安全的责任，组织开展有关服务领域消费维权工作，建立消费者权益保护体系；负责涉及食品药品监督管理、工商行政管理的投诉和举报工作。指导消费者咨询、投诉、举报受理、处理和网络体系建设等工作，保护经营者、消费者合法权益。</w:t>
      </w:r>
    </w:p>
    <w:p w:rsidR="00485B30" w:rsidRDefault="00A90FDE">
      <w:pPr>
        <w:adjustRightInd w:val="0"/>
        <w:snapToGrid w:val="0"/>
        <w:spacing w:line="540" w:lineRule="exact"/>
        <w:ind w:leftChars="67" w:left="141" w:firstLineChars="177" w:firstLine="566"/>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4.承担查处传销和违法直销案件的责任，依法监督管理直销企业和直销员及其直销活动。</w:t>
      </w:r>
    </w:p>
    <w:p w:rsidR="00485B30" w:rsidRDefault="00A90FDE">
      <w:pPr>
        <w:adjustRightInd w:val="0"/>
        <w:snapToGrid w:val="0"/>
        <w:spacing w:line="540" w:lineRule="exact"/>
        <w:ind w:firstLineChars="221" w:firstLine="707"/>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5.负责商标管理工作，依法保护商标专用权和查处商标侵权行为，加强驰名商标、著名商标、知名商标保护工作。负责特殊标志、官方标志的管理和保护。指导企业、单位和个人的商标注册工作。</w:t>
      </w:r>
    </w:p>
    <w:p w:rsidR="00485B30" w:rsidRDefault="00A90FDE">
      <w:pPr>
        <w:tabs>
          <w:tab w:val="left" w:pos="0"/>
        </w:tabs>
        <w:adjustRightInd w:val="0"/>
        <w:snapToGrid w:val="0"/>
        <w:spacing w:line="540" w:lineRule="exact"/>
        <w:ind w:firstLineChars="221" w:firstLine="707"/>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6.负责依法监督管理经纪人、经纪机构及经纪活动；依法实施合同行政监督管理，负责管理动产抵押物登记，组织监督管理拍卖行为，推广指导合同示范文本的使用，依法查处合同欺诈等违法行为，组织开展合同争议行政调解工作。</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7.指导广告业发展，负责广告活动的监督管理工作。</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8.负责市场交易行为和网络商品交易及有关服务行为的监管管理，负责个体工商户、私营企业经营行为的监督管理；依法查处无照经营违法行为。</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9.负责组织协调、督导检查市场主体信用信息年报公示工作，承担研究分析并依法发布辖区市场主体登记注册信用信息及发展报告，促进市场主体信用信息体系建设，为政府决策和社会公众提供信息服务。</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10.配合上级机关做好反垄断行政执法工作，依法查处不正当竞争、商业贿赂、走私贩私等经济违法行为。</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11.承担区食品安全委员会日常工作。负责全区食品安全监督管理综合协调，推动健全协调联动机制。 </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12.制定辖区食品药品安全检查年度计划、重大整顿治理方案并组织落实；负责重大活动食品药品安全保障工作；承担药品、医疗器械、食品生产经营及餐饮服务的安全监督管理职责；承担保健食品和化妆品市场监管职责。</w:t>
      </w:r>
    </w:p>
    <w:p w:rsidR="00485B30" w:rsidRDefault="00A90FDE">
      <w:pPr>
        <w:adjustRightInd w:val="0"/>
        <w:snapToGrid w:val="0"/>
        <w:spacing w:line="540" w:lineRule="exact"/>
        <w:ind w:leftChars="67" w:left="141"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13.负责本部门依法行政工作，落实行政执法责任制；执行食品安全风险监测计划、食品安全地方标准，负责制定本部门食品药品及其它商品年度抽检计划并组织实施；规范行政执法行为，完善行政执法与刑事司法衔接机制；推动落实食品、药品、医疗器械、化妆品安全企业主体责任；建立药品、化妆品不良反应和医疗器械不良事件监测体系，并开展监测和处置工作；负责不安全食品和存在安全隐患的药品、医疗器械、化妆品及其它商品召回的监督管理。</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14.监督实施药品和医疗器械的标准、分类管理制度；监督</w:t>
      </w:r>
      <w:r>
        <w:rPr>
          <w:rFonts w:ascii="仿宋_GB2312" w:eastAsia="仿宋_GB2312" w:hAnsi="仿宋_GB2312" w:cs="仿宋_GB2312" w:hint="eastAsia"/>
          <w:bCs/>
          <w:kern w:val="0"/>
          <w:sz w:val="32"/>
          <w:szCs w:val="32"/>
        </w:rPr>
        <w:lastRenderedPageBreak/>
        <w:t>实施药品和医疗器械的研制、生产、经营、使用等质量管理规范；配合实施国家基本药物制度；负责麻醉药品、精神药品、毒性药品、放射性药品和易制毒化学药品的监督管理；严格执行执业药师资格准入制度，组织开展相关从业人员培训；监督实施化妆品监督管理办法。</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15.负责市场等公众聚集场所、食品、药品、医疗器械、化妆品安全事故应急体系和隐患排查治理机制建设，组织市场等公众聚集场所、食品、药品、医疗器械、化妆品安全事故应急处置和调查处理工作，按规定负责市场等公众聚集场所、食品、药品、医疗器械、化妆品的安全事故和突发事件的应对处置。</w:t>
      </w:r>
    </w:p>
    <w:p w:rsidR="00485B30" w:rsidRDefault="00A90FDE">
      <w:pPr>
        <w:adjustRightInd w:val="0"/>
        <w:snapToGrid w:val="0"/>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16.承担区政府公布的有关行政审批事项。</w:t>
      </w:r>
    </w:p>
    <w:p w:rsidR="00485B30" w:rsidRDefault="00A90FDE">
      <w:pPr>
        <w:adjustRightInd w:val="0"/>
        <w:snapToGrid w:val="0"/>
        <w:spacing w:line="54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17.承办区政府以及区食品安全委员会交办的其他事项。</w:t>
      </w:r>
      <w:r>
        <w:rPr>
          <w:rFonts w:ascii="楷体_GB2312" w:eastAsia="楷体_GB2312" w:hAnsi="仿宋" w:hint="eastAsia"/>
          <w:bCs/>
          <w:sz w:val="32"/>
          <w:szCs w:val="32"/>
        </w:rPr>
        <w:t>（二）2021年重点工作完成情况。</w:t>
      </w:r>
      <w:bookmarkEnd w:id="18"/>
      <w:bookmarkEnd w:id="19"/>
    </w:p>
    <w:p w:rsidR="00485B30" w:rsidRDefault="00A90FDE">
      <w:pPr>
        <w:pStyle w:val="2"/>
        <w:keepNext w:val="0"/>
        <w:keepLines w:val="0"/>
        <w:adjustRightInd w:val="0"/>
        <w:snapToGrid w:val="0"/>
        <w:spacing w:before="0" w:after="0" w:line="540" w:lineRule="exact"/>
        <w:ind w:firstLineChars="196" w:firstLine="630"/>
        <w:rPr>
          <w:rFonts w:ascii="仿宋_GB2312" w:eastAsia="仿宋_GB2312" w:hAnsi="楷体_GB2312" w:cs="楷体_GB2312"/>
        </w:rPr>
      </w:pPr>
      <w:r>
        <w:rPr>
          <w:rFonts w:ascii="仿宋_GB2312" w:eastAsia="仿宋_GB2312" w:hAnsi="楷体_GB2312" w:cs="楷体_GB2312" w:hint="eastAsia"/>
        </w:rPr>
        <w:t>1.深化商事登记制度改革，营商环境不断优化。</w:t>
      </w:r>
    </w:p>
    <w:p w:rsidR="00485B30" w:rsidRDefault="00A90FDE">
      <w:pPr>
        <w:pStyle w:val="2"/>
        <w:keepNext w:val="0"/>
        <w:keepLines w:val="0"/>
        <w:adjustRightInd w:val="0"/>
        <w:snapToGrid w:val="0"/>
        <w:spacing w:before="0" w:after="0" w:line="540" w:lineRule="exact"/>
        <w:ind w:firstLineChars="196" w:firstLine="627"/>
        <w:rPr>
          <w:rFonts w:ascii="仿宋_GB2312" w:eastAsia="仿宋_GB2312" w:hAnsi="仿宋_GB2312" w:cs="仿宋_GB2312"/>
          <w:b w:val="0"/>
          <w:color w:val="000000" w:themeColor="text1"/>
        </w:rPr>
      </w:pPr>
      <w:r>
        <w:rPr>
          <w:rFonts w:ascii="仿宋_GB2312" w:eastAsia="仿宋_GB2312" w:hAnsi="仿宋_GB2312" w:cs="仿宋_GB2312" w:hint="eastAsia"/>
          <w:b w:val="0"/>
          <w:color w:val="000000" w:themeColor="text1"/>
        </w:rPr>
        <w:t>一是市场准入更加便利。全面推行企业开办、注销“一窗通办”综合登记窗口；登记营业执照、食品经营许可证审批时限分别压缩到1个和10个工作日内办结，分别提速 81.5%、50%；以“容缺审批”为突破口，助力万物互通、辰林科技、明睿企业管理、明大房地产等重点招商引资企业落户西区。二是准营门槛持续降低。按照直接取消审批、审批改为备案、实行告知承诺、优化准入服务等方式，对</w:t>
      </w:r>
      <w:r>
        <w:rPr>
          <w:rFonts w:ascii="仿宋_GB2312" w:eastAsia="仿宋_GB2312" w:hint="eastAsia"/>
          <w:b w:val="0"/>
        </w:rPr>
        <w:t>中央层面设定的523项涉企经营许可事项和四川省地方层面设定的8项涉企经营许可事项，</w:t>
      </w:r>
      <w:r>
        <w:rPr>
          <w:rFonts w:ascii="仿宋_GB2312" w:eastAsia="仿宋_GB2312" w:hAnsi="仿宋_GB2312" w:cs="仿宋_GB2312" w:hint="eastAsia"/>
          <w:b w:val="0"/>
          <w:color w:val="000000" w:themeColor="text1"/>
        </w:rPr>
        <w:t>进行“证照分离”改革。规定行政审批事项“先许可、后办照”，其他事项实行工商登记后置审批，降低市场准入门槛；放宽市场主体住所登记条件，推行“一照多址”或“一址多照”执照办理。三是有效</w:t>
      </w:r>
      <w:r>
        <w:rPr>
          <w:rFonts w:ascii="仿宋_GB2312" w:eastAsia="仿宋_GB2312" w:hAnsi="仿宋_GB2312" w:cs="仿宋_GB2312" w:hint="eastAsia"/>
          <w:b w:val="0"/>
          <w:color w:val="000000" w:themeColor="text1"/>
        </w:rPr>
        <w:lastRenderedPageBreak/>
        <w:t>简化退出机制。推进简易注销改革，简化登记表格、将债务债权清算通过报纸公告改为在“国家企业信用信息公示系统”中进行公示公告，</w:t>
      </w:r>
      <w:r>
        <w:rPr>
          <w:rFonts w:ascii="仿宋_GB2312" w:eastAsia="仿宋_GB2312" w:hint="eastAsia"/>
          <w:b w:val="0"/>
        </w:rPr>
        <w:t>公示时间由45天压缩为20天，</w:t>
      </w:r>
      <w:r>
        <w:rPr>
          <w:rFonts w:ascii="仿宋_GB2312" w:eastAsia="仿宋_GB2312" w:hAnsi="仿宋_GB2312" w:cs="仿宋_GB2312" w:hint="eastAsia"/>
          <w:b w:val="0"/>
          <w:color w:val="000000" w:themeColor="text1"/>
        </w:rPr>
        <w:t>清税时间由机构改革前的3个月缩短为45个工作日；采取立案调查、调查取证等方式，集中吊销部分僵尸企业（长时间未从事经营活动）营业执照。</w:t>
      </w:r>
    </w:p>
    <w:p w:rsidR="00485B30" w:rsidRDefault="00A90FDE">
      <w:pPr>
        <w:adjustRightInd w:val="0"/>
        <w:snapToGrid w:val="0"/>
        <w:spacing w:line="540" w:lineRule="exact"/>
        <w:ind w:leftChars="200" w:left="420" w:firstLine="640"/>
        <w:rPr>
          <w:rFonts w:ascii="仿宋_GB2312" w:eastAsia="仿宋_GB2312" w:hAnsi="楷体_GB2312" w:cs="楷体_GB2312"/>
          <w:b/>
          <w:color w:val="000000" w:themeColor="text1"/>
          <w:sz w:val="32"/>
          <w:szCs w:val="32"/>
        </w:rPr>
      </w:pPr>
      <w:r>
        <w:rPr>
          <w:rFonts w:ascii="仿宋_GB2312" w:eastAsia="仿宋_GB2312" w:hAnsi="楷体_GB2312" w:cs="楷体_GB2312" w:hint="eastAsia"/>
          <w:b/>
          <w:color w:val="000000" w:themeColor="text1"/>
          <w:sz w:val="32"/>
          <w:szCs w:val="32"/>
        </w:rPr>
        <w:t>2.紧紧守牢“四大安全”底线，总体形势稳定向好。</w:t>
      </w:r>
    </w:p>
    <w:p w:rsidR="00485B30" w:rsidRDefault="00A90FDE">
      <w:pPr>
        <w:adjustRightInd w:val="0"/>
        <w:snapToGrid w:val="0"/>
        <w:spacing w:line="540" w:lineRule="exact"/>
        <w:ind w:leftChars="200" w:left="42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一是</w:t>
      </w:r>
      <w:r>
        <w:rPr>
          <w:rFonts w:ascii="仿宋_GB2312" w:eastAsia="仿宋_GB2312" w:hAnsi="仿宋_GB2312" w:cs="仿宋_GB2312" w:hint="eastAsia"/>
          <w:color w:val="000000" w:themeColor="text1"/>
          <w:sz w:val="32"/>
          <w:szCs w:val="32"/>
        </w:rPr>
        <w:t>食品安全不断强化。完成食品抽样509个批次，涉及酒类、大米、水产制品、肉制品、食用农产品、饮料等共16个商品类别，不合格食品15个批次，已依法立案查处</w:t>
      </w:r>
      <w:r>
        <w:rPr>
          <w:rFonts w:ascii="仿宋_GB2312" w:eastAsia="仿宋_GB2312" w:cs="仿宋_GB2312" w:hint="eastAsia"/>
          <w:sz w:val="32"/>
          <w:szCs w:val="32"/>
        </w:rPr>
        <w:t>，</w:t>
      </w:r>
      <w:r>
        <w:rPr>
          <w:rFonts w:ascii="仿宋_GB2312" w:eastAsia="仿宋_GB2312" w:hAnsi="仿宋_GB2312" w:cs="仿宋_GB2312" w:hint="eastAsia"/>
          <w:color w:val="000000" w:themeColor="text1"/>
          <w:sz w:val="32"/>
          <w:szCs w:val="32"/>
        </w:rPr>
        <w:t>食品安全抽检批次由2017年3份/千人上升到4份/千人，全区食品安全评价性抽检合格率96%以上。在全市率先</w:t>
      </w:r>
      <w:r>
        <w:rPr>
          <w:rFonts w:ascii="仿宋_GB2312" w:eastAsia="仿宋_GB2312" w:hAnsi="仿宋_GB2312" w:cs="仿宋_GB2312" w:hint="eastAsia"/>
          <w:color w:val="000000"/>
          <w:sz w:val="32"/>
          <w:szCs w:val="32"/>
        </w:rPr>
        <w:t>设置食安副校长工作模式和小作坊作坊长制工作制度，创新开展食品安全“你点我检”“餐饮服务单位红黑榜”等工作，截至目前，全区7名来自市场监管一线的食品安全副校（园）长全部到岗履职，辖区已有10家小作坊设立了“属地作坊长、行业作坊长、企业作坊长”三位一体的“作坊长”管理责任制，累计开展“你点我检”5期；累计制发“餐饮单位红黑榜”3期，22家红榜、23家黑榜单位通过抖音、微信、LED宣传屏进行公示，引导群众“用脚投票”，促进餐饮行业良性发展；持续推进“互联网+食品监管”模式（千里眼计划）覆盖进程，截至目前，辖区共120家经营单位纳入“互联网+食品安全监管”，目前，辖区保健食品经营场所摄像头已达到全覆盖，其他重点食品经营场所摄像头覆盖率正稳步推进；持续推进“合格证+追溯码”猪肉质量安全闭环监管模式，统一合格证样式、承诺内容、开具方式等指标，实现猪肉从养殖户到餐桌“一</w:t>
      </w:r>
      <w:r>
        <w:rPr>
          <w:rFonts w:ascii="仿宋_GB2312" w:eastAsia="仿宋_GB2312" w:hAnsi="仿宋_GB2312" w:cs="仿宋_GB2312" w:hint="eastAsia"/>
          <w:color w:val="000000"/>
          <w:sz w:val="32"/>
          <w:szCs w:val="32"/>
        </w:rPr>
        <w:lastRenderedPageBreak/>
        <w:t xml:space="preserve">票通”，努力推动食品安全监管由“管得严”向“管得好”转变。  </w:t>
      </w:r>
    </w:p>
    <w:p w:rsidR="00485B30" w:rsidRDefault="00A90FDE">
      <w:pPr>
        <w:adjustRightInd w:val="0"/>
        <w:snapToGrid w:val="0"/>
        <w:spacing w:line="540" w:lineRule="exact"/>
        <w:ind w:leftChars="200" w:left="42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color w:val="000000" w:themeColor="text1"/>
          <w:sz w:val="32"/>
          <w:szCs w:val="32"/>
        </w:rPr>
        <w:t>药品安全持续向好</w:t>
      </w:r>
      <w:r>
        <w:rPr>
          <w:rFonts w:ascii="仿宋_GB2312" w:eastAsia="仿宋_GB2312" w:hAnsi="仿宋_GB2312" w:cs="仿宋_GB2312" w:hint="eastAsia"/>
          <w:sz w:val="32"/>
          <w:szCs w:val="32"/>
        </w:rPr>
        <w:t>。注重药械质量安全监管工作，</w:t>
      </w:r>
      <w:r>
        <w:rPr>
          <w:rFonts w:eastAsia="仿宋_GB2312" w:hint="eastAsia"/>
          <w:color w:val="000000"/>
          <w:sz w:val="32"/>
          <w:szCs w:val="32"/>
        </w:rPr>
        <w:t>将各专项整治与日常检查有机结合，严厉打击制售假劣药品、非法渠道购进、使用过期药品、医疗器械、化妆品等违法违规行为，</w:t>
      </w:r>
      <w:r>
        <w:rPr>
          <w:rFonts w:eastAsia="仿宋_GB2312" w:hint="eastAsia"/>
          <w:sz w:val="32"/>
          <w:szCs w:val="32"/>
        </w:rPr>
        <w:t>截至目前，我局共对药械经营使用单位开展各类检查</w:t>
      </w:r>
      <w:r>
        <w:rPr>
          <w:rFonts w:eastAsia="仿宋_GB2312" w:hint="eastAsia"/>
          <w:sz w:val="32"/>
          <w:szCs w:val="32"/>
        </w:rPr>
        <w:t>288</w:t>
      </w:r>
      <w:r>
        <w:rPr>
          <w:rFonts w:eastAsia="仿宋_GB2312" w:hint="eastAsia"/>
          <w:sz w:val="32"/>
          <w:szCs w:val="32"/>
        </w:rPr>
        <w:t>家次，化妆品经营使用单位</w:t>
      </w:r>
      <w:r>
        <w:rPr>
          <w:rFonts w:eastAsia="仿宋_GB2312" w:hint="eastAsia"/>
          <w:sz w:val="32"/>
          <w:szCs w:val="32"/>
        </w:rPr>
        <w:t>322</w:t>
      </w:r>
      <w:r>
        <w:rPr>
          <w:rFonts w:eastAsia="仿宋_GB2312" w:hint="eastAsia"/>
          <w:sz w:val="32"/>
          <w:szCs w:val="32"/>
        </w:rPr>
        <w:t>家次，办理药品、医疗器械、化妆品违法案件</w:t>
      </w:r>
      <w:r>
        <w:rPr>
          <w:rFonts w:eastAsia="仿宋_GB2312" w:hint="eastAsia"/>
          <w:sz w:val="32"/>
          <w:szCs w:val="32"/>
        </w:rPr>
        <w:t>36</w:t>
      </w:r>
      <w:r>
        <w:rPr>
          <w:rFonts w:eastAsia="仿宋_GB2312" w:hint="eastAsia"/>
          <w:sz w:val="32"/>
          <w:szCs w:val="32"/>
        </w:rPr>
        <w:t>件，其中一般程序案件</w:t>
      </w:r>
      <w:r>
        <w:rPr>
          <w:rFonts w:eastAsia="仿宋_GB2312" w:hint="eastAsia"/>
          <w:sz w:val="32"/>
          <w:szCs w:val="32"/>
        </w:rPr>
        <w:t>34</w:t>
      </w:r>
      <w:r>
        <w:rPr>
          <w:rFonts w:eastAsia="仿宋_GB2312" w:hint="eastAsia"/>
          <w:sz w:val="32"/>
          <w:szCs w:val="32"/>
        </w:rPr>
        <w:t>件，当场行政处罚案件</w:t>
      </w:r>
      <w:r>
        <w:rPr>
          <w:rFonts w:eastAsia="仿宋_GB2312" w:hint="eastAsia"/>
          <w:sz w:val="32"/>
          <w:szCs w:val="32"/>
        </w:rPr>
        <w:t>2</w:t>
      </w:r>
      <w:r>
        <w:rPr>
          <w:rFonts w:eastAsia="仿宋_GB2312" w:hint="eastAsia"/>
          <w:sz w:val="32"/>
          <w:szCs w:val="32"/>
        </w:rPr>
        <w:t>件，罚没款共计</w:t>
      </w:r>
      <w:r>
        <w:rPr>
          <w:rFonts w:eastAsia="仿宋_GB2312" w:hint="eastAsia"/>
          <w:sz w:val="32"/>
          <w:szCs w:val="32"/>
        </w:rPr>
        <w:t>140108.8</w:t>
      </w:r>
      <w:r>
        <w:rPr>
          <w:rFonts w:eastAsia="仿宋_GB2312" w:hint="eastAsia"/>
          <w:sz w:val="32"/>
          <w:szCs w:val="32"/>
        </w:rPr>
        <w:t>元。</w:t>
      </w:r>
      <w:r>
        <w:rPr>
          <w:rFonts w:ascii="仿宋_GB2312" w:eastAsia="仿宋_GB2312" w:hAnsi="仿宋_GB2312" w:cs="仿宋_GB2312" w:hint="eastAsia"/>
          <w:sz w:val="32"/>
          <w:szCs w:val="32"/>
        </w:rPr>
        <w:t>加大药品抽检力度，目前，已开展</w:t>
      </w:r>
      <w:r>
        <w:rPr>
          <w:rFonts w:eastAsia="仿宋_GB2312" w:hint="eastAsia"/>
          <w:color w:val="000000"/>
          <w:sz w:val="32"/>
          <w:szCs w:val="32"/>
        </w:rPr>
        <w:t>药品区域性抽验</w:t>
      </w:r>
      <w:r>
        <w:rPr>
          <w:rFonts w:eastAsia="仿宋_GB2312" w:hint="eastAsia"/>
          <w:color w:val="000000"/>
          <w:sz w:val="32"/>
          <w:szCs w:val="32"/>
        </w:rPr>
        <w:t>20</w:t>
      </w:r>
      <w:r>
        <w:rPr>
          <w:rFonts w:eastAsia="仿宋_GB2312" w:hint="eastAsia"/>
          <w:color w:val="000000"/>
          <w:sz w:val="32"/>
          <w:szCs w:val="32"/>
        </w:rPr>
        <w:t>批次</w:t>
      </w:r>
      <w:r>
        <w:rPr>
          <w:rFonts w:ascii="仿宋_GB2312" w:eastAsia="仿宋_GB2312" w:hAnsi="仿宋_GB2312" w:cs="仿宋_GB2312" w:hint="eastAsia"/>
          <w:sz w:val="32"/>
          <w:szCs w:val="32"/>
        </w:rPr>
        <w:t>。全面推行“互联网+药学服务”试点，辖区73家药品零售企业均安装了远程药学服务系统并通过验收。</w:t>
      </w:r>
      <w:r>
        <w:rPr>
          <w:rFonts w:eastAsia="仿宋_GB2312" w:hint="eastAsia"/>
          <w:color w:val="000000"/>
          <w:sz w:val="32"/>
          <w:szCs w:val="32"/>
        </w:rPr>
        <w:t>率先在全市采取落实整改承诺制，由企业签订承诺书，自行承诺如未按要求落实疫情防控政策和未如期完成问题整改的，将自行停业整顿。</w:t>
      </w:r>
    </w:p>
    <w:p w:rsidR="00485B30" w:rsidRDefault="00A90FDE">
      <w:pPr>
        <w:pStyle w:val="Default"/>
        <w:snapToGrid w:val="0"/>
        <w:spacing w:line="540" w:lineRule="exact"/>
        <w:ind w:leftChars="200" w:left="420"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三是</w:t>
      </w:r>
      <w:r>
        <w:rPr>
          <w:rFonts w:ascii="仿宋_GB2312" w:eastAsia="仿宋_GB2312" w:hAnsi="仿宋_GB2312" w:cs="仿宋_GB2312" w:hint="eastAsia"/>
          <w:color w:val="000000" w:themeColor="text1"/>
          <w:sz w:val="32"/>
          <w:szCs w:val="32"/>
        </w:rPr>
        <w:t>特种设备安全不断压实。持续推进改进电梯维护保养模式和调整电梯检验检测方式试点工作，目前，西区已建成两批电梯物联网共计102台，另有180台电梯达成了安装协议，预计2021年底实现全区电梯物联网全覆盖，进一步方便了使用单位对电梯的管理，提高了电梯的维护保养工作质量，强化了监管机构的可视化监管，实现了电梯故障智能化推送，使用单位、维保公司和监管机构能同时获取信息，同时应急响应，同时开展救援，效率提升了约50%。</w:t>
      </w:r>
      <w:r>
        <w:rPr>
          <w:rFonts w:ascii="仿宋_GB2312" w:eastAsia="仿宋_GB2312" w:hAnsi="宋体" w:cs="仿宋_GB2312" w:hint="eastAsia"/>
          <w:sz w:val="32"/>
          <w:szCs w:val="32"/>
        </w:rPr>
        <w:t>同时，全面</w:t>
      </w:r>
      <w:r>
        <w:rPr>
          <w:rFonts w:ascii="仿宋_GB2312" w:eastAsia="仿宋_GB2312" w:hAnsi="宋体" w:cs="仿宋_GB2312"/>
          <w:sz w:val="32"/>
          <w:szCs w:val="32"/>
        </w:rPr>
        <w:t>开展</w:t>
      </w:r>
      <w:r>
        <w:rPr>
          <w:rFonts w:ascii="仿宋_GB2312" w:eastAsia="仿宋_GB2312" w:hAnsi="宋体" w:cs="仿宋_GB2312"/>
          <w:sz w:val="32"/>
          <w:szCs w:val="32"/>
        </w:rPr>
        <w:t>“</w:t>
      </w:r>
      <w:r>
        <w:rPr>
          <w:rFonts w:ascii="仿宋_GB2312" w:eastAsia="仿宋_GB2312" w:hAnsi="宋体" w:cs="仿宋_GB2312"/>
          <w:sz w:val="32"/>
          <w:szCs w:val="32"/>
        </w:rPr>
        <w:t>15年以上老旧电梯排查</w:t>
      </w:r>
      <w:r>
        <w:rPr>
          <w:rFonts w:ascii="仿宋_GB2312" w:eastAsia="仿宋_GB2312" w:hAnsi="宋体" w:cs="仿宋_GB2312"/>
          <w:sz w:val="32"/>
          <w:szCs w:val="32"/>
        </w:rPr>
        <w:t>”</w:t>
      </w:r>
      <w:r>
        <w:rPr>
          <w:rFonts w:ascii="仿宋_GB2312" w:eastAsia="仿宋_GB2312" w:hAnsi="宋体" w:cs="仿宋_GB2312"/>
          <w:sz w:val="32"/>
          <w:szCs w:val="32"/>
        </w:rPr>
        <w:t>工作，</w:t>
      </w:r>
      <w:r>
        <w:rPr>
          <w:rFonts w:ascii="仿宋_GB2312" w:eastAsia="仿宋_GB2312" w:hAnsi="宋体" w:cs="仿宋_GB2312" w:hint="eastAsia"/>
          <w:sz w:val="32"/>
          <w:szCs w:val="32"/>
        </w:rPr>
        <w:t>期间，</w:t>
      </w:r>
      <w:r>
        <w:rPr>
          <w:rFonts w:ascii="仿宋_GB2312" w:eastAsia="仿宋_GB2312" w:hAnsi="宋体" w:cs="仿宋_GB2312"/>
          <w:sz w:val="32"/>
          <w:szCs w:val="32"/>
        </w:rPr>
        <w:t>更换15年以上老旧电梯2台，对20余台电梯进行了深入检测和评估，发现并消除安全隐患4处，防止了事故的发生</w:t>
      </w:r>
      <w:r>
        <w:rPr>
          <w:rFonts w:ascii="仿宋_GB2312" w:eastAsia="仿宋_GB2312" w:hAnsi="宋体" w:cs="仿宋_GB2312" w:hint="eastAsia"/>
          <w:sz w:val="32"/>
          <w:szCs w:val="32"/>
        </w:rPr>
        <w:t>。</w:t>
      </w:r>
      <w:r>
        <w:rPr>
          <w:rFonts w:ascii="仿宋_GB2312" w:eastAsia="仿宋_GB2312" w:hAnsi="仿宋_GB2312" w:cs="仿宋_GB2312" w:hint="eastAsia"/>
          <w:color w:val="000000" w:themeColor="text1"/>
          <w:sz w:val="32"/>
          <w:szCs w:val="32"/>
        </w:rPr>
        <w:t>强化日常监督与专项检查相结</w:t>
      </w:r>
      <w:r>
        <w:rPr>
          <w:rFonts w:ascii="仿宋_GB2312" w:eastAsia="仿宋_GB2312" w:hAnsi="仿宋_GB2312" w:cs="仿宋_GB2312" w:hint="eastAsia"/>
          <w:color w:val="000000" w:themeColor="text1"/>
          <w:sz w:val="32"/>
          <w:szCs w:val="32"/>
        </w:rPr>
        <w:lastRenderedPageBreak/>
        <w:t>合，着力抓好医院、工业园区、超市、住宅小区、游乐场所、锅炉、气瓶充装站等重点场所（单位）检查。2021年以来，出动执法人员500余人次，检查企业360余家次，抽查各类特种设备1500余台次，消除各类安全隐患40余处，下达特种设备安全监察指令书20余份，避免直接经济损失500余万元，有效防范了特种设备重特大事故的发生。</w:t>
      </w:r>
    </w:p>
    <w:p w:rsidR="00485B30" w:rsidRDefault="00A90FDE">
      <w:pPr>
        <w:pStyle w:val="Default"/>
        <w:snapToGrid w:val="0"/>
        <w:spacing w:line="540" w:lineRule="exact"/>
        <w:ind w:leftChars="200" w:left="42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四是</w:t>
      </w:r>
      <w:r>
        <w:rPr>
          <w:rFonts w:ascii="仿宋_GB2312" w:eastAsia="仿宋_GB2312" w:hAnsi="仿宋_GB2312" w:cs="仿宋_GB2312" w:hint="eastAsia"/>
          <w:color w:val="000000" w:themeColor="text1"/>
          <w:sz w:val="32"/>
          <w:szCs w:val="32"/>
        </w:rPr>
        <w:t>质量强区战略不断提升。深入开展质量强区暨质量提升行动，完成辖区1家企业有机认证工作，指导企业制定企业标准1件，大力推动规模以上食品生产企业建立质量关键控制点体系，取得ISO9001质量管理体系认证2家，HACCP关键控制点认证1家，完成电子追溯体系建设1家、纸质追溯体系建设5家，辖区12家超市（集贸市场）食用农产品合格证制度全面推行。</w:t>
      </w:r>
      <w:r>
        <w:rPr>
          <w:rFonts w:ascii="仿宋_GB2312" w:eastAsia="仿宋_GB2312" w:hint="eastAsia"/>
          <w:sz w:val="32"/>
          <w:szCs w:val="32"/>
        </w:rPr>
        <w:t>组织开展区级商品质量监督抽查20个批次，主要涉及学生用品、塑料袋，全部合格。重点对儿童文具、家电等产品强制认证产品进行监督检查，检查各类销售商22家，督促不符合强制认证产品2个品种下架处理。开展民生计量工作，对辖区内9家集贸市场581台件在用计量器具开展了免费检定，同时，检定辖区在用医疗器具161台件，取水计量器具11件。</w:t>
      </w:r>
      <w:r>
        <w:rPr>
          <w:rFonts w:ascii="仿宋_GB2312" w:eastAsia="仿宋_GB2312" w:hAnsi="仿宋_GB2312" w:cs="仿宋_GB2312" w:hint="eastAsia"/>
          <w:color w:val="000000" w:themeColor="text1"/>
          <w:sz w:val="32"/>
          <w:szCs w:val="32"/>
        </w:rPr>
        <w:t>推进辖区知识产权保护工作，</w:t>
      </w:r>
      <w:r>
        <w:rPr>
          <w:rFonts w:ascii="Times New Roman" w:eastAsia="仿宋_GB2312"/>
          <w:sz w:val="32"/>
          <w:szCs w:val="32"/>
        </w:rPr>
        <w:t>开展特色农产品质量提升行动，加强</w:t>
      </w:r>
      <w:r>
        <w:rPr>
          <w:rFonts w:ascii="Times New Roman" w:eastAsia="仿宋_GB2312"/>
          <w:sz w:val="32"/>
          <w:szCs w:val="32"/>
        </w:rPr>
        <w:t>“</w:t>
      </w:r>
      <w:r>
        <w:rPr>
          <w:rFonts w:ascii="Times New Roman" w:eastAsia="仿宋_GB2312"/>
          <w:sz w:val="32"/>
          <w:szCs w:val="32"/>
        </w:rPr>
        <w:t>攀枝花芒果</w:t>
      </w:r>
      <w:r>
        <w:rPr>
          <w:rFonts w:ascii="Times New Roman" w:eastAsia="仿宋_GB2312"/>
          <w:sz w:val="32"/>
          <w:szCs w:val="32"/>
        </w:rPr>
        <w:t>”</w:t>
      </w:r>
      <w:r>
        <w:rPr>
          <w:rFonts w:ascii="Times New Roman" w:eastAsia="仿宋_GB2312"/>
          <w:sz w:val="32"/>
          <w:szCs w:val="32"/>
        </w:rPr>
        <w:t>等区域公用品牌使用管理和</w:t>
      </w:r>
      <w:r>
        <w:rPr>
          <w:rFonts w:ascii="Times New Roman" w:eastAsia="仿宋_GB2312"/>
          <w:sz w:val="32"/>
          <w:szCs w:val="32"/>
        </w:rPr>
        <w:t>“</w:t>
      </w:r>
      <w:r>
        <w:rPr>
          <w:rFonts w:ascii="Times New Roman" w:eastAsia="微软雅黑"/>
          <w:sz w:val="32"/>
          <w:szCs w:val="32"/>
        </w:rPr>
        <w:t>礑礑</w:t>
      </w:r>
      <w:r>
        <w:rPr>
          <w:rFonts w:ascii="Times New Roman" w:eastAsia="仿宋_GB2312"/>
          <w:sz w:val="32"/>
          <w:szCs w:val="32"/>
        </w:rPr>
        <w:t>鸡</w:t>
      </w:r>
      <w:r>
        <w:rPr>
          <w:rFonts w:ascii="Times New Roman" w:eastAsia="仿宋_GB2312"/>
          <w:sz w:val="32"/>
          <w:szCs w:val="32"/>
        </w:rPr>
        <w:t>”</w:t>
      </w:r>
      <w:r>
        <w:rPr>
          <w:rFonts w:ascii="Times New Roman" w:eastAsia="仿宋_GB2312"/>
          <w:sz w:val="32"/>
          <w:szCs w:val="32"/>
        </w:rPr>
        <w:t>农产品地理标志产品保护利用，开展专项执法</w:t>
      </w:r>
      <w:r>
        <w:rPr>
          <w:rFonts w:ascii="Times New Roman" w:eastAsia="仿宋_GB2312" w:hint="eastAsia"/>
          <w:sz w:val="32"/>
          <w:szCs w:val="32"/>
        </w:rPr>
        <w:t>4</w:t>
      </w:r>
      <w:r>
        <w:rPr>
          <w:rFonts w:ascii="Times New Roman" w:eastAsia="仿宋_GB2312"/>
          <w:sz w:val="32"/>
          <w:szCs w:val="32"/>
        </w:rPr>
        <w:t>次，</w:t>
      </w:r>
      <w:r>
        <w:rPr>
          <w:rFonts w:ascii="仿宋_GB2312" w:eastAsia="仿宋_GB2312" w:hAnsi="仿宋_GB2312" w:cs="仿宋_GB2312" w:hint="eastAsia"/>
          <w:color w:val="000000" w:themeColor="text1"/>
          <w:sz w:val="32"/>
          <w:szCs w:val="32"/>
        </w:rPr>
        <w:t>在辖区成立知识产权维权援助工作站7个。截至目前，全区企业获得专利授权67件，有效发明专利47件，有效外观专利12件，有效实用新型专利122件。</w:t>
      </w:r>
    </w:p>
    <w:p w:rsidR="00485B30" w:rsidRDefault="00A90FDE">
      <w:pPr>
        <w:pStyle w:val="Default"/>
        <w:snapToGrid w:val="0"/>
        <w:spacing w:line="540" w:lineRule="exact"/>
        <w:ind w:leftChars="200" w:left="420" w:firstLineChars="200" w:firstLine="643"/>
        <w:jc w:val="both"/>
        <w:rPr>
          <w:rFonts w:ascii="仿宋_GB2312" w:eastAsia="仿宋_GB2312" w:hAnsi="楷体_GB2312" w:cs="楷体_GB2312"/>
          <w:b/>
          <w:color w:val="000000" w:themeColor="text1"/>
          <w:sz w:val="32"/>
          <w:szCs w:val="32"/>
        </w:rPr>
      </w:pPr>
      <w:r>
        <w:rPr>
          <w:rFonts w:ascii="仿宋_GB2312" w:eastAsia="仿宋_GB2312" w:hAnsi="楷体_GB2312" w:cs="楷体_GB2312" w:hint="eastAsia"/>
          <w:b/>
          <w:color w:val="000000" w:themeColor="text1"/>
          <w:sz w:val="32"/>
          <w:szCs w:val="32"/>
        </w:rPr>
        <w:t>3.多措并举维护公平竞争，市场秩序规范稳定。</w:t>
      </w:r>
    </w:p>
    <w:p w:rsidR="00485B30" w:rsidRDefault="00A90FDE">
      <w:pPr>
        <w:pStyle w:val="Default"/>
        <w:snapToGrid w:val="0"/>
        <w:spacing w:line="540" w:lineRule="exact"/>
        <w:ind w:leftChars="200" w:left="420" w:firstLineChars="200" w:firstLine="643"/>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一是</w:t>
      </w:r>
      <w:r>
        <w:rPr>
          <w:rFonts w:ascii="仿宋_GB2312" w:eastAsia="仿宋_GB2312" w:hAnsi="仿宋_GB2312" w:cs="仿宋_GB2312" w:hint="eastAsia"/>
          <w:color w:val="000000" w:themeColor="text1"/>
          <w:sz w:val="32"/>
          <w:szCs w:val="32"/>
        </w:rPr>
        <w:t>落实重点目标“硬任务”。积极推进国卫复审、扫黑除恶、文明城市创建、环保督察、长江禁捕、铁拳行动、百日攻坚、“春雷行动”系列专项行动和非洲猪瘟疫情防控以及舆情处置等重点工作，急难险重应对能力不断提升。区市场监管局联合区级相关部门不定期开展辖区天然水域全面排查4次，</w:t>
      </w:r>
      <w:r>
        <w:rPr>
          <w:rFonts w:ascii="仿宋_GB2312" w:eastAsia="仿宋_GB2312" w:cs="仿宋_GB2312" w:hint="eastAsia"/>
          <w:sz w:val="32"/>
          <w:szCs w:val="32"/>
        </w:rPr>
        <w:t>暗访检查农贸市场</w:t>
      </w:r>
      <w:r>
        <w:rPr>
          <w:rStyle w:val="NormalCharacter"/>
          <w:rFonts w:ascii="仿宋_GB2312" w:eastAsia="仿宋_GB2312" w:hAnsi="仿宋" w:hint="eastAsia"/>
          <w:sz w:val="32"/>
          <w:szCs w:val="32"/>
        </w:rPr>
        <w:t>鲜活水产品销售单位520家次，冷冻水产品经营店和冻库420家次，农贸市场584家次，商超375家次，</w:t>
      </w:r>
      <w:r>
        <w:rPr>
          <w:rFonts w:ascii="仿宋_GB2312" w:eastAsia="仿宋_GB2312" w:hAnsi="宋体" w:cs="仿宋_GB2312" w:hint="eastAsia"/>
          <w:sz w:val="32"/>
          <w:szCs w:val="32"/>
        </w:rPr>
        <w:t>涉及水产品的餐饮单位2458家次，监测电商平台102家次</w:t>
      </w:r>
      <w:r>
        <w:rPr>
          <w:rFonts w:ascii="仿宋_GB2312" w:eastAsia="仿宋_GB2312" w:cs="仿宋_GB2312" w:hint="eastAsia"/>
          <w:sz w:val="32"/>
          <w:szCs w:val="32"/>
        </w:rPr>
        <w:t>，</w:t>
      </w:r>
      <w:r>
        <w:rPr>
          <w:rStyle w:val="NormalCharacter"/>
          <w:rFonts w:ascii="仿宋_GB2312" w:eastAsia="仿宋_GB2312" w:hAnsi="宋体" w:hint="eastAsia"/>
          <w:sz w:val="32"/>
          <w:szCs w:val="32"/>
        </w:rPr>
        <w:t>责令经营户更改店招、店名、菜单22家，立案查处3起发布虚假广告违法行为，目前已全部结案。</w:t>
      </w:r>
      <w:r>
        <w:rPr>
          <w:rFonts w:ascii="仿宋_GB2312" w:eastAsia="仿宋_GB2312" w:hAnsi="仿宋_GB2312" w:cs="仿宋_GB2312" w:hint="eastAsia"/>
          <w:color w:val="000000" w:themeColor="text1"/>
          <w:sz w:val="32"/>
          <w:szCs w:val="32"/>
        </w:rPr>
        <w:t>共办理“春雷行动2021”系列专项行动案件124件，结案率100%。近年，辖区内未发生非洲猪瘟疫情和大规模不明原因生猪死亡事件。</w:t>
      </w:r>
    </w:p>
    <w:p w:rsidR="00485B30" w:rsidRDefault="00A90FDE">
      <w:pPr>
        <w:adjustRightInd w:val="0"/>
        <w:snapToGrid w:val="0"/>
        <w:spacing w:line="540" w:lineRule="exact"/>
        <w:ind w:leftChars="200" w:left="420" w:firstLine="643"/>
        <w:rPr>
          <w:rFonts w:ascii="仿宋_GB2312" w:eastAsia="仿宋_GB2312"/>
          <w:sz w:val="32"/>
          <w:szCs w:val="32"/>
        </w:rPr>
      </w:pP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color w:val="000000" w:themeColor="text1"/>
          <w:sz w:val="32"/>
          <w:szCs w:val="32"/>
        </w:rPr>
        <w:t>当好群众利益“捍卫者”。2021年</w:t>
      </w:r>
      <w:r>
        <w:rPr>
          <w:rFonts w:ascii="仿宋_GB2312" w:eastAsia="仿宋_GB2312" w:hAnsi="仿宋_GB2312"/>
          <w:sz w:val="32"/>
          <w:szCs w:val="32"/>
        </w:rPr>
        <w:t>圆满完成西区第七届消费者权益保护委员会的换届工作</w:t>
      </w:r>
      <w:r>
        <w:rPr>
          <w:rFonts w:ascii="仿宋_GB2312" w:eastAsia="仿宋_GB2312" w:hAnsi="仿宋_GB2312" w:hint="eastAsia"/>
          <w:sz w:val="32"/>
          <w:szCs w:val="32"/>
        </w:rPr>
        <w:t>。全面激活</w:t>
      </w:r>
      <w:r>
        <w:rPr>
          <w:rFonts w:ascii="仿宋_GB2312" w:eastAsia="仿宋_GB2312" w:hAnsi="仿宋_GB2312" w:cs="仿宋_GB2312" w:hint="eastAsia"/>
          <w:color w:val="000000" w:themeColor="text1"/>
          <w:sz w:val="32"/>
          <w:szCs w:val="32"/>
        </w:rPr>
        <w:t>12315消费维权调解平台，实行咨询、投诉、举报24小时人工值守，坚决做到投诉举报“五个及时”，迅速解决群众诉求，化解矛盾纠纷，联合区法院印发《关于建立消费纠纷诉调对接工作机制实施方案（试行）》，进一步完善诉前调解机制。积极开展</w:t>
      </w:r>
      <w:r>
        <w:rPr>
          <w:rStyle w:val="fontstyle01"/>
          <w:rFonts w:ascii="仿宋_GB2312" w:eastAsia="仿宋_GB2312" w:hAnsi="仿宋_GB2312" w:cs="宋体;SimSun"/>
          <w:sz w:val="32"/>
          <w:szCs w:val="32"/>
        </w:rPr>
        <w:t>星瑞一期和二期诚信示范街</w:t>
      </w:r>
      <w:r>
        <w:rPr>
          <w:rStyle w:val="fontstyle01"/>
          <w:rFonts w:ascii="仿宋_GB2312" w:eastAsia="仿宋_GB2312" w:hAnsi="仿宋_GB2312" w:cs="宋体;SimSun" w:hint="eastAsia"/>
          <w:sz w:val="32"/>
          <w:szCs w:val="32"/>
        </w:rPr>
        <w:t>打造工作</w:t>
      </w:r>
      <w:r>
        <w:rPr>
          <w:rStyle w:val="fontstyle01"/>
          <w:rFonts w:ascii="仿宋_GB2312" w:eastAsia="仿宋_GB2312" w:hAnsi="仿宋_GB2312" w:cs="宋体;SimSun"/>
          <w:sz w:val="32"/>
          <w:szCs w:val="32"/>
        </w:rPr>
        <w:t>，对沿街商户进行星级评定，</w:t>
      </w:r>
      <w:r>
        <w:rPr>
          <w:rStyle w:val="fontstyle01"/>
          <w:rFonts w:ascii="仿宋_GB2312" w:eastAsia="仿宋_GB2312" w:hAnsi="仿宋_GB2312" w:cs="宋体;SimSun" w:hint="eastAsia"/>
          <w:sz w:val="32"/>
          <w:szCs w:val="32"/>
        </w:rPr>
        <w:t>目前</w:t>
      </w:r>
      <w:r>
        <w:rPr>
          <w:rStyle w:val="fontstyle01"/>
          <w:rFonts w:ascii="仿宋_GB2312" w:eastAsia="仿宋_GB2312" w:hAnsi="仿宋_GB2312" w:cs="宋体;SimSun"/>
          <w:sz w:val="32"/>
          <w:szCs w:val="32"/>
        </w:rPr>
        <w:t>共验收授牌</w:t>
      </w:r>
      <w:r>
        <w:rPr>
          <w:rStyle w:val="fontstyle01"/>
          <w:rFonts w:ascii="仿宋_GB2312" w:eastAsia="仿宋_GB2312" w:hAnsi="仿宋_GB2312"/>
          <w:sz w:val="32"/>
          <w:szCs w:val="32"/>
        </w:rPr>
        <w:t>54</w:t>
      </w:r>
      <w:r>
        <w:rPr>
          <w:rStyle w:val="fontstyle01"/>
          <w:rFonts w:ascii="仿宋_GB2312" w:eastAsia="仿宋_GB2312" w:hAnsi="仿宋_GB2312" w:cs="宋体;SimSun"/>
          <w:sz w:val="32"/>
          <w:szCs w:val="32"/>
        </w:rPr>
        <w:t>家商户，并对示范街商户实行动态管理。</w:t>
      </w:r>
      <w:r>
        <w:rPr>
          <w:rFonts w:ascii="仿宋_GB2312" w:eastAsia="仿宋_GB2312" w:hAnsi="仿宋_GB2312" w:hint="eastAsia"/>
          <w:caps/>
          <w:kern w:val="0"/>
          <w:sz w:val="32"/>
          <w:szCs w:val="32"/>
        </w:rPr>
        <w:t>新建放心舒心消费环境建设规范单位10户，ODR企业6户，消费维权服务站10 个，线下无理由退货单位10户，先进赔付单位1户。</w:t>
      </w:r>
      <w:r>
        <w:rPr>
          <w:rFonts w:ascii="仿宋_GB2312" w:eastAsia="仿宋_GB2312" w:hAnsi="仿宋_GB2312" w:cs="仿宋_GB2312" w:hint="eastAsia"/>
          <w:color w:val="000000" w:themeColor="text1"/>
          <w:sz w:val="32"/>
          <w:szCs w:val="32"/>
        </w:rPr>
        <w:t>2021年以来，西区共接到12315投诉举报83件，接待来访咨询125人次，为消费者挽回经济损失14.8万元，结案率100%。</w:t>
      </w:r>
      <w:r>
        <w:rPr>
          <w:rFonts w:ascii="仿宋_GB2312" w:eastAsia="仿宋_GB2312" w:hAnsi="仿宋_GB2312" w:hint="eastAsia"/>
          <w:caps/>
          <w:kern w:val="0"/>
          <w:sz w:val="32"/>
          <w:szCs w:val="32"/>
        </w:rPr>
        <w:t>目前已对被投诉量大、履行消费维权第</w:t>
      </w:r>
      <w:r>
        <w:rPr>
          <w:rFonts w:ascii="仿宋_GB2312" w:eastAsia="仿宋_GB2312" w:hAnsi="仿宋_GB2312" w:hint="eastAsia"/>
          <w:caps/>
          <w:kern w:val="0"/>
          <w:sz w:val="32"/>
          <w:szCs w:val="32"/>
        </w:rPr>
        <w:lastRenderedPageBreak/>
        <w:t>一责任不力、调解成功率低、侵害消费者合法权益行为的典型经营者1家开展行政约谈。</w:t>
      </w:r>
      <w:r>
        <w:rPr>
          <w:rStyle w:val="fontstyle01"/>
          <w:rFonts w:ascii="仿宋_GB2312" w:eastAsia="仿宋_GB2312" w:hAnsi="仿宋_GB2312" w:cs="宋体;SimSun" w:hint="eastAsia"/>
          <w:sz w:val="32"/>
          <w:szCs w:val="32"/>
        </w:rPr>
        <w:t>重拳出击、阻断违法“输出链”，严打市场监管领域违法违规行为，2</w:t>
      </w:r>
      <w:r>
        <w:rPr>
          <w:rStyle w:val="fontstyle01"/>
          <w:rFonts w:ascii="仿宋_GB2312" w:eastAsia="仿宋_GB2312" w:hAnsi="仿宋_GB2312" w:cs="宋体;SimSun"/>
          <w:sz w:val="32"/>
          <w:szCs w:val="32"/>
        </w:rPr>
        <w:t>02</w:t>
      </w:r>
      <w:r>
        <w:rPr>
          <w:rStyle w:val="fontstyle01"/>
          <w:rFonts w:ascii="仿宋_GB2312" w:eastAsia="仿宋_GB2312" w:hAnsi="仿宋_GB2312" w:cs="宋体;SimSun" w:hint="eastAsia"/>
          <w:sz w:val="32"/>
          <w:szCs w:val="32"/>
        </w:rPr>
        <w:t>1年以来，我局办理一般程序案件163件</w:t>
      </w:r>
      <w:r>
        <w:rPr>
          <w:rFonts w:ascii="仿宋_GB2312" w:eastAsia="仿宋_GB2312"/>
          <w:sz w:val="32"/>
          <w:szCs w:val="32"/>
        </w:rPr>
        <w:t>，罚没款</w:t>
      </w:r>
      <w:r>
        <w:rPr>
          <w:rFonts w:ascii="仿宋_GB2312" w:eastAsia="仿宋_GB2312" w:hint="eastAsia"/>
          <w:sz w:val="32"/>
          <w:szCs w:val="32"/>
        </w:rPr>
        <w:t>1994876.53</w:t>
      </w:r>
      <w:r>
        <w:rPr>
          <w:rFonts w:ascii="仿宋_GB2312" w:eastAsia="仿宋_GB2312"/>
          <w:sz w:val="32"/>
          <w:szCs w:val="32"/>
        </w:rPr>
        <w:t>元(未结案罚款</w:t>
      </w:r>
      <w:r>
        <w:rPr>
          <w:rFonts w:ascii="仿宋_GB2312" w:eastAsia="仿宋_GB2312" w:hint="eastAsia"/>
          <w:sz w:val="32"/>
          <w:szCs w:val="32"/>
        </w:rPr>
        <w:t>1272175.15</w:t>
      </w:r>
      <w:r>
        <w:rPr>
          <w:rFonts w:ascii="仿宋_GB2312" w:eastAsia="仿宋_GB2312"/>
          <w:sz w:val="32"/>
          <w:szCs w:val="32"/>
        </w:rPr>
        <w:t>元)，</w:t>
      </w:r>
      <w:r>
        <w:rPr>
          <w:rFonts w:ascii="仿宋_GB2312" w:eastAsia="仿宋_GB2312" w:hint="eastAsia"/>
          <w:sz w:val="32"/>
          <w:szCs w:val="32"/>
        </w:rPr>
        <w:t>属于</w:t>
      </w:r>
      <w:r>
        <w:rPr>
          <w:rFonts w:ascii="仿宋_GB2312" w:eastAsia="仿宋_GB2312"/>
          <w:sz w:val="32"/>
          <w:szCs w:val="32"/>
        </w:rPr>
        <w:t>听证</w:t>
      </w:r>
      <w:r>
        <w:rPr>
          <w:rFonts w:ascii="仿宋_GB2312" w:eastAsia="仿宋_GB2312" w:hint="eastAsia"/>
          <w:sz w:val="32"/>
          <w:szCs w:val="32"/>
        </w:rPr>
        <w:t>范围</w:t>
      </w:r>
      <w:r>
        <w:rPr>
          <w:rFonts w:ascii="仿宋_GB2312" w:eastAsia="仿宋_GB2312"/>
          <w:sz w:val="32"/>
          <w:szCs w:val="32"/>
        </w:rPr>
        <w:t>案件30件，举行听证6件，</w:t>
      </w:r>
      <w:r>
        <w:rPr>
          <w:rFonts w:ascii="仿宋_GB2312" w:eastAsia="仿宋_GB2312" w:hint="eastAsia"/>
          <w:sz w:val="32"/>
          <w:szCs w:val="32"/>
        </w:rPr>
        <w:t>涉嫌犯罪向公安机关移送案件2件，举行听证6件，行政诉讼4件(其中行政调解1件，有3件还在审理中)，行政复议3件（其中2件当事人主动撤回，1件维持行政处罚），开展行政指导9户次，发放指导意见书9份。</w:t>
      </w:r>
    </w:p>
    <w:p w:rsidR="00485B30" w:rsidRDefault="00A90FDE">
      <w:pPr>
        <w:adjustRightInd w:val="0"/>
        <w:snapToGrid w:val="0"/>
        <w:spacing w:line="540" w:lineRule="exact"/>
        <w:ind w:leftChars="200" w:left="420" w:firstLine="640"/>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4.全力以赴投入疫情防控，成功应对大战大考。</w:t>
      </w:r>
    </w:p>
    <w:p w:rsidR="00485B30" w:rsidRDefault="00A90FDE">
      <w:pPr>
        <w:adjustRightInd w:val="0"/>
        <w:snapToGrid w:val="0"/>
        <w:spacing w:line="540" w:lineRule="exact"/>
        <w:ind w:leftChars="200" w:left="420" w:firstLine="640"/>
        <w:rPr>
          <w:rFonts w:eastAsia="仿宋_GB2312"/>
          <w:color w:val="000000" w:themeColor="text1"/>
          <w:sz w:val="32"/>
          <w:szCs w:val="32"/>
        </w:rPr>
      </w:pPr>
      <w:r>
        <w:rPr>
          <w:rFonts w:eastAsia="仿宋_GB2312" w:hint="eastAsia"/>
          <w:color w:val="000000"/>
          <w:sz w:val="32"/>
          <w:szCs w:val="32"/>
        </w:rPr>
        <w:t>组织区冷链物流专班到进口冷链集中监管</w:t>
      </w:r>
      <w:r>
        <w:rPr>
          <w:rFonts w:eastAsia="仿宋_GB2312" w:hint="eastAsia"/>
          <w:color w:val="000000" w:themeColor="text1"/>
          <w:sz w:val="32"/>
          <w:szCs w:val="32"/>
        </w:rPr>
        <w:t>仓值守共计</w:t>
      </w:r>
      <w:r>
        <w:rPr>
          <w:rFonts w:eastAsia="仿宋_GB2312" w:hint="eastAsia"/>
          <w:color w:val="000000" w:themeColor="text1"/>
          <w:sz w:val="32"/>
          <w:szCs w:val="32"/>
        </w:rPr>
        <w:t>3</w:t>
      </w:r>
      <w:r>
        <w:rPr>
          <w:rFonts w:eastAsia="仿宋_GB2312" w:hint="eastAsia"/>
          <w:color w:val="000000" w:themeColor="text1"/>
          <w:sz w:val="32"/>
          <w:szCs w:val="32"/>
        </w:rPr>
        <w:t>轮</w:t>
      </w:r>
      <w:r>
        <w:rPr>
          <w:rFonts w:eastAsia="仿宋_GB2312" w:hint="eastAsia"/>
          <w:color w:val="000000" w:themeColor="text1"/>
          <w:sz w:val="32"/>
          <w:szCs w:val="32"/>
        </w:rPr>
        <w:t>42</w:t>
      </w:r>
      <w:r>
        <w:rPr>
          <w:rFonts w:eastAsia="仿宋_GB2312" w:hint="eastAsia"/>
          <w:color w:val="000000" w:themeColor="text1"/>
          <w:sz w:val="32"/>
          <w:szCs w:val="32"/>
        </w:rPr>
        <w:t>天，共计</w:t>
      </w:r>
      <w:r>
        <w:rPr>
          <w:rFonts w:eastAsia="仿宋_GB2312" w:hint="eastAsia"/>
          <w:color w:val="000000" w:themeColor="text1"/>
          <w:sz w:val="32"/>
          <w:szCs w:val="32"/>
        </w:rPr>
        <w:t>21</w:t>
      </w:r>
      <w:r>
        <w:rPr>
          <w:rFonts w:eastAsia="仿宋_GB2312" w:hint="eastAsia"/>
          <w:color w:val="000000" w:themeColor="text1"/>
          <w:sz w:val="32"/>
          <w:szCs w:val="32"/>
        </w:rPr>
        <w:t>人次。</w:t>
      </w:r>
      <w:r>
        <w:rPr>
          <w:rFonts w:ascii="仿宋_GB2312" w:eastAsia="仿宋_GB2312" w:hAnsi="仿宋_GB2312" w:cs="仿宋_GB2312"/>
          <w:sz w:val="32"/>
          <w:szCs w:val="32"/>
        </w:rPr>
        <w:t>严查冷链食品“三证、一报告、一信息”是否到位，全面实施进口冷链食品“川冷链”平台监管，让冷链食品来源可靠、可追溯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动员辖区进口冷链食品从业人员定期进行核酸检测，截至目前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组织进口冷链人员核酸</w:t>
      </w:r>
      <w:r>
        <w:rPr>
          <w:rFonts w:ascii="仿宋_GB2312" w:eastAsia="仿宋_GB2312" w:hAnsi="仿宋_GB2312" w:cs="仿宋_GB2312" w:hint="eastAsia"/>
          <w:sz w:val="32"/>
          <w:szCs w:val="32"/>
        </w:rPr>
        <w:t>检测</w:t>
      </w:r>
      <w:r>
        <w:rPr>
          <w:rFonts w:ascii="仿宋_GB2312" w:eastAsia="仿宋_GB2312" w:hAnsi="仿宋_GB2312" w:cs="仿宋_GB2312"/>
          <w:sz w:val="32"/>
          <w:szCs w:val="32"/>
        </w:rPr>
        <w:t>2060人次，外环境采样346批次</w:t>
      </w:r>
      <w:r>
        <w:rPr>
          <w:rFonts w:ascii="仿宋_GB2312" w:eastAsia="仿宋_GB2312" w:hAnsi="仿宋_GB2312" w:cs="仿宋_GB2312" w:hint="eastAsia"/>
          <w:sz w:val="32"/>
          <w:szCs w:val="32"/>
        </w:rPr>
        <w:t>。</w:t>
      </w:r>
      <w:r>
        <w:rPr>
          <w:rFonts w:ascii="仿宋_GB2312" w:eastAsia="仿宋_GB2312" w:hint="eastAsia"/>
          <w:sz w:val="32"/>
          <w:szCs w:val="32"/>
        </w:rPr>
        <w:t>加强对辖区各餐饮经营户聚集性活动管理，截至目前，西区共取消各类宴席16场共计623桌；要求企事业单位、学校、幼儿园食堂等群体性就餐单位，分时分区域错峰就餐。</w:t>
      </w:r>
      <w:r>
        <w:rPr>
          <w:rFonts w:ascii="仿宋_GB2312" w:eastAsia="仿宋_GB2312" w:hAnsi="仿宋_GB2312" w:cs="仿宋_GB2312"/>
          <w:sz w:val="32"/>
          <w:szCs w:val="32"/>
        </w:rPr>
        <w:t>全面开展辖区药店“两戴一测”、消毒、购买退烧药实名登记“三项措施”，截至目前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共对药械经营单位开展疫情防控专项督查101家次，限期整改36家，停业整改7家，行政约见4家。对辖区疾病预防控制中心和新冠病毒疫苗接种单位、临时接种点开展新冠疫苗质量专项检查24家次</w:t>
      </w:r>
      <w:r>
        <w:rPr>
          <w:rFonts w:ascii="仿宋_GB2312" w:eastAsia="仿宋_GB2312" w:hAnsi="仿宋_GB2312" w:cs="仿宋_GB2312" w:hint="eastAsia"/>
          <w:sz w:val="32"/>
          <w:szCs w:val="32"/>
        </w:rPr>
        <w:t>。</w:t>
      </w:r>
      <w:r>
        <w:rPr>
          <w:rFonts w:eastAsia="仿宋_GB2312" w:hint="eastAsia"/>
          <w:color w:val="000000" w:themeColor="text1"/>
          <w:sz w:val="32"/>
          <w:szCs w:val="32"/>
        </w:rPr>
        <w:t>积极稳定市场秩序。密切关注口罩、消毒剂、蔬菜、肉类等价格动态，严查证照是否齐全、</w:t>
      </w:r>
      <w:r>
        <w:rPr>
          <w:rFonts w:eastAsia="仿宋_GB2312" w:hint="eastAsia"/>
          <w:color w:val="000000" w:themeColor="text1"/>
          <w:sz w:val="32"/>
          <w:szCs w:val="32"/>
        </w:rPr>
        <w:lastRenderedPageBreak/>
        <w:t>防疫物品销售是否合规、产品质量是否合格，协调组织货源，保持合理库存，保障市场供应。</w:t>
      </w:r>
    </w:p>
    <w:p w:rsidR="00485B30" w:rsidRDefault="00A90FDE">
      <w:pPr>
        <w:pStyle w:val="2"/>
        <w:adjustRightInd w:val="0"/>
        <w:snapToGrid w:val="0"/>
        <w:spacing w:before="0" w:after="0" w:line="540" w:lineRule="exact"/>
        <w:ind w:leftChars="200" w:left="420" w:firstLineChars="200" w:firstLine="640"/>
        <w:rPr>
          <w:rStyle w:val="2Char"/>
        </w:rPr>
      </w:pPr>
      <w:bookmarkStart w:id="20" w:name="_Toc15396601"/>
      <w:bookmarkStart w:id="21"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485B30" w:rsidRDefault="00A90FDE">
      <w:pPr>
        <w:adjustRightInd w:val="0"/>
        <w:snapToGrid w:val="0"/>
        <w:spacing w:line="540" w:lineRule="exact"/>
        <w:ind w:leftChars="200" w:left="420" w:firstLineChars="250" w:firstLine="80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攀枝花市西区市场监督管理局（以下简称西区市场监管局）下属二级单位1个，其中行政单位0个，参照公务员法管理的事业单位0个，其他事</w:t>
      </w:r>
      <w:r>
        <w:rPr>
          <w:rFonts w:ascii="仿宋_GB2312" w:eastAsia="仿宋_GB2312" w:hAnsi="仿宋_GB2312" w:cs="仿宋_GB2312" w:hint="eastAsia"/>
          <w:sz w:val="32"/>
          <w:szCs w:val="32"/>
        </w:rPr>
        <w:t>业单位1个。</w:t>
      </w:r>
    </w:p>
    <w:p w:rsidR="00485B30" w:rsidRDefault="00A90FDE">
      <w:pPr>
        <w:pStyle w:val="a0"/>
        <w:adjustRightInd w:val="0"/>
        <w:snapToGrid w:val="0"/>
        <w:spacing w:beforeLines="0" w:line="540" w:lineRule="exact"/>
        <w:ind w:leftChars="200" w:left="420" w:firstLineChars="210" w:firstLine="672"/>
        <w:rPr>
          <w:rFonts w:hAnsi="仿宋_GB2312" w:cs="仿宋_GB2312"/>
          <w:sz w:val="32"/>
          <w:szCs w:val="32"/>
        </w:rPr>
      </w:pPr>
      <w:r>
        <w:rPr>
          <w:rFonts w:hAnsi="仿宋_GB2312" w:cs="仿宋_GB2312" w:hint="eastAsia"/>
          <w:sz w:val="32"/>
          <w:szCs w:val="32"/>
        </w:rPr>
        <w:t>纳入西区市场监管局</w:t>
      </w:r>
      <w:r w:rsidR="008D2EDF">
        <w:rPr>
          <w:rFonts w:hAnsi="仿宋_GB2312" w:cs="仿宋_GB2312" w:hint="eastAsia"/>
          <w:sz w:val="32"/>
          <w:szCs w:val="32"/>
        </w:rPr>
        <w:t>2021</w:t>
      </w:r>
      <w:r>
        <w:rPr>
          <w:rFonts w:hAnsi="仿宋_GB2312" w:cs="仿宋_GB2312" w:hint="eastAsia"/>
          <w:sz w:val="32"/>
          <w:szCs w:val="32"/>
        </w:rPr>
        <w:t>年度部门决算编制范围的二级单位包括：攀枝花市西区消费维权和个体经济指导服务中心。</w:t>
      </w:r>
    </w:p>
    <w:p w:rsidR="00485B30" w:rsidRDefault="00A90FDE">
      <w:pPr>
        <w:widowControl/>
        <w:adjustRightInd w:val="0"/>
        <w:snapToGrid w:val="0"/>
        <w:spacing w:line="540" w:lineRule="exact"/>
        <w:ind w:leftChars="200" w:left="420"/>
        <w:jc w:val="left"/>
        <w:rPr>
          <w:rFonts w:ascii="仿宋" w:eastAsia="仿宋" w:hAnsi="仿宋"/>
          <w:kern w:val="0"/>
          <w:sz w:val="32"/>
          <w:szCs w:val="32"/>
        </w:rPr>
      </w:pPr>
      <w:r>
        <w:rPr>
          <w:rFonts w:ascii="仿宋" w:eastAsia="仿宋" w:hAnsi="仿宋"/>
          <w:sz w:val="32"/>
          <w:szCs w:val="32"/>
        </w:rPr>
        <w:br w:type="page"/>
      </w:r>
    </w:p>
    <w:p w:rsidR="00485B30" w:rsidRDefault="00A90FDE">
      <w:pPr>
        <w:pStyle w:val="1"/>
        <w:ind w:right="440"/>
        <w:jc w:val="center"/>
        <w:rPr>
          <w:rStyle w:val="1Char"/>
          <w:rFonts w:ascii="黑体" w:eastAsia="黑体" w:hAnsi="黑体"/>
          <w:bCs/>
        </w:rPr>
      </w:pPr>
      <w:bookmarkStart w:id="22" w:name="_Toc15396602"/>
      <w:bookmarkStart w:id="23" w:name="_Toc15377204"/>
      <w:r>
        <w:rPr>
          <w:rFonts w:ascii="黑体" w:eastAsia="黑体" w:hAnsi="黑体" w:hint="eastAsia"/>
          <w:b w:val="0"/>
        </w:rPr>
        <w:lastRenderedPageBreak/>
        <w:t>第二部分 2021年度</w:t>
      </w:r>
      <w:r>
        <w:rPr>
          <w:rStyle w:val="1Char"/>
          <w:rFonts w:ascii="黑体" w:eastAsia="黑体" w:hAnsi="黑体" w:hint="eastAsia"/>
          <w:bCs/>
        </w:rPr>
        <w:t>部门决算情况说明</w:t>
      </w:r>
      <w:bookmarkEnd w:id="22"/>
      <w:bookmarkEnd w:id="23"/>
    </w:p>
    <w:p w:rsidR="00485B30" w:rsidRDefault="00A90FDE">
      <w:pPr>
        <w:pStyle w:val="aa"/>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rsidR="00485B30" w:rsidRDefault="00A90FDE">
      <w:pPr>
        <w:adjustRightInd w:val="0"/>
        <w:snapToGrid w:val="0"/>
        <w:spacing w:line="56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2021年度收、支总计</w:t>
      </w:r>
      <w:r w:rsidR="003D5F37">
        <w:rPr>
          <w:rFonts w:ascii="仿宋" w:eastAsia="仿宋" w:hAnsi="仿宋" w:hint="eastAsia"/>
          <w:sz w:val="32"/>
          <w:szCs w:val="32"/>
        </w:rPr>
        <w:t>1503.34</w:t>
      </w:r>
      <w:r>
        <w:rPr>
          <w:rFonts w:ascii="仿宋" w:eastAsia="仿宋" w:hAnsi="仿宋" w:hint="eastAsia"/>
          <w:sz w:val="32"/>
          <w:szCs w:val="32"/>
        </w:rPr>
        <w:t>万元。与2020</w:t>
      </w:r>
      <w:r w:rsidR="00EE4FDF">
        <w:rPr>
          <w:rFonts w:ascii="仿宋" w:eastAsia="仿宋" w:hAnsi="仿宋" w:hint="eastAsia"/>
          <w:sz w:val="32"/>
          <w:szCs w:val="32"/>
        </w:rPr>
        <w:t>年相比，收、支总计</w:t>
      </w:r>
      <w:r w:rsidR="004B3A1F">
        <w:rPr>
          <w:rFonts w:ascii="仿宋" w:eastAsia="仿宋" w:hAnsi="仿宋" w:hint="eastAsia"/>
          <w:sz w:val="32"/>
          <w:szCs w:val="32"/>
        </w:rPr>
        <w:t>各</w:t>
      </w:r>
      <w:r>
        <w:rPr>
          <w:rFonts w:ascii="仿宋" w:eastAsia="仿宋" w:hAnsi="仿宋" w:hint="eastAsia"/>
          <w:sz w:val="32"/>
          <w:szCs w:val="32"/>
        </w:rPr>
        <w:t>减少</w:t>
      </w:r>
      <w:r w:rsidR="004B3A1F">
        <w:rPr>
          <w:rFonts w:ascii="仿宋" w:eastAsia="仿宋" w:hAnsi="仿宋" w:hint="eastAsia"/>
          <w:sz w:val="32"/>
          <w:szCs w:val="32"/>
        </w:rPr>
        <w:t>102.26</w:t>
      </w:r>
      <w:r>
        <w:rPr>
          <w:rFonts w:ascii="仿宋" w:eastAsia="仿宋" w:hAnsi="仿宋" w:hint="eastAsia"/>
          <w:sz w:val="32"/>
          <w:szCs w:val="32"/>
        </w:rPr>
        <w:t>万元，下降</w:t>
      </w:r>
      <w:r w:rsidR="00A54554">
        <w:rPr>
          <w:rFonts w:ascii="仿宋" w:eastAsia="仿宋" w:hAnsi="仿宋" w:hint="eastAsia"/>
          <w:sz w:val="32"/>
          <w:szCs w:val="32"/>
        </w:rPr>
        <w:t>6.37</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hAnsi="仿宋_GB2312" w:cs="仿宋_GB2312" w:hint="eastAsia"/>
          <w:sz w:val="32"/>
          <w:szCs w:val="32"/>
        </w:rPr>
        <w:t>主要变动原因是节约经费，压缩开支。</w:t>
      </w:r>
    </w:p>
    <w:p w:rsidR="00485B30" w:rsidRDefault="00A90FD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485B30" w:rsidRDefault="003D5F37">
      <w:pPr>
        <w:pStyle w:val="a0"/>
        <w:spacing w:before="93"/>
        <w:rPr>
          <w:noProof/>
        </w:rPr>
      </w:pPr>
      <w:bookmarkStart w:id="26" w:name="_Toc15396604"/>
      <w:bookmarkStart w:id="27" w:name="_Toc15377206"/>
      <w:r w:rsidRPr="003D5F37">
        <w:rPr>
          <w:noProof/>
        </w:rPr>
        <w:drawing>
          <wp:inline distT="0" distB="0" distL="0" distR="0">
            <wp:extent cx="4410075" cy="274320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374F" w:rsidRDefault="00F3374F">
      <w:pPr>
        <w:pStyle w:val="a0"/>
        <w:spacing w:before="93"/>
      </w:pPr>
    </w:p>
    <w:p w:rsidR="00485B30" w:rsidRDefault="00A90FDE">
      <w:pPr>
        <w:pStyle w:val="aa"/>
        <w:numPr>
          <w:ilvl w:val="0"/>
          <w:numId w:val="1"/>
        </w:numPr>
        <w:spacing w:line="600" w:lineRule="exact"/>
        <w:ind w:firstLineChars="0"/>
        <w:outlineLvl w:val="1"/>
        <w:rPr>
          <w:rStyle w:val="2Char"/>
          <w:rFonts w:ascii="黑体" w:eastAsia="黑体" w:hAnsi="黑体"/>
          <w:b w:val="0"/>
        </w:rPr>
      </w:pPr>
      <w:r>
        <w:rPr>
          <w:rFonts w:ascii="黑体" w:eastAsia="黑体" w:hAnsi="黑体" w:hint="eastAsia"/>
          <w:sz w:val="32"/>
          <w:szCs w:val="32"/>
        </w:rPr>
        <w:t>收</w:t>
      </w:r>
      <w:r>
        <w:rPr>
          <w:rStyle w:val="2Char"/>
          <w:rFonts w:ascii="黑体" w:eastAsia="黑体" w:hAnsi="黑体" w:hint="eastAsia"/>
          <w:b w:val="0"/>
        </w:rPr>
        <w:t>入决算情况说明</w:t>
      </w:r>
      <w:bookmarkEnd w:id="26"/>
      <w:bookmarkEnd w:id="27"/>
    </w:p>
    <w:p w:rsidR="00485B30" w:rsidRDefault="00A90FDE">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8D2EDF">
        <w:rPr>
          <w:rFonts w:ascii="仿宋" w:eastAsia="仿宋" w:hAnsi="仿宋" w:hint="eastAsia"/>
          <w:sz w:val="32"/>
          <w:szCs w:val="32"/>
        </w:rPr>
        <w:t>1483.57</w:t>
      </w:r>
      <w:r>
        <w:rPr>
          <w:rFonts w:ascii="仿宋" w:eastAsia="仿宋" w:hAnsi="仿宋" w:hint="eastAsia"/>
          <w:sz w:val="32"/>
          <w:szCs w:val="32"/>
        </w:rPr>
        <w:t>万元，其中：一般公共预算财政拨款收入1474.69万元，占</w:t>
      </w:r>
      <w:r w:rsidR="008D2EDF">
        <w:rPr>
          <w:rFonts w:ascii="仿宋" w:eastAsia="仿宋" w:hAnsi="仿宋" w:hint="eastAsia"/>
          <w:sz w:val="32"/>
          <w:szCs w:val="32"/>
        </w:rPr>
        <w:t>99.4</w:t>
      </w:r>
      <w:r>
        <w:rPr>
          <w:rFonts w:ascii="仿宋" w:eastAsia="仿宋" w:hAnsi="仿宋"/>
          <w:sz w:val="32"/>
          <w:szCs w:val="32"/>
        </w:rPr>
        <w:t>%</w:t>
      </w:r>
      <w:r>
        <w:rPr>
          <w:rFonts w:ascii="仿宋" w:eastAsia="仿宋" w:hAnsi="仿宋" w:hint="eastAsia"/>
          <w:sz w:val="32"/>
          <w:szCs w:val="32"/>
        </w:rPr>
        <w:t>；政府性基金预算财政拨款收入8.8万元，占0.59</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；其他收入0.09万元，占</w:t>
      </w:r>
      <w:r w:rsidR="00413989">
        <w:rPr>
          <w:rFonts w:ascii="仿宋" w:eastAsia="仿宋" w:hAnsi="仿宋" w:hint="eastAsia"/>
          <w:sz w:val="32"/>
          <w:szCs w:val="32"/>
        </w:rPr>
        <w:t>0.01</w:t>
      </w:r>
      <w:r>
        <w:rPr>
          <w:rFonts w:ascii="仿宋" w:eastAsia="仿宋" w:hAnsi="仿宋"/>
          <w:sz w:val="32"/>
          <w:szCs w:val="32"/>
        </w:rPr>
        <w:t>%</w:t>
      </w:r>
      <w:r>
        <w:rPr>
          <w:rFonts w:ascii="仿宋" w:eastAsia="仿宋" w:hAnsi="仿宋" w:hint="eastAsia"/>
          <w:sz w:val="32"/>
          <w:szCs w:val="32"/>
        </w:rPr>
        <w:t>。</w:t>
      </w:r>
    </w:p>
    <w:p w:rsidR="00F3374F" w:rsidRPr="00F3374F" w:rsidRDefault="00F3374F" w:rsidP="00F3374F">
      <w:pPr>
        <w:pStyle w:val="a0"/>
        <w:spacing w:before="93"/>
      </w:pPr>
    </w:p>
    <w:p w:rsidR="00485B30" w:rsidRDefault="00A90FDE">
      <w:pPr>
        <w:pStyle w:val="a0"/>
        <w:spacing w:before="93"/>
      </w:pPr>
      <w:r>
        <w:rPr>
          <w:noProof/>
        </w:rPr>
        <w:lastRenderedPageBreak/>
        <w:drawing>
          <wp:inline distT="0" distB="0" distL="0" distR="0">
            <wp:extent cx="4203065" cy="2125980"/>
            <wp:effectExtent l="19050" t="0" r="25917" b="7088"/>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5B30" w:rsidRDefault="00A90FDE">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485B30" w:rsidRDefault="00A90FDE">
      <w:pPr>
        <w:pStyle w:val="aa"/>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8"/>
      <w:bookmarkEnd w:id="29"/>
    </w:p>
    <w:p w:rsidR="00485B30" w:rsidRDefault="00A90FDE">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21年本年支出合计1503.34万元，其中：基本支出1437.81万元，占95.64</w:t>
      </w:r>
      <w:r>
        <w:rPr>
          <w:rFonts w:ascii="仿宋" w:eastAsia="仿宋" w:hAnsi="仿宋"/>
          <w:sz w:val="32"/>
          <w:szCs w:val="32"/>
        </w:rPr>
        <w:t>%</w:t>
      </w:r>
      <w:r>
        <w:rPr>
          <w:rFonts w:ascii="仿宋" w:eastAsia="仿宋" w:hAnsi="仿宋" w:hint="eastAsia"/>
          <w:sz w:val="32"/>
          <w:szCs w:val="32"/>
        </w:rPr>
        <w:t>；项目支出65.53万元，占4.36</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485B30" w:rsidRDefault="00A90FDE">
      <w:pPr>
        <w:pStyle w:val="a0"/>
        <w:spacing w:before="93"/>
      </w:pPr>
      <w:r>
        <w:rPr>
          <w:noProof/>
        </w:rPr>
        <w:drawing>
          <wp:inline distT="0" distB="0" distL="0" distR="0">
            <wp:extent cx="4753610" cy="1626235"/>
            <wp:effectExtent l="19050" t="0" r="2794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5B30" w:rsidRDefault="00A90FDE">
      <w:pPr>
        <w:spacing w:line="600" w:lineRule="exact"/>
        <w:ind w:firstLineChars="200" w:firstLine="640"/>
        <w:rPr>
          <w:rFonts w:ascii="仿宋" w:eastAsia="仿宋" w:hAnsi="仿宋"/>
          <w:sz w:val="32"/>
          <w:szCs w:val="32"/>
        </w:rPr>
      </w:pPr>
      <w:bookmarkStart w:id="30" w:name="_Toc15377208"/>
      <w:bookmarkStart w:id="31" w:name="_Toc15396606"/>
      <w:r>
        <w:rPr>
          <w:rFonts w:ascii="仿宋" w:eastAsia="仿宋" w:hAnsi="仿宋" w:hint="eastAsia"/>
          <w:sz w:val="32"/>
          <w:szCs w:val="32"/>
        </w:rPr>
        <w:t>（图3：支出决算结构图）（饼状图）</w:t>
      </w:r>
    </w:p>
    <w:p w:rsidR="00485B30" w:rsidRDefault="00A90FDE">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0"/>
      <w:bookmarkEnd w:id="31"/>
    </w:p>
    <w:p w:rsidR="00485B30" w:rsidRDefault="00A90FDE">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3D5F37">
        <w:rPr>
          <w:rFonts w:ascii="仿宋" w:eastAsia="仿宋" w:hAnsi="仿宋" w:hint="eastAsia"/>
          <w:sz w:val="32"/>
          <w:szCs w:val="32"/>
        </w:rPr>
        <w:t>1503.25</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sidR="000B7D11">
        <w:rPr>
          <w:rFonts w:ascii="仿宋" w:eastAsia="仿宋" w:hAnsi="仿宋" w:hint="eastAsia"/>
          <w:sz w:val="32"/>
          <w:szCs w:val="32"/>
        </w:rPr>
        <w:t>年相比，财政拨款收、支总计</w:t>
      </w:r>
      <w:r w:rsidR="000128BB">
        <w:rPr>
          <w:rFonts w:ascii="仿宋" w:eastAsia="仿宋" w:hAnsi="仿宋" w:hint="eastAsia"/>
          <w:sz w:val="32"/>
          <w:szCs w:val="32"/>
        </w:rPr>
        <w:t>各</w:t>
      </w:r>
      <w:r>
        <w:rPr>
          <w:rFonts w:ascii="仿宋" w:eastAsia="仿宋" w:hAnsi="仿宋" w:hint="eastAsia"/>
          <w:sz w:val="32"/>
          <w:szCs w:val="32"/>
        </w:rPr>
        <w:t>减少</w:t>
      </w:r>
      <w:r w:rsidR="000128BB">
        <w:rPr>
          <w:rFonts w:ascii="仿宋" w:eastAsia="仿宋" w:hAnsi="仿宋" w:hint="eastAsia"/>
          <w:sz w:val="32"/>
          <w:szCs w:val="32"/>
        </w:rPr>
        <w:t>102.22</w:t>
      </w:r>
      <w:r>
        <w:rPr>
          <w:rFonts w:ascii="仿宋" w:eastAsia="仿宋" w:hAnsi="仿宋" w:hint="eastAsia"/>
          <w:sz w:val="32"/>
          <w:szCs w:val="32"/>
        </w:rPr>
        <w:t>万元，下降</w:t>
      </w:r>
      <w:r w:rsidR="00A27EDE">
        <w:rPr>
          <w:rFonts w:ascii="仿宋" w:eastAsia="仿宋" w:hAnsi="仿宋" w:hint="eastAsia"/>
          <w:sz w:val="32"/>
          <w:szCs w:val="32"/>
        </w:rPr>
        <w:t>6.3</w:t>
      </w:r>
      <w:r w:rsidR="00E16C8D">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。主要变动原因是节约经费，压缩开支。</w:t>
      </w:r>
    </w:p>
    <w:p w:rsidR="00485B30" w:rsidRDefault="00485B30">
      <w:pPr>
        <w:pStyle w:val="a0"/>
        <w:spacing w:before="93"/>
      </w:pPr>
    </w:p>
    <w:p w:rsidR="00E671E9" w:rsidRDefault="00E671E9">
      <w:pPr>
        <w:pStyle w:val="a0"/>
        <w:spacing w:before="93"/>
      </w:pPr>
    </w:p>
    <w:p w:rsidR="00E671E9" w:rsidRDefault="003D5F37">
      <w:pPr>
        <w:pStyle w:val="a0"/>
        <w:spacing w:before="93"/>
      </w:pPr>
      <w:r w:rsidRPr="003D5F37">
        <w:drawing>
          <wp:inline distT="0" distB="0" distL="0" distR="0">
            <wp:extent cx="4410075" cy="274320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5B30" w:rsidRDefault="00A90FDE">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485B30" w:rsidRDefault="00A90FDE">
      <w:pPr>
        <w:spacing w:line="600" w:lineRule="exact"/>
        <w:ind w:firstLineChars="200" w:firstLine="640"/>
        <w:outlineLvl w:val="1"/>
        <w:rPr>
          <w:rStyle w:val="2Char"/>
          <w:rFonts w:ascii="黑体" w:eastAsia="黑体" w:hAnsi="黑体"/>
          <w:b w:val="0"/>
        </w:rPr>
      </w:pPr>
      <w:bookmarkStart w:id="32" w:name="_Toc15396607"/>
      <w:bookmarkStart w:id="33"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p>
    <w:p w:rsidR="00485B30" w:rsidRDefault="00A90FDE">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rsidR="00485B30" w:rsidRDefault="00A90FDE">
      <w:pPr>
        <w:spacing w:line="600" w:lineRule="exact"/>
        <w:ind w:firstLineChars="200" w:firstLine="640"/>
        <w:rPr>
          <w:rFonts w:ascii="仿宋_GB2312" w:eastAsia="仿宋_GB2312" w:hAnsi="仿宋_GB2312" w:cs="仿宋_GB2312"/>
          <w:sz w:val="32"/>
          <w:szCs w:val="32"/>
        </w:rPr>
      </w:pPr>
      <w:r>
        <w:rPr>
          <w:rFonts w:ascii="仿宋" w:eastAsia="仿宋" w:hAnsi="仿宋"/>
          <w:sz w:val="32"/>
          <w:szCs w:val="32"/>
        </w:rPr>
        <w:t>20</w:t>
      </w:r>
      <w:r>
        <w:rPr>
          <w:rFonts w:ascii="仿宋" w:eastAsia="仿宋" w:hAnsi="仿宋" w:hint="eastAsia"/>
          <w:sz w:val="32"/>
          <w:szCs w:val="32"/>
        </w:rPr>
        <w:t>21年一般公共预算财政拨款支出1494.</w:t>
      </w:r>
      <w:r w:rsidR="004C3234">
        <w:rPr>
          <w:rFonts w:ascii="仿宋" w:eastAsia="仿宋" w:hAnsi="仿宋" w:hint="eastAsia"/>
          <w:sz w:val="32"/>
          <w:szCs w:val="32"/>
        </w:rPr>
        <w:t>45</w:t>
      </w:r>
      <w:r>
        <w:rPr>
          <w:rFonts w:ascii="仿宋" w:eastAsia="仿宋" w:hAnsi="仿宋" w:hint="eastAsia"/>
          <w:sz w:val="32"/>
          <w:szCs w:val="32"/>
        </w:rPr>
        <w:t>万元，占本年支出合计的98.08</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20年相比，一般公共预算财政拨款支出减少72.</w:t>
      </w:r>
      <w:r w:rsidR="00535EA6">
        <w:rPr>
          <w:rFonts w:ascii="仿宋" w:eastAsia="仿宋" w:hAnsi="仿宋" w:hint="eastAsia"/>
          <w:sz w:val="32"/>
          <w:szCs w:val="32"/>
        </w:rPr>
        <w:t>52</w:t>
      </w:r>
      <w:r>
        <w:rPr>
          <w:rFonts w:ascii="仿宋" w:eastAsia="仿宋" w:hAnsi="仿宋" w:hint="eastAsia"/>
          <w:sz w:val="32"/>
          <w:szCs w:val="32"/>
        </w:rPr>
        <w:t>万元，下降4.62</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hAnsi="仿宋_GB2312" w:cs="仿宋_GB2312" w:hint="eastAsia"/>
          <w:sz w:val="32"/>
          <w:szCs w:val="32"/>
        </w:rPr>
        <w:t>节约经费，压缩开支。</w:t>
      </w:r>
    </w:p>
    <w:p w:rsidR="00485B30" w:rsidRDefault="00535EA6">
      <w:pPr>
        <w:pStyle w:val="a0"/>
        <w:spacing w:before="93"/>
        <w:rPr>
          <w:rFonts w:hint="eastAsia"/>
        </w:rPr>
      </w:pPr>
      <w:r w:rsidRPr="00535EA6">
        <w:drawing>
          <wp:inline distT="0" distB="0" distL="0" distR="0">
            <wp:extent cx="4162425" cy="2743200"/>
            <wp:effectExtent l="19050" t="0" r="9525"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5EA6" w:rsidRDefault="00535EA6">
      <w:pPr>
        <w:pStyle w:val="a0"/>
        <w:spacing w:before="93"/>
      </w:pPr>
    </w:p>
    <w:p w:rsidR="00485B30" w:rsidRDefault="00A90FDE">
      <w:pPr>
        <w:spacing w:line="600" w:lineRule="exact"/>
        <w:ind w:firstLineChars="200" w:firstLine="560"/>
        <w:rPr>
          <w:rFonts w:ascii="仿宋" w:eastAsia="仿宋" w:hAnsi="仿宋"/>
          <w:spacing w:val="-20"/>
          <w:sz w:val="32"/>
          <w:szCs w:val="32"/>
        </w:rPr>
      </w:pPr>
      <w:r>
        <w:rPr>
          <w:rFonts w:ascii="仿宋" w:eastAsia="仿宋" w:hAnsi="仿宋" w:hint="eastAsia"/>
          <w:spacing w:val="-20"/>
          <w:sz w:val="32"/>
          <w:szCs w:val="32"/>
        </w:rPr>
        <w:t>（图5：一般公共预算财政拨款支出决算变动情况）（柱状图）</w:t>
      </w:r>
    </w:p>
    <w:p w:rsidR="00485B30" w:rsidRDefault="00A90FDE">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rsidR="00485B30" w:rsidRDefault="00A90FD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1A65C4">
        <w:rPr>
          <w:rFonts w:ascii="仿宋" w:eastAsia="仿宋" w:hAnsi="仿宋" w:hint="eastAsia"/>
          <w:sz w:val="32"/>
          <w:szCs w:val="32"/>
        </w:rPr>
        <w:t>1494.</w:t>
      </w:r>
      <w:r w:rsidR="00E12556">
        <w:rPr>
          <w:rFonts w:ascii="仿宋" w:eastAsia="仿宋" w:hAnsi="仿宋" w:hint="eastAsia"/>
          <w:sz w:val="32"/>
          <w:szCs w:val="32"/>
        </w:rPr>
        <w:t>45</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支出1138.</w:t>
      </w:r>
      <w:r w:rsidR="00E12556">
        <w:rPr>
          <w:rFonts w:ascii="仿宋" w:eastAsia="仿宋" w:hAnsi="仿宋" w:hint="eastAsia"/>
          <w:sz w:val="32"/>
          <w:szCs w:val="32"/>
        </w:rPr>
        <w:t>35</w:t>
      </w:r>
      <w:r>
        <w:rPr>
          <w:rFonts w:ascii="仿宋" w:eastAsia="仿宋" w:hAnsi="仿宋" w:hint="eastAsia"/>
          <w:sz w:val="32"/>
          <w:szCs w:val="32"/>
        </w:rPr>
        <w:t>万元，占76.17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文化旅游体育与传媒（类）支出0万元，占0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支出152.7</w:t>
      </w:r>
      <w:r w:rsidR="001A65C4">
        <w:rPr>
          <w:rFonts w:ascii="仿宋" w:eastAsia="仿宋" w:hAnsi="仿宋" w:hint="eastAsia"/>
          <w:sz w:val="32"/>
          <w:szCs w:val="32"/>
        </w:rPr>
        <w:t>7</w:t>
      </w:r>
      <w:r>
        <w:rPr>
          <w:rFonts w:ascii="仿宋" w:eastAsia="仿宋" w:hAnsi="仿宋" w:hint="eastAsia"/>
          <w:sz w:val="32"/>
          <w:szCs w:val="32"/>
        </w:rPr>
        <w:t>万元，占10.22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83.2万元，占5.57</w:t>
      </w:r>
      <w:r>
        <w:rPr>
          <w:rFonts w:ascii="仿宋" w:eastAsia="仿宋" w:hAnsi="仿宋"/>
          <w:sz w:val="32"/>
          <w:szCs w:val="32"/>
        </w:rPr>
        <w:t>%</w:t>
      </w:r>
      <w:r>
        <w:rPr>
          <w:rFonts w:ascii="仿宋" w:eastAsia="仿宋" w:hAnsi="仿宋" w:hint="eastAsia"/>
          <w:sz w:val="32"/>
          <w:szCs w:val="32"/>
        </w:rPr>
        <w:t>；住房保障支出120.13万元，占8.04</w:t>
      </w:r>
      <w:r>
        <w:rPr>
          <w:rFonts w:ascii="仿宋" w:eastAsia="仿宋" w:hAnsi="仿宋"/>
          <w:sz w:val="32"/>
          <w:szCs w:val="32"/>
        </w:rPr>
        <w:t>%</w:t>
      </w:r>
      <w:r>
        <w:rPr>
          <w:rFonts w:ascii="仿宋" w:eastAsia="仿宋" w:hAnsi="仿宋" w:hint="eastAsia"/>
          <w:sz w:val="32"/>
          <w:szCs w:val="32"/>
        </w:rPr>
        <w:t>。</w:t>
      </w:r>
    </w:p>
    <w:p w:rsidR="00485B30" w:rsidRDefault="00A90FDE">
      <w:pPr>
        <w:pStyle w:val="a0"/>
        <w:spacing w:before="93"/>
      </w:pPr>
      <w:r>
        <w:rPr>
          <w:noProof/>
        </w:rPr>
        <w:drawing>
          <wp:inline distT="0" distB="0" distL="0" distR="0">
            <wp:extent cx="5424805" cy="3242310"/>
            <wp:effectExtent l="19050" t="0" r="23495" b="0"/>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5B30" w:rsidRDefault="00A90FDE">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485B30" w:rsidRDefault="00A90FDE">
      <w:pPr>
        <w:adjustRightInd w:val="0"/>
        <w:snapToGrid w:val="0"/>
        <w:spacing w:line="56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p>
    <w:p w:rsidR="00485B30" w:rsidRDefault="00A90FDE">
      <w:pPr>
        <w:adjustRightInd w:val="0"/>
        <w:snapToGrid w:val="0"/>
        <w:spacing w:line="560" w:lineRule="exact"/>
        <w:ind w:firstLineChars="200" w:firstLine="643"/>
        <w:outlineLvl w:val="2"/>
        <w:rPr>
          <w:rFonts w:ascii="仿宋" w:eastAsia="仿宋" w:hAnsi="仿宋"/>
          <w:sz w:val="32"/>
          <w:szCs w:val="32"/>
        </w:rPr>
      </w:pPr>
      <w:bookmarkStart w:id="37" w:name="_Toc15378460"/>
      <w:bookmarkStart w:id="38" w:name="_Toc15377444"/>
      <w:bookmarkStart w:id="39" w:name="_Toc15377213"/>
      <w:r>
        <w:rPr>
          <w:rFonts w:ascii="仿宋" w:eastAsia="仿宋" w:hAnsi="仿宋" w:hint="eastAsia"/>
          <w:b/>
          <w:sz w:val="32"/>
          <w:szCs w:val="32"/>
        </w:rPr>
        <w:t>2021年一般公共预算支出决算数为1494.</w:t>
      </w:r>
      <w:r w:rsidR="00707B1C">
        <w:rPr>
          <w:rFonts w:ascii="仿宋" w:eastAsia="仿宋" w:hAnsi="仿宋" w:hint="eastAsia"/>
          <w:b/>
          <w:sz w:val="32"/>
          <w:szCs w:val="32"/>
        </w:rPr>
        <w:t>45</w:t>
      </w:r>
      <w:r>
        <w:rPr>
          <w:rFonts w:ascii="仿宋" w:eastAsia="仿宋" w:hAnsi="仿宋" w:hint="eastAsia"/>
          <w:b/>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完成预算106.34</w:t>
      </w:r>
      <w:r>
        <w:rPr>
          <w:rStyle w:val="a8"/>
          <w:rFonts w:ascii="仿宋" w:eastAsia="仿宋" w:hAnsi="仿宋"/>
          <w:bCs/>
          <w:sz w:val="32"/>
          <w:szCs w:val="32"/>
        </w:rPr>
        <w:t>%</w:t>
      </w:r>
      <w:r>
        <w:rPr>
          <w:rStyle w:val="a8"/>
          <w:rFonts w:ascii="仿宋" w:eastAsia="仿宋" w:hAnsi="仿宋" w:hint="eastAsia"/>
          <w:bCs/>
          <w:sz w:val="32"/>
          <w:szCs w:val="32"/>
        </w:rPr>
        <w:t>。其中：</w:t>
      </w:r>
      <w:bookmarkEnd w:id="37"/>
      <w:bookmarkEnd w:id="38"/>
      <w:bookmarkEnd w:id="39"/>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Style w:val="a8"/>
          <w:rFonts w:ascii="仿宋" w:eastAsia="仿宋" w:hAnsi="仿宋"/>
          <w:b w:val="0"/>
          <w:bCs/>
          <w:sz w:val="32"/>
          <w:szCs w:val="32"/>
        </w:rPr>
        <w:t>1.</w:t>
      </w:r>
      <w:r>
        <w:rPr>
          <w:rStyle w:val="a8"/>
          <w:rFonts w:ascii="仿宋" w:eastAsia="仿宋" w:hAnsi="仿宋" w:hint="eastAsia"/>
          <w:b w:val="0"/>
          <w:bCs/>
          <w:sz w:val="32"/>
          <w:szCs w:val="32"/>
        </w:rPr>
        <w:t>一般公共服务（类）知识产权事务（款）其他知识产权事</w:t>
      </w:r>
      <w:r>
        <w:rPr>
          <w:rStyle w:val="a8"/>
          <w:rFonts w:ascii="仿宋" w:eastAsia="仿宋" w:hAnsi="仿宋" w:hint="eastAsia"/>
          <w:b w:val="0"/>
          <w:bCs/>
          <w:sz w:val="32"/>
          <w:szCs w:val="32"/>
        </w:rPr>
        <w:lastRenderedPageBreak/>
        <w:t>务支出（项）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支出决算为0.61万元，完成预算0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，决算数大于预算数的主要原因是年初无该预算，属于结转上年资金。</w:t>
      </w:r>
    </w:p>
    <w:p w:rsidR="00485B30" w:rsidRDefault="00A90FDE">
      <w:pPr>
        <w:adjustRightInd w:val="0"/>
        <w:snapToGrid w:val="0"/>
        <w:spacing w:line="560" w:lineRule="exact"/>
        <w:ind w:firstLineChars="200" w:firstLine="640"/>
        <w:rPr>
          <w:rFonts w:ascii="仿宋" w:eastAsia="仿宋" w:hAnsi="仿宋"/>
          <w:sz w:val="32"/>
          <w:szCs w:val="32"/>
        </w:rPr>
      </w:pPr>
      <w:r>
        <w:rPr>
          <w:rStyle w:val="a8"/>
          <w:rFonts w:ascii="仿宋" w:eastAsia="仿宋" w:hAnsi="仿宋" w:hint="eastAsia"/>
          <w:b w:val="0"/>
          <w:bCs/>
          <w:sz w:val="32"/>
          <w:szCs w:val="32"/>
        </w:rPr>
        <w:t>2.一般公共服务（类）市场监督管理事务（款）行政运行（项）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支出决算为1021.22万元，完成预算102.47</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，决算数大于预算数的主要原因是晋级晋档增加费用。</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3.</w:t>
      </w:r>
      <w:r>
        <w:rPr>
          <w:rStyle w:val="a8"/>
          <w:rFonts w:ascii="仿宋" w:eastAsia="仿宋" w:hAnsi="仿宋"/>
          <w:b w:val="0"/>
          <w:bCs/>
          <w:sz w:val="32"/>
          <w:szCs w:val="32"/>
        </w:rPr>
        <w:t>.</w:t>
      </w:r>
      <w:r>
        <w:rPr>
          <w:rStyle w:val="a8"/>
          <w:rFonts w:ascii="仿宋" w:eastAsia="仿宋" w:hAnsi="仿宋" w:hint="eastAsia"/>
          <w:b w:val="0"/>
          <w:bCs/>
          <w:sz w:val="32"/>
          <w:szCs w:val="32"/>
        </w:rPr>
        <w:t>一般公共服务（类）市场监督管理事务（款）一般行政管理事务（项）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支出决算为14.85万元，完成预算0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，决算数大于预算数的主要原因是年初无该预算，属于结转上年资金。</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4</w:t>
      </w:r>
      <w:r>
        <w:rPr>
          <w:rStyle w:val="a8"/>
          <w:rFonts w:ascii="仿宋" w:eastAsia="仿宋" w:hAnsi="仿宋"/>
          <w:b w:val="0"/>
          <w:bCs/>
          <w:sz w:val="32"/>
          <w:szCs w:val="32"/>
        </w:rPr>
        <w:t>.</w:t>
      </w:r>
      <w:r>
        <w:rPr>
          <w:rStyle w:val="a8"/>
          <w:rFonts w:ascii="仿宋" w:eastAsia="仿宋" w:hAnsi="仿宋" w:hint="eastAsia"/>
          <w:b w:val="0"/>
          <w:bCs/>
          <w:sz w:val="32"/>
          <w:szCs w:val="32"/>
        </w:rPr>
        <w:t>一般公共服务（类）市场监督管理事务（款）药品事务（项）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支出决算为0.68万元，完成预算0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，决算数大于预算数的主要原因是年初无该预算，属于结转上年资金。</w:t>
      </w:r>
    </w:p>
    <w:p w:rsidR="00485B30" w:rsidRDefault="00A90FDE">
      <w:pPr>
        <w:adjustRightInd w:val="0"/>
        <w:snapToGrid w:val="0"/>
        <w:spacing w:line="560" w:lineRule="exact"/>
        <w:ind w:firstLineChars="200" w:firstLine="640"/>
        <w:rPr>
          <w:rStyle w:val="a8"/>
          <w:b w:val="0"/>
          <w:bCs/>
          <w:sz w:val="32"/>
          <w:szCs w:val="32"/>
        </w:rPr>
      </w:pPr>
      <w:r>
        <w:rPr>
          <w:rStyle w:val="a8"/>
          <w:rFonts w:ascii="仿宋" w:eastAsia="仿宋" w:hAnsi="仿宋" w:hint="eastAsia"/>
          <w:b w:val="0"/>
          <w:bCs/>
          <w:sz w:val="32"/>
          <w:szCs w:val="32"/>
        </w:rPr>
        <w:t>5.一般公共服务（类）市场监督管理事务（款）食品安全监管（项）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支出决算为0.7万元，完成预算0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，决算数大于预算数的主要原因是年初无该预算，属于结转上年资金。</w:t>
      </w:r>
    </w:p>
    <w:p w:rsidR="00485B30" w:rsidRDefault="00A90FDE">
      <w:pPr>
        <w:adjustRightInd w:val="0"/>
        <w:snapToGrid w:val="0"/>
        <w:spacing w:line="560" w:lineRule="exact"/>
        <w:ind w:firstLineChars="200" w:firstLine="640"/>
        <w:rPr>
          <w:rFonts w:ascii="仿宋" w:eastAsia="仿宋" w:hAnsi="仿宋"/>
          <w:b/>
          <w:sz w:val="32"/>
          <w:szCs w:val="32"/>
        </w:rPr>
      </w:pPr>
      <w:r>
        <w:rPr>
          <w:rStyle w:val="a8"/>
          <w:rFonts w:ascii="仿宋" w:eastAsia="仿宋" w:hAnsi="仿宋" w:hint="eastAsia"/>
          <w:b w:val="0"/>
          <w:bCs/>
          <w:sz w:val="32"/>
          <w:szCs w:val="32"/>
        </w:rPr>
        <w:t>6.一般公共服务（类）市场监督管理事务（款）事业运行（项）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支出决算为60.4万元，完成预算103.32</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，决算数大于预算数的主要原因是晋级晋档和基础性绩效增加费用。</w:t>
      </w:r>
    </w:p>
    <w:p w:rsidR="00485B30" w:rsidRDefault="00A90FDE">
      <w:pPr>
        <w:adjustRightInd w:val="0"/>
        <w:snapToGrid w:val="0"/>
        <w:spacing w:line="560" w:lineRule="exact"/>
        <w:ind w:firstLineChars="200" w:firstLine="640"/>
        <w:rPr>
          <w:rStyle w:val="a8"/>
          <w:b w:val="0"/>
          <w:bCs/>
          <w:sz w:val="32"/>
          <w:szCs w:val="32"/>
        </w:rPr>
      </w:pPr>
      <w:r>
        <w:rPr>
          <w:rStyle w:val="a8"/>
          <w:rFonts w:ascii="仿宋" w:eastAsia="仿宋" w:hAnsi="仿宋" w:hint="eastAsia"/>
          <w:b w:val="0"/>
          <w:bCs/>
          <w:sz w:val="32"/>
          <w:szCs w:val="32"/>
        </w:rPr>
        <w:t>7.一般公共服务（类）市场监督管理事务（款）其他市场监督管理事务（项）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支出决算为39.87万元，完成预算128.61</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，决算数大于预算数的主要原因是年初有追加和结转有去年资金。</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8.社会保障和就业（类）行政事业单位养老支出（款）行政单位离退休（项）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支出决算为35.3万元，完成预算176.15</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，决算数大于预算数的主要原因是增加2人退休。</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9.社会保障和就业（类）行政事业单位养老支出（款）机关</w:t>
      </w:r>
      <w:r>
        <w:rPr>
          <w:rStyle w:val="a8"/>
          <w:rFonts w:ascii="仿宋" w:eastAsia="仿宋" w:hAnsi="仿宋" w:hint="eastAsia"/>
          <w:b w:val="0"/>
          <w:bCs/>
          <w:sz w:val="32"/>
          <w:szCs w:val="32"/>
        </w:rPr>
        <w:lastRenderedPageBreak/>
        <w:t>事业单位基本养老保险缴费支出（项）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支出决算为92.48万元，完成预算98.76</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，决算数大于预算数的主要原因是增加2人退休。</w:t>
      </w:r>
    </w:p>
    <w:p w:rsidR="00485B30" w:rsidRDefault="00A90FDE">
      <w:pPr>
        <w:pStyle w:val="a0"/>
        <w:adjustRightInd w:val="0"/>
        <w:snapToGrid w:val="0"/>
        <w:spacing w:beforeLines="0" w:line="560" w:lineRule="exact"/>
        <w:ind w:firstLineChars="200" w:firstLine="640"/>
      </w:pPr>
      <w:r>
        <w:rPr>
          <w:rStyle w:val="a8"/>
          <w:rFonts w:ascii="仿宋" w:eastAsia="仿宋" w:hAnsi="仿宋" w:hint="eastAsia"/>
          <w:b w:val="0"/>
          <w:bCs/>
          <w:sz w:val="32"/>
          <w:szCs w:val="32"/>
        </w:rPr>
        <w:t>10.社会保障和就业（类）行政事业单位养老支出（款）机关事业单位职业年金缴费支出（项）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支出决算为5.3万元，完成预算0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，决算数大于预算数的主要原因是此项费用为个人缴款，无需预算。</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11.社会保障和就业（类）抚恤（款）死亡抚恤（项）</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支出决算为19.68万元，年初无预算，决算数大于预算数的主要原因是该指标是临时发生后现打资金报告给财政局，无法事先预算。</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12.卫生健康（类）行政事业单位医疗（款）行政单位医疗（项）</w:t>
      </w:r>
      <w:r>
        <w:rPr>
          <w:rStyle w:val="a8"/>
          <w:rFonts w:ascii="仿宋" w:eastAsia="仿宋" w:hAnsi="仿宋"/>
          <w:b w:val="0"/>
          <w:bCs/>
          <w:sz w:val="32"/>
          <w:szCs w:val="32"/>
        </w:rPr>
        <w:t>:</w:t>
      </w:r>
      <w:r>
        <w:rPr>
          <w:rStyle w:val="a8"/>
          <w:rFonts w:ascii="仿宋" w:eastAsia="仿宋" w:hAnsi="仿宋" w:hint="eastAsia"/>
          <w:b w:val="0"/>
          <w:bCs/>
          <w:sz w:val="32"/>
          <w:szCs w:val="32"/>
        </w:rPr>
        <w:t>支出决算为71.33万元，完成预算98.41</w:t>
      </w:r>
      <w:r>
        <w:rPr>
          <w:rStyle w:val="a8"/>
          <w:rFonts w:ascii="仿宋" w:eastAsia="仿宋" w:hAnsi="仿宋"/>
          <w:b w:val="0"/>
          <w:bCs/>
          <w:sz w:val="32"/>
          <w:szCs w:val="32"/>
        </w:rPr>
        <w:t>%</w:t>
      </w:r>
      <w:r>
        <w:rPr>
          <w:rStyle w:val="a8"/>
          <w:rFonts w:ascii="仿宋" w:eastAsia="仿宋" w:hAnsi="仿宋" w:hint="eastAsia"/>
          <w:b w:val="0"/>
          <w:bCs/>
          <w:sz w:val="32"/>
          <w:szCs w:val="32"/>
        </w:rPr>
        <w:t>。决算数大于预算数的原因是增加2人退休。</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Fonts w:ascii="仿宋" w:eastAsia="仿宋" w:hAnsi="仿宋" w:hint="eastAsia"/>
          <w:sz w:val="32"/>
          <w:szCs w:val="32"/>
        </w:rPr>
        <w:t>13.</w:t>
      </w:r>
      <w:r>
        <w:rPr>
          <w:rStyle w:val="a8"/>
          <w:rFonts w:ascii="仿宋" w:eastAsia="仿宋" w:hAnsi="仿宋" w:hint="eastAsia"/>
          <w:b w:val="0"/>
          <w:bCs/>
          <w:sz w:val="32"/>
          <w:szCs w:val="32"/>
        </w:rPr>
        <w:t>卫生健康（类）行政事业单位医疗（款）事业单位医疗（项）</w:t>
      </w:r>
      <w:r>
        <w:rPr>
          <w:rStyle w:val="a8"/>
          <w:rFonts w:ascii="仿宋" w:eastAsia="仿宋" w:hAnsi="仿宋"/>
          <w:b w:val="0"/>
          <w:bCs/>
          <w:sz w:val="32"/>
          <w:szCs w:val="32"/>
        </w:rPr>
        <w:t>:</w:t>
      </w:r>
      <w:r>
        <w:rPr>
          <w:rStyle w:val="a8"/>
          <w:rFonts w:ascii="仿宋" w:eastAsia="仿宋" w:hAnsi="仿宋" w:hint="eastAsia"/>
          <w:b w:val="0"/>
          <w:bCs/>
          <w:sz w:val="32"/>
          <w:szCs w:val="32"/>
        </w:rPr>
        <w:t>支出决算为3.96万元，完成预算92.3</w:t>
      </w:r>
      <w:r>
        <w:rPr>
          <w:rStyle w:val="a8"/>
          <w:rFonts w:ascii="仿宋" w:eastAsia="仿宋" w:hAnsi="仿宋"/>
          <w:b w:val="0"/>
          <w:bCs/>
          <w:sz w:val="32"/>
          <w:szCs w:val="32"/>
        </w:rPr>
        <w:t>%</w:t>
      </w:r>
      <w:r>
        <w:rPr>
          <w:rStyle w:val="a8"/>
          <w:rFonts w:ascii="仿宋" w:eastAsia="仿宋" w:hAnsi="仿宋" w:hint="eastAsia"/>
          <w:b w:val="0"/>
          <w:bCs/>
          <w:sz w:val="32"/>
          <w:szCs w:val="32"/>
        </w:rPr>
        <w:t>。决算数小于预算数的原因是缴费基数减少。</w:t>
      </w:r>
    </w:p>
    <w:p w:rsidR="00485B30" w:rsidRDefault="00A90FDE">
      <w:pPr>
        <w:adjustRightInd w:val="0"/>
        <w:snapToGrid w:val="0"/>
        <w:spacing w:line="560" w:lineRule="exact"/>
        <w:ind w:firstLineChars="200" w:firstLine="640"/>
        <w:rPr>
          <w:rStyle w:val="a8"/>
          <w:rFonts w:ascii="仿宋" w:eastAsia="仿宋" w:hAnsi="仿宋"/>
          <w:b w:val="0"/>
          <w:bCs/>
          <w:sz w:val="32"/>
          <w:szCs w:val="32"/>
        </w:rPr>
      </w:pPr>
      <w:r>
        <w:rPr>
          <w:rFonts w:ascii="仿宋" w:eastAsia="仿宋" w:hAnsi="仿宋" w:hint="eastAsia"/>
          <w:sz w:val="32"/>
          <w:szCs w:val="32"/>
        </w:rPr>
        <w:t>14.</w:t>
      </w:r>
      <w:r>
        <w:rPr>
          <w:rStyle w:val="a8"/>
          <w:rFonts w:ascii="仿宋" w:eastAsia="仿宋" w:hAnsi="仿宋" w:hint="eastAsia"/>
          <w:b w:val="0"/>
          <w:bCs/>
          <w:sz w:val="32"/>
          <w:szCs w:val="32"/>
        </w:rPr>
        <w:t>卫生健康（类）行政事业单位医疗（款）公务员医疗补助（项）</w:t>
      </w:r>
      <w:r>
        <w:rPr>
          <w:rStyle w:val="a8"/>
          <w:rFonts w:ascii="仿宋" w:eastAsia="仿宋" w:hAnsi="仿宋"/>
          <w:b w:val="0"/>
          <w:bCs/>
          <w:sz w:val="32"/>
          <w:szCs w:val="32"/>
        </w:rPr>
        <w:t>:</w:t>
      </w:r>
      <w:r>
        <w:rPr>
          <w:rStyle w:val="a8"/>
          <w:rFonts w:ascii="仿宋" w:eastAsia="仿宋" w:hAnsi="仿宋" w:hint="eastAsia"/>
          <w:b w:val="0"/>
          <w:bCs/>
          <w:sz w:val="32"/>
          <w:szCs w:val="32"/>
        </w:rPr>
        <w:t>支出决算为7.91万元，完成预算97.78</w:t>
      </w:r>
      <w:r>
        <w:rPr>
          <w:rStyle w:val="a8"/>
          <w:rFonts w:ascii="仿宋" w:eastAsia="仿宋" w:hAnsi="仿宋"/>
          <w:b w:val="0"/>
          <w:bCs/>
          <w:sz w:val="32"/>
          <w:szCs w:val="32"/>
        </w:rPr>
        <w:t>%</w:t>
      </w:r>
      <w:r>
        <w:rPr>
          <w:rStyle w:val="a8"/>
          <w:rFonts w:ascii="仿宋" w:eastAsia="仿宋" w:hAnsi="仿宋" w:hint="eastAsia"/>
          <w:b w:val="0"/>
          <w:bCs/>
          <w:sz w:val="32"/>
          <w:szCs w:val="32"/>
        </w:rPr>
        <w:t>。决算数小于预算数的原因是缴费基数变动。</w:t>
      </w:r>
    </w:p>
    <w:p w:rsidR="00485B30" w:rsidRDefault="00A90FDE">
      <w:pPr>
        <w:adjustRightInd w:val="0"/>
        <w:snapToGrid w:val="0"/>
        <w:spacing w:line="560" w:lineRule="exact"/>
        <w:ind w:firstLineChars="200" w:firstLine="640"/>
        <w:rPr>
          <w:rFonts w:ascii="仿宋" w:eastAsia="仿宋" w:hAnsi="仿宋"/>
          <w:sz w:val="32"/>
          <w:szCs w:val="32"/>
        </w:rPr>
      </w:pPr>
      <w:r>
        <w:rPr>
          <w:rStyle w:val="a8"/>
          <w:rFonts w:ascii="仿宋" w:eastAsia="仿宋" w:hAnsi="仿宋" w:hint="eastAsia"/>
          <w:b w:val="0"/>
          <w:bCs/>
          <w:sz w:val="32"/>
          <w:szCs w:val="32"/>
        </w:rPr>
        <w:t>15.住房保障支出（类）住房改革支出（款）住房公积金（项）</w:t>
      </w:r>
      <w:r>
        <w:rPr>
          <w:rStyle w:val="a8"/>
          <w:rFonts w:ascii="仿宋" w:eastAsia="仿宋" w:hAnsi="仿宋"/>
          <w:b w:val="0"/>
          <w:bCs/>
          <w:sz w:val="32"/>
          <w:szCs w:val="32"/>
        </w:rPr>
        <w:t>:</w:t>
      </w:r>
      <w:r>
        <w:rPr>
          <w:rStyle w:val="a8"/>
          <w:rFonts w:ascii="仿宋" w:eastAsia="仿宋" w:hAnsi="仿宋" w:hint="eastAsia"/>
          <w:b w:val="0"/>
          <w:bCs/>
          <w:sz w:val="32"/>
          <w:szCs w:val="32"/>
        </w:rPr>
        <w:t>支出决算为120.13万元，完成预算99.5</w:t>
      </w:r>
      <w:r>
        <w:rPr>
          <w:rStyle w:val="a8"/>
          <w:rFonts w:ascii="仿宋" w:eastAsia="仿宋" w:hAnsi="仿宋"/>
          <w:b w:val="0"/>
          <w:bCs/>
          <w:sz w:val="32"/>
          <w:szCs w:val="32"/>
        </w:rPr>
        <w:t>%</w:t>
      </w:r>
      <w:r>
        <w:rPr>
          <w:rStyle w:val="a8"/>
          <w:rFonts w:ascii="仿宋" w:eastAsia="仿宋" w:hAnsi="仿宋" w:hint="eastAsia"/>
          <w:b w:val="0"/>
          <w:bCs/>
          <w:sz w:val="32"/>
          <w:szCs w:val="32"/>
        </w:rPr>
        <w:t>。决算数小于预算数的原因是有人退休。</w:t>
      </w:r>
    </w:p>
    <w:p w:rsidR="00485B30" w:rsidRDefault="00A90FDE">
      <w:pPr>
        <w:tabs>
          <w:tab w:val="right" w:pos="8306"/>
        </w:tabs>
        <w:adjustRightInd w:val="0"/>
        <w:snapToGrid w:val="0"/>
        <w:spacing w:line="560" w:lineRule="exact"/>
        <w:ind w:firstLine="640"/>
        <w:outlineLvl w:val="1"/>
        <w:rPr>
          <w:rStyle w:val="2Char"/>
        </w:rPr>
      </w:pPr>
      <w:bookmarkStart w:id="40" w:name="_Toc15396608"/>
      <w:bookmarkStart w:id="41"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485B30" w:rsidRDefault="00A90FDE">
      <w:pPr>
        <w:adjustRightInd w:val="0"/>
        <w:snapToGrid w:val="0"/>
        <w:spacing w:line="56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21年一般公共预算财政拨款基本支出1437.72万元，其</w:t>
      </w:r>
      <w:r>
        <w:rPr>
          <w:rFonts w:ascii="仿宋" w:eastAsia="仿宋" w:hAnsi="仿宋" w:hint="eastAsia"/>
          <w:sz w:val="32"/>
          <w:szCs w:val="32"/>
        </w:rPr>
        <w:lastRenderedPageBreak/>
        <w:t>中：</w:t>
      </w:r>
    </w:p>
    <w:p w:rsidR="00485B30" w:rsidRDefault="00A90FDE">
      <w:pPr>
        <w:adjustRightInd w:val="0"/>
        <w:snapToGrid w:val="0"/>
        <w:spacing w:line="560" w:lineRule="exact"/>
        <w:ind w:firstLine="645"/>
        <w:rPr>
          <w:rFonts w:ascii="仿宋" w:eastAsia="仿宋" w:hAnsi="仿宋"/>
          <w:sz w:val="32"/>
          <w:szCs w:val="32"/>
        </w:rPr>
      </w:pPr>
      <w:r>
        <w:rPr>
          <w:rFonts w:ascii="仿宋" w:eastAsia="仿宋" w:hAnsi="仿宋" w:hint="eastAsia"/>
          <w:sz w:val="32"/>
          <w:szCs w:val="32"/>
        </w:rPr>
        <w:t>人员经费1286.17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151.55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485B30" w:rsidRDefault="00A90FDE">
      <w:pPr>
        <w:adjustRightInd w:val="0"/>
        <w:snapToGrid w:val="0"/>
        <w:spacing w:line="56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485B30" w:rsidRDefault="00A90FDE">
      <w:pPr>
        <w:adjustRightInd w:val="0"/>
        <w:snapToGrid w:val="0"/>
        <w:spacing w:line="56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t>（一）“三公”经费财政拨款支出决算总体情况说明</w:t>
      </w:r>
      <w:bookmarkEnd w:id="44"/>
    </w:p>
    <w:p w:rsidR="00485B30" w:rsidRDefault="00A90FDE">
      <w:pPr>
        <w:adjustRightInd w:val="0"/>
        <w:snapToGrid w:val="0"/>
        <w:spacing w:line="56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21年“三公”经费财政拨款支出决算为11.61万元，完成预算100</w:t>
      </w:r>
      <w:r>
        <w:rPr>
          <w:rFonts w:ascii="仿宋" w:eastAsia="仿宋" w:hAnsi="仿宋"/>
          <w:sz w:val="32"/>
          <w:szCs w:val="32"/>
        </w:rPr>
        <w:t>%</w:t>
      </w:r>
      <w:r>
        <w:rPr>
          <w:rFonts w:ascii="仿宋" w:eastAsia="仿宋" w:hAnsi="仿宋" w:hint="eastAsia"/>
          <w:sz w:val="32"/>
          <w:szCs w:val="32"/>
        </w:rPr>
        <w:t>，决算数小于预算数的主要原因是节约开支。</w:t>
      </w:r>
    </w:p>
    <w:p w:rsidR="00485B30" w:rsidRDefault="00A90FDE">
      <w:pPr>
        <w:adjustRightInd w:val="0"/>
        <w:snapToGrid w:val="0"/>
        <w:spacing w:line="56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rsidR="00485B30" w:rsidRDefault="00A90FDE">
      <w:pPr>
        <w:adjustRightInd w:val="0"/>
        <w:snapToGrid w:val="0"/>
        <w:spacing w:line="56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；公务用车购置及运行维护费支出决算11.18万元，占96.3</w:t>
      </w:r>
      <w:r>
        <w:rPr>
          <w:rFonts w:ascii="仿宋" w:eastAsia="仿宋" w:hAnsi="仿宋"/>
          <w:sz w:val="32"/>
          <w:szCs w:val="32"/>
        </w:rPr>
        <w:t>%</w:t>
      </w:r>
      <w:r>
        <w:rPr>
          <w:rFonts w:ascii="仿宋" w:eastAsia="仿宋" w:hAnsi="仿宋" w:hint="eastAsia"/>
          <w:sz w:val="32"/>
          <w:szCs w:val="32"/>
        </w:rPr>
        <w:t>；公务接待费支出决算0.43万元，占3.7</w:t>
      </w:r>
      <w:r>
        <w:rPr>
          <w:rFonts w:ascii="仿宋" w:eastAsia="仿宋" w:hAnsi="仿宋"/>
          <w:sz w:val="32"/>
          <w:szCs w:val="32"/>
        </w:rPr>
        <w:t>%</w:t>
      </w:r>
      <w:r>
        <w:rPr>
          <w:rFonts w:ascii="仿宋" w:eastAsia="仿宋" w:hAnsi="仿宋" w:hint="eastAsia"/>
          <w:sz w:val="32"/>
          <w:szCs w:val="32"/>
        </w:rPr>
        <w:t>。具体情况如下：</w:t>
      </w:r>
    </w:p>
    <w:p w:rsidR="00485B30" w:rsidRDefault="00A90FDE">
      <w:pPr>
        <w:pStyle w:val="a0"/>
        <w:spacing w:before="93"/>
      </w:pPr>
      <w:r>
        <w:rPr>
          <w:noProof/>
        </w:rPr>
        <w:lastRenderedPageBreak/>
        <w:drawing>
          <wp:inline distT="0" distB="0" distL="0" distR="0">
            <wp:extent cx="4269105" cy="2083435"/>
            <wp:effectExtent l="19050" t="0" r="16894" b="0"/>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5B30" w:rsidRDefault="00A90FDE">
      <w:pPr>
        <w:adjustRightInd w:val="0"/>
        <w:snapToGrid w:val="0"/>
        <w:spacing w:line="55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485B30" w:rsidRDefault="00A90FDE">
      <w:pPr>
        <w:adjustRightInd w:val="0"/>
        <w:snapToGrid w:val="0"/>
        <w:spacing w:line="55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全年安排因公出国（境）团组0次，出国（境）0人。</w:t>
      </w:r>
    </w:p>
    <w:p w:rsidR="00485B30" w:rsidRDefault="00A90FDE">
      <w:pPr>
        <w:adjustRightInd w:val="0"/>
        <w:snapToGrid w:val="0"/>
        <w:spacing w:line="55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11.18万元,</w:t>
      </w:r>
      <w:r>
        <w:rPr>
          <w:rStyle w:val="a8"/>
          <w:rFonts w:ascii="仿宋" w:eastAsia="仿宋" w:hAnsi="仿宋" w:hint="eastAsia"/>
          <w:b w:val="0"/>
          <w:bCs/>
          <w:sz w:val="32"/>
          <w:szCs w:val="32"/>
        </w:rPr>
        <w:t>完成预算44.72</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20年减少1.74万元，下降13.47</w:t>
      </w:r>
      <w:r>
        <w:rPr>
          <w:rFonts w:ascii="仿宋_GB2312" w:eastAsia="仿宋_GB2312"/>
          <w:sz w:val="32"/>
          <w:szCs w:val="32"/>
        </w:rPr>
        <w:t>%</w:t>
      </w:r>
      <w:r>
        <w:rPr>
          <w:rFonts w:ascii="仿宋_GB2312" w:eastAsia="仿宋_GB2312" w:hint="eastAsia"/>
          <w:sz w:val="32"/>
          <w:szCs w:val="32"/>
        </w:rPr>
        <w:t>。主要原因是节约开支。</w:t>
      </w:r>
    </w:p>
    <w:p w:rsidR="00485B30" w:rsidRDefault="00A90FDE">
      <w:pPr>
        <w:adjustRightInd w:val="0"/>
        <w:snapToGrid w:val="0"/>
        <w:spacing w:line="55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月底，单位共有公务用车10辆，其中：轿车9辆、特种专业技术用车1辆。</w:t>
      </w:r>
    </w:p>
    <w:p w:rsidR="00485B30" w:rsidRDefault="00A90FDE">
      <w:pPr>
        <w:adjustRightInd w:val="0"/>
        <w:snapToGrid w:val="0"/>
        <w:spacing w:line="55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11.18万元。主要用于市场秩序监管、质量安全监管、食品、药品、化妆品、医疗器械、特种设备安全监管，知识产权、计量、标准化、认证认可及检验检测等工作所需的公务用车燃料费、维修费、过路过桥费、保险费等支出。</w:t>
      </w:r>
    </w:p>
    <w:p w:rsidR="00485B30" w:rsidRDefault="00A90FDE">
      <w:pPr>
        <w:adjustRightInd w:val="0"/>
        <w:snapToGrid w:val="0"/>
        <w:spacing w:line="55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0.43万元，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公务接待费支出决算与</w:t>
      </w:r>
      <w:r>
        <w:rPr>
          <w:rFonts w:ascii="仿宋_GB2312" w:eastAsia="仿宋_GB2312"/>
          <w:sz w:val="32"/>
          <w:szCs w:val="32"/>
        </w:rPr>
        <w:t>20</w:t>
      </w:r>
      <w:r>
        <w:rPr>
          <w:rFonts w:ascii="仿宋_GB2312" w:eastAsia="仿宋_GB2312" w:hint="eastAsia"/>
          <w:sz w:val="32"/>
          <w:szCs w:val="32"/>
        </w:rPr>
        <w:t>20年持平。主要原因是按预算安排支出。其中：</w:t>
      </w:r>
    </w:p>
    <w:p w:rsidR="00485B30" w:rsidRDefault="00A90FDE">
      <w:pPr>
        <w:adjustRightInd w:val="0"/>
        <w:snapToGrid w:val="0"/>
        <w:spacing w:line="550" w:lineRule="exact"/>
        <w:ind w:firstLine="640"/>
        <w:rPr>
          <w:rFonts w:ascii="仿宋_GB2312" w:eastAsia="仿宋_GB2312"/>
          <w:color w:val="FF0000"/>
          <w:sz w:val="32"/>
          <w:szCs w:val="32"/>
        </w:rPr>
      </w:pPr>
      <w:r>
        <w:rPr>
          <w:rFonts w:ascii="仿宋" w:eastAsia="仿宋" w:hAnsi="仿宋" w:hint="eastAsia"/>
          <w:b/>
          <w:sz w:val="32"/>
          <w:szCs w:val="32"/>
        </w:rPr>
        <w:t>国内公务接待支出</w:t>
      </w:r>
      <w:r>
        <w:rPr>
          <w:rFonts w:ascii="仿宋" w:eastAsia="仿宋" w:hAnsi="仿宋" w:hint="eastAsia"/>
          <w:sz w:val="32"/>
          <w:szCs w:val="32"/>
        </w:rPr>
        <w:t>0.43</w:t>
      </w:r>
      <w:r>
        <w:rPr>
          <w:rFonts w:ascii="仿宋_GB2312" w:eastAsia="仿宋_GB2312" w:hint="eastAsia"/>
          <w:sz w:val="32"/>
          <w:szCs w:val="32"/>
        </w:rPr>
        <w:t>万元，主要用于上级部门到我区考察、调研和开展检查产生的执行公务、开展业务活动开支的交通费、住宿费、用餐费等)。国内公务接待3批次，28人次（不包</w:t>
      </w:r>
      <w:r>
        <w:rPr>
          <w:rFonts w:ascii="仿宋_GB2312" w:eastAsia="仿宋_GB2312" w:hint="eastAsia"/>
          <w:sz w:val="32"/>
          <w:szCs w:val="32"/>
        </w:rPr>
        <w:lastRenderedPageBreak/>
        <w:t>括陪同人员），共计支出0.43万元，具体内容包括：省局到西区开展电梯安全监管情况调研接待费1650元，省级服务经试点示范项目评估调研接待费2404元，省局调研攀枝花市2021年医疗器械重点项目接待费288元。</w:t>
      </w:r>
    </w:p>
    <w:p w:rsidR="00485B30" w:rsidRDefault="00A90FDE">
      <w:pPr>
        <w:adjustRightInd w:val="0"/>
        <w:snapToGrid w:val="0"/>
        <w:spacing w:line="55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万元，外事接待0批次，0人，共计支出0万元。</w:t>
      </w:r>
    </w:p>
    <w:p w:rsidR="00485B30" w:rsidRDefault="00A90FDE">
      <w:pPr>
        <w:adjustRightInd w:val="0"/>
        <w:snapToGrid w:val="0"/>
        <w:spacing w:line="550" w:lineRule="exact"/>
        <w:ind w:firstLine="640"/>
        <w:outlineLvl w:val="1"/>
        <w:rPr>
          <w:rStyle w:val="2Char"/>
          <w:rFonts w:ascii="黑体" w:eastAsia="黑体" w:hAnsi="黑体"/>
        </w:rPr>
      </w:pPr>
      <w:bookmarkStart w:id="46" w:name="_Toc15377218"/>
      <w:bookmarkStart w:id="47"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6"/>
      <w:bookmarkEnd w:id="47"/>
    </w:p>
    <w:p w:rsidR="00485B30" w:rsidRDefault="00A90FDE">
      <w:pPr>
        <w:adjustRightInd w:val="0"/>
        <w:snapToGrid w:val="0"/>
        <w:spacing w:line="55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21年政府性基金预算财政拨款支出8.8万元。</w:t>
      </w:r>
    </w:p>
    <w:p w:rsidR="00485B30" w:rsidRDefault="00A90FDE">
      <w:pPr>
        <w:numPr>
          <w:ilvl w:val="0"/>
          <w:numId w:val="2"/>
        </w:numPr>
        <w:adjustRightInd w:val="0"/>
        <w:snapToGrid w:val="0"/>
        <w:spacing w:line="55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485B30" w:rsidRDefault="00A90FDE">
      <w:pPr>
        <w:adjustRightInd w:val="0"/>
        <w:snapToGrid w:val="0"/>
        <w:spacing w:line="55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485B30" w:rsidRDefault="00A90FDE">
      <w:pPr>
        <w:numPr>
          <w:ilvl w:val="0"/>
          <w:numId w:val="2"/>
        </w:numPr>
        <w:adjustRightInd w:val="0"/>
        <w:snapToGrid w:val="0"/>
        <w:spacing w:line="550" w:lineRule="exact"/>
        <w:ind w:firstLine="640"/>
        <w:outlineLvl w:val="1"/>
        <w:rPr>
          <w:rStyle w:val="2Char"/>
          <w:rFonts w:ascii="黑体" w:eastAsia="黑体" w:hAnsi="黑体"/>
          <w:b w:val="0"/>
        </w:rPr>
      </w:pPr>
      <w:bookmarkStart w:id="50" w:name="_Toc15396612"/>
      <w:bookmarkStart w:id="51" w:name="_Toc15377221"/>
      <w:r>
        <w:rPr>
          <w:rStyle w:val="2Char"/>
          <w:rFonts w:ascii="黑体" w:eastAsia="黑体" w:hAnsi="黑体" w:hint="eastAsia"/>
          <w:b w:val="0"/>
        </w:rPr>
        <w:t>其他重要事项的情况说明</w:t>
      </w:r>
      <w:bookmarkEnd w:id="50"/>
      <w:bookmarkEnd w:id="51"/>
    </w:p>
    <w:p w:rsidR="00485B30" w:rsidRDefault="00A90FDE">
      <w:pPr>
        <w:adjustRightInd w:val="0"/>
        <w:snapToGrid w:val="0"/>
        <w:spacing w:line="550" w:lineRule="exact"/>
        <w:ind w:firstLineChars="200" w:firstLine="643"/>
        <w:outlineLvl w:val="2"/>
        <w:rPr>
          <w:rFonts w:ascii="仿宋" w:eastAsia="仿宋" w:hAnsi="仿宋"/>
          <w:sz w:val="32"/>
          <w:szCs w:val="32"/>
        </w:rPr>
      </w:pPr>
      <w:bookmarkStart w:id="52" w:name="_Toc15377222"/>
      <w:r>
        <w:rPr>
          <w:rFonts w:ascii="仿宋" w:eastAsia="仿宋" w:hAnsi="仿宋" w:hint="eastAsia"/>
          <w:b/>
          <w:sz w:val="32"/>
          <w:szCs w:val="32"/>
        </w:rPr>
        <w:t>（一）机关运行经费支出情况</w:t>
      </w:r>
      <w:bookmarkEnd w:id="52"/>
    </w:p>
    <w:p w:rsidR="00485B30" w:rsidRDefault="00A90FDE">
      <w:pPr>
        <w:adjustRightInd w:val="0"/>
        <w:snapToGrid w:val="0"/>
        <w:spacing w:line="55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21年，我局机关运行经费支出151.55万元，比</w:t>
      </w:r>
      <w:r>
        <w:rPr>
          <w:rFonts w:ascii="仿宋_GB2312" w:eastAsia="仿宋_GB2312"/>
          <w:sz w:val="32"/>
          <w:szCs w:val="32"/>
        </w:rPr>
        <w:t>20</w:t>
      </w:r>
      <w:r>
        <w:rPr>
          <w:rFonts w:ascii="仿宋_GB2312" w:eastAsia="仿宋_GB2312" w:hint="eastAsia"/>
          <w:sz w:val="32"/>
          <w:szCs w:val="32"/>
        </w:rPr>
        <w:t>20年减少10.66万元，下降6.57</w:t>
      </w:r>
      <w:r>
        <w:rPr>
          <w:rFonts w:ascii="仿宋_GB2312" w:eastAsia="仿宋_GB2312"/>
          <w:sz w:val="32"/>
          <w:szCs w:val="32"/>
        </w:rPr>
        <w:t>%</w:t>
      </w:r>
      <w:r>
        <w:rPr>
          <w:rFonts w:ascii="仿宋_GB2312" w:eastAsia="仿宋_GB2312" w:hint="eastAsia"/>
          <w:sz w:val="32"/>
          <w:szCs w:val="32"/>
        </w:rPr>
        <w:t>。主要原因是经费紧张，节约开支。</w:t>
      </w:r>
    </w:p>
    <w:p w:rsidR="00485B30" w:rsidRDefault="00A90FDE">
      <w:pPr>
        <w:autoSpaceDE w:val="0"/>
        <w:autoSpaceDN w:val="0"/>
        <w:adjustRightInd w:val="0"/>
        <w:snapToGrid w:val="0"/>
        <w:spacing w:line="550" w:lineRule="exact"/>
        <w:ind w:firstLineChars="200" w:firstLine="643"/>
        <w:jc w:val="left"/>
        <w:outlineLvl w:val="2"/>
        <w:rPr>
          <w:rFonts w:ascii="仿宋" w:eastAsia="仿宋" w:hAnsi="仿宋"/>
          <w:b/>
          <w:sz w:val="32"/>
          <w:szCs w:val="32"/>
        </w:rPr>
      </w:pPr>
      <w:bookmarkStart w:id="53" w:name="_Toc15377223"/>
      <w:r>
        <w:rPr>
          <w:rFonts w:ascii="仿宋" w:eastAsia="仿宋" w:hAnsi="仿宋" w:hint="eastAsia"/>
          <w:b/>
          <w:sz w:val="32"/>
          <w:szCs w:val="32"/>
        </w:rPr>
        <w:t>（二）政府采购支出情况</w:t>
      </w:r>
      <w:bookmarkEnd w:id="53"/>
    </w:p>
    <w:p w:rsidR="00485B30" w:rsidRDefault="00A90FDE">
      <w:pPr>
        <w:adjustRightInd w:val="0"/>
        <w:snapToGrid w:val="0"/>
        <w:spacing w:line="55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21年，我政府采购支出总额0万元。</w:t>
      </w:r>
    </w:p>
    <w:p w:rsidR="00485B30" w:rsidRDefault="00A90FDE">
      <w:pPr>
        <w:autoSpaceDE w:val="0"/>
        <w:autoSpaceDN w:val="0"/>
        <w:adjustRightInd w:val="0"/>
        <w:snapToGrid w:val="0"/>
        <w:spacing w:line="550" w:lineRule="exact"/>
        <w:ind w:firstLineChars="200" w:firstLine="643"/>
        <w:jc w:val="left"/>
        <w:outlineLvl w:val="2"/>
        <w:rPr>
          <w:rFonts w:ascii="仿宋" w:eastAsia="仿宋" w:hAnsi="仿宋"/>
          <w:b/>
          <w:sz w:val="32"/>
          <w:szCs w:val="32"/>
        </w:rPr>
      </w:pPr>
      <w:bookmarkStart w:id="54" w:name="_Toc15377224"/>
      <w:r>
        <w:rPr>
          <w:rFonts w:ascii="仿宋" w:eastAsia="仿宋" w:hAnsi="仿宋" w:hint="eastAsia"/>
          <w:b/>
          <w:sz w:val="32"/>
          <w:szCs w:val="32"/>
        </w:rPr>
        <w:t>（三）国有资产占有使用情况</w:t>
      </w:r>
      <w:bookmarkEnd w:id="54"/>
    </w:p>
    <w:p w:rsidR="00485B30" w:rsidRDefault="00A90FDE">
      <w:pPr>
        <w:autoSpaceDE w:val="0"/>
        <w:autoSpaceDN w:val="0"/>
        <w:adjustRightInd w:val="0"/>
        <w:snapToGrid w:val="0"/>
        <w:spacing w:line="55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日，区市场监管局共有车辆10辆，其中：其中：主要领导干部用车0辆、机要通信用车0辆、应急保障用车0辆、其他用车0辆，</w:t>
      </w:r>
      <w:r>
        <w:rPr>
          <w:rFonts w:eastAsia="仿宋_GB2312" w:hint="eastAsia"/>
          <w:sz w:val="32"/>
          <w:szCs w:val="32"/>
        </w:rPr>
        <w:t>执法执勤用车</w:t>
      </w:r>
      <w:r>
        <w:rPr>
          <w:rFonts w:eastAsia="仿宋_GB2312" w:hint="eastAsia"/>
          <w:sz w:val="32"/>
          <w:szCs w:val="32"/>
        </w:rPr>
        <w:t>9</w:t>
      </w:r>
      <w:r>
        <w:rPr>
          <w:rFonts w:eastAsia="仿宋_GB2312" w:hint="eastAsia"/>
          <w:sz w:val="32"/>
          <w:szCs w:val="32"/>
        </w:rPr>
        <w:t>辆、特种专业技术用车</w:t>
      </w:r>
      <w:r>
        <w:rPr>
          <w:rFonts w:eastAsia="仿宋_GB2312" w:hint="eastAsia"/>
          <w:sz w:val="32"/>
          <w:szCs w:val="32"/>
        </w:rPr>
        <w:t>1</w:t>
      </w:r>
      <w:r>
        <w:rPr>
          <w:rFonts w:eastAsia="仿宋_GB2312" w:hint="eastAsia"/>
          <w:sz w:val="32"/>
          <w:szCs w:val="32"/>
        </w:rPr>
        <w:t>辆。</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485B30" w:rsidRDefault="00A90FDE">
      <w:pPr>
        <w:autoSpaceDE w:val="0"/>
        <w:autoSpaceDN w:val="0"/>
        <w:adjustRightInd w:val="0"/>
        <w:snapToGrid w:val="0"/>
        <w:spacing w:line="55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485B30" w:rsidRDefault="00A90FDE">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根据预算绩效管理要求，本部门在2021年度预算编制阶段，组织对5个项目（执法办案专项经费、消费者权益保护经费、2021</w:t>
      </w:r>
      <w:r>
        <w:rPr>
          <w:rFonts w:ascii="仿宋_GB2312" w:eastAsia="仿宋_GB2312" w:hAnsi="仿宋_GB2312" w:cs="仿宋_GB2312" w:hint="eastAsia"/>
          <w:sz w:val="32"/>
          <w:szCs w:val="32"/>
        </w:rPr>
        <w:lastRenderedPageBreak/>
        <w:t>年中央药品监管补助资金、质量强区、民生计量）对5个项目开展了预算事前绩效评估，对5个项目编制了绩效目标，预算执行过程中，选取5个项目开展绩效监控，年终执行完毕后，对5个项目开展了绩效自评。同时，本部门对2021年部门整体开展绩效自评，《攀枝花市西区市场监督管理局2021年部门整体绩效评价报告》见附件（第四部分）。</w:t>
      </w:r>
    </w:p>
    <w:p w:rsidR="00485B30" w:rsidRDefault="00A90FDE">
      <w:pPr>
        <w:adjustRightInd w:val="0"/>
        <w:snapToGrid w:val="0"/>
        <w:spacing w:line="550" w:lineRule="exact"/>
        <w:ind w:firstLine="720"/>
        <w:rPr>
          <w:rFonts w:ascii="仿宋_GB2312" w:eastAsia="仿宋_GB2312"/>
          <w:sz w:val="32"/>
          <w:szCs w:val="32"/>
        </w:rPr>
      </w:pPr>
      <w:r>
        <w:rPr>
          <w:rFonts w:ascii="仿宋_GB2312" w:eastAsia="仿宋_GB2312" w:hAnsi="仿宋_GB2312" w:cs="仿宋_GB2312" w:hint="eastAsia"/>
          <w:sz w:val="32"/>
          <w:szCs w:val="32"/>
        </w:rPr>
        <w:t>本部门按要求对2021年部门整体支出开展绩效自评，从评价情况来看</w:t>
      </w:r>
      <w:r>
        <w:rPr>
          <w:rFonts w:ascii="仿宋_GB2312" w:eastAsia="仿宋_GB2312" w:hAnsi="Courier New" w:hint="eastAsia"/>
          <w:sz w:val="32"/>
          <w:szCs w:val="32"/>
        </w:rPr>
        <w:t>我局认真贯彻落实区委、区政府和市局的安排部署，围绕中心、服务大局、履职尽责、开拓创新，保障了各项工作有序推进，基本形成“大融合、大提升、大发展”的“大市场”工作格局。食品、药品、产商品质量、特种设备“四大安全”监管实现“零事故”。</w:t>
      </w:r>
      <w:r>
        <w:rPr>
          <w:rFonts w:ascii="仿宋_GB2312" w:eastAsia="仿宋_GB2312" w:hAnsi="仿宋_GB2312" w:cs="仿宋_GB2312" w:hint="eastAsia"/>
          <w:sz w:val="32"/>
          <w:szCs w:val="32"/>
        </w:rPr>
        <w:t>从评价情况来看</w:t>
      </w:r>
      <w:r>
        <w:rPr>
          <w:rFonts w:ascii="仿宋_GB2312" w:eastAsia="仿宋_GB2312" w:hint="eastAsia"/>
          <w:sz w:val="32"/>
          <w:szCs w:val="32"/>
        </w:rPr>
        <w:t>2021年我局部门整体支出绩效评价自查自评结果良好，全年基本支出保证了部门的正常运行和日常工作的正常开展，项目支出保障了重点工作的开展，绩效目标得到较好实现，绩效管理水平不断提高，绩效指标体系逐渐丰富和完善。</w:t>
      </w:r>
    </w:p>
    <w:p w:rsidR="00485B30" w:rsidRDefault="00A90FDE">
      <w:pPr>
        <w:adjustRightInd w:val="0"/>
        <w:snapToGrid w:val="0"/>
        <w:spacing w:line="550" w:lineRule="exact"/>
        <w:ind w:firstLineChars="200" w:firstLine="643"/>
        <w:rPr>
          <w:rFonts w:ascii="仿宋_GB2312" w:eastAsia="仿宋_GB2312" w:hAnsi="仿宋_GB2312" w:cs="仿宋_GB2312"/>
          <w:sz w:val="32"/>
          <w:szCs w:val="32"/>
        </w:rPr>
      </w:pPr>
      <w:r>
        <w:rPr>
          <w:rFonts w:ascii="仿宋_GB2312" w:eastAsia="仿宋_GB2312" w:hAnsi="楷体_GB2312" w:cs="楷体_GB2312" w:hint="eastAsia"/>
          <w:b/>
          <w:sz w:val="32"/>
          <w:szCs w:val="32"/>
        </w:rPr>
        <w:t>项目绩效目标完成情况：</w:t>
      </w:r>
    </w:p>
    <w:p w:rsidR="00485B30" w:rsidRDefault="00A90FDE">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本部门在2021年度部门决算中反映“执法办案专项经费、消费者权益保护经费、2020年中央药品监管补助资金、质量强区、民生计量”等5个项目绩效目标实际完成情况。  </w:t>
      </w:r>
    </w:p>
    <w:p w:rsidR="00485B30" w:rsidRDefault="00A90FDE">
      <w:pPr>
        <w:adjustRightInd w:val="0"/>
        <w:snapToGrid w:val="0"/>
        <w:spacing w:line="550" w:lineRule="exact"/>
        <w:ind w:firstLine="640"/>
        <w:rPr>
          <w:rFonts w:ascii="仿宋_GB2312" w:eastAsia="仿宋_GB2312"/>
          <w:sz w:val="32"/>
          <w:szCs w:val="32"/>
        </w:rPr>
      </w:pPr>
      <w:r>
        <w:rPr>
          <w:rFonts w:ascii="仿宋_GB2312" w:eastAsia="仿宋_GB2312" w:hAnsi="仿宋_GB2312" w:cs="仿宋_GB2312" w:hint="eastAsia"/>
          <w:sz w:val="32"/>
          <w:szCs w:val="32"/>
        </w:rPr>
        <w:t>（1）执法办案专项经费项目绩效目标完成情况综述。项目全年预算数5万元，执行数为0.8万元，完成预算的16%，未完成原因是单位已安排完该项资金，但由于财政困难未审核报帐，年底收回指标。通过项目实施，我局</w:t>
      </w:r>
      <w:r>
        <w:rPr>
          <w:rFonts w:ascii="仿宋_GB2312" w:eastAsia="仿宋_GB2312" w:hint="eastAsia"/>
          <w:sz w:val="32"/>
          <w:szCs w:val="32"/>
        </w:rPr>
        <w:t>保持高压态势，严打市场违法违规行为，</w:t>
      </w:r>
      <w:r>
        <w:rPr>
          <w:rStyle w:val="fontstyle01"/>
          <w:rFonts w:ascii="仿宋_GB2312" w:eastAsia="仿宋_GB2312" w:hAnsi="仿宋_GB2312" w:cs="宋体;SimSun" w:hint="eastAsia"/>
          <w:sz w:val="32"/>
          <w:szCs w:val="32"/>
        </w:rPr>
        <w:t>2021年以来，我局办理一般程序案件163件</w:t>
      </w:r>
      <w:r>
        <w:rPr>
          <w:rFonts w:ascii="仿宋_GB2312" w:eastAsia="仿宋_GB2312" w:hint="eastAsia"/>
          <w:sz w:val="32"/>
          <w:szCs w:val="32"/>
        </w:rPr>
        <w:t>，罚</w:t>
      </w:r>
      <w:r>
        <w:rPr>
          <w:rFonts w:ascii="仿宋_GB2312" w:eastAsia="仿宋_GB2312" w:hint="eastAsia"/>
          <w:sz w:val="32"/>
          <w:szCs w:val="32"/>
        </w:rPr>
        <w:lastRenderedPageBreak/>
        <w:t>没款199</w:t>
      </w:r>
      <w:r w:rsidR="008551B5">
        <w:rPr>
          <w:rFonts w:ascii="仿宋_GB2312" w:eastAsia="仿宋_GB2312" w:hint="eastAsia"/>
          <w:sz w:val="32"/>
          <w:szCs w:val="32"/>
        </w:rPr>
        <w:t>.48万</w:t>
      </w:r>
      <w:r>
        <w:rPr>
          <w:rFonts w:ascii="仿宋_GB2312" w:eastAsia="仿宋_GB2312" w:hint="eastAsia"/>
          <w:sz w:val="32"/>
          <w:szCs w:val="32"/>
        </w:rPr>
        <w:t>元(未结案罚款127</w:t>
      </w:r>
      <w:r w:rsidR="008551B5">
        <w:rPr>
          <w:rFonts w:ascii="仿宋_GB2312" w:eastAsia="仿宋_GB2312" w:hint="eastAsia"/>
          <w:sz w:val="32"/>
          <w:szCs w:val="32"/>
        </w:rPr>
        <w:t>.22万</w:t>
      </w:r>
      <w:r>
        <w:rPr>
          <w:rFonts w:ascii="仿宋_GB2312" w:eastAsia="仿宋_GB2312" w:hint="eastAsia"/>
          <w:sz w:val="32"/>
          <w:szCs w:val="32"/>
        </w:rPr>
        <w:t>元)，属于听证范围案件30件，举行听证6件，涉嫌犯罪向公安机关移送案件2件，举行听证6件，行政诉讼4件(其中行政调解1件，有3件还在审理中)，行政复议3件（其中2件当事人主动撤回，1件维持行政处罚），开展行政指导9户次，发放指导意见书9份。</w:t>
      </w:r>
    </w:p>
    <w:p w:rsidR="00485B30" w:rsidRDefault="00A90FDE">
      <w:pPr>
        <w:adjustRightInd w:val="0"/>
        <w:snapToGrid w:val="0"/>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2）消费者权益保护经费项目绩效目标完成情况综述。项目全年预算数2元，执行数为0万元，完成预算的0%。未完成原因是单位已安排完该项资金，但由于财政困难未审核报帐，年底收回指标。通过项目实施，通过项目实施，将“12331”“12315”投诉举报平台与日常监管、稽查办案深度融合，24小时受理消费者投诉。</w:t>
      </w:r>
      <w:r>
        <w:rPr>
          <w:rFonts w:ascii="仿宋_GB2312" w:eastAsia="仿宋_GB2312" w:hAnsi="仿宋_GB2312" w:cs="仿宋_GB2312" w:hint="eastAsia"/>
          <w:color w:val="000000" w:themeColor="text1"/>
          <w:sz w:val="32"/>
          <w:szCs w:val="32"/>
        </w:rPr>
        <w:t>2021年以来，西区共接到12315投诉举报83件，接待来访咨询125人次，为消费者挽回经济损失14.8万元，结案率100%。</w:t>
      </w:r>
      <w:r>
        <w:rPr>
          <w:rFonts w:ascii="仿宋_GB2312" w:eastAsia="仿宋_GB2312" w:hAnsi="仿宋_GB2312" w:hint="eastAsia"/>
          <w:caps/>
          <w:kern w:val="0"/>
          <w:sz w:val="32"/>
          <w:szCs w:val="32"/>
        </w:rPr>
        <w:t>目前已对被投诉量大、履行消费维权第一责任不力、调解成功率低、侵害消费者合法权益行为的典型经营者1家开展行政约谈。</w:t>
      </w:r>
    </w:p>
    <w:p w:rsidR="00485B30" w:rsidRDefault="00A90FDE">
      <w:pPr>
        <w:adjustRightInd w:val="0"/>
        <w:snapToGrid w:val="0"/>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（3）2021年中央药品监管补助资金项目绩效目标完成情况综述。项目全年预算数14万元，执行数为1</w:t>
      </w:r>
      <w:r w:rsidR="00C23BC6">
        <w:rPr>
          <w:rFonts w:ascii="仿宋_GB2312" w:eastAsia="仿宋_GB2312" w:hAnsi="仿宋_GB2312" w:cs="仿宋_GB2312" w:hint="eastAsia"/>
          <w:sz w:val="32"/>
          <w:szCs w:val="32"/>
        </w:rPr>
        <w:t>.29万</w:t>
      </w:r>
      <w:r>
        <w:rPr>
          <w:rFonts w:ascii="仿宋_GB2312" w:eastAsia="仿宋_GB2312" w:hAnsi="仿宋_GB2312" w:cs="仿宋_GB2312" w:hint="eastAsia"/>
          <w:sz w:val="32"/>
          <w:szCs w:val="32"/>
        </w:rPr>
        <w:t>元，完成预算的9.3%。未完成原因一是下达资金较晚，未来得及安排部分工作，二是单位已安排部分该项资金，但由于财政困难未审核报帐，年底收回指标。通过项目实施，</w:t>
      </w:r>
      <w:r>
        <w:rPr>
          <w:rFonts w:ascii="仿宋_GB2312" w:eastAsia="仿宋_GB2312" w:hint="eastAsia"/>
          <w:sz w:val="32"/>
          <w:szCs w:val="32"/>
        </w:rPr>
        <w:t>通过项目实施，</w:t>
      </w:r>
      <w:r>
        <w:rPr>
          <w:rFonts w:ascii="仿宋_GB2312" w:eastAsia="仿宋_GB2312" w:hAnsi="微软雅黑" w:hint="eastAsia"/>
          <w:sz w:val="32"/>
          <w:szCs w:val="32"/>
          <w:shd w:val="clear" w:color="auto" w:fill="FFFFFF"/>
        </w:rPr>
        <w:t>加强药品质量安全监管，防控安全风险隐患，严厉打击违规违法行为，确保了药品质量安全，保障了人民群众用药安全有效。</w:t>
      </w:r>
    </w:p>
    <w:p w:rsidR="00485B30" w:rsidRDefault="00A90FDE">
      <w:pPr>
        <w:numPr>
          <w:ilvl w:val="0"/>
          <w:numId w:val="3"/>
        </w:numPr>
        <w:adjustRightInd w:val="0"/>
        <w:snapToGrid w:val="0"/>
        <w:spacing w:line="550" w:lineRule="exac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质量强区项目绩效目标完成情况综述。项目全年预算数5万元，执行数为3.5万元，完成预算的70%。未完成原因是单位已安排完该项资金，但由于财政困难未审核报帐，年底收回</w:t>
      </w:r>
      <w:r>
        <w:rPr>
          <w:rFonts w:ascii="仿宋_GB2312" w:eastAsia="仿宋_GB2312" w:hAnsi="仿宋_GB2312" w:cs="仿宋_GB2312" w:hint="eastAsia"/>
          <w:sz w:val="32"/>
          <w:szCs w:val="32"/>
        </w:rPr>
        <w:lastRenderedPageBreak/>
        <w:t>指标。通过项目实施，</w:t>
      </w:r>
      <w:r>
        <w:rPr>
          <w:rFonts w:ascii="仿宋_GB2312" w:eastAsia="仿宋_GB2312" w:hint="eastAsia"/>
          <w:sz w:val="32"/>
          <w:szCs w:val="32"/>
        </w:rPr>
        <w:t>强化以抽查为主的产品质量监督，重点对联合焦化、瑞丰水泥、攀煤水泥等传统行业进行监督检查，对润滑油、小家电、服装等流通领域商品进行抽检，开展油品乱象整治、低速电动自行车专项整治、儿童学生用品专项等执法检查，</w:t>
      </w:r>
      <w:r>
        <w:rPr>
          <w:rFonts w:ascii="仿宋_GB2312" w:eastAsia="仿宋_GB2312" w:hAnsi="仿宋_GB2312" w:cs="仿宋_GB2312" w:hint="eastAsia"/>
          <w:sz w:val="32"/>
          <w:szCs w:val="32"/>
        </w:rPr>
        <w:t>规范质量管理行为，促进经济社会的健康发展。</w:t>
      </w:r>
    </w:p>
    <w:p w:rsidR="00485B30" w:rsidRDefault="00A90FDE">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（5）民生计量项目绩效目标完成情况综述。项目全年预算数1万元，执行数为1万元，完成预算的100%。通过项目实施，</w:t>
      </w:r>
      <w:r>
        <w:rPr>
          <w:rFonts w:ascii="仿宋_GB2312" w:eastAsia="仿宋_GB2312" w:hint="eastAsia"/>
          <w:sz w:val="32"/>
          <w:szCs w:val="32"/>
        </w:rPr>
        <w:t>开展诚信计量承诺活动，14个加油站、5家社区卫生服务中心进行了计量公开承诺。</w:t>
      </w:r>
      <w:r>
        <w:rPr>
          <w:rFonts w:ascii="仿宋_GB2312" w:eastAsia="仿宋_GB2312" w:cs="宋体" w:hint="eastAsia"/>
          <w:sz w:val="32"/>
          <w:szCs w:val="32"/>
        </w:rPr>
        <w:t>关注民生，开展计量检查，</w:t>
      </w:r>
      <w:r>
        <w:rPr>
          <w:rFonts w:ascii="仿宋_GB2312" w:eastAsia="仿宋_GB2312" w:hint="eastAsia"/>
          <w:sz w:val="32"/>
          <w:szCs w:val="32"/>
        </w:rPr>
        <w:t>对辖区内9家集贸市场581台件在用计量器具开展了免费检定，同时，检定辖区在用医疗器具161台件，取水计量器具11件。</w:t>
      </w:r>
      <w:r>
        <w:rPr>
          <w:rFonts w:ascii="仿宋_GB2312" w:eastAsia="仿宋_GB2312" w:hAnsi="仿宋_GB2312" w:cs="仿宋_GB2312" w:hint="eastAsia"/>
          <w:sz w:val="32"/>
          <w:szCs w:val="32"/>
        </w:rPr>
        <w:t>为地方经济社会和谐发展发挥了重要作用。</w:t>
      </w:r>
    </w:p>
    <w:tbl>
      <w:tblPr>
        <w:tblpPr w:leftFromText="180" w:rightFromText="180" w:vertAnchor="text" w:horzAnchor="page" w:tblpXSpec="center" w:tblpY="423"/>
        <w:tblOverlap w:val="never"/>
        <w:tblW w:w="9402" w:type="dxa"/>
        <w:jc w:val="center"/>
        <w:tblLayout w:type="fixed"/>
        <w:tblCellMar>
          <w:left w:w="0" w:type="dxa"/>
          <w:right w:w="0" w:type="dxa"/>
        </w:tblCellMar>
        <w:tblLook w:val="04A0"/>
      </w:tblPr>
      <w:tblGrid>
        <w:gridCol w:w="157"/>
        <w:gridCol w:w="425"/>
        <w:gridCol w:w="567"/>
        <w:gridCol w:w="318"/>
        <w:gridCol w:w="668"/>
        <w:gridCol w:w="755"/>
        <w:gridCol w:w="663"/>
        <w:gridCol w:w="56"/>
        <w:gridCol w:w="1275"/>
        <w:gridCol w:w="653"/>
        <w:gridCol w:w="1362"/>
        <w:gridCol w:w="339"/>
        <w:gridCol w:w="142"/>
        <w:gridCol w:w="1991"/>
        <w:gridCol w:w="31"/>
      </w:tblGrid>
      <w:tr w:rsidR="00485B30">
        <w:trPr>
          <w:gridBefore w:val="1"/>
          <w:wBefore w:w="157" w:type="dxa"/>
          <w:trHeight w:val="1034"/>
          <w:jc w:val="center"/>
        </w:trPr>
        <w:tc>
          <w:tcPr>
            <w:tcW w:w="9245" w:type="dxa"/>
            <w:gridSpan w:val="14"/>
            <w:tcBorders>
              <w:top w:val="nil"/>
              <w:left w:val="nil"/>
              <w:bottom w:val="nil"/>
              <w:right w:val="nil"/>
            </w:tcBorders>
            <w:tcMar>
              <w:top w:w="15" w:type="dxa"/>
              <w:left w:w="15" w:type="dxa"/>
              <w:right w:w="15" w:type="dxa"/>
            </w:tcMar>
            <w:vAlign w:val="center"/>
          </w:tcPr>
          <w:p w:rsidR="00485B30" w:rsidRDefault="00485B30">
            <w:pPr>
              <w:widowControl/>
              <w:textAlignment w:val="center"/>
              <w:rPr>
                <w:rFonts w:ascii="仿宋_GB2312" w:eastAsia="仿宋_GB2312" w:hAnsi="仿宋_GB2312" w:cs="仿宋_GB2312"/>
                <w:b/>
                <w:bCs/>
                <w:kern w:val="0"/>
                <w:sz w:val="32"/>
                <w:szCs w:val="32"/>
              </w:rPr>
            </w:pPr>
          </w:p>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b/>
                <w:bCs/>
                <w:kern w:val="0"/>
                <w:sz w:val="32"/>
                <w:szCs w:val="32"/>
              </w:rPr>
              <w:t>项目绩效目标完成情况表1</w:t>
            </w:r>
            <w:r>
              <w:rPr>
                <w:rFonts w:ascii="仿宋_GB2312" w:eastAsia="仿宋_GB2312" w:hAnsi="仿宋_GB2312" w:cs="仿宋_GB2312" w:hint="eastAsia"/>
                <w:b/>
                <w:bCs/>
                <w:kern w:val="0"/>
                <w:sz w:val="32"/>
                <w:szCs w:val="32"/>
              </w:rPr>
              <w:br/>
            </w:r>
            <w:r>
              <w:rPr>
                <w:rFonts w:ascii="仿宋_GB2312" w:eastAsia="仿宋_GB2312" w:hAnsi="仿宋_GB2312" w:cs="仿宋_GB2312" w:hint="eastAsia"/>
                <w:kern w:val="0"/>
                <w:sz w:val="24"/>
              </w:rPr>
              <w:t>(2021 年度)</w:t>
            </w:r>
          </w:p>
        </w:tc>
      </w:tr>
      <w:tr w:rsidR="00485B30">
        <w:trPr>
          <w:gridBefore w:val="1"/>
          <w:wBefore w:w="157" w:type="dxa"/>
          <w:trHeight w:val="276"/>
          <w:jc w:val="center"/>
        </w:trPr>
        <w:tc>
          <w:tcPr>
            <w:tcW w:w="345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项目名称</w:t>
            </w:r>
          </w:p>
        </w:tc>
        <w:tc>
          <w:tcPr>
            <w:tcW w:w="57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执法办案专项经费</w:t>
            </w:r>
          </w:p>
        </w:tc>
      </w:tr>
      <w:tr w:rsidR="00485B30">
        <w:trPr>
          <w:gridBefore w:val="1"/>
          <w:wBefore w:w="157" w:type="dxa"/>
          <w:trHeight w:val="276"/>
          <w:jc w:val="center"/>
        </w:trPr>
        <w:tc>
          <w:tcPr>
            <w:tcW w:w="345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预算单位</w:t>
            </w:r>
          </w:p>
        </w:tc>
        <w:tc>
          <w:tcPr>
            <w:tcW w:w="57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攀枝花市西区市场监督管理局</w:t>
            </w:r>
          </w:p>
        </w:tc>
      </w:tr>
      <w:tr w:rsidR="00485B30">
        <w:trPr>
          <w:gridBefore w:val="1"/>
          <w:wBefore w:w="157" w:type="dxa"/>
          <w:trHeight w:val="276"/>
          <w:jc w:val="center"/>
        </w:trPr>
        <w:tc>
          <w:tcPr>
            <w:tcW w:w="99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预算执行情况(万元)</w:t>
            </w:r>
          </w:p>
        </w:tc>
        <w:tc>
          <w:tcPr>
            <w:tcW w:w="246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预算数:</w:t>
            </w:r>
          </w:p>
        </w:tc>
        <w:tc>
          <w:tcPr>
            <w:tcW w:w="19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5万元</w:t>
            </w:r>
          </w:p>
        </w:tc>
        <w:tc>
          <w:tcPr>
            <w:tcW w:w="17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执行数:</w:t>
            </w:r>
          </w:p>
        </w:tc>
        <w:tc>
          <w:tcPr>
            <w:tcW w:w="216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0.8万元</w:t>
            </w:r>
          </w:p>
        </w:tc>
      </w:tr>
      <w:tr w:rsidR="00485B30">
        <w:trPr>
          <w:gridBefore w:val="1"/>
          <w:wBefore w:w="157" w:type="dxa"/>
          <w:trHeight w:val="330"/>
          <w:jc w:val="center"/>
        </w:trPr>
        <w:tc>
          <w:tcPr>
            <w:tcW w:w="992"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246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19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5万元</w:t>
            </w:r>
          </w:p>
        </w:tc>
        <w:tc>
          <w:tcPr>
            <w:tcW w:w="17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216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0.8万元</w:t>
            </w:r>
          </w:p>
        </w:tc>
      </w:tr>
      <w:tr w:rsidR="00485B30">
        <w:trPr>
          <w:gridBefore w:val="1"/>
          <w:wBefore w:w="157" w:type="dxa"/>
          <w:trHeight w:val="240"/>
          <w:jc w:val="center"/>
        </w:trPr>
        <w:tc>
          <w:tcPr>
            <w:tcW w:w="992"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246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19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17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216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r>
      <w:tr w:rsidR="00485B30">
        <w:trPr>
          <w:gridBefore w:val="1"/>
          <w:wBefore w:w="157" w:type="dxa"/>
          <w:trHeight w:val="276"/>
          <w:jc w:val="center"/>
        </w:trPr>
        <w:tc>
          <w:tcPr>
            <w:tcW w:w="99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年度目标完成情况</w:t>
            </w:r>
          </w:p>
        </w:tc>
        <w:tc>
          <w:tcPr>
            <w:tcW w:w="438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预期目标</w:t>
            </w:r>
          </w:p>
        </w:tc>
        <w:tc>
          <w:tcPr>
            <w:tcW w:w="38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实际完成目标</w:t>
            </w:r>
          </w:p>
        </w:tc>
      </w:tr>
      <w:tr w:rsidR="00485B30">
        <w:trPr>
          <w:gridBefore w:val="1"/>
          <w:wBefore w:w="157" w:type="dxa"/>
          <w:trHeight w:val="1159"/>
          <w:jc w:val="center"/>
        </w:trPr>
        <w:tc>
          <w:tcPr>
            <w:tcW w:w="992"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438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adjustRightInd w:val="0"/>
              <w:snapToGrid w:val="0"/>
              <w:spacing w:line="240" w:lineRule="atLeast"/>
              <w:rPr>
                <w:spacing w:val="-10"/>
                <w:szCs w:val="21"/>
              </w:rPr>
            </w:pPr>
            <w:r>
              <w:rPr>
                <w:rFonts w:ascii="仿宋_GB2312" w:eastAsia="仿宋_GB2312" w:hAnsi="仿宋_GB2312" w:cs="仿宋_GB2312" w:hint="eastAsia"/>
                <w:spacing w:val="-10"/>
                <w:szCs w:val="21"/>
              </w:rPr>
              <w:t>以开展“整治‘保健’市场乱象”执法子行动、“食品安全”执法子行动、“药品放心”执法子行动、质量安全执法子行动、市场治乱”执法子行动、自选行业或领域整治行动为抓手，在对关乎民生的食品、药品、特种设备、汽车销售等热点问题进行专项整治的同时，按照上级统一安排部署，将扫黑除恶融入“春雷行动2021”各项工作，对集贸市场内假冒伪劣、虚假宣传、违法销售生猪产品等各类违法违规行为，以及涉嫌强占各类集贸市场、欺行霸市、强买强卖、收取保护费、侵占群众利益的各类“菜霸”“行霸”“市</w:t>
            </w:r>
            <w:r>
              <w:rPr>
                <w:rFonts w:ascii="仿宋_GB2312" w:eastAsia="仿宋_GB2312" w:hAnsi="仿宋_GB2312" w:cs="仿宋_GB2312" w:hint="eastAsia"/>
                <w:spacing w:val="-10"/>
                <w:szCs w:val="21"/>
              </w:rPr>
              <w:lastRenderedPageBreak/>
              <w:t>霸”等黑恶势力线索的排查全面排查，切实保护群众切身利益。</w:t>
            </w:r>
          </w:p>
        </w:tc>
        <w:tc>
          <w:tcPr>
            <w:tcW w:w="38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adjustRightInd w:val="0"/>
              <w:snapToGrid w:val="0"/>
              <w:spacing w:line="240" w:lineRule="atLeast"/>
              <w:rPr>
                <w:spacing w:val="-10"/>
                <w:szCs w:val="21"/>
              </w:rPr>
            </w:pPr>
            <w:r>
              <w:rPr>
                <w:rFonts w:ascii="仿宋_GB2312" w:eastAsia="仿宋_GB2312" w:hAnsi="仿宋_GB2312" w:cs="仿宋_GB2312" w:hint="eastAsia"/>
                <w:spacing w:val="-10"/>
                <w:szCs w:val="21"/>
              </w:rPr>
              <w:lastRenderedPageBreak/>
              <w:t>以开展“整治‘保健’市场乱象”执法子行动、“食品安全”执法子行动、“药品放心”执法子行动、质量安全执法子行动、市场治乱”执法子行动、自选行业或领域整治行动为抓手，在对关乎民生的食品、药品、特种设备、汽车销售等热点问题进行专项整治的同时，按照上级统一安排部署，将扫黑除恶融入“春雷行动2021”各项工作，对集贸市场内假冒伪劣、虚假宣传、违法销售生猪产品等各类违法违规行为，以及涉嫌强占各类集贸市场、欺行霸市、</w:t>
            </w:r>
            <w:r>
              <w:rPr>
                <w:rFonts w:ascii="仿宋_GB2312" w:eastAsia="仿宋_GB2312" w:hAnsi="仿宋_GB2312" w:cs="仿宋_GB2312" w:hint="eastAsia"/>
                <w:spacing w:val="-10"/>
                <w:szCs w:val="21"/>
              </w:rPr>
              <w:lastRenderedPageBreak/>
              <w:t>强买强卖、收取保护费、侵占群众利益的各类“菜霸”“行霸”“市霸”等黑恶势力线索的排查全面排查，切实保护群众切身利益。</w:t>
            </w:r>
          </w:p>
        </w:tc>
      </w:tr>
      <w:tr w:rsidR="00485B30">
        <w:trPr>
          <w:gridBefore w:val="1"/>
          <w:wBefore w:w="157" w:type="dxa"/>
          <w:trHeight w:val="753"/>
          <w:jc w:val="center"/>
        </w:trPr>
        <w:tc>
          <w:tcPr>
            <w:tcW w:w="992"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绩效指标完成情况</w:t>
            </w: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一级指标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二级指标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三级指标</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预期指标值(包含数字及文字描述)</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实际完成指标值(包含数字及文字描述)</w:t>
            </w:r>
          </w:p>
        </w:tc>
      </w:tr>
      <w:tr w:rsidR="00485B30">
        <w:trPr>
          <w:gridBefore w:val="1"/>
          <w:wBefore w:w="157" w:type="dxa"/>
          <w:trHeight w:val="482"/>
          <w:jc w:val="center"/>
        </w:trPr>
        <w:tc>
          <w:tcPr>
            <w:tcW w:w="99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数量指标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立案查处案件数</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≥10件</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163件</w:t>
            </w:r>
          </w:p>
        </w:tc>
      </w:tr>
      <w:tr w:rsidR="00485B30">
        <w:trPr>
          <w:gridBefore w:val="1"/>
          <w:wBefore w:w="157" w:type="dxa"/>
          <w:trHeight w:val="676"/>
          <w:jc w:val="center"/>
        </w:trPr>
        <w:tc>
          <w:tcPr>
            <w:tcW w:w="99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数量指标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召开案件评审等相关会议次数</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≥10次</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40次</w:t>
            </w:r>
          </w:p>
        </w:tc>
      </w:tr>
      <w:tr w:rsidR="00485B30">
        <w:trPr>
          <w:gridBefore w:val="1"/>
          <w:wBefore w:w="157" w:type="dxa"/>
          <w:trHeight w:val="685"/>
          <w:jc w:val="center"/>
        </w:trPr>
        <w:tc>
          <w:tcPr>
            <w:tcW w:w="99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立案办结率</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485B30">
        <w:trPr>
          <w:gridBefore w:val="1"/>
          <w:wBefore w:w="157" w:type="dxa"/>
          <w:trHeight w:val="681"/>
          <w:jc w:val="center"/>
        </w:trPr>
        <w:tc>
          <w:tcPr>
            <w:tcW w:w="99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信访举报办结率</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485B30">
        <w:trPr>
          <w:gridBefore w:val="1"/>
          <w:wBefore w:w="157" w:type="dxa"/>
          <w:trHeight w:val="677"/>
          <w:jc w:val="center"/>
        </w:trPr>
        <w:tc>
          <w:tcPr>
            <w:tcW w:w="99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效益指标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社会效益</w:t>
            </w:r>
          </w:p>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市场监管业务和执法办案水平</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有所提升</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有所提升</w:t>
            </w:r>
          </w:p>
        </w:tc>
      </w:tr>
      <w:tr w:rsidR="00485B30">
        <w:trPr>
          <w:gridBefore w:val="1"/>
          <w:wBefore w:w="157" w:type="dxa"/>
          <w:trHeight w:val="1115"/>
          <w:jc w:val="center"/>
        </w:trPr>
        <w:tc>
          <w:tcPr>
            <w:tcW w:w="99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效益指标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可持续影响指标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加大市场监管力度，打击违法违规行为，营造良好市场环境</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长效</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长效</w:t>
            </w:r>
          </w:p>
        </w:tc>
      </w:tr>
      <w:tr w:rsidR="00485B30">
        <w:trPr>
          <w:gridBefore w:val="1"/>
          <w:wBefore w:w="157" w:type="dxa"/>
          <w:trHeight w:val="1050"/>
          <w:jc w:val="center"/>
        </w:trPr>
        <w:tc>
          <w:tcPr>
            <w:tcW w:w="992"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9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满意度指标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w:t>
            </w:r>
          </w:p>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满意度指标</w:t>
            </w:r>
          </w:p>
        </w:tc>
        <w:tc>
          <w:tcPr>
            <w:tcW w:w="19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检查办案人员行为规范投诉</w:t>
            </w:r>
          </w:p>
        </w:tc>
        <w:tc>
          <w:tcPr>
            <w:tcW w:w="18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≤1次</w:t>
            </w:r>
          </w:p>
        </w:tc>
        <w:tc>
          <w:tcPr>
            <w:tcW w:w="20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0次</w:t>
            </w:r>
          </w:p>
        </w:tc>
      </w:tr>
      <w:tr w:rsidR="00485B30">
        <w:trPr>
          <w:gridAfter w:val="1"/>
          <w:wAfter w:w="31" w:type="dxa"/>
          <w:trHeight w:val="1034"/>
          <w:jc w:val="center"/>
        </w:trPr>
        <w:tc>
          <w:tcPr>
            <w:tcW w:w="9371" w:type="dxa"/>
            <w:gridSpan w:val="14"/>
            <w:tcBorders>
              <w:top w:val="nil"/>
              <w:left w:val="nil"/>
              <w:bottom w:val="nil"/>
              <w:right w:val="nil"/>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b/>
                <w:bCs/>
                <w:kern w:val="0"/>
                <w:sz w:val="32"/>
                <w:szCs w:val="32"/>
              </w:rPr>
              <w:t>项目绩效目标完成情况表2</w:t>
            </w:r>
            <w:r>
              <w:rPr>
                <w:rFonts w:ascii="仿宋_GB2312" w:eastAsia="仿宋_GB2312" w:hAnsi="仿宋_GB2312" w:cs="仿宋_GB2312" w:hint="eastAsia"/>
                <w:b/>
                <w:bCs/>
                <w:kern w:val="0"/>
                <w:sz w:val="32"/>
                <w:szCs w:val="32"/>
              </w:rPr>
              <w:br/>
            </w:r>
            <w:r>
              <w:rPr>
                <w:rFonts w:ascii="仿宋_GB2312" w:eastAsia="仿宋_GB2312" w:hAnsi="仿宋_GB2312" w:cs="仿宋_GB2312" w:hint="eastAsia"/>
                <w:kern w:val="0"/>
                <w:sz w:val="24"/>
              </w:rPr>
              <w:t>(2021年度)</w:t>
            </w:r>
          </w:p>
        </w:tc>
      </w:tr>
      <w:tr w:rsidR="00485B30">
        <w:trPr>
          <w:gridAfter w:val="1"/>
          <w:wAfter w:w="31" w:type="dxa"/>
          <w:trHeight w:val="276"/>
          <w:jc w:val="center"/>
        </w:trPr>
        <w:tc>
          <w:tcPr>
            <w:tcW w:w="289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项目名称</w:t>
            </w:r>
          </w:p>
        </w:tc>
        <w:tc>
          <w:tcPr>
            <w:tcW w:w="6481"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消费者权益保护经费</w:t>
            </w:r>
          </w:p>
        </w:tc>
      </w:tr>
      <w:tr w:rsidR="00485B30">
        <w:trPr>
          <w:gridAfter w:val="1"/>
          <w:wAfter w:w="31" w:type="dxa"/>
          <w:trHeight w:val="276"/>
          <w:jc w:val="center"/>
        </w:trPr>
        <w:tc>
          <w:tcPr>
            <w:tcW w:w="289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预算单位</w:t>
            </w:r>
          </w:p>
        </w:tc>
        <w:tc>
          <w:tcPr>
            <w:tcW w:w="6481"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攀枝花市西区市场监督管理局</w:t>
            </w:r>
          </w:p>
        </w:tc>
      </w:tr>
      <w:tr w:rsidR="00485B30">
        <w:trPr>
          <w:gridAfter w:val="1"/>
          <w:wAfter w:w="31" w:type="dxa"/>
          <w:trHeight w:val="276"/>
          <w:jc w:val="center"/>
        </w:trPr>
        <w:tc>
          <w:tcPr>
            <w:tcW w:w="58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预算执行情况(万元)</w:t>
            </w:r>
          </w:p>
        </w:tc>
        <w:tc>
          <w:tcPr>
            <w:tcW w:w="230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预算数:</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2万元</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执行数:</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0万元</w:t>
            </w:r>
          </w:p>
        </w:tc>
      </w:tr>
      <w:tr w:rsidR="00485B30">
        <w:trPr>
          <w:gridAfter w:val="1"/>
          <w:wAfter w:w="31" w:type="dxa"/>
          <w:trHeight w:val="276"/>
          <w:jc w:val="center"/>
        </w:trPr>
        <w:tc>
          <w:tcPr>
            <w:tcW w:w="582"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Cs w:val="21"/>
              </w:rPr>
            </w:pPr>
          </w:p>
        </w:tc>
        <w:tc>
          <w:tcPr>
            <w:tcW w:w="230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其中-财政拨款:</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2万元</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其中-财政拨款:</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0万元</w:t>
            </w:r>
          </w:p>
        </w:tc>
      </w:tr>
      <w:tr w:rsidR="00485B30">
        <w:trPr>
          <w:gridAfter w:val="1"/>
          <w:wAfter w:w="31" w:type="dxa"/>
          <w:trHeight w:val="842"/>
          <w:jc w:val="center"/>
        </w:trPr>
        <w:tc>
          <w:tcPr>
            <w:tcW w:w="582"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Cs w:val="21"/>
              </w:rPr>
            </w:pPr>
          </w:p>
        </w:tc>
        <w:tc>
          <w:tcPr>
            <w:tcW w:w="230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其它资金:</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其它资金:</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85B30">
        <w:trPr>
          <w:gridAfter w:val="1"/>
          <w:wAfter w:w="31" w:type="dxa"/>
          <w:trHeight w:val="276"/>
          <w:jc w:val="center"/>
        </w:trPr>
        <w:tc>
          <w:tcPr>
            <w:tcW w:w="58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年度目标完成情况</w:t>
            </w:r>
          </w:p>
        </w:tc>
        <w:tc>
          <w:tcPr>
            <w:tcW w:w="430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预期目标</w:t>
            </w:r>
          </w:p>
        </w:tc>
        <w:tc>
          <w:tcPr>
            <w:tcW w:w="448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实际完成目标</w:t>
            </w:r>
          </w:p>
        </w:tc>
      </w:tr>
      <w:tr w:rsidR="00485B30">
        <w:trPr>
          <w:gridAfter w:val="1"/>
          <w:wAfter w:w="31" w:type="dxa"/>
          <w:trHeight w:val="1723"/>
          <w:jc w:val="center"/>
        </w:trPr>
        <w:tc>
          <w:tcPr>
            <w:tcW w:w="582"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Cs w:val="21"/>
              </w:rPr>
            </w:pPr>
          </w:p>
        </w:tc>
        <w:tc>
          <w:tcPr>
            <w:tcW w:w="430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开展消费维权相关宣传不少于2次；打造消费维权调解室1个；消费维权办结率100%；消费维权调解室竣工合格率大于等于95%；消费维权覆盖率大于等于75%；项目按期完成率100%；消费纠纷调节时限小于等于1个月</w:t>
            </w:r>
          </w:p>
        </w:tc>
        <w:tc>
          <w:tcPr>
            <w:tcW w:w="448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开展消费维权相关宣传不少于2次；打造消费维权调解室1个；消费维权办结率100%；消费维权调解室竣工合格率大于等于95%；消费维权覆盖率大于等于75%；项目按期完成率100%；消费纠纷调节时限小于等于1个月</w:t>
            </w:r>
          </w:p>
        </w:tc>
      </w:tr>
      <w:tr w:rsidR="00485B30">
        <w:trPr>
          <w:gridAfter w:val="1"/>
          <w:wAfter w:w="31" w:type="dxa"/>
          <w:trHeight w:val="532"/>
          <w:jc w:val="center"/>
        </w:trPr>
        <w:tc>
          <w:tcPr>
            <w:tcW w:w="582"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绩效指标</w:t>
            </w:r>
            <w:r>
              <w:rPr>
                <w:rFonts w:ascii="仿宋_GB2312" w:eastAsia="仿宋_GB2312" w:hAnsi="仿宋_GB2312" w:cs="仿宋_GB2312" w:hint="eastAsia"/>
                <w:sz w:val="24"/>
              </w:rPr>
              <w:lastRenderedPageBreak/>
              <w:t>完成情况</w:t>
            </w: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一级指标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二级指标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三级指标</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预期指标值(包含数字及文字描述)</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实际完成指标值(包含数字及文字描述)</w:t>
            </w:r>
          </w:p>
        </w:tc>
      </w:tr>
      <w:tr w:rsidR="00485B30">
        <w:trPr>
          <w:gridAfter w:val="1"/>
          <w:wAfter w:w="31" w:type="dxa"/>
          <w:trHeight w:val="442"/>
          <w:jc w:val="center"/>
        </w:trPr>
        <w:tc>
          <w:tcPr>
            <w:tcW w:w="58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项目完成指标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数量指标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开展消费维权相关宣传</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不少于2次</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2次</w:t>
            </w:r>
          </w:p>
        </w:tc>
      </w:tr>
      <w:tr w:rsidR="00485B30">
        <w:trPr>
          <w:gridAfter w:val="1"/>
          <w:wAfter w:w="31" w:type="dxa"/>
          <w:trHeight w:val="649"/>
          <w:jc w:val="center"/>
        </w:trPr>
        <w:tc>
          <w:tcPr>
            <w:tcW w:w="58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项目完成指标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数量指标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打造消费维权调解室1个</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1个</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1个</w:t>
            </w:r>
          </w:p>
        </w:tc>
      </w:tr>
      <w:tr w:rsidR="00485B30">
        <w:trPr>
          <w:gridAfter w:val="1"/>
          <w:wAfter w:w="31" w:type="dxa"/>
          <w:trHeight w:val="403"/>
          <w:jc w:val="center"/>
        </w:trPr>
        <w:tc>
          <w:tcPr>
            <w:tcW w:w="58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项目完成指标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消费维权办结率100%</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485B30">
        <w:trPr>
          <w:gridAfter w:val="1"/>
          <w:wAfter w:w="31" w:type="dxa"/>
          <w:trHeight w:val="581"/>
          <w:jc w:val="center"/>
        </w:trPr>
        <w:tc>
          <w:tcPr>
            <w:tcW w:w="58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项目完成指标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消费维权调解室竣工合格率</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≥95%</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≥95%</w:t>
            </w:r>
          </w:p>
        </w:tc>
      </w:tr>
      <w:tr w:rsidR="00485B30">
        <w:trPr>
          <w:gridAfter w:val="1"/>
          <w:wAfter w:w="31" w:type="dxa"/>
          <w:trHeight w:val="380"/>
          <w:jc w:val="center"/>
        </w:trPr>
        <w:tc>
          <w:tcPr>
            <w:tcW w:w="58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项目完成指标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消费维权覆盖率</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≥75%</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≥75%</w:t>
            </w:r>
          </w:p>
        </w:tc>
      </w:tr>
      <w:tr w:rsidR="00485B30">
        <w:trPr>
          <w:gridAfter w:val="1"/>
          <w:wAfter w:w="31" w:type="dxa"/>
          <w:trHeight w:val="716"/>
          <w:jc w:val="center"/>
        </w:trPr>
        <w:tc>
          <w:tcPr>
            <w:tcW w:w="58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效益指标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社会效益</w:t>
            </w:r>
          </w:p>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确保消费维权工作能力提升，保障消费者权益</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有所提升</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有所提升</w:t>
            </w:r>
          </w:p>
        </w:tc>
      </w:tr>
      <w:tr w:rsidR="00485B30">
        <w:trPr>
          <w:gridAfter w:val="1"/>
          <w:wAfter w:w="31" w:type="dxa"/>
          <w:trHeight w:val="1042"/>
          <w:jc w:val="center"/>
        </w:trPr>
        <w:tc>
          <w:tcPr>
            <w:tcW w:w="582" w:type="dxa"/>
            <w:gridSpan w:val="2"/>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效益指标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可持续影响</w:t>
            </w:r>
          </w:p>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持续提升消费维权能力，加大消费维权知识宣传，提高群众维权意识</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长效</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长效</w:t>
            </w:r>
          </w:p>
        </w:tc>
      </w:tr>
      <w:tr w:rsidR="00485B30">
        <w:trPr>
          <w:gridAfter w:val="1"/>
          <w:wAfter w:w="31" w:type="dxa"/>
          <w:trHeight w:val="613"/>
          <w:jc w:val="center"/>
        </w:trPr>
        <w:tc>
          <w:tcPr>
            <w:tcW w:w="582"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满意度指标</w:t>
            </w:r>
          </w:p>
        </w:tc>
        <w:tc>
          <w:tcPr>
            <w:tcW w:w="14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w:t>
            </w:r>
          </w:p>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满意度指标</w:t>
            </w:r>
          </w:p>
        </w:tc>
        <w:tc>
          <w:tcPr>
            <w:tcW w:w="19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群众满意度</w:t>
            </w:r>
          </w:p>
        </w:tc>
        <w:tc>
          <w:tcPr>
            <w:tcW w:w="20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c>
          <w:tcPr>
            <w:tcW w:w="24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r>
    </w:tbl>
    <w:p w:rsidR="00485B30" w:rsidRDefault="00485B30">
      <w:pPr>
        <w:pStyle w:val="a0"/>
        <w:spacing w:before="93"/>
      </w:pPr>
    </w:p>
    <w:tbl>
      <w:tblPr>
        <w:tblpPr w:leftFromText="180" w:rightFromText="180" w:vertAnchor="text" w:horzAnchor="page" w:tblpXSpec="center" w:tblpY="423"/>
        <w:tblOverlap w:val="never"/>
        <w:tblW w:w="8336" w:type="dxa"/>
        <w:jc w:val="center"/>
        <w:tblLayout w:type="fixed"/>
        <w:tblCellMar>
          <w:left w:w="0" w:type="dxa"/>
          <w:right w:w="0" w:type="dxa"/>
        </w:tblCellMar>
        <w:tblLook w:val="04A0"/>
      </w:tblPr>
      <w:tblGrid>
        <w:gridCol w:w="394"/>
        <w:gridCol w:w="472"/>
        <w:gridCol w:w="458"/>
        <w:gridCol w:w="947"/>
        <w:gridCol w:w="1855"/>
        <w:gridCol w:w="283"/>
        <w:gridCol w:w="754"/>
        <w:gridCol w:w="1228"/>
        <w:gridCol w:w="1945"/>
      </w:tblGrid>
      <w:tr w:rsidR="00485B30">
        <w:trPr>
          <w:cantSplit/>
          <w:trHeight w:hRule="exact" w:val="772"/>
          <w:jc w:val="center"/>
        </w:trPr>
        <w:tc>
          <w:tcPr>
            <w:tcW w:w="8336" w:type="dxa"/>
            <w:gridSpan w:val="9"/>
            <w:tcBorders>
              <w:top w:val="nil"/>
              <w:left w:val="nil"/>
              <w:bottom w:val="nil"/>
              <w:right w:val="nil"/>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b/>
                <w:bCs/>
                <w:kern w:val="0"/>
                <w:sz w:val="32"/>
                <w:szCs w:val="32"/>
              </w:rPr>
            </w:pPr>
          </w:p>
          <w:p w:rsidR="00485B30" w:rsidRDefault="00A90FDE">
            <w:pPr>
              <w:widowControl/>
              <w:spacing w:line="2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b/>
                <w:bCs/>
                <w:kern w:val="0"/>
                <w:sz w:val="32"/>
                <w:szCs w:val="32"/>
              </w:rPr>
              <w:t>项目绩效目标完成情况表3</w:t>
            </w:r>
            <w:r>
              <w:rPr>
                <w:rFonts w:ascii="仿宋_GB2312" w:eastAsia="仿宋_GB2312" w:hAnsi="仿宋_GB2312" w:cs="仿宋_GB2312" w:hint="eastAsia"/>
                <w:b/>
                <w:bCs/>
                <w:kern w:val="0"/>
                <w:sz w:val="32"/>
                <w:szCs w:val="32"/>
              </w:rPr>
              <w:br/>
            </w:r>
            <w:r>
              <w:rPr>
                <w:rFonts w:ascii="仿宋_GB2312" w:eastAsia="仿宋_GB2312" w:hAnsi="仿宋_GB2312" w:cs="仿宋_GB2312" w:hint="eastAsia"/>
                <w:kern w:val="0"/>
                <w:sz w:val="24"/>
              </w:rPr>
              <w:t>(2021 年度)</w:t>
            </w:r>
          </w:p>
          <w:p w:rsidR="00485B30" w:rsidRDefault="00485B30">
            <w:pPr>
              <w:widowControl/>
              <w:spacing w:line="240" w:lineRule="exact"/>
              <w:jc w:val="center"/>
              <w:textAlignment w:val="center"/>
              <w:rPr>
                <w:rFonts w:ascii="仿宋_GB2312" w:eastAsia="仿宋_GB2312" w:hAnsi="仿宋_GB2312" w:cs="仿宋_GB2312"/>
                <w:kern w:val="0"/>
                <w:sz w:val="24"/>
              </w:rPr>
            </w:pPr>
          </w:p>
          <w:p w:rsidR="00485B30" w:rsidRDefault="00485B30">
            <w:pPr>
              <w:widowControl/>
              <w:spacing w:line="240" w:lineRule="exact"/>
              <w:jc w:val="center"/>
              <w:textAlignment w:val="center"/>
              <w:rPr>
                <w:rFonts w:ascii="仿宋_GB2312" w:eastAsia="仿宋_GB2312" w:hAnsi="仿宋_GB2312" w:cs="仿宋_GB2312"/>
                <w:kern w:val="0"/>
                <w:sz w:val="24"/>
              </w:rPr>
            </w:pPr>
          </w:p>
          <w:p w:rsidR="00485B30" w:rsidRDefault="00485B30">
            <w:pPr>
              <w:widowControl/>
              <w:spacing w:line="240" w:lineRule="exact"/>
              <w:textAlignment w:val="center"/>
              <w:rPr>
                <w:rFonts w:ascii="仿宋_GB2312" w:eastAsia="仿宋_GB2312" w:hAnsi="仿宋_GB2312" w:cs="仿宋_GB2312"/>
                <w:kern w:val="0"/>
                <w:sz w:val="24"/>
              </w:rPr>
            </w:pPr>
          </w:p>
        </w:tc>
      </w:tr>
      <w:tr w:rsidR="00485B30">
        <w:trPr>
          <w:cantSplit/>
          <w:trHeight w:hRule="exact" w:val="397"/>
          <w:jc w:val="center"/>
        </w:trPr>
        <w:tc>
          <w:tcPr>
            <w:tcW w:w="227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项目名称</w:t>
            </w:r>
          </w:p>
        </w:tc>
        <w:tc>
          <w:tcPr>
            <w:tcW w:w="60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2021年中央药品监管补助资金</w:t>
            </w:r>
          </w:p>
        </w:tc>
      </w:tr>
      <w:tr w:rsidR="00485B30">
        <w:trPr>
          <w:cantSplit/>
          <w:trHeight w:hRule="exact" w:val="321"/>
          <w:jc w:val="center"/>
        </w:trPr>
        <w:tc>
          <w:tcPr>
            <w:tcW w:w="227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预算单位</w:t>
            </w:r>
          </w:p>
        </w:tc>
        <w:tc>
          <w:tcPr>
            <w:tcW w:w="60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攀枝花市西区市场监督管理局</w:t>
            </w:r>
          </w:p>
        </w:tc>
      </w:tr>
      <w:tr w:rsidR="00485B30">
        <w:trPr>
          <w:cantSplit/>
          <w:trHeight w:hRule="exact" w:val="397"/>
          <w:jc w:val="center"/>
        </w:trPr>
        <w:tc>
          <w:tcPr>
            <w:tcW w:w="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预算执行情况(万元)</w:t>
            </w:r>
          </w:p>
        </w:tc>
        <w:tc>
          <w:tcPr>
            <w:tcW w:w="187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预算数:</w:t>
            </w:r>
          </w:p>
        </w:tc>
        <w:tc>
          <w:tcPr>
            <w:tcW w:w="21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14万元</w:t>
            </w:r>
          </w:p>
        </w:tc>
        <w:tc>
          <w:tcPr>
            <w:tcW w:w="198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执行数:</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1.298万元</w:t>
            </w:r>
          </w:p>
        </w:tc>
      </w:tr>
      <w:tr w:rsidR="00485B30">
        <w:trPr>
          <w:cantSplit/>
          <w:trHeight w:hRule="exact" w:val="397"/>
          <w:jc w:val="center"/>
        </w:trPr>
        <w:tc>
          <w:tcPr>
            <w:tcW w:w="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spacing w:line="240" w:lineRule="exact"/>
              <w:jc w:val="center"/>
              <w:rPr>
                <w:rFonts w:ascii="仿宋_GB2312" w:eastAsia="仿宋_GB2312" w:hAnsi="仿宋_GB2312" w:cs="仿宋_GB2312"/>
                <w:sz w:val="24"/>
              </w:rPr>
            </w:pPr>
          </w:p>
        </w:tc>
        <w:tc>
          <w:tcPr>
            <w:tcW w:w="187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21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14万元</w:t>
            </w:r>
          </w:p>
        </w:tc>
        <w:tc>
          <w:tcPr>
            <w:tcW w:w="198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1.298万元</w:t>
            </w:r>
          </w:p>
        </w:tc>
      </w:tr>
      <w:tr w:rsidR="00485B30">
        <w:trPr>
          <w:cantSplit/>
          <w:trHeight w:hRule="exact" w:val="397"/>
          <w:jc w:val="center"/>
        </w:trPr>
        <w:tc>
          <w:tcPr>
            <w:tcW w:w="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spacing w:line="240" w:lineRule="exact"/>
              <w:jc w:val="center"/>
              <w:rPr>
                <w:rFonts w:ascii="仿宋_GB2312" w:eastAsia="仿宋_GB2312" w:hAnsi="仿宋_GB2312" w:cs="仿宋_GB2312"/>
                <w:sz w:val="24"/>
              </w:rPr>
            </w:pPr>
          </w:p>
        </w:tc>
        <w:tc>
          <w:tcPr>
            <w:tcW w:w="187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21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198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1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spacing w:line="240" w:lineRule="exact"/>
              <w:jc w:val="center"/>
              <w:rPr>
                <w:rFonts w:ascii="仿宋_GB2312" w:eastAsia="仿宋_GB2312" w:hAnsi="仿宋_GB2312" w:cs="仿宋_GB2312"/>
                <w:sz w:val="24"/>
              </w:rPr>
            </w:pPr>
          </w:p>
        </w:tc>
      </w:tr>
      <w:tr w:rsidR="00485B30">
        <w:trPr>
          <w:cantSplit/>
          <w:trHeight w:hRule="exact" w:val="397"/>
          <w:jc w:val="center"/>
        </w:trPr>
        <w:tc>
          <w:tcPr>
            <w:tcW w:w="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lastRenderedPageBreak/>
              <w:t>度目标完成情况</w:t>
            </w:r>
          </w:p>
        </w:tc>
        <w:tc>
          <w:tcPr>
            <w:tcW w:w="373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lastRenderedPageBreak/>
              <w:t>预期目标</w:t>
            </w:r>
          </w:p>
        </w:tc>
        <w:tc>
          <w:tcPr>
            <w:tcW w:w="42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实际完成目标</w:t>
            </w:r>
          </w:p>
        </w:tc>
      </w:tr>
      <w:tr w:rsidR="00485B30">
        <w:trPr>
          <w:cantSplit/>
          <w:trHeight w:hRule="exact" w:val="4319"/>
          <w:jc w:val="center"/>
        </w:trPr>
        <w:tc>
          <w:tcPr>
            <w:tcW w:w="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spacing w:line="240" w:lineRule="exact"/>
              <w:jc w:val="center"/>
              <w:rPr>
                <w:rFonts w:ascii="仿宋_GB2312" w:eastAsia="仿宋_GB2312" w:hAnsi="仿宋_GB2312" w:cs="仿宋_GB2312"/>
                <w:sz w:val="24"/>
              </w:rPr>
            </w:pPr>
          </w:p>
        </w:tc>
        <w:tc>
          <w:tcPr>
            <w:tcW w:w="373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1.不断完善和加强“两品一械”安全抽样检验工作；</w:t>
            </w:r>
          </w:p>
          <w:p w:rsidR="00485B30" w:rsidRDefault="00A90FDE">
            <w:pPr>
              <w:widowControl/>
              <w:spacing w:line="24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2.加强“两品一械”企业监管力度；</w:t>
            </w:r>
          </w:p>
          <w:p w:rsidR="00485B30" w:rsidRDefault="00A90FDE">
            <w:pPr>
              <w:widowControl/>
              <w:spacing w:line="24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3.加强培训，提高监管人员专业水平和综合素质；</w:t>
            </w:r>
          </w:p>
          <w:p w:rsidR="00485B30" w:rsidRDefault="00A90FDE">
            <w:pPr>
              <w:widowControl/>
              <w:spacing w:line="24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4.监管及检验检测技术支持能力提升；</w:t>
            </w:r>
          </w:p>
          <w:p w:rsidR="00485B30" w:rsidRDefault="00A90FDE">
            <w:pPr>
              <w:widowControl/>
              <w:spacing w:line="24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5.加大“两品一械”科普宣传力度，提高公众识别防范风险的意识；</w:t>
            </w:r>
          </w:p>
          <w:p w:rsidR="00485B30" w:rsidRDefault="00A90FDE">
            <w:pPr>
              <w:widowControl/>
              <w:spacing w:line="24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6.假冒伪劣药品化妆品制售行为不断降低；</w:t>
            </w:r>
          </w:p>
          <w:p w:rsidR="00485B30" w:rsidRDefault="00A90FDE">
            <w:pPr>
              <w:widowControl/>
              <w:spacing w:line="24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7.公众对药品化妆品生产监管满意度不断提升。</w:t>
            </w:r>
          </w:p>
        </w:tc>
        <w:tc>
          <w:tcPr>
            <w:tcW w:w="42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textAlignment w:val="center"/>
              <w:rPr>
                <w:rFonts w:ascii="仿宋_GB2312" w:eastAsia="仿宋_GB2312" w:hAnsi="仿宋_GB2312" w:cs="仿宋_GB2312"/>
                <w:szCs w:val="21"/>
              </w:rPr>
            </w:pPr>
            <w:r>
              <w:rPr>
                <w:rFonts w:ascii="仿宋_GB2312" w:eastAsia="仿宋_GB2312" w:hAnsi="仿宋_GB2312" w:cs="仿宋_GB2312" w:hint="eastAsia"/>
                <w:szCs w:val="21"/>
              </w:rPr>
              <w:t>1.开展药品区域性抽验20批次。</w:t>
            </w:r>
          </w:p>
          <w:p w:rsidR="00485B30" w:rsidRDefault="00A90FDE">
            <w:pPr>
              <w:widowControl/>
              <w:spacing w:line="240" w:lineRule="exact"/>
              <w:textAlignment w:val="center"/>
              <w:rPr>
                <w:rFonts w:ascii="仿宋_GB2312" w:eastAsia="仿宋_GB2312" w:hAnsi="仿宋_GB2312" w:cs="仿宋_GB2312"/>
                <w:szCs w:val="21"/>
              </w:rPr>
            </w:pPr>
            <w:r>
              <w:rPr>
                <w:rFonts w:ascii="仿宋_GB2312" w:eastAsia="仿宋_GB2312" w:hAnsi="仿宋_GB2312" w:cs="仿宋_GB2312" w:hint="eastAsia"/>
                <w:szCs w:val="21"/>
              </w:rPr>
              <w:t>2.已完成两品一械监管，监管覆盖率100%；</w:t>
            </w:r>
          </w:p>
          <w:p w:rsidR="00485B30" w:rsidRDefault="00A90FDE">
            <w:pPr>
              <w:widowControl/>
              <w:spacing w:line="240" w:lineRule="exact"/>
              <w:textAlignment w:val="center"/>
              <w:rPr>
                <w:rFonts w:ascii="仿宋_GB2312" w:eastAsia="仿宋_GB2312" w:hAnsi="仿宋_GB2312" w:cs="仿宋_GB2312"/>
                <w:szCs w:val="21"/>
              </w:rPr>
            </w:pPr>
            <w:r>
              <w:rPr>
                <w:rFonts w:ascii="仿宋_GB2312" w:eastAsia="仿宋_GB2312" w:hAnsi="仿宋_GB2312" w:cs="仿宋_GB2312" w:hint="eastAsia"/>
                <w:szCs w:val="21"/>
              </w:rPr>
              <w:t>3.已完成全年监管人员培训学时；</w:t>
            </w:r>
          </w:p>
          <w:p w:rsidR="00485B30" w:rsidRDefault="00A90FDE">
            <w:pPr>
              <w:widowControl/>
              <w:spacing w:line="240" w:lineRule="exact"/>
              <w:textAlignment w:val="center"/>
              <w:rPr>
                <w:rFonts w:ascii="仿宋_GB2312" w:eastAsia="仿宋_GB2312" w:hAnsi="仿宋_GB2312" w:cs="仿宋_GB2312"/>
                <w:szCs w:val="21"/>
              </w:rPr>
            </w:pPr>
            <w:r>
              <w:rPr>
                <w:rFonts w:ascii="仿宋_GB2312" w:eastAsia="仿宋_GB2312" w:hAnsi="仿宋_GB2312" w:cs="仿宋_GB2312" w:hint="eastAsia"/>
                <w:szCs w:val="21"/>
              </w:rPr>
              <w:t>4.监管能力有所提升；</w:t>
            </w:r>
          </w:p>
          <w:p w:rsidR="00485B30" w:rsidRDefault="00A90FDE">
            <w:pPr>
              <w:widowControl/>
              <w:spacing w:line="240" w:lineRule="exact"/>
              <w:textAlignment w:val="center"/>
              <w:rPr>
                <w:rFonts w:ascii="仿宋_GB2312" w:eastAsia="仿宋_GB2312" w:hAnsi="仿宋_GB2312" w:cs="仿宋_GB2312"/>
                <w:szCs w:val="21"/>
              </w:rPr>
            </w:pPr>
            <w:r>
              <w:rPr>
                <w:rFonts w:ascii="仿宋_GB2312" w:eastAsia="仿宋_GB2312" w:hAnsi="仿宋_GB2312" w:cs="仿宋_GB2312" w:hint="eastAsia"/>
                <w:szCs w:val="21"/>
              </w:rPr>
              <w:t>5.通过“3.15”国际消费者权益日、“6.26”国际禁毒日、市场监管科技周、化妆品安全科普宣传周系列活动等宣传活动，加大科普宣传力度，提高了公众风险防范意识；</w:t>
            </w:r>
          </w:p>
          <w:p w:rsidR="00485B30" w:rsidRDefault="00A90FDE">
            <w:pPr>
              <w:adjustRightInd w:val="0"/>
              <w:snapToGrid w:val="0"/>
              <w:spacing w:line="240" w:lineRule="atLeast"/>
              <w:rPr>
                <w:rFonts w:ascii="仿宋_GB2312" w:eastAsia="仿宋_GB2312" w:hAnsi="仿宋_GB2312" w:cs="仿宋_GB2312"/>
                <w:sz w:val="24"/>
              </w:rPr>
            </w:pPr>
            <w:r>
              <w:rPr>
                <w:rFonts w:ascii="仿宋_GB2312" w:eastAsia="仿宋_GB2312" w:hAnsi="仿宋_GB2312" w:cs="仿宋_GB2312" w:hint="eastAsia"/>
                <w:szCs w:val="21"/>
              </w:rPr>
              <w:t>6.我局共对药械经营使用单位开展各类检查288家次，化妆品经营使用单位322家次，办理药品、医疗器械、化妆品违法案件36件，其中一般程序案件34件，当场行政处罚案件2件，罚没款共计140108.8元7.公众对药品、医疗器械和化妆品监管工作满意度有所提升。</w:t>
            </w:r>
          </w:p>
        </w:tc>
      </w:tr>
      <w:tr w:rsidR="00485B30">
        <w:trPr>
          <w:cantSplit/>
          <w:trHeight w:hRule="exact" w:val="1513"/>
          <w:jc w:val="center"/>
        </w:trPr>
        <w:tc>
          <w:tcPr>
            <w:tcW w:w="39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绩效指标完成情况</w:t>
            </w:r>
          </w:p>
        </w:tc>
        <w:tc>
          <w:tcPr>
            <w:tcW w:w="47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一级指标</w:t>
            </w:r>
          </w:p>
        </w:tc>
        <w:tc>
          <w:tcPr>
            <w:tcW w:w="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二级指标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三级指标</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预期指标值(包含数字及文字描述)</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实际完成指标值(包含数字及文字描述)</w:t>
            </w:r>
          </w:p>
        </w:tc>
      </w:tr>
      <w:tr w:rsidR="00485B30">
        <w:trPr>
          <w:cantSplit/>
          <w:trHeight w:hRule="exact" w:val="756"/>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p w:rsidR="00485B30" w:rsidRDefault="00485B30">
            <w:pPr>
              <w:spacing w:line="240" w:lineRule="exact"/>
              <w:jc w:val="center"/>
              <w:textAlignment w:val="center"/>
              <w:rPr>
                <w:rFonts w:ascii="仿宋_GB2312" w:eastAsia="仿宋_GB2312" w:hAnsi="仿宋_GB2312" w:cs="仿宋_GB2312"/>
                <w:sz w:val="24"/>
              </w:rPr>
            </w:pPr>
          </w:p>
        </w:tc>
        <w:tc>
          <w:tcPr>
            <w:tcW w:w="458"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数量指标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指标1.药品监管企业数</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≥68家</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全年完成药品经营企业监管122家次，药品使用企业113家次</w:t>
            </w:r>
          </w:p>
        </w:tc>
      </w:tr>
      <w:tr w:rsidR="00485B30">
        <w:trPr>
          <w:cantSplit/>
          <w:trHeight w:hRule="exact" w:val="564"/>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sz w:val="24"/>
              </w:rPr>
            </w:pPr>
          </w:p>
        </w:tc>
        <w:tc>
          <w:tcPr>
            <w:tcW w:w="458"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指标2.化妆品监管企业数</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≥236家</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全年完成化妆品经营使用企业监管322家次</w:t>
            </w:r>
          </w:p>
        </w:tc>
      </w:tr>
      <w:tr w:rsidR="00485B30">
        <w:trPr>
          <w:cantSplit/>
          <w:trHeight w:hRule="exact" w:val="798"/>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sz w:val="24"/>
              </w:rPr>
            </w:pPr>
          </w:p>
        </w:tc>
        <w:tc>
          <w:tcPr>
            <w:tcW w:w="458"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指标3.医疗器械监管企业数</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≥9家</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全年完成医疗器械经营企业监管89家次，医疗器械使用企业监管133家次</w:t>
            </w:r>
          </w:p>
        </w:tc>
      </w:tr>
      <w:tr w:rsidR="00485B30">
        <w:trPr>
          <w:cantSplit/>
          <w:trHeight w:hRule="exact" w:val="564"/>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kern w:val="0"/>
                <w:sz w:val="24"/>
              </w:rPr>
            </w:pPr>
          </w:p>
        </w:tc>
        <w:tc>
          <w:tcPr>
            <w:tcW w:w="458"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指标4.药品监管人员人均培训学时</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≥90学时</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已完成药品监管人员规定培训学时</w:t>
            </w:r>
          </w:p>
        </w:tc>
      </w:tr>
      <w:tr w:rsidR="00485B30">
        <w:trPr>
          <w:cantSplit/>
          <w:trHeight w:hRule="exact" w:val="746"/>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sz w:val="24"/>
              </w:rPr>
            </w:pPr>
          </w:p>
        </w:tc>
        <w:tc>
          <w:tcPr>
            <w:tcW w:w="458"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指标5：药物滥用常规监测任务数</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≥50份</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≥50份</w:t>
            </w:r>
          </w:p>
        </w:tc>
      </w:tr>
      <w:tr w:rsidR="00485B30">
        <w:trPr>
          <w:cantSplit/>
          <w:trHeight w:hRule="exact" w:val="397"/>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sz w:val="24"/>
              </w:rPr>
            </w:pPr>
          </w:p>
        </w:tc>
        <w:tc>
          <w:tcPr>
            <w:tcW w:w="458"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指标1.不合格产品处置率</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已完成不合格产品处置</w:t>
            </w:r>
          </w:p>
        </w:tc>
      </w:tr>
      <w:tr w:rsidR="00485B30">
        <w:trPr>
          <w:cantSplit/>
          <w:trHeight w:hRule="exact" w:val="582"/>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sz w:val="24"/>
              </w:rPr>
            </w:pPr>
          </w:p>
        </w:tc>
        <w:tc>
          <w:tcPr>
            <w:tcW w:w="458"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指标2.药品不良反应每百万人口报告数</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≥60份</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≥60份</w:t>
            </w:r>
          </w:p>
        </w:tc>
      </w:tr>
      <w:tr w:rsidR="00485B30">
        <w:trPr>
          <w:cantSplit/>
          <w:trHeight w:hRule="exact" w:val="572"/>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sz w:val="24"/>
              </w:rPr>
            </w:pPr>
          </w:p>
        </w:tc>
        <w:tc>
          <w:tcPr>
            <w:tcW w:w="458"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指标3.化妆品不良反应每百万人口报告数</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≥10份</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≥10份</w:t>
            </w:r>
          </w:p>
        </w:tc>
      </w:tr>
      <w:tr w:rsidR="00485B30">
        <w:trPr>
          <w:cantSplit/>
          <w:trHeight w:hRule="exact" w:val="552"/>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spacing w:line="240" w:lineRule="exact"/>
              <w:jc w:val="center"/>
              <w:textAlignment w:val="center"/>
              <w:rPr>
                <w:rFonts w:ascii="仿宋_GB2312" w:eastAsia="仿宋_GB2312" w:hAnsi="仿宋_GB2312" w:cs="仿宋_GB2312"/>
                <w:kern w:val="0"/>
                <w:sz w:val="24"/>
              </w:rPr>
            </w:pPr>
          </w:p>
        </w:tc>
        <w:tc>
          <w:tcPr>
            <w:tcW w:w="458"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指标4.医疗器械不良应每百万人口报告数</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≥20份</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≥20份</w:t>
            </w:r>
          </w:p>
        </w:tc>
      </w:tr>
      <w:tr w:rsidR="00485B30">
        <w:trPr>
          <w:cantSplit/>
          <w:trHeight w:hRule="exact" w:val="397"/>
          <w:jc w:val="center"/>
        </w:trPr>
        <w:tc>
          <w:tcPr>
            <w:tcW w:w="394"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58"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指标5.培训人员覆盖率</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已完成</w:t>
            </w:r>
          </w:p>
        </w:tc>
      </w:tr>
      <w:tr w:rsidR="00485B30">
        <w:trPr>
          <w:cantSplit/>
          <w:trHeight w:hRule="exact" w:val="576"/>
          <w:jc w:val="center"/>
        </w:trPr>
        <w:tc>
          <w:tcPr>
            <w:tcW w:w="39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000000"/>
              <w:bottom w:val="single" w:sz="4" w:space="0" w:color="auto"/>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kern w:val="0"/>
                <w:sz w:val="24"/>
              </w:rPr>
            </w:pPr>
          </w:p>
        </w:tc>
        <w:tc>
          <w:tcPr>
            <w:tcW w:w="45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时效指标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任务完成时间</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ind w:right="200"/>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2021年底</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2021年底</w:t>
            </w:r>
          </w:p>
        </w:tc>
      </w:tr>
      <w:tr w:rsidR="00485B30">
        <w:trPr>
          <w:cantSplit/>
          <w:trHeight w:hRule="exact" w:val="1614"/>
          <w:jc w:val="center"/>
        </w:trPr>
        <w:tc>
          <w:tcPr>
            <w:tcW w:w="394" w:type="dxa"/>
            <w:vMerge w:val="restart"/>
            <w:tcBorders>
              <w:left w:val="single" w:sz="4" w:space="0" w:color="000000"/>
              <w:right w:val="single" w:sz="4" w:space="0" w:color="auto"/>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绩效指标完成情况</w:t>
            </w:r>
          </w:p>
        </w:tc>
        <w:tc>
          <w:tcPr>
            <w:tcW w:w="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项目完成指标</w:t>
            </w:r>
          </w:p>
        </w:tc>
        <w:tc>
          <w:tcPr>
            <w:tcW w:w="45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成本指标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指标1.培训成本</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≤400元/人.天</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严格按照要求控制培训成本在400元/人.天内</w:t>
            </w:r>
          </w:p>
        </w:tc>
      </w:tr>
      <w:tr w:rsidR="00485B30">
        <w:trPr>
          <w:cantSplit/>
          <w:trHeight w:hRule="exact" w:val="591"/>
          <w:jc w:val="center"/>
        </w:trPr>
        <w:tc>
          <w:tcPr>
            <w:tcW w:w="394"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效益指标</w:t>
            </w:r>
          </w:p>
        </w:tc>
        <w:tc>
          <w:tcPr>
            <w:tcW w:w="45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社会效益指标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指标1.“两品一械”总体安全水平</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不断提高</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有所提高</w:t>
            </w:r>
          </w:p>
        </w:tc>
      </w:tr>
      <w:tr w:rsidR="00485B30">
        <w:trPr>
          <w:cantSplit/>
          <w:trHeight w:hRule="exact" w:val="768"/>
          <w:jc w:val="center"/>
        </w:trPr>
        <w:tc>
          <w:tcPr>
            <w:tcW w:w="394"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kern w:val="0"/>
                <w:sz w:val="24"/>
              </w:rPr>
            </w:pPr>
          </w:p>
        </w:tc>
        <w:tc>
          <w:tcPr>
            <w:tcW w:w="458"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指标2.提高“两品一械”安全科普知识宣传覆盖面，公众自我保护意识不断提高</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不断提高</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有所提高</w:t>
            </w:r>
          </w:p>
        </w:tc>
      </w:tr>
      <w:tr w:rsidR="00485B30">
        <w:trPr>
          <w:cantSplit/>
          <w:trHeight w:hRule="exact" w:val="551"/>
          <w:jc w:val="center"/>
        </w:trPr>
        <w:tc>
          <w:tcPr>
            <w:tcW w:w="394"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kern w:val="0"/>
                <w:sz w:val="24"/>
              </w:rPr>
            </w:pPr>
          </w:p>
        </w:tc>
        <w:tc>
          <w:tcPr>
            <w:tcW w:w="45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指标3.假冒伪劣产品制售行为</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不断降低</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显著降低</w:t>
            </w:r>
          </w:p>
        </w:tc>
      </w:tr>
      <w:tr w:rsidR="00485B30">
        <w:trPr>
          <w:cantSplit/>
          <w:trHeight w:hRule="exact" w:val="397"/>
          <w:jc w:val="center"/>
        </w:trPr>
        <w:tc>
          <w:tcPr>
            <w:tcW w:w="394"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kern w:val="0"/>
                <w:sz w:val="24"/>
              </w:rPr>
            </w:pPr>
          </w:p>
        </w:tc>
        <w:tc>
          <w:tcPr>
            <w:tcW w:w="45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可持续影响指标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指标1.药品监管水平</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不断提高</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有所提高</w:t>
            </w:r>
          </w:p>
        </w:tc>
      </w:tr>
      <w:tr w:rsidR="00485B30">
        <w:trPr>
          <w:cantSplit/>
          <w:trHeight w:hRule="exact" w:val="397"/>
          <w:jc w:val="center"/>
        </w:trPr>
        <w:tc>
          <w:tcPr>
            <w:tcW w:w="394"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kern w:val="0"/>
                <w:sz w:val="24"/>
              </w:rPr>
            </w:pPr>
          </w:p>
        </w:tc>
        <w:tc>
          <w:tcPr>
            <w:tcW w:w="458"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指标2.化妆品监管水平</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不断提高</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有所提高</w:t>
            </w:r>
          </w:p>
        </w:tc>
      </w:tr>
      <w:tr w:rsidR="00485B30">
        <w:trPr>
          <w:cantSplit/>
          <w:trHeight w:hRule="exact" w:val="397"/>
          <w:jc w:val="center"/>
        </w:trPr>
        <w:tc>
          <w:tcPr>
            <w:tcW w:w="394"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auto"/>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kern w:val="0"/>
                <w:sz w:val="24"/>
              </w:rPr>
            </w:pPr>
          </w:p>
        </w:tc>
        <w:tc>
          <w:tcPr>
            <w:tcW w:w="458"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指标3.医疗器械监管水平</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不断提高</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有所提高</w:t>
            </w:r>
          </w:p>
        </w:tc>
      </w:tr>
      <w:tr w:rsidR="00485B30">
        <w:trPr>
          <w:cantSplit/>
          <w:trHeight w:hRule="exact" w:val="645"/>
          <w:jc w:val="center"/>
        </w:trPr>
        <w:tc>
          <w:tcPr>
            <w:tcW w:w="394" w:type="dxa"/>
            <w:vMerge/>
            <w:tcBorders>
              <w:left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kern w:val="0"/>
                <w:sz w:val="24"/>
              </w:rPr>
            </w:pPr>
          </w:p>
        </w:tc>
        <w:tc>
          <w:tcPr>
            <w:tcW w:w="45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指标4.队伍素质和装备配置水平</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不断提高</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有所提高</w:t>
            </w:r>
          </w:p>
        </w:tc>
      </w:tr>
      <w:tr w:rsidR="00485B30">
        <w:trPr>
          <w:cantSplit/>
          <w:trHeight w:hRule="exact" w:val="1267"/>
          <w:jc w:val="center"/>
        </w:trPr>
        <w:tc>
          <w:tcPr>
            <w:tcW w:w="394"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485B30" w:rsidRDefault="00485B30">
            <w:pPr>
              <w:widowControl/>
              <w:spacing w:line="240" w:lineRule="exact"/>
              <w:jc w:val="center"/>
              <w:textAlignment w:val="center"/>
              <w:rPr>
                <w:rFonts w:ascii="仿宋_GB2312" w:eastAsia="仿宋_GB2312" w:hAnsi="仿宋_GB2312" w:cs="仿宋_GB2312"/>
                <w:sz w:val="24"/>
              </w:rPr>
            </w:pPr>
          </w:p>
        </w:tc>
        <w:tc>
          <w:tcPr>
            <w:tcW w:w="4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满意度指标</w:t>
            </w:r>
          </w:p>
        </w:tc>
        <w:tc>
          <w:tcPr>
            <w:tcW w:w="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服务对象满意度指标</w:t>
            </w:r>
          </w:p>
        </w:tc>
        <w:tc>
          <w:tcPr>
            <w:tcW w:w="28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指标1.公众对药械化监管满意度</w:t>
            </w:r>
          </w:p>
        </w:tc>
        <w:tc>
          <w:tcPr>
            <w:tcW w:w="10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≥70%</w:t>
            </w:r>
          </w:p>
        </w:tc>
        <w:tc>
          <w:tcPr>
            <w:tcW w:w="31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spacing w:line="2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≥70%</w:t>
            </w:r>
          </w:p>
        </w:tc>
      </w:tr>
    </w:tbl>
    <w:p w:rsidR="00485B30" w:rsidRDefault="00485B30">
      <w:pPr>
        <w:pStyle w:val="a0"/>
        <w:spacing w:before="93"/>
      </w:pPr>
    </w:p>
    <w:tbl>
      <w:tblPr>
        <w:tblpPr w:leftFromText="180" w:rightFromText="180" w:vertAnchor="text" w:horzAnchor="page" w:tblpXSpec="center" w:tblpY="423"/>
        <w:tblOverlap w:val="never"/>
        <w:tblW w:w="8831" w:type="dxa"/>
        <w:jc w:val="center"/>
        <w:tblLayout w:type="fixed"/>
        <w:tblCellMar>
          <w:left w:w="0" w:type="dxa"/>
          <w:right w:w="0" w:type="dxa"/>
        </w:tblCellMar>
        <w:tblLook w:val="04A0"/>
      </w:tblPr>
      <w:tblGrid>
        <w:gridCol w:w="1022"/>
        <w:gridCol w:w="585"/>
        <w:gridCol w:w="256"/>
        <w:gridCol w:w="864"/>
        <w:gridCol w:w="149"/>
        <w:gridCol w:w="1169"/>
        <w:gridCol w:w="484"/>
        <w:gridCol w:w="27"/>
        <w:gridCol w:w="1883"/>
        <w:gridCol w:w="186"/>
        <w:gridCol w:w="2206"/>
      </w:tblGrid>
      <w:tr w:rsidR="00485B30">
        <w:trPr>
          <w:trHeight w:val="1034"/>
          <w:jc w:val="center"/>
        </w:trPr>
        <w:tc>
          <w:tcPr>
            <w:tcW w:w="8831" w:type="dxa"/>
            <w:gridSpan w:val="11"/>
            <w:tcBorders>
              <w:top w:val="nil"/>
              <w:left w:val="nil"/>
              <w:bottom w:val="nil"/>
              <w:right w:val="nil"/>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b/>
                <w:bCs/>
                <w:kern w:val="0"/>
                <w:sz w:val="32"/>
                <w:szCs w:val="32"/>
              </w:rPr>
              <w:t>项目绩效目标完成情况表4</w:t>
            </w:r>
            <w:r>
              <w:rPr>
                <w:rFonts w:ascii="仿宋_GB2312" w:eastAsia="仿宋_GB2312" w:hAnsi="仿宋_GB2312" w:cs="仿宋_GB2312" w:hint="eastAsia"/>
                <w:b/>
                <w:bCs/>
                <w:kern w:val="0"/>
                <w:sz w:val="32"/>
                <w:szCs w:val="32"/>
              </w:rPr>
              <w:br/>
            </w:r>
            <w:r>
              <w:rPr>
                <w:rFonts w:ascii="仿宋_GB2312" w:eastAsia="仿宋_GB2312" w:hAnsi="仿宋_GB2312" w:cs="仿宋_GB2312" w:hint="eastAsia"/>
                <w:kern w:val="0"/>
                <w:sz w:val="24"/>
              </w:rPr>
              <w:t>(2021 年度)</w:t>
            </w:r>
          </w:p>
        </w:tc>
      </w:tr>
      <w:tr w:rsidR="00485B30">
        <w:trPr>
          <w:trHeight w:val="276"/>
          <w:jc w:val="center"/>
        </w:trPr>
        <w:tc>
          <w:tcPr>
            <w:tcW w:w="27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名称</w:t>
            </w:r>
          </w:p>
        </w:tc>
        <w:tc>
          <w:tcPr>
            <w:tcW w:w="610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质量强区</w:t>
            </w:r>
          </w:p>
        </w:tc>
      </w:tr>
      <w:tr w:rsidR="00485B30">
        <w:trPr>
          <w:trHeight w:val="276"/>
          <w:jc w:val="center"/>
        </w:trPr>
        <w:tc>
          <w:tcPr>
            <w:tcW w:w="27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预算单位</w:t>
            </w:r>
          </w:p>
        </w:tc>
        <w:tc>
          <w:tcPr>
            <w:tcW w:w="610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攀枝花市西区市场监督管理局</w:t>
            </w:r>
          </w:p>
        </w:tc>
      </w:tr>
      <w:tr w:rsidR="00485B30">
        <w:trPr>
          <w:trHeight w:val="276"/>
          <w:jc w:val="center"/>
        </w:trPr>
        <w:tc>
          <w:tcPr>
            <w:tcW w:w="10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预算执行情况(万元)</w:t>
            </w:r>
          </w:p>
        </w:tc>
        <w:tc>
          <w:tcPr>
            <w:tcW w:w="1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预算数:</w:t>
            </w:r>
          </w:p>
        </w:tc>
        <w:tc>
          <w:tcPr>
            <w:tcW w:w="1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5万元</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执行数: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3.5万元</w:t>
            </w:r>
          </w:p>
        </w:tc>
      </w:tr>
      <w:tr w:rsidR="00485B30">
        <w:trPr>
          <w:trHeight w:val="276"/>
          <w:jc w:val="center"/>
        </w:trPr>
        <w:tc>
          <w:tcPr>
            <w:tcW w:w="10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1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1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5万元</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3.5万元</w:t>
            </w:r>
          </w:p>
        </w:tc>
      </w:tr>
      <w:tr w:rsidR="00485B30">
        <w:trPr>
          <w:trHeight w:val="382"/>
          <w:jc w:val="center"/>
        </w:trPr>
        <w:tc>
          <w:tcPr>
            <w:tcW w:w="10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1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1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r>
      <w:tr w:rsidR="00485B30">
        <w:trPr>
          <w:trHeight w:val="276"/>
          <w:jc w:val="center"/>
        </w:trPr>
        <w:tc>
          <w:tcPr>
            <w:tcW w:w="10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年度目标完成情况</w:t>
            </w:r>
          </w:p>
        </w:tc>
        <w:tc>
          <w:tcPr>
            <w:tcW w:w="35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预期目标</w:t>
            </w:r>
          </w:p>
        </w:tc>
        <w:tc>
          <w:tcPr>
            <w:tcW w:w="42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实际完成目标</w:t>
            </w:r>
          </w:p>
        </w:tc>
      </w:tr>
      <w:tr w:rsidR="00485B30">
        <w:trPr>
          <w:trHeight w:val="2618"/>
          <w:jc w:val="center"/>
        </w:trPr>
        <w:tc>
          <w:tcPr>
            <w:tcW w:w="10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35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85B30" w:rsidRDefault="00A90FDE">
            <w:pPr>
              <w:adjustRightInd w:val="0"/>
              <w:snapToGrid w:val="0"/>
              <w:spacing w:line="240" w:lineRule="atLeast"/>
            </w:pPr>
            <w:r>
              <w:rPr>
                <w:rFonts w:ascii="仿宋_GB2312" w:eastAsia="仿宋_GB2312" w:hAnsi="仿宋_GB2312" w:cs="仿宋_GB2312" w:hint="eastAsia"/>
                <w:sz w:val="24"/>
              </w:rPr>
              <w:t>组织实施质量强区战略，推动全区产业质量、产（商）品质量、工程质量、环境质量、服务质量不断提升，工业产品监督抽检合格率100%，主要农产品质量安全监测合格率100%，新建工程竣工一次验收合格率达100%，重大质量安全事故为零，完成市下达我区目标任</w:t>
            </w:r>
            <w:r>
              <w:rPr>
                <w:rFonts w:ascii="仿宋_GB2312" w:eastAsia="仿宋_GB2312" w:hAnsi="仿宋_GB2312" w:cs="仿宋_GB2312" w:hint="eastAsia"/>
                <w:sz w:val="24"/>
              </w:rPr>
              <w:lastRenderedPageBreak/>
              <w:t>务 95%；完成对成员单位考核；开展质量宣传。</w:t>
            </w:r>
          </w:p>
        </w:tc>
        <w:tc>
          <w:tcPr>
            <w:tcW w:w="42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85B30" w:rsidRDefault="00A90FDE">
            <w:pPr>
              <w:adjustRightInd w:val="0"/>
              <w:snapToGrid w:val="0"/>
              <w:spacing w:line="240" w:lineRule="atLeast"/>
            </w:pPr>
            <w:r>
              <w:rPr>
                <w:rFonts w:ascii="仿宋_GB2312" w:eastAsia="仿宋_GB2312" w:hAnsi="仿宋_GB2312" w:cs="仿宋_GB2312" w:hint="eastAsia"/>
                <w:sz w:val="24"/>
              </w:rPr>
              <w:lastRenderedPageBreak/>
              <w:t>组织实施质量强区战略，推动全区产业质量、产（商）品质量、工程质量、环境质量、服务质量不断提升，工业产品监督抽检合格率100%，主要农产品质量安全监测合格率100%，新建工程竣工一次验收合格率达100%，重大质量安全事故为零，完成市下达我区目标任务 95%；完成对成员单位考核；开展质量宣传。</w:t>
            </w:r>
          </w:p>
          <w:p w:rsidR="00485B30" w:rsidRDefault="00485B30">
            <w:pPr>
              <w:pBdr>
                <w:top w:val="single" w:sz="4" w:space="0" w:color="FFFFFF"/>
                <w:left w:val="single" w:sz="4" w:space="0" w:color="FFFFFF"/>
                <w:bottom w:val="single" w:sz="4" w:space="31" w:color="FFFFFF"/>
                <w:right w:val="single" w:sz="4" w:space="13" w:color="FFFFFF"/>
              </w:pBdr>
              <w:adjustRightInd w:val="0"/>
              <w:snapToGrid w:val="0"/>
              <w:spacing w:line="353" w:lineRule="auto"/>
              <w:rPr>
                <w:rFonts w:ascii="仿宋_GB2312" w:eastAsia="仿宋_GB2312" w:hAnsi="仿宋_GB2312" w:cs="仿宋_GB2312"/>
                <w:sz w:val="24"/>
              </w:rPr>
            </w:pPr>
          </w:p>
        </w:tc>
      </w:tr>
      <w:tr w:rsidR="00485B30">
        <w:trPr>
          <w:trHeight w:val="703"/>
          <w:jc w:val="center"/>
        </w:trPr>
        <w:tc>
          <w:tcPr>
            <w:tcW w:w="102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绩效指标完成情况</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一级指标</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二级指标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三级指标</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预期指标值(包含数字及文字描述)</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实际完成指标值(包含数字及文字描述)</w:t>
            </w:r>
          </w:p>
        </w:tc>
      </w:tr>
      <w:tr w:rsidR="00485B30">
        <w:trPr>
          <w:trHeight w:val="681"/>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数量指标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开展质量宣传</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不少于1次</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现场宣传1次，其他宣传&lt;5次</w:t>
            </w:r>
          </w:p>
        </w:tc>
      </w:tr>
      <w:tr w:rsidR="00485B30">
        <w:trPr>
          <w:trHeight w:val="677"/>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产业质量</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有所提升</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有所提升</w:t>
            </w:r>
          </w:p>
        </w:tc>
      </w:tr>
      <w:tr w:rsidR="00485B30">
        <w:trPr>
          <w:trHeight w:val="690"/>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产（商品）质量</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工业产品抽查合格率不小于95%</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合格率100%</w:t>
            </w:r>
          </w:p>
        </w:tc>
      </w:tr>
      <w:tr w:rsidR="00485B30">
        <w:trPr>
          <w:trHeight w:val="827"/>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工程质量</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重大工程一次性验收合格率100%</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合格率100%</w:t>
            </w:r>
          </w:p>
        </w:tc>
      </w:tr>
      <w:tr w:rsidR="00485B30">
        <w:trPr>
          <w:trHeight w:val="683"/>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环境质量</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达到市级要求</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达到市级要求</w:t>
            </w:r>
          </w:p>
        </w:tc>
      </w:tr>
      <w:tr w:rsidR="00485B30">
        <w:trPr>
          <w:trHeight w:val="1042"/>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服务质量</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有所提升</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有所提升</w:t>
            </w:r>
          </w:p>
        </w:tc>
      </w:tr>
      <w:tr w:rsidR="00485B30">
        <w:trPr>
          <w:trHeight w:val="826"/>
          <w:jc w:val="center"/>
        </w:trPr>
        <w:tc>
          <w:tcPr>
            <w:tcW w:w="102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满意度指标</w:t>
            </w:r>
          </w:p>
        </w:tc>
        <w:tc>
          <w:tcPr>
            <w:tcW w:w="1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服务对象满意度</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群众满意度</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r>
      <w:tr w:rsidR="00485B30">
        <w:trPr>
          <w:trHeight w:val="1034"/>
          <w:jc w:val="center"/>
        </w:trPr>
        <w:tc>
          <w:tcPr>
            <w:tcW w:w="8831" w:type="dxa"/>
            <w:gridSpan w:val="11"/>
            <w:tcBorders>
              <w:top w:val="nil"/>
              <w:left w:val="nil"/>
              <w:bottom w:val="nil"/>
              <w:right w:val="nil"/>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bookmarkStart w:id="55" w:name="_GoBack"/>
            <w:r>
              <w:rPr>
                <w:rFonts w:ascii="仿宋_GB2312" w:eastAsia="仿宋_GB2312" w:hAnsi="仿宋_GB2312" w:cs="仿宋_GB2312" w:hint="eastAsia"/>
                <w:b/>
                <w:bCs/>
                <w:kern w:val="0"/>
                <w:sz w:val="32"/>
                <w:szCs w:val="32"/>
              </w:rPr>
              <w:t>项目绩效目标完成情况表5</w:t>
            </w:r>
            <w:r>
              <w:rPr>
                <w:rFonts w:ascii="仿宋_GB2312" w:eastAsia="仿宋_GB2312" w:hAnsi="仿宋_GB2312" w:cs="仿宋_GB2312" w:hint="eastAsia"/>
                <w:b/>
                <w:bCs/>
                <w:kern w:val="0"/>
                <w:sz w:val="32"/>
                <w:szCs w:val="32"/>
              </w:rPr>
              <w:br/>
            </w:r>
            <w:bookmarkEnd w:id="55"/>
            <w:r>
              <w:rPr>
                <w:rFonts w:ascii="仿宋_GB2312" w:eastAsia="仿宋_GB2312" w:hAnsi="仿宋_GB2312" w:cs="仿宋_GB2312" w:hint="eastAsia"/>
                <w:kern w:val="0"/>
                <w:sz w:val="24"/>
              </w:rPr>
              <w:t>(2021 年度)</w:t>
            </w:r>
          </w:p>
        </w:tc>
      </w:tr>
      <w:tr w:rsidR="00485B30">
        <w:trPr>
          <w:trHeight w:val="276"/>
          <w:jc w:val="center"/>
        </w:trPr>
        <w:tc>
          <w:tcPr>
            <w:tcW w:w="27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项目名称</w:t>
            </w:r>
          </w:p>
        </w:tc>
        <w:tc>
          <w:tcPr>
            <w:tcW w:w="610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民生计量</w:t>
            </w:r>
          </w:p>
        </w:tc>
      </w:tr>
      <w:tr w:rsidR="00485B30">
        <w:trPr>
          <w:trHeight w:val="276"/>
          <w:jc w:val="center"/>
        </w:trPr>
        <w:tc>
          <w:tcPr>
            <w:tcW w:w="27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预算单位</w:t>
            </w:r>
          </w:p>
        </w:tc>
        <w:tc>
          <w:tcPr>
            <w:tcW w:w="610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攀枝花市西区市场监督管理局</w:t>
            </w:r>
          </w:p>
        </w:tc>
      </w:tr>
      <w:tr w:rsidR="00485B30">
        <w:trPr>
          <w:trHeight w:val="276"/>
          <w:jc w:val="center"/>
        </w:trPr>
        <w:tc>
          <w:tcPr>
            <w:tcW w:w="10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预算执行情况(万元)</w:t>
            </w:r>
          </w:p>
        </w:tc>
        <w:tc>
          <w:tcPr>
            <w:tcW w:w="1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预算数:</w:t>
            </w:r>
          </w:p>
        </w:tc>
        <w:tc>
          <w:tcPr>
            <w:tcW w:w="13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执行数: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1万元</w:t>
            </w:r>
          </w:p>
        </w:tc>
      </w:tr>
      <w:tr w:rsidR="00485B30">
        <w:trPr>
          <w:trHeight w:val="276"/>
          <w:jc w:val="center"/>
        </w:trPr>
        <w:tc>
          <w:tcPr>
            <w:tcW w:w="10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1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13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1万元</w:t>
            </w:r>
          </w:p>
        </w:tc>
      </w:tr>
      <w:tr w:rsidR="00485B30">
        <w:trPr>
          <w:trHeight w:val="1772"/>
          <w:jc w:val="center"/>
        </w:trPr>
        <w:tc>
          <w:tcPr>
            <w:tcW w:w="10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1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13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r>
      <w:tr w:rsidR="00485B30">
        <w:trPr>
          <w:trHeight w:val="276"/>
          <w:jc w:val="center"/>
        </w:trPr>
        <w:tc>
          <w:tcPr>
            <w:tcW w:w="10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年度目标</w:t>
            </w:r>
            <w:r>
              <w:rPr>
                <w:rFonts w:ascii="仿宋_GB2312" w:eastAsia="仿宋_GB2312" w:hAnsi="仿宋_GB2312" w:cs="仿宋_GB2312" w:hint="eastAsia"/>
                <w:kern w:val="0"/>
                <w:sz w:val="24"/>
              </w:rPr>
              <w:lastRenderedPageBreak/>
              <w:t>完成情况</w:t>
            </w:r>
          </w:p>
        </w:tc>
        <w:tc>
          <w:tcPr>
            <w:tcW w:w="302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lastRenderedPageBreak/>
              <w:t>预期目标</w:t>
            </w:r>
          </w:p>
        </w:tc>
        <w:tc>
          <w:tcPr>
            <w:tcW w:w="478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实际完成目标</w:t>
            </w:r>
          </w:p>
        </w:tc>
      </w:tr>
      <w:tr w:rsidR="00485B30">
        <w:trPr>
          <w:trHeight w:val="1159"/>
          <w:jc w:val="center"/>
        </w:trPr>
        <w:tc>
          <w:tcPr>
            <w:tcW w:w="10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jc w:val="center"/>
              <w:rPr>
                <w:rFonts w:ascii="仿宋_GB2312" w:eastAsia="仿宋_GB2312" w:hAnsi="仿宋_GB2312" w:cs="仿宋_GB2312"/>
                <w:sz w:val="24"/>
              </w:rPr>
            </w:pPr>
          </w:p>
        </w:tc>
        <w:tc>
          <w:tcPr>
            <w:tcW w:w="302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完成集贸市场计量器具检定；完成社区卫生服务中心（含其下属卫生服务站）计量器具检定。</w:t>
            </w:r>
          </w:p>
        </w:tc>
        <w:tc>
          <w:tcPr>
            <w:tcW w:w="478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完成集贸市场计量器具检定；完成社区卫生服务中心（含其下属卫生服务站）计量器具检定</w:t>
            </w:r>
          </w:p>
        </w:tc>
      </w:tr>
      <w:tr w:rsidR="00485B30">
        <w:trPr>
          <w:trHeight w:val="1042"/>
          <w:jc w:val="center"/>
        </w:trPr>
        <w:tc>
          <w:tcPr>
            <w:tcW w:w="102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绩效指标完成情况</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一级指标</w:t>
            </w:r>
          </w:p>
        </w:tc>
        <w:tc>
          <w:tcPr>
            <w:tcW w:w="12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二级指标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三级指标</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预期指标值(包含数字及文字描述)</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实际完成指标值(包含数字及文字描述)</w:t>
            </w:r>
          </w:p>
        </w:tc>
      </w:tr>
      <w:tr w:rsidR="00485B30">
        <w:trPr>
          <w:trHeight w:val="953"/>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2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数量指标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集贸市场计量器具检定</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集贸市场9家</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集贸市场9家</w:t>
            </w:r>
          </w:p>
        </w:tc>
      </w:tr>
      <w:tr w:rsidR="00485B30">
        <w:trPr>
          <w:trHeight w:val="1297"/>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2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数量指标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社区卫生服务中心计量器具检定</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社区卫生服务中心6家</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社区卫生服务中心6家</w:t>
            </w:r>
          </w:p>
        </w:tc>
      </w:tr>
      <w:tr w:rsidR="00485B30">
        <w:trPr>
          <w:trHeight w:val="1042"/>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项目完成指标</w:t>
            </w:r>
          </w:p>
        </w:tc>
        <w:tc>
          <w:tcPr>
            <w:tcW w:w="12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计量投诉处理完结率100%</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计量投诉处理完结率100%</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计量投诉处理完结率100%</w:t>
            </w:r>
          </w:p>
        </w:tc>
      </w:tr>
      <w:tr w:rsidR="00485B30">
        <w:trPr>
          <w:trHeight w:val="1042"/>
          <w:jc w:val="center"/>
        </w:trPr>
        <w:tc>
          <w:tcPr>
            <w:tcW w:w="1022" w:type="dxa"/>
            <w:vMerge/>
            <w:tcBorders>
              <w:left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效益指标</w:t>
            </w:r>
          </w:p>
        </w:tc>
        <w:tc>
          <w:tcPr>
            <w:tcW w:w="12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服务对象满意度</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群众满意度</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r>
      <w:tr w:rsidR="00485B30">
        <w:trPr>
          <w:trHeight w:val="1050"/>
          <w:jc w:val="center"/>
        </w:trPr>
        <w:tc>
          <w:tcPr>
            <w:tcW w:w="102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85B30" w:rsidRDefault="00485B30">
            <w:pPr>
              <w:widowControl/>
              <w:jc w:val="center"/>
              <w:textAlignment w:val="center"/>
              <w:rPr>
                <w:rFonts w:ascii="仿宋_GB2312" w:eastAsia="仿宋_GB2312" w:hAnsi="仿宋_GB2312" w:cs="仿宋_GB2312"/>
                <w:sz w:val="24"/>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满意度指标</w:t>
            </w:r>
          </w:p>
        </w:tc>
        <w:tc>
          <w:tcPr>
            <w:tcW w:w="12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服务对象满意度</w:t>
            </w:r>
          </w:p>
        </w:tc>
        <w:tc>
          <w:tcPr>
            <w:tcW w:w="16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群众满意度</w:t>
            </w:r>
          </w:p>
        </w:tc>
        <w:tc>
          <w:tcPr>
            <w:tcW w:w="20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c>
          <w:tcPr>
            <w:tcW w:w="2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85B30" w:rsidRDefault="00A90FDE">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≥85%</w:t>
            </w:r>
          </w:p>
        </w:tc>
      </w:tr>
    </w:tbl>
    <w:p w:rsidR="00485B30" w:rsidRDefault="00485B30">
      <w:pPr>
        <w:widowControl/>
        <w:jc w:val="left"/>
        <w:rPr>
          <w:rFonts w:ascii="仿宋_GB2312" w:eastAsia="仿宋_GB2312"/>
          <w:b/>
          <w:sz w:val="32"/>
          <w:szCs w:val="32"/>
        </w:rPr>
      </w:pPr>
    </w:p>
    <w:p w:rsidR="00485B30" w:rsidRDefault="00485B30">
      <w:pPr>
        <w:pStyle w:val="a0"/>
        <w:spacing w:before="93"/>
      </w:pPr>
    </w:p>
    <w:p w:rsidR="00485B30" w:rsidRDefault="00A90FDE">
      <w:pPr>
        <w:numPr>
          <w:ilvl w:val="0"/>
          <w:numId w:val="4"/>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sz w:val="44"/>
          <w:szCs w:val="44"/>
        </w:rPr>
        <w:t>名</w:t>
      </w:r>
      <w:r>
        <w:rPr>
          <w:rStyle w:val="1Char"/>
          <w:rFonts w:ascii="黑体" w:eastAsia="黑体" w:hAnsi="黑体" w:hint="eastAsia"/>
          <w:b w:val="0"/>
        </w:rPr>
        <w:t>词解释</w:t>
      </w:r>
      <w:bookmarkEnd w:id="56"/>
      <w:bookmarkEnd w:id="57"/>
    </w:p>
    <w:p w:rsidR="00485B30" w:rsidRDefault="00485B30">
      <w:pPr>
        <w:spacing w:line="600" w:lineRule="exact"/>
        <w:jc w:val="left"/>
        <w:rPr>
          <w:rFonts w:ascii="宋体"/>
          <w:b/>
          <w:sz w:val="44"/>
          <w:szCs w:val="44"/>
        </w:rPr>
      </w:pPr>
    </w:p>
    <w:p w:rsidR="00485B30" w:rsidRDefault="00A90FDE">
      <w:pPr>
        <w:pStyle w:val="Default"/>
        <w:snapToGrid w:val="0"/>
        <w:spacing w:line="54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1.财政拨款收入：指单位从同级财政部门取得的财政预算资金。</w:t>
      </w:r>
    </w:p>
    <w:p w:rsidR="00485B30" w:rsidRDefault="00A90FDE">
      <w:pPr>
        <w:pStyle w:val="Default"/>
        <w:snapToGrid w:val="0"/>
        <w:spacing w:line="54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2.其他收入：指单位取得的除上述收入以外的各项收入。</w:t>
      </w:r>
    </w:p>
    <w:p w:rsidR="00485B30" w:rsidRDefault="00A90FDE">
      <w:pPr>
        <w:pStyle w:val="Default"/>
        <w:snapToGrid w:val="0"/>
        <w:spacing w:line="54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3.一般公共服务（类）纪检监察事务（款）其他纪检监察事务支出（项）:反映其他纪检监察事务方面的支出。</w:t>
      </w:r>
    </w:p>
    <w:p w:rsidR="00485B30" w:rsidRDefault="00A90FDE">
      <w:pPr>
        <w:pStyle w:val="Default"/>
        <w:snapToGrid w:val="0"/>
        <w:spacing w:line="54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 一般公共服务（类）市场监督管理事务（款）行政运行</w:t>
      </w:r>
      <w:r>
        <w:rPr>
          <w:rFonts w:ascii="仿宋_GB2312" w:eastAsia="仿宋_GB2312" w:hint="eastAsia"/>
          <w:color w:val="auto"/>
          <w:sz w:val="32"/>
          <w:szCs w:val="32"/>
        </w:rPr>
        <w:lastRenderedPageBreak/>
        <w:t>（项）：反映行政单位（包括公务员管理的事业单位）的基本支出。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 xml:space="preserve">5.一般公共服务（类）市场监督管理事务（款）一般行政管理事务（项）: </w:t>
      </w:r>
      <w:r>
        <w:rPr>
          <w:rFonts w:ascii="仿宋_GB2312" w:eastAsia="仿宋_GB2312" w:hint="eastAsia"/>
          <w:sz w:val="32"/>
          <w:szCs w:val="32"/>
        </w:rPr>
        <w:t>反映行政单位（包括公务员管理的事业单位）未单独设置项级科目的其他项目支出。</w:t>
      </w:r>
    </w:p>
    <w:p w:rsidR="00485B30" w:rsidRDefault="00A90FDE">
      <w:pPr>
        <w:pStyle w:val="Default"/>
        <w:snapToGrid w:val="0"/>
        <w:spacing w:line="540" w:lineRule="exact"/>
        <w:ind w:firstLineChars="200" w:firstLine="640"/>
        <w:rPr>
          <w:rStyle w:val="a8"/>
          <w:rFonts w:ascii="仿宋_GB2312" w:eastAsia="仿宋_GB2312"/>
          <w:b w:val="0"/>
          <w:bCs/>
          <w:color w:val="auto"/>
          <w:sz w:val="32"/>
          <w:szCs w:val="32"/>
        </w:rPr>
      </w:pPr>
      <w:r>
        <w:rPr>
          <w:rStyle w:val="a8"/>
          <w:rFonts w:ascii="仿宋_GB2312" w:eastAsia="仿宋_GB2312" w:hint="eastAsia"/>
          <w:b w:val="0"/>
          <w:bCs/>
          <w:color w:val="auto"/>
          <w:sz w:val="32"/>
          <w:szCs w:val="32"/>
        </w:rPr>
        <w:t>6.一般公共服务（类）市场监督管理事务（款）市场监督管理专项（项）:反映从事市场监督管理专项业务方面的支出。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7.一般公共服务（类）市场监督管理事务（款）市场监管执法（项）: 反映市场监督管理部门依法开展各类执法(含食品、约品、物价等)活动、查处各类经济违法案件的专项工作支出。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8.一般公共服务（类）市场监督管理事务（款）消费者权益保护（项）: 反映市场监督部门依法打击侵害消费者权益行为的专项支出。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9.一般公共服务（类）市场监督管理事务（款）药品事务（项）:反映用于药品( 含中药、民族药)监督管理方面的支出。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 xml:space="preserve">10.一般公共服务（类）市场监督管理事务（款）事业运行（项）: </w:t>
      </w:r>
      <w:r>
        <w:rPr>
          <w:rFonts w:ascii="仿宋_GB2312" w:eastAsia="仿宋_GB2312" w:hint="eastAsia"/>
          <w:sz w:val="32"/>
          <w:szCs w:val="32"/>
        </w:rPr>
        <w:t>指用于事业单位的基本支出。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11.一般公共服务（类）市场监督管理事务（款）其他市场监督管理事务（项）: 指反映用于除上述项目以外其他市场监督管理事务方面的支出。</w:t>
      </w:r>
    </w:p>
    <w:p w:rsidR="00485B30" w:rsidRDefault="00A90FDE">
      <w:pPr>
        <w:pStyle w:val="Default"/>
        <w:snapToGrid w:val="0"/>
        <w:spacing w:line="540" w:lineRule="exact"/>
        <w:ind w:firstLineChars="200" w:firstLine="640"/>
        <w:rPr>
          <w:rFonts w:ascii="仿宋_GB2312" w:eastAsia="仿宋_GB2312"/>
          <w:color w:val="auto"/>
          <w:sz w:val="32"/>
          <w:szCs w:val="32"/>
        </w:rPr>
      </w:pPr>
      <w:r>
        <w:rPr>
          <w:rStyle w:val="a8"/>
          <w:rFonts w:ascii="仿宋_GB2312" w:eastAsia="仿宋_GB2312" w:hint="eastAsia"/>
          <w:b w:val="0"/>
          <w:bCs/>
          <w:color w:val="auto"/>
          <w:sz w:val="32"/>
          <w:szCs w:val="32"/>
        </w:rPr>
        <w:t>12.社会保障和就业（类）行政事业单位离退休（款）未归口管理的行政单位离退休（项）:</w:t>
      </w:r>
      <w:r>
        <w:rPr>
          <w:rFonts w:ascii="仿宋_GB2312" w:eastAsia="仿宋_GB2312" w:hint="eastAsia"/>
          <w:color w:val="auto"/>
          <w:sz w:val="32"/>
          <w:szCs w:val="32"/>
        </w:rPr>
        <w:t xml:space="preserve"> 指未实行归口管理的行政单位（包括实行公务员管理的事业单位 ）开支的离退休支出。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 xml:space="preserve">13.社会保障和就业（类）行政事业单位离退休（款）机关事业单位基本养老保险缴费支出（项）: </w:t>
      </w:r>
      <w:r>
        <w:rPr>
          <w:rFonts w:ascii="仿宋_GB2312" w:eastAsia="仿宋_GB2312" w:hint="eastAsia"/>
          <w:sz w:val="32"/>
          <w:szCs w:val="32"/>
        </w:rPr>
        <w:t>指机关事业单位实施养</w:t>
      </w:r>
      <w:r>
        <w:rPr>
          <w:rFonts w:ascii="仿宋_GB2312" w:eastAsia="仿宋_GB2312" w:hint="eastAsia"/>
          <w:sz w:val="32"/>
          <w:szCs w:val="32"/>
        </w:rPr>
        <w:lastRenderedPageBreak/>
        <w:t>老保险制度由单位缴纳的基本养老保险支出。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 xml:space="preserve">14.社会保障和就业（类）行政事业单位离退休（款）机关事业单位职业年金缴费支出（项）: </w:t>
      </w:r>
      <w:r>
        <w:rPr>
          <w:rFonts w:ascii="仿宋_GB2312" w:eastAsia="仿宋_GB2312" w:hint="eastAsia"/>
          <w:sz w:val="32"/>
          <w:szCs w:val="32"/>
        </w:rPr>
        <w:t>反映机关事业单位实施养老保险制度由单位实际缴纳的职业年金支出。</w:t>
      </w:r>
    </w:p>
    <w:p w:rsidR="00485B30" w:rsidRDefault="00A90FDE">
      <w:pPr>
        <w:adjustRightInd w:val="0"/>
        <w:snapToGrid w:val="0"/>
        <w:spacing w:line="540" w:lineRule="exact"/>
        <w:ind w:firstLineChars="200" w:firstLine="640"/>
        <w:rPr>
          <w:rStyle w:val="a8"/>
          <w:rFonts w:ascii="仿宋_GB2312" w:eastAsia="仿宋_GB2312"/>
          <w:b w:val="0"/>
          <w:bCs/>
          <w:sz w:val="32"/>
          <w:szCs w:val="32"/>
        </w:rPr>
      </w:pPr>
      <w:r>
        <w:rPr>
          <w:rStyle w:val="a8"/>
          <w:rFonts w:ascii="仿宋_GB2312" w:eastAsia="仿宋_GB2312" w:hint="eastAsia"/>
          <w:b w:val="0"/>
          <w:bCs/>
          <w:sz w:val="32"/>
          <w:szCs w:val="32"/>
        </w:rPr>
        <w:t xml:space="preserve">15.社会保障和就业（类）抚恤（款）死亡抚恤（项）: </w:t>
      </w:r>
      <w:r>
        <w:rPr>
          <w:rFonts w:ascii="仿宋_GB2312" w:eastAsia="仿宋_GB2312" w:hint="eastAsia"/>
          <w:sz w:val="32"/>
          <w:szCs w:val="32"/>
        </w:rPr>
        <w:t>指按规定用于烈士和牺牲、病故人员家属的一次性和定期抚恤金以及丧葬补助费。</w:t>
      </w:r>
    </w:p>
    <w:p w:rsidR="00485B30" w:rsidRDefault="00A90FDE">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16.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485B30" w:rsidRDefault="00A90FDE">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17.卫生健康支出（类）行政事业单位医疗（款）事业单位医疗（项）：反映财政部门安排的事业单位基本医疗保险缴费经费，未参加医疗保险的事业单位的公费医疗经费，按国家规定享受离休人员待遇的医疗经费。</w:t>
      </w:r>
    </w:p>
    <w:p w:rsidR="00485B30" w:rsidRDefault="00A90FDE">
      <w:pPr>
        <w:pStyle w:val="Default"/>
        <w:snapToGrid w:val="0"/>
        <w:spacing w:line="54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18.</w:t>
      </w:r>
      <w:r>
        <w:rPr>
          <w:rFonts w:ascii="仿宋_GB2312" w:eastAsia="仿宋_GB2312" w:hint="eastAsia"/>
          <w:bCs/>
          <w:color w:val="auto"/>
          <w:sz w:val="32"/>
          <w:szCs w:val="32"/>
        </w:rPr>
        <w:t>住房保障</w:t>
      </w:r>
      <w:r>
        <w:rPr>
          <w:rStyle w:val="a8"/>
          <w:rFonts w:ascii="仿宋_GB2312" w:eastAsia="仿宋_GB2312" w:hint="eastAsia"/>
          <w:b w:val="0"/>
          <w:bCs/>
          <w:color w:val="auto"/>
          <w:sz w:val="32"/>
          <w:szCs w:val="32"/>
        </w:rPr>
        <w:t>（类）住房改革支出（款）住房公积金（项）:</w:t>
      </w:r>
      <w:r>
        <w:rPr>
          <w:rFonts w:ascii="仿宋_GB2312" w:eastAsia="仿宋_GB2312" w:hint="eastAsia"/>
          <w:color w:val="auto"/>
          <w:sz w:val="32"/>
          <w:szCs w:val="32"/>
        </w:rPr>
        <w:t xml:space="preserve"> 指行政事业单位按人力资源和社会保障部、财政部规定的基本工资和津贴补贴以及按规定比例为职工缴纳的住房公积金。</w:t>
      </w:r>
    </w:p>
    <w:p w:rsidR="00485B30" w:rsidRDefault="00A90FDE">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19.基本支出：指为保障机构正常运转、完成日常工作任务而发生的人员支出和公用支出。</w:t>
      </w:r>
    </w:p>
    <w:p w:rsidR="00485B30" w:rsidRDefault="00A90FDE">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20.项目支出：指在基本支出之外为完成特定行政任务和事业发展目标所发生的支出。 </w:t>
      </w:r>
    </w:p>
    <w:p w:rsidR="00485B30" w:rsidRDefault="00A90FD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21.“三公”经费：指部门用财政拨款安排的因公出国（境）费、公务用车购置及运行费和公务接待费。其中，因公出国（境）</w:t>
      </w:r>
      <w:r>
        <w:rPr>
          <w:rFonts w:ascii="仿宋_GB2312" w:eastAsia="仿宋_GB2312" w:hint="eastAsia"/>
          <w:color w:val="auto"/>
          <w:sz w:val="32"/>
          <w:szCs w:val="32"/>
        </w:rPr>
        <w:lastRenderedPageBreak/>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85B30" w:rsidRDefault="00A90FD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85B30" w:rsidRDefault="00A90FDE">
      <w:pPr>
        <w:spacing w:line="600" w:lineRule="exact"/>
        <w:jc w:val="center"/>
        <w:outlineLvl w:val="0"/>
        <w:rPr>
          <w:rStyle w:val="1Char"/>
          <w:rFonts w:ascii="黑体" w:eastAsia="黑体" w:hAnsi="黑体"/>
          <w:b w:val="0"/>
        </w:rPr>
      </w:pPr>
      <w:bookmarkStart w:id="58" w:name="_Toc15377226"/>
      <w:r>
        <w:rPr>
          <w:rFonts w:ascii="宋体"/>
          <w:b/>
          <w:sz w:val="44"/>
          <w:szCs w:val="44"/>
        </w:rPr>
        <w:br w:type="page"/>
      </w:r>
      <w:bookmarkStart w:id="59"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9"/>
    </w:p>
    <w:p w:rsidR="00485B30" w:rsidRDefault="00A90FDE">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附件1:</w:t>
      </w:r>
    </w:p>
    <w:p w:rsidR="00485B30" w:rsidRDefault="00A90FDE">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攀枝花市西区市场监督管理局</w:t>
      </w:r>
    </w:p>
    <w:p w:rsidR="00485B30" w:rsidRDefault="00A90FDE">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2021年部门整体绩效评价报告</w:t>
      </w:r>
    </w:p>
    <w:p w:rsidR="00485B30" w:rsidRDefault="00485B30">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485B30" w:rsidRDefault="00A90FDE">
      <w:pPr>
        <w:widowControl/>
        <w:adjustRightInd w:val="0"/>
        <w:snapToGrid w:val="0"/>
        <w:spacing w:line="560" w:lineRule="exact"/>
        <w:ind w:firstLineChars="200" w:firstLine="640"/>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（一）机构组成。</w:t>
      </w:r>
    </w:p>
    <w:p w:rsidR="00485B30" w:rsidRDefault="00A90F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内设股室12个，派出机构5个，下属二级单位1个，其中行政单位0个，其他事业单位1个（攀枝花市西区消费维权和个体经济指导服务中心）。</w:t>
      </w:r>
    </w:p>
    <w:p w:rsidR="00485B30" w:rsidRDefault="00A90F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区市场监督管理局下属二级单位1个，其中参照公务员法管理的事业单位0个，其他事业单位1个。</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（二）机构职能。</w:t>
      </w:r>
    </w:p>
    <w:p w:rsidR="00485B30" w:rsidRDefault="00A90F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贯彻执行国家、省、市、区有关食品药品监督管理、工商行政管理等方面的法律、法规和政策；拟订相关规范性文件和措施，经批准后组织实施；承担依法规范和维护各类市场经营秩序的责任，负责市场监督管理和行政执法，组织查处违反食品药品监督管理、工商行政管理法律、法规、规章的行为；承担监督管理流通领域商品质量安全的责任，组织开展有关服务领域消费维权工作，建立消费者权益保护体系；负责涉及食品药品监督管理、工商行政管理的投诉和举报工作；指导消费者咨询、投诉、举报受理、处理和网络体系建设等工作，保护经营者、消费者合法权益；承担查处传销和违法直销案件的责任，依法监督管理直销企业和直销员及其直销活动；负责商标管理工作，依法保护商标专用权</w:t>
      </w:r>
      <w:r>
        <w:rPr>
          <w:rFonts w:ascii="仿宋_GB2312" w:eastAsia="仿宋_GB2312" w:hAnsi="仿宋_GB2312" w:cs="仿宋_GB2312" w:hint="eastAsia"/>
          <w:bCs/>
          <w:kern w:val="0"/>
          <w:sz w:val="32"/>
          <w:szCs w:val="32"/>
        </w:rPr>
        <w:lastRenderedPageBreak/>
        <w:t>和查处商标侵权行为，加强驰名商标、著名商标、知名商标保护工作。负责特殊标志、官方标志的管理和保护。指导企业、单位和个人的商标注册工作；负责依法监督管理经纪人、经纪机构及经纪活动；依法实施合同行政监督管理，负责管理动产抵押物登记，组织监督管理拍卖行为，推广指导合同示范文本的使用，依法查处合同欺诈等违法行为，组织开展合同争议行政调解工作；指导广告业发展，负责广告活动的监督管理工作；负责市场交易行为和网络商品交易及有关服务行为的监管管理，负责个体工商户、私营企业经营行为的监督管理；依法查处无照经营违法行为；负责组织协调、督导检查市场主体信用信息年报公示工作，承担研究分析并依法发布辖区市场主体登记注册信用信息及发展报告，促进市场主体信用信息体系建设，为政府决策和社会公众提供信息服务；配合上级机关做好反垄断行政执法工作，依法查处不正当竞争、商业贿赂、走私贩私等经济违法行为；承担区食品安全委员会日常工作。负责全区食品安全监督管理综合协调，推动健全协调联动机制；制定辖区食品药品安全检查年度计划、重大整顿治理方案并组织落实；负责重大活动食品药品安全保障工作；承担药品、医疗器械、食品生产经营及餐饮服务的安全监督管理职责；承担保健食品和化妆品市场监管职责；负责本部门依法行政工作，落实行政执法责任制；执行食品安全风险监测计划、食品安全地方标准，负责制定本部门食品药品及其它商品年度抽检计划并组织实施；规范行政执法行为，完善行政执法与刑事司法衔接机制；推动落实食品、药品、医疗器械、化妆品安全企业主体责任；建立药品、化妆品不良反应和医疗器械不良事件监测</w:t>
      </w:r>
      <w:r>
        <w:rPr>
          <w:rFonts w:ascii="仿宋_GB2312" w:eastAsia="仿宋_GB2312" w:hAnsi="仿宋_GB2312" w:cs="仿宋_GB2312" w:hint="eastAsia"/>
          <w:bCs/>
          <w:kern w:val="0"/>
          <w:sz w:val="32"/>
          <w:szCs w:val="32"/>
        </w:rPr>
        <w:lastRenderedPageBreak/>
        <w:t>体系，并开展监测和处置工作；负责不安全食品和存在安全隐患的药品、医疗器械、化妆品及其它商品召回的监督管理；监督实施药品和医疗器械的标准、分类管理制度；监督实施药品和医疗器械的研制、生产、经营、使用等质量管理规范；配合实施国家基本药物制度；负责麻醉药品、精神药品、毒性药品、放射性药品和易制毒化学药品的监督管理；严格执行执业药师资格准入制度，组织开展相关从业人员培训；监督实施化妆品监督管理办法；负责市场等公众聚集场所、食品、药品、医疗器械、化妆品安全事故应急体系和隐患排查治理机制建设，组织市场等公众聚集场所、食品、药品、医疗器械、化妆品安全事故应急处置和调查处理工作，按规定负责市场等公众聚集场所、食品、药品、医疗器械、化妆品的安全事故和突发事件的应对处置；承担区政府公布的有关行政审批事项；</w:t>
      </w:r>
      <w:r>
        <w:rPr>
          <w:rFonts w:ascii="仿宋_GB2312" w:eastAsia="仿宋_GB2312" w:hAnsi="仿宋_GB2312" w:cs="仿宋_GB2312" w:hint="eastAsia"/>
          <w:sz w:val="32"/>
          <w:szCs w:val="32"/>
        </w:rPr>
        <w:t>承担区政府以及区食品安全委员会交办的其他事项。</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（三）人员概况。</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仿宋_GB2312" w:eastAsia="仿宋_GB2312" w:hAnsi="仿宋_GB2312" w:cs="仿宋_GB2312" w:hint="eastAsia"/>
          <w:kern w:val="0"/>
          <w:sz w:val="32"/>
          <w:szCs w:val="32"/>
        </w:rPr>
        <w:t>区市场监督管理局行政编制41名（含机关工勤编制4名），至2021年年底，在职实有人数共82人，其中：行政人员47人，工勤3人，临聘人员8人；参照公务员法管理编制28名，年末实有人数19人。消费维权和个体经济指导服务中心事业编制10名，年末实有人数5人。</w:t>
      </w:r>
    </w:p>
    <w:p w:rsidR="00485B30" w:rsidRDefault="00A90FDE">
      <w:pPr>
        <w:widowControl/>
        <w:adjustRightInd w:val="0"/>
        <w:snapToGrid w:val="0"/>
        <w:spacing w:line="560" w:lineRule="exact"/>
        <w:ind w:firstLineChars="200" w:firstLine="640"/>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485B30" w:rsidRDefault="00A90FDE">
      <w:pPr>
        <w:widowControl/>
        <w:adjustRightInd w:val="0"/>
        <w:snapToGrid w:val="0"/>
        <w:spacing w:line="560" w:lineRule="exact"/>
        <w:ind w:firstLineChars="200" w:firstLine="640"/>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485B30" w:rsidRDefault="00A90F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2021年财政拨款收入</w:t>
      </w:r>
      <w:r w:rsidR="00966756">
        <w:rPr>
          <w:rFonts w:ascii="仿宋_GB2312" w:eastAsia="仿宋_GB2312" w:hAnsi="仿宋_GB2312" w:cs="仿宋_GB2312" w:hint="eastAsia"/>
          <w:sz w:val="32"/>
          <w:szCs w:val="32"/>
        </w:rPr>
        <w:t>1483.57</w:t>
      </w:r>
      <w:r>
        <w:rPr>
          <w:rFonts w:ascii="仿宋_GB2312" w:eastAsia="仿宋_GB2312" w:hAnsi="仿宋_GB2312" w:cs="仿宋_GB2312" w:hint="eastAsia"/>
          <w:sz w:val="32"/>
          <w:szCs w:val="32"/>
        </w:rPr>
        <w:t>万元，其中一般公共预算财政拨款收入1474.69万元。</w:t>
      </w:r>
    </w:p>
    <w:p w:rsidR="00485B30" w:rsidRDefault="00A90FDE">
      <w:pPr>
        <w:widowControl/>
        <w:adjustRightInd w:val="0"/>
        <w:snapToGrid w:val="0"/>
        <w:spacing w:line="560" w:lineRule="exact"/>
        <w:ind w:firstLineChars="200" w:firstLine="640"/>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（二）部门财政资金支出情况。</w:t>
      </w:r>
    </w:p>
    <w:p w:rsidR="00485B30" w:rsidRDefault="00A90FDE">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2021年一般公共预算财政拨款支出1494.</w:t>
      </w:r>
      <w:r w:rsidR="00707B1C">
        <w:rPr>
          <w:rFonts w:ascii="仿宋_GB2312" w:eastAsia="仿宋_GB2312" w:hAnsi="仿宋" w:hint="eastAsia"/>
          <w:sz w:val="32"/>
          <w:szCs w:val="32"/>
        </w:rPr>
        <w:t>45</w:t>
      </w:r>
      <w:r>
        <w:rPr>
          <w:rFonts w:ascii="仿宋_GB2312" w:eastAsia="仿宋_GB2312" w:hAnsi="仿宋" w:hint="eastAsia"/>
          <w:sz w:val="32"/>
          <w:szCs w:val="32"/>
        </w:rPr>
        <w:t>万元：其中基本支出1437.</w:t>
      </w:r>
      <w:r w:rsidR="00707B1C">
        <w:rPr>
          <w:rFonts w:ascii="仿宋_GB2312" w:eastAsia="仿宋_GB2312" w:hAnsi="仿宋" w:hint="eastAsia"/>
          <w:sz w:val="32"/>
          <w:szCs w:val="32"/>
        </w:rPr>
        <w:t>72</w:t>
      </w:r>
      <w:r>
        <w:rPr>
          <w:rFonts w:ascii="仿宋_GB2312" w:eastAsia="仿宋_GB2312" w:hAnsi="仿宋" w:hint="eastAsia"/>
          <w:sz w:val="32"/>
          <w:szCs w:val="32"/>
        </w:rPr>
        <w:t>万元，项目支出 56.73万元。政府性基金预算财政拨款支出8.8万元。总计财政拨款支出1503.</w:t>
      </w:r>
      <w:r w:rsidR="0065397A">
        <w:rPr>
          <w:rFonts w:ascii="仿宋_GB2312" w:eastAsia="仿宋_GB2312" w:hAnsi="仿宋" w:hint="eastAsia"/>
          <w:sz w:val="32"/>
          <w:szCs w:val="32"/>
        </w:rPr>
        <w:t>34</w:t>
      </w:r>
      <w:r>
        <w:rPr>
          <w:rFonts w:ascii="仿宋_GB2312" w:eastAsia="仿宋_GB2312" w:hAnsi="仿宋" w:hint="eastAsia"/>
          <w:sz w:val="32"/>
          <w:szCs w:val="32"/>
        </w:rPr>
        <w:t>万元。</w:t>
      </w:r>
    </w:p>
    <w:p w:rsidR="00585FBE" w:rsidRDefault="00A90FDE">
      <w:pPr>
        <w:widowControl/>
        <w:adjustRightInd w:val="0"/>
        <w:snapToGrid w:val="0"/>
        <w:spacing w:line="560" w:lineRule="exact"/>
        <w:ind w:firstLineChars="200" w:firstLine="640"/>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485B30" w:rsidRDefault="00A90FDE">
      <w:pPr>
        <w:widowControl/>
        <w:adjustRightInd w:val="0"/>
        <w:snapToGrid w:val="0"/>
        <w:spacing w:line="560" w:lineRule="exact"/>
        <w:ind w:firstLineChars="200" w:firstLine="640"/>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shd w:val="clear" w:color="auto" w:fill="FFFFFF"/>
        </w:rPr>
        <w:t>1．预算编制</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hint="eastAsia"/>
          <w:b/>
          <w:bCs/>
          <w:sz w:val="32"/>
          <w:szCs w:val="32"/>
          <w:shd w:val="clear" w:color="auto" w:fill="FFFFFF"/>
        </w:rPr>
        <w:t>一是</w:t>
      </w:r>
      <w:r>
        <w:rPr>
          <w:rFonts w:ascii="仿宋_GB2312" w:eastAsia="仿宋_GB2312" w:hint="eastAsia"/>
          <w:sz w:val="32"/>
          <w:szCs w:val="32"/>
          <w:shd w:val="clear" w:color="auto" w:fill="FFFFFF"/>
        </w:rPr>
        <w:t>绩效目标制定。2021年，我局根据年度部门预算制定了绩效目标和项目实施方案。绩效目标从项目完成、项目效益、满意度等方面设置，综合反映项目预期完成的数量、成本、时效、质量，预期达到的社会效益、经济效益、生态效益、可持续影响以及服务对象满意度等情况。绩效目标制定紧紧围绕深入推进商事制度改革、质量强区、计量价格、市场安全监管、市场秩序整治、消费维权工作、知识产权、食品药品监管、执法办案和内部自身建设等工作，扎实做好市场监管各项工作，为推动我区市场监管发展再上新台阶作出新贡献。</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sz w:val="32"/>
          <w:szCs w:val="32"/>
          <w:shd w:val="clear" w:color="auto" w:fill="FFFFFF"/>
        </w:rPr>
      </w:pPr>
      <w:r>
        <w:rPr>
          <w:rFonts w:ascii="仿宋_GB2312" w:eastAsia="仿宋_GB2312" w:hint="eastAsia"/>
          <w:b/>
          <w:bCs/>
          <w:sz w:val="32"/>
          <w:szCs w:val="32"/>
          <w:shd w:val="clear" w:color="auto" w:fill="FFFFFF"/>
        </w:rPr>
        <w:t>二是</w:t>
      </w:r>
      <w:r>
        <w:rPr>
          <w:rFonts w:ascii="仿宋_GB2312" w:eastAsia="仿宋_GB2312" w:hint="eastAsia"/>
          <w:sz w:val="32"/>
          <w:szCs w:val="32"/>
          <w:shd w:val="clear" w:color="auto" w:fill="FFFFFF"/>
        </w:rPr>
        <w:t>绩效目标完成。区市场监管局 2021年共有24个项目纳入绩效目标管理，除部份项目资金执行进度欠进度外，各项目基本达到预期目标。未完成的主要原因：一是上级下达专项资金时间较晚，无法及时支付项目支出。二是</w:t>
      </w:r>
      <w:r>
        <w:rPr>
          <w:rFonts w:ascii="仿宋_GB2312" w:eastAsia="仿宋_GB2312" w:hAnsi="仿宋_GB2312" w:cs="仿宋_GB2312" w:hint="eastAsia"/>
          <w:sz w:val="32"/>
          <w:szCs w:val="32"/>
        </w:rPr>
        <w:t>位已安排完该项资金，但由于财政困难未审核报帐，年底收回指标。</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hint="eastAsia"/>
          <w:b/>
          <w:bCs/>
          <w:sz w:val="32"/>
          <w:szCs w:val="32"/>
          <w:shd w:val="clear" w:color="auto" w:fill="FFFFFF"/>
        </w:rPr>
        <w:t>三是</w:t>
      </w:r>
      <w:r>
        <w:rPr>
          <w:rFonts w:ascii="仿宋_GB2312" w:eastAsia="仿宋_GB2312" w:hint="eastAsia"/>
          <w:sz w:val="32"/>
          <w:szCs w:val="32"/>
          <w:shd w:val="clear" w:color="auto" w:fill="FFFFFF"/>
        </w:rPr>
        <w:t>预算编制准确。区市场监管局预算编制遵循“以收定支、量入为出、保障重点、优化结构”的基本原则，依据部门“三定”方案职能职责，结合本年度目标任务，认真编制2021年部门预</w:t>
      </w:r>
      <w:r>
        <w:rPr>
          <w:rFonts w:ascii="仿宋_GB2312" w:eastAsia="仿宋_GB2312" w:hint="eastAsia"/>
          <w:sz w:val="32"/>
          <w:szCs w:val="32"/>
          <w:shd w:val="clear" w:color="auto" w:fill="FFFFFF"/>
        </w:rPr>
        <w:lastRenderedPageBreak/>
        <w:t>算，确保重点工作顺利进行。从预算编制整体情况来看，符合相关性、科学性、合理性要求，报送及时，编制质量较高。</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shd w:val="clear" w:color="auto" w:fill="FFFFFF"/>
        </w:rPr>
        <w:t>2.预算执行</w:t>
      </w:r>
    </w:p>
    <w:p w:rsidR="00485B30" w:rsidRDefault="00A90FDE">
      <w:pPr>
        <w:pStyle w:val="a7"/>
        <w:shd w:val="clear" w:color="auto" w:fill="FFFFFF"/>
        <w:adjustRightInd w:val="0"/>
        <w:snapToGrid w:val="0"/>
        <w:spacing w:before="0" w:beforeAutospacing="0" w:after="0" w:afterAutospacing="0" w:line="560" w:lineRule="exact"/>
        <w:ind w:firstLine="480"/>
        <w:jc w:val="both"/>
        <w:rPr>
          <w:rFonts w:ascii="仿宋_GB2312" w:eastAsia="仿宋_GB2312"/>
          <w:sz w:val="32"/>
          <w:szCs w:val="32"/>
        </w:rPr>
      </w:pPr>
      <w:r>
        <w:rPr>
          <w:rFonts w:ascii="仿宋_GB2312" w:eastAsia="仿宋_GB2312" w:hint="eastAsia"/>
          <w:b/>
          <w:bCs/>
          <w:sz w:val="32"/>
          <w:szCs w:val="32"/>
          <w:shd w:val="clear" w:color="auto" w:fill="FFFFFF"/>
        </w:rPr>
        <w:t>一是</w:t>
      </w:r>
      <w:r>
        <w:rPr>
          <w:rFonts w:ascii="仿宋_GB2312" w:eastAsia="仿宋_GB2312" w:hint="eastAsia"/>
          <w:sz w:val="32"/>
          <w:szCs w:val="32"/>
          <w:shd w:val="clear" w:color="auto" w:fill="FFFFFF"/>
        </w:rPr>
        <w:t>支出控制。严格按照《预算法》和批复的单位部门预算执行，强化预算约束，严格“三公”经费管理，严格执行严控一般性支出要求，压缩行政运行成本。</w:t>
      </w:r>
    </w:p>
    <w:p w:rsidR="00485B30" w:rsidRDefault="00A90FDE">
      <w:pPr>
        <w:pStyle w:val="a7"/>
        <w:shd w:val="clear" w:color="auto" w:fill="FFFFFF"/>
        <w:adjustRightInd w:val="0"/>
        <w:snapToGrid w:val="0"/>
        <w:spacing w:before="0" w:beforeAutospacing="0" w:after="0" w:afterAutospacing="0" w:line="560" w:lineRule="exact"/>
        <w:ind w:firstLine="480"/>
        <w:jc w:val="both"/>
        <w:rPr>
          <w:rFonts w:ascii="仿宋_GB2312" w:eastAsia="仿宋_GB2312"/>
          <w:sz w:val="32"/>
          <w:szCs w:val="32"/>
        </w:rPr>
      </w:pPr>
      <w:r>
        <w:rPr>
          <w:rFonts w:ascii="仿宋_GB2312" w:eastAsia="仿宋_GB2312" w:hint="eastAsia"/>
          <w:b/>
          <w:bCs/>
          <w:sz w:val="32"/>
          <w:szCs w:val="32"/>
          <w:shd w:val="clear" w:color="auto" w:fill="FFFFFF"/>
        </w:rPr>
        <w:t>二是</w:t>
      </w:r>
      <w:r>
        <w:rPr>
          <w:rFonts w:ascii="仿宋_GB2312" w:eastAsia="仿宋_GB2312" w:hint="eastAsia"/>
          <w:sz w:val="32"/>
          <w:szCs w:val="32"/>
          <w:shd w:val="clear" w:color="auto" w:fill="FFFFFF"/>
        </w:rPr>
        <w:t>动态监控。按照财政局绩效监控和中期评估工作相关要求，区市场监管局对24个专项项目1-8月项目绩效目标运行情况进行了监控分析和部门预算执行中期评估工作。对项目预算、绩效目标运行情况进行了监控分析，并向财政报送了1-8月预算绩效监控报告。</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shd w:val="clear" w:color="auto" w:fill="FFFFFF"/>
        </w:rPr>
        <w:t>3．完成结果</w:t>
      </w:r>
    </w:p>
    <w:p w:rsidR="00485B30" w:rsidRDefault="00A90FDE">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 w:eastAsia="仿宋" w:hAnsi="仿宋" w:cs="仿宋" w:hint="eastAsia"/>
          <w:sz w:val="32"/>
          <w:szCs w:val="32"/>
        </w:rPr>
        <w:t>我局严格按财政局预算批复支出。</w:t>
      </w:r>
      <w:r>
        <w:rPr>
          <w:rFonts w:ascii="仿宋_GB2312" w:eastAsia="仿宋_GB2312" w:hint="eastAsia"/>
          <w:sz w:val="32"/>
          <w:szCs w:val="32"/>
          <w:shd w:val="clear" w:color="auto" w:fill="FFFFFF"/>
        </w:rPr>
        <w:t>我局在加快项目实施和预算执行进度的同时，严格执行相关财经纪律，规范预算执行管理，未发现在部门预算管理方面的违纪违规问题。</w:t>
      </w:r>
    </w:p>
    <w:p w:rsidR="00485B30" w:rsidRDefault="00A90FDE">
      <w:pPr>
        <w:pStyle w:val="aa"/>
        <w:widowControl/>
        <w:numPr>
          <w:ilvl w:val="0"/>
          <w:numId w:val="5"/>
        </w:numPr>
        <w:adjustRightInd w:val="0"/>
        <w:snapToGrid w:val="0"/>
        <w:spacing w:line="560" w:lineRule="exact"/>
        <w:ind w:firstLineChars="0"/>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结果应用情况。</w:t>
      </w:r>
    </w:p>
    <w:p w:rsidR="00485B30" w:rsidRDefault="00A90FDE">
      <w:pPr>
        <w:pStyle w:val="aa"/>
        <w:widowControl/>
        <w:adjustRightInd w:val="0"/>
        <w:snapToGrid w:val="0"/>
        <w:spacing w:line="560" w:lineRule="exact"/>
        <w:ind w:left="420" w:firstLineChars="0" w:firstLine="0"/>
        <w:jc w:val="left"/>
        <w:rPr>
          <w:rFonts w:ascii="仿宋_GB2312" w:eastAsia="仿宋_GB2312"/>
          <w:kern w:val="0"/>
          <w:sz w:val="32"/>
          <w:szCs w:val="32"/>
        </w:rPr>
      </w:pPr>
      <w:r>
        <w:rPr>
          <w:rFonts w:ascii="仿宋_GB2312" w:eastAsia="仿宋_GB2312" w:hint="eastAsia"/>
          <w:sz w:val="32"/>
          <w:szCs w:val="32"/>
        </w:rPr>
        <w:t>1.按要求将</w:t>
      </w:r>
      <w:r>
        <w:rPr>
          <w:rFonts w:ascii="仿宋_GB2312" w:eastAsia="仿宋_GB2312" w:hint="eastAsia"/>
          <w:sz w:val="32"/>
          <w:szCs w:val="32"/>
          <w:shd w:val="clear" w:color="auto" w:fill="FFFFFF"/>
        </w:rPr>
        <w:t>部门整体支出绩效评价自评情况等绩效信息随同部门年终决算</w:t>
      </w:r>
      <w:r>
        <w:rPr>
          <w:rFonts w:ascii="仿宋_GB2312" w:eastAsia="仿宋_GB2312" w:hint="eastAsia"/>
          <w:sz w:val="32"/>
          <w:szCs w:val="32"/>
        </w:rPr>
        <w:t>在区市场监管局门户网站上及时公开</w:t>
      </w:r>
      <w:r>
        <w:rPr>
          <w:rFonts w:ascii="仿宋_GB2312" w:eastAsia="仿宋_GB2312" w:hint="eastAsia"/>
          <w:sz w:val="32"/>
          <w:szCs w:val="32"/>
          <w:shd w:val="clear" w:color="auto" w:fill="FFFFFF"/>
        </w:rPr>
        <w:t>，主动接受社会监督。</w:t>
      </w:r>
    </w:p>
    <w:p w:rsidR="00485B30" w:rsidRDefault="00A90FDE">
      <w:pPr>
        <w:pStyle w:val="a7"/>
        <w:shd w:val="clear" w:color="auto" w:fill="FFFFFF"/>
        <w:adjustRightInd w:val="0"/>
        <w:snapToGrid w:val="0"/>
        <w:spacing w:before="0" w:beforeAutospacing="0" w:after="0" w:afterAutospacing="0" w:line="560" w:lineRule="exact"/>
        <w:jc w:val="both"/>
        <w:rPr>
          <w:rFonts w:ascii="仿宋_GB2312" w:eastAsia="仿宋_GB2312" w:hAnsi="Times New Roman" w:cs="Times New Roman"/>
          <w:kern w:val="2"/>
          <w:sz w:val="32"/>
          <w:szCs w:val="32"/>
          <w:shd w:val="clear" w:color="auto" w:fill="FFFFFF"/>
        </w:rPr>
      </w:pPr>
      <w:r>
        <w:rPr>
          <w:rFonts w:ascii="仿宋_GB2312" w:eastAsia="仿宋_GB2312" w:hAnsi="Times New Roman" w:cs="Times New Roman" w:hint="eastAsia"/>
          <w:kern w:val="2"/>
          <w:sz w:val="32"/>
          <w:szCs w:val="32"/>
          <w:shd w:val="clear" w:color="auto" w:fill="FFFFFF"/>
        </w:rPr>
        <w:t>2.针对绩效监控发现预算执行进度缓慢问题,在局长办公会上通报，并开展绩效约谈。</w:t>
      </w:r>
      <w:r>
        <w:rPr>
          <w:rFonts w:ascii="仿宋_GB2312" w:eastAsia="仿宋_GB2312" w:hint="eastAsia"/>
          <w:sz w:val="32"/>
          <w:szCs w:val="32"/>
        </w:rPr>
        <w:t>推动绩效评价结果与预算安排相结合，加大评价结果向社会公开的力度，提高资金使用效率。</w:t>
      </w:r>
    </w:p>
    <w:p w:rsidR="00485B30" w:rsidRDefault="00A90FDE">
      <w:pPr>
        <w:widowControl/>
        <w:numPr>
          <w:ilvl w:val="0"/>
          <w:numId w:val="6"/>
        </w:numPr>
        <w:adjustRightInd w:val="0"/>
        <w:snapToGrid w:val="0"/>
        <w:spacing w:line="560" w:lineRule="exact"/>
        <w:ind w:firstLineChars="200" w:firstLine="640"/>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自评质量</w:t>
      </w:r>
    </w:p>
    <w:p w:rsidR="00485B30" w:rsidRDefault="00A90FDE">
      <w:pPr>
        <w:widowControl/>
        <w:adjustRightInd w:val="0"/>
        <w:snapToGrid w:val="0"/>
        <w:spacing w:line="560" w:lineRule="exact"/>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lastRenderedPageBreak/>
        <w:t xml:space="preserve">   经过自评，我们认为我单位管理规范、制度健全，财务开支合理。</w:t>
      </w:r>
    </w:p>
    <w:p w:rsidR="00485B30" w:rsidRDefault="00A90FDE">
      <w:pPr>
        <w:widowControl/>
        <w:adjustRightInd w:val="0"/>
        <w:snapToGrid w:val="0"/>
        <w:spacing w:line="560" w:lineRule="exact"/>
        <w:ind w:firstLineChars="200" w:firstLine="640"/>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（一）评价结论。</w:t>
      </w:r>
    </w:p>
    <w:p w:rsidR="00485B30" w:rsidRDefault="00A90F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通过自评，本部门2021年部门预算编制较为准确、绩效目标基本科学合理，预算绩效管理总体工作良好，资金使用和项目管理比较规范。按照要求及时公开财务信息，较好地完成了年度目标任务，但对照考核标准要求还有一些差距，基础工作还有不完备的地方，1-8月预算执行略微滞后。 </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（二）存在问题。</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Times New Roman" w:cs="Times New Roman"/>
          <w:kern w:val="2"/>
          <w:sz w:val="32"/>
          <w:szCs w:val="32"/>
        </w:rPr>
      </w:pPr>
      <w:r>
        <w:rPr>
          <w:rFonts w:ascii="仿宋_GB2312" w:eastAsia="仿宋_GB2312" w:hAnsi="Times New Roman" w:cs="Times New Roman" w:hint="eastAsia"/>
          <w:b/>
          <w:bCs/>
          <w:kern w:val="2"/>
          <w:sz w:val="32"/>
          <w:szCs w:val="32"/>
        </w:rPr>
        <w:t>1.预算执行进度缓慢。</w:t>
      </w:r>
      <w:r>
        <w:rPr>
          <w:rFonts w:ascii="仿宋_GB2312" w:eastAsia="仿宋_GB2312" w:hAnsi="Times New Roman" w:cs="Times New Roman" w:hint="eastAsia"/>
          <w:kern w:val="2"/>
          <w:sz w:val="32"/>
          <w:szCs w:val="32"/>
        </w:rPr>
        <w:t>1-8月绩效监控分析未完全达到绩效目标考核下达的进度要求。</w:t>
      </w:r>
    </w:p>
    <w:p w:rsidR="00485B30" w:rsidRDefault="00A90FDE">
      <w:pPr>
        <w:adjustRightInd w:val="0"/>
        <w:snapToGrid w:val="0"/>
        <w:spacing w:line="560" w:lineRule="exact"/>
        <w:ind w:firstLineChars="200" w:firstLine="643"/>
        <w:rPr>
          <w:rFonts w:ascii="仿宋_GB2312" w:eastAsia="仿宋_GB2312"/>
          <w:sz w:val="32"/>
          <w:szCs w:val="32"/>
          <w:lang w:val="zh-CN"/>
        </w:rPr>
      </w:pPr>
      <w:r>
        <w:rPr>
          <w:rFonts w:ascii="仿宋_GB2312" w:eastAsia="仿宋_GB2312" w:hAnsi="宋体" w:cs="仿宋_GB2312" w:hint="eastAsia"/>
          <w:b/>
          <w:kern w:val="0"/>
          <w:sz w:val="32"/>
          <w:szCs w:val="32"/>
        </w:rPr>
        <w:t>2.项目管理还需进一步加强。</w:t>
      </w:r>
      <w:r>
        <w:rPr>
          <w:rFonts w:ascii="仿宋_GB2312" w:eastAsia="仿宋_GB2312" w:hAnsi="宋体" w:cs="仿宋_GB2312" w:hint="eastAsia"/>
          <w:bCs/>
          <w:kern w:val="0"/>
          <w:sz w:val="32"/>
          <w:szCs w:val="32"/>
        </w:rPr>
        <w:t>专项工作项目管理的措施还不够到位，项目工作实施方案还不够细化，专项工作完成欠进度。</w:t>
      </w:r>
      <w:r>
        <w:rPr>
          <w:rFonts w:ascii="仿宋_GB2312" w:eastAsia="仿宋_GB2312" w:hint="eastAsia"/>
          <w:sz w:val="32"/>
          <w:szCs w:val="32"/>
          <w:lang w:val="zh-CN"/>
        </w:rPr>
        <w:t>专项项目资金安排需进一步明细。项目进度需进一步加强，减少存量资金。</w:t>
      </w:r>
    </w:p>
    <w:p w:rsidR="00485B30" w:rsidRDefault="00A90FDE">
      <w:pPr>
        <w:pStyle w:val="a7"/>
        <w:shd w:val="clear" w:color="auto" w:fill="FFFFFF"/>
        <w:adjustRightInd w:val="0"/>
        <w:snapToGrid w:val="0"/>
        <w:spacing w:before="0" w:beforeAutospacing="0" w:after="0" w:afterAutospacing="0" w:line="560" w:lineRule="exact"/>
        <w:ind w:firstLine="640"/>
        <w:rPr>
          <w:rFonts w:ascii="仿宋_GB2312" w:eastAsia="仿宋_GB2312" w:hAnsi="Times New Roman" w:cs="Times New Roman"/>
          <w:kern w:val="2"/>
          <w:sz w:val="32"/>
          <w:szCs w:val="32"/>
        </w:rPr>
      </w:pPr>
      <w:r>
        <w:rPr>
          <w:rFonts w:ascii="仿宋_GB2312" w:eastAsia="仿宋_GB2312" w:hAnsi="Times New Roman" w:cs="Times New Roman" w:hint="eastAsia"/>
          <w:b/>
          <w:bCs/>
          <w:kern w:val="2"/>
          <w:sz w:val="32"/>
          <w:szCs w:val="32"/>
        </w:rPr>
        <w:t>3.财政资金绩效评价及其结果应用难。</w:t>
      </w:r>
      <w:r>
        <w:rPr>
          <w:rFonts w:ascii="仿宋_GB2312" w:eastAsia="仿宋_GB2312" w:hAnsi="Times New Roman" w:cs="Times New Roman" w:hint="eastAsia"/>
          <w:kern w:val="2"/>
          <w:sz w:val="32"/>
          <w:szCs w:val="32"/>
        </w:rPr>
        <w:t>财政绩效评价工作专业性很强，单凭部门自身难以设计符合实际、行之有效的指标体系，仅凭单位财务人员牵头难以深入开展此项工作，绩效工作质量不高结果难以应用。</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（三）改进建议。</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hint="eastAsia"/>
          <w:b/>
          <w:bCs/>
          <w:sz w:val="32"/>
          <w:szCs w:val="32"/>
        </w:rPr>
        <w:t>1.完善机制、强化约束。</w:t>
      </w:r>
      <w:r>
        <w:rPr>
          <w:rFonts w:ascii="仿宋_GB2312" w:eastAsia="仿宋_GB2312" w:hint="eastAsia"/>
          <w:sz w:val="32"/>
          <w:szCs w:val="32"/>
        </w:rPr>
        <w:t>针对资金绩效运行状况，</w:t>
      </w:r>
      <w:r>
        <w:rPr>
          <w:rFonts w:ascii="仿宋_GB2312" w:eastAsia="仿宋_GB2312" w:hAnsi="Calibri" w:hint="eastAsia"/>
          <w:sz w:val="32"/>
          <w:szCs w:val="32"/>
        </w:rPr>
        <w:t>及时查找资金使用和管理过程中的薄弱环节，提出纠正措施；加快资</w:t>
      </w:r>
      <w:r>
        <w:rPr>
          <w:rFonts w:ascii="仿宋_GB2312" w:eastAsia="仿宋_GB2312" w:hint="eastAsia"/>
          <w:sz w:val="32"/>
          <w:szCs w:val="32"/>
        </w:rPr>
        <w:t>金执行进度，强化项目实施股室对资金绩效实现情况的责任约</w:t>
      </w:r>
      <w:r>
        <w:rPr>
          <w:rFonts w:ascii="仿宋_GB2312" w:eastAsia="仿宋_GB2312" w:hAnsi="Calibri" w:hint="eastAsia"/>
          <w:sz w:val="32"/>
          <w:szCs w:val="32"/>
        </w:rPr>
        <w:t>束。对</w:t>
      </w:r>
      <w:r>
        <w:rPr>
          <w:rFonts w:ascii="仿宋_GB2312" w:eastAsia="仿宋_GB2312" w:hAnsi="Calibri" w:hint="eastAsia"/>
          <w:sz w:val="32"/>
          <w:szCs w:val="32"/>
        </w:rPr>
        <w:lastRenderedPageBreak/>
        <w:t>专项资金偏离预算绩效目标的支出，及时采取有效措施予以纠正，让资金管理人、使用人皆知自身的责任，进一</w:t>
      </w:r>
      <w:r>
        <w:rPr>
          <w:rFonts w:ascii="仿宋_GB2312" w:eastAsia="仿宋_GB2312" w:hint="eastAsia"/>
          <w:sz w:val="32"/>
          <w:szCs w:val="32"/>
        </w:rPr>
        <w:t>步规范专项资金使用绩效。</w:t>
      </w:r>
    </w:p>
    <w:p w:rsidR="00485B30" w:rsidRDefault="00A90FDE">
      <w:pPr>
        <w:pStyle w:val="a7"/>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Calibri"/>
          <w:sz w:val="32"/>
          <w:szCs w:val="32"/>
        </w:rPr>
      </w:pPr>
      <w:r>
        <w:rPr>
          <w:rFonts w:ascii="仿宋_GB2312" w:eastAsia="仿宋_GB2312" w:hAnsi="Calibri" w:hint="eastAsia"/>
          <w:b/>
          <w:bCs/>
          <w:sz w:val="32"/>
          <w:szCs w:val="32"/>
        </w:rPr>
        <w:t>2.加大培训力度，提高绩效管理水平。</w:t>
      </w:r>
      <w:r>
        <w:rPr>
          <w:rFonts w:ascii="仿宋_GB2312" w:eastAsia="仿宋_GB2312" w:hAnsi="Calibri" w:hint="eastAsia"/>
          <w:sz w:val="32"/>
          <w:szCs w:val="32"/>
        </w:rPr>
        <w:t>加强对绩效管理人员的业务强制培训，对部门重点项目开展全程绩效管理工作试点，从绩效指标体系、绩效监控、绩效评价和绩效结果应用等方面进行深入研究，总结经验，逐步推开。</w:t>
      </w:r>
    </w:p>
    <w:p w:rsidR="00485B30" w:rsidRDefault="00485B30">
      <w:pPr>
        <w:pStyle w:val="a0"/>
        <w:adjustRightInd w:val="0"/>
        <w:snapToGrid w:val="0"/>
        <w:spacing w:beforeLines="0" w:line="560" w:lineRule="exact"/>
        <w:rPr>
          <w:rFonts w:hAnsi="宋体" w:cs="宋体"/>
          <w:sz w:val="32"/>
          <w:szCs w:val="32"/>
          <w:shd w:val="clear" w:color="auto" w:fill="FFFFFF"/>
        </w:rPr>
      </w:pPr>
    </w:p>
    <w:p w:rsidR="00485B30" w:rsidRDefault="00A90FDE">
      <w:pPr>
        <w:pStyle w:val="a0"/>
        <w:adjustRightInd w:val="0"/>
        <w:snapToGrid w:val="0"/>
        <w:spacing w:beforeLines="0" w:line="560" w:lineRule="exact"/>
        <w:rPr>
          <w:lang w:val="zh-CN"/>
        </w:rPr>
      </w:pPr>
      <w:r>
        <w:rPr>
          <w:rFonts w:hAnsi="宋体" w:cs="宋体" w:hint="eastAsia"/>
          <w:sz w:val="32"/>
          <w:szCs w:val="32"/>
          <w:shd w:val="clear" w:color="auto" w:fill="FFFFFF"/>
          <w:lang w:val="zh-CN"/>
        </w:rPr>
        <w:t>附件2:</w:t>
      </w:r>
    </w:p>
    <w:p w:rsidR="00485B30" w:rsidRDefault="00A90FDE">
      <w:pPr>
        <w:adjustRightInd w:val="0"/>
        <w:snapToGrid w:val="0"/>
        <w:spacing w:line="56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2021年</w:t>
      </w:r>
      <w:r>
        <w:rPr>
          <w:rFonts w:ascii="方正小标宋简体" w:eastAsia="方正小标宋简体" w:hAnsi="方正小标宋简体" w:cs="方正小标宋简体" w:hint="eastAsia"/>
          <w:sz w:val="40"/>
          <w:szCs w:val="40"/>
          <w:lang w:val="zh-CN"/>
        </w:rPr>
        <w:t>专项预算项目支出绩效自评报告</w:t>
      </w:r>
    </w:p>
    <w:p w:rsidR="00485B30" w:rsidRDefault="00A90FDE">
      <w:pPr>
        <w:adjustRightInd w:val="0"/>
        <w:snapToGrid w:val="0"/>
        <w:spacing w:line="56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85B30" w:rsidRDefault="00A90FDE">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85B30" w:rsidRDefault="00A90FDE">
      <w:pPr>
        <w:adjustRightInd w:val="0"/>
        <w:snapToGrid w:val="0"/>
        <w:spacing w:line="560" w:lineRule="exact"/>
        <w:ind w:firstLine="720"/>
        <w:rPr>
          <w:rFonts w:eastAsia="仿宋_GB2312" w:cs="仿宋_GB2312"/>
          <w:sz w:val="32"/>
          <w:szCs w:val="32"/>
        </w:rPr>
      </w:pPr>
      <w:r>
        <w:rPr>
          <w:rFonts w:ascii="仿宋_GB2312" w:eastAsia="仿宋_GB2312" w:hint="eastAsia"/>
          <w:sz w:val="32"/>
          <w:szCs w:val="32"/>
        </w:rPr>
        <w:t>根据财政厅、省市场监管局共同制定的《四川省市场监管专项资金管理办法》（川财行</w:t>
      </w:r>
      <w:r>
        <w:rPr>
          <w:rFonts w:hint="eastAsia"/>
          <w:sz w:val="32"/>
          <w:szCs w:val="32"/>
        </w:rPr>
        <w:t>﹝</w:t>
      </w:r>
      <w:r>
        <w:rPr>
          <w:rFonts w:ascii="TimesNewRoman" w:hAnsi="TimesNewRoman"/>
          <w:sz w:val="32"/>
          <w:szCs w:val="32"/>
        </w:rPr>
        <w:t>2019</w:t>
      </w:r>
      <w:r>
        <w:rPr>
          <w:rFonts w:hint="eastAsia"/>
          <w:sz w:val="32"/>
          <w:szCs w:val="32"/>
        </w:rPr>
        <w:t>﹞</w:t>
      </w:r>
      <w:r>
        <w:rPr>
          <w:rFonts w:ascii="TimesNewRoman" w:hAnsi="TimesNewRoman"/>
          <w:sz w:val="32"/>
          <w:szCs w:val="32"/>
        </w:rPr>
        <w:t xml:space="preserve">74 </w:t>
      </w:r>
      <w:r>
        <w:rPr>
          <w:rFonts w:ascii="仿宋_GB2312" w:eastAsia="仿宋_GB2312" w:hAnsi="TimesNewRoman" w:hint="eastAsia"/>
          <w:sz w:val="32"/>
          <w:szCs w:val="32"/>
        </w:rPr>
        <w:t xml:space="preserve">号），为保障市场监管部门履职需要， </w:t>
      </w:r>
      <w:r>
        <w:rPr>
          <w:rFonts w:ascii="TimesNewRoman" w:eastAsia="仿宋_GB2312" w:hAnsi="TimesNewRoman"/>
          <w:sz w:val="32"/>
          <w:szCs w:val="32"/>
        </w:rPr>
        <w:t>202</w:t>
      </w:r>
      <w:r>
        <w:rPr>
          <w:rFonts w:ascii="TimesNewRoman" w:eastAsia="仿宋_GB2312" w:hAnsi="TimesNewRoman" w:hint="eastAsia"/>
          <w:sz w:val="32"/>
          <w:szCs w:val="32"/>
        </w:rPr>
        <w:t>1</w:t>
      </w:r>
      <w:r>
        <w:rPr>
          <w:rFonts w:ascii="仿宋_GB2312" w:eastAsia="仿宋_GB2312" w:hAnsi="TimesNewRoman" w:hint="eastAsia"/>
          <w:sz w:val="32"/>
          <w:szCs w:val="32"/>
        </w:rPr>
        <w:t>年省级财政安排四川省市场监督管理专项资金，主要用于市场监管部门依法履行职能职责，促进全省市场监管事业持续健康发展。</w:t>
      </w:r>
      <w:r>
        <w:rPr>
          <w:rFonts w:ascii="仿宋" w:eastAsia="仿宋" w:hAnsi="仿宋" w:cs="仿宋" w:hint="eastAsia"/>
          <w:sz w:val="32"/>
          <w:szCs w:val="32"/>
          <w:shd w:val="clear" w:color="auto" w:fill="FFFFFF"/>
        </w:rPr>
        <w:t>省局对资金分配主要采取据实据效法和项目法等进行分配。一是据实据效法。根据项目任务、成本补偿（补助）标准、绩效评价结果、监管工作配合度等共同确定。二是项目法。根据相关规划、年度计划、项目审核，按工作量计算</w:t>
      </w:r>
      <w:r>
        <w:rPr>
          <w:rFonts w:eastAsia="仿宋_GB2312" w:cs="仿宋_GB2312" w:hint="eastAsia"/>
          <w:sz w:val="32"/>
          <w:szCs w:val="32"/>
        </w:rPr>
        <w:t>确定项目承担单位实际资金需求，采取直接补助方式安排。根据</w:t>
      </w:r>
      <w:r>
        <w:rPr>
          <w:rFonts w:eastAsia="仿宋_GB2312" w:cs="仿宋_GB2312" w:hint="eastAsia"/>
          <w:sz w:val="32"/>
          <w:szCs w:val="32"/>
        </w:rPr>
        <w:t>2021</w:t>
      </w:r>
      <w:r>
        <w:rPr>
          <w:rFonts w:eastAsia="仿宋_GB2312" w:cs="仿宋_GB2312" w:hint="eastAsia"/>
          <w:sz w:val="32"/>
          <w:szCs w:val="32"/>
        </w:rPr>
        <w:t>年市场监督管理工作安排，川财行〔</w:t>
      </w:r>
      <w:r>
        <w:rPr>
          <w:rFonts w:eastAsia="仿宋_GB2312" w:cs="仿宋_GB2312" w:hint="eastAsia"/>
          <w:sz w:val="32"/>
          <w:szCs w:val="32"/>
        </w:rPr>
        <w:t>2021</w:t>
      </w:r>
      <w:r>
        <w:rPr>
          <w:rFonts w:eastAsia="仿宋_GB2312" w:cs="仿宋_GB2312" w:hint="eastAsia"/>
          <w:sz w:val="32"/>
          <w:szCs w:val="32"/>
        </w:rPr>
        <w:t>〕</w:t>
      </w:r>
      <w:r>
        <w:rPr>
          <w:rFonts w:eastAsia="仿宋_GB2312" w:cs="仿宋_GB2312" w:hint="eastAsia"/>
          <w:sz w:val="32"/>
          <w:szCs w:val="32"/>
        </w:rPr>
        <w:t>56</w:t>
      </w:r>
      <w:r>
        <w:rPr>
          <w:rFonts w:eastAsia="仿宋_GB2312" w:cs="仿宋_GB2312" w:hint="eastAsia"/>
          <w:sz w:val="32"/>
          <w:szCs w:val="32"/>
        </w:rPr>
        <w:t>号文和攀财资行〔</w:t>
      </w:r>
      <w:r>
        <w:rPr>
          <w:rFonts w:eastAsia="仿宋_GB2312" w:cs="仿宋_GB2312" w:hint="eastAsia"/>
          <w:sz w:val="32"/>
          <w:szCs w:val="32"/>
        </w:rPr>
        <w:t>2021</w:t>
      </w:r>
      <w:r>
        <w:rPr>
          <w:rFonts w:eastAsia="仿宋_GB2312" w:cs="仿宋_GB2312" w:hint="eastAsia"/>
          <w:sz w:val="32"/>
          <w:szCs w:val="32"/>
        </w:rPr>
        <w:t>〕</w:t>
      </w:r>
      <w:r>
        <w:rPr>
          <w:rFonts w:eastAsia="仿宋_GB2312" w:cs="仿宋_GB2312" w:hint="eastAsia"/>
          <w:sz w:val="32"/>
          <w:szCs w:val="32"/>
        </w:rPr>
        <w:t>62</w:t>
      </w:r>
      <w:r>
        <w:rPr>
          <w:rFonts w:eastAsia="仿宋_GB2312" w:cs="仿宋_GB2312" w:hint="eastAsia"/>
          <w:sz w:val="32"/>
          <w:szCs w:val="32"/>
        </w:rPr>
        <w:t>号下达西区</w:t>
      </w:r>
      <w:r>
        <w:rPr>
          <w:rFonts w:eastAsia="仿宋_GB2312" w:cs="仿宋_GB2312" w:hint="eastAsia"/>
          <w:sz w:val="32"/>
          <w:szCs w:val="32"/>
        </w:rPr>
        <w:t>2021</w:t>
      </w:r>
      <w:r>
        <w:rPr>
          <w:rFonts w:eastAsia="仿宋_GB2312" w:cs="仿宋_GB2312" w:hint="eastAsia"/>
          <w:sz w:val="32"/>
          <w:szCs w:val="32"/>
        </w:rPr>
        <w:t>年省级市场监管专项资金</w:t>
      </w:r>
      <w:r>
        <w:rPr>
          <w:rFonts w:eastAsia="仿宋_GB2312" w:cs="仿宋_GB2312" w:hint="eastAsia"/>
          <w:sz w:val="32"/>
          <w:szCs w:val="32"/>
        </w:rPr>
        <w:t>25</w:t>
      </w:r>
      <w:r>
        <w:rPr>
          <w:rFonts w:eastAsia="仿宋_GB2312" w:cs="仿宋_GB2312" w:hint="eastAsia"/>
          <w:sz w:val="32"/>
          <w:szCs w:val="32"/>
        </w:rPr>
        <w:t>万元，用于西区市场综合监管业务和市场秩序维护与监管工作开</w:t>
      </w:r>
      <w:r>
        <w:rPr>
          <w:rFonts w:eastAsia="仿宋_GB2312" w:cs="仿宋_GB2312" w:hint="eastAsia"/>
          <w:sz w:val="32"/>
          <w:szCs w:val="32"/>
        </w:rPr>
        <w:lastRenderedPageBreak/>
        <w:t>展。资金通过区财政支付到具体项目实施单位。</w:t>
      </w:r>
    </w:p>
    <w:p w:rsidR="00485B30" w:rsidRDefault="00A90FDE">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85B30" w:rsidRDefault="00A90FDE">
      <w:pPr>
        <w:adjustRightInd w:val="0"/>
        <w:snapToGrid w:val="0"/>
        <w:spacing w:line="560" w:lineRule="exact"/>
        <w:ind w:firstLineChars="200" w:firstLine="640"/>
        <w:outlineLvl w:val="0"/>
        <w:rPr>
          <w:sz w:val="32"/>
          <w:szCs w:val="32"/>
          <w:lang w:val="zh-CN"/>
        </w:rPr>
      </w:pPr>
      <w:r>
        <w:rPr>
          <w:rFonts w:eastAsia="仿宋_GB2312" w:cs="仿宋_GB2312" w:hint="eastAsia"/>
          <w:sz w:val="32"/>
          <w:szCs w:val="32"/>
        </w:rPr>
        <w:t>紧紧围绕确定的年度重点工作，深入实施质量强区战略，严守食品药品、重要工业产品质量、特种设备四条安全底线。强化计量技术保障、筑牢标准化基础、完善认证认可和检验检测监管体系。强化消费引导、深入推动放心舒心消费环境建设。开展“春雷行动”、加强反垄断和反不正当竞争执法、价格监管、广告监管、网络和合同监管、提高综合行政执法水平。维护市场秩序完成信用监管工作，维护市场秩序完成春雷行动、完成市场综合监管任务。</w:t>
      </w:r>
    </w:p>
    <w:p w:rsidR="00485B30" w:rsidRDefault="00A90FDE">
      <w:pPr>
        <w:adjustRightInd w:val="0"/>
        <w:snapToGrid w:val="0"/>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该项目申报内容与具体实施内容相符、申报目标合理可行。</w:t>
      </w:r>
    </w:p>
    <w:p w:rsidR="00485B30" w:rsidRDefault="00A90FDE">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85B30" w:rsidRDefault="00A90FDE">
      <w:pPr>
        <w:pStyle w:val="a7"/>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shd w:val="clear" w:color="auto" w:fill="FFFFFF"/>
        </w:rPr>
        <w:t>根据区财政关于开展绩效评价的通知，一是收集、检查项目资料；二是形成评价报告。根据相关业务股室绩效自评，汇总整理相关自评材料，形成客观、准确、全面、完整的绩效自评报告。全面公开绩效自评，在2022年10月10日前，将绩效自评报告在部门的门户网站公开，接受社会的监督。</w:t>
      </w:r>
    </w:p>
    <w:p w:rsidR="00485B30" w:rsidRDefault="00A90FDE">
      <w:pPr>
        <w:adjustRightInd w:val="0"/>
        <w:snapToGrid w:val="0"/>
        <w:spacing w:line="56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85B30" w:rsidRDefault="00A90FDE">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85B30" w:rsidRDefault="00A90FDE">
      <w:pPr>
        <w:pStyle w:val="a7"/>
        <w:adjustRightInd w:val="0"/>
        <w:snapToGrid w:val="0"/>
        <w:spacing w:before="0" w:beforeAutospacing="0" w:after="0" w:afterAutospacing="0" w:line="560" w:lineRule="exact"/>
        <w:ind w:firstLineChars="200" w:firstLine="640"/>
        <w:jc w:val="both"/>
        <w:rPr>
          <w:rFonts w:ascii="仿宋_GB2312" w:eastAsia="仿宋_GB2312"/>
          <w:sz w:val="32"/>
          <w:szCs w:val="32"/>
          <w:shd w:val="clear" w:color="auto" w:fill="FFFFFF"/>
        </w:rPr>
      </w:pPr>
      <w:r>
        <w:rPr>
          <w:rFonts w:ascii="仿宋_GB2312" w:eastAsia="仿宋_GB2312" w:hint="eastAsia"/>
          <w:sz w:val="32"/>
          <w:szCs w:val="32"/>
          <w:shd w:val="clear" w:color="auto" w:fill="FFFFFF"/>
        </w:rPr>
        <w:t>根据2021年市场监督管理工作安排，</w:t>
      </w:r>
      <w:r>
        <w:rPr>
          <w:rFonts w:ascii="仿宋_GB2312" w:eastAsia="仿宋_GB2312"/>
          <w:sz w:val="32"/>
          <w:szCs w:val="32"/>
          <w:shd w:val="clear" w:color="auto" w:fill="FFFFFF"/>
        </w:rPr>
        <w:t>攀财资行</w:t>
      </w:r>
      <w:r>
        <w:rPr>
          <w:rFonts w:ascii="仿宋_GB2312" w:eastAsia="仿宋_GB2312" w:hint="eastAsia"/>
          <w:sz w:val="32"/>
          <w:szCs w:val="32"/>
          <w:shd w:val="clear" w:color="auto" w:fill="FFFFFF"/>
        </w:rPr>
        <w:t>〔2021〕62号文下达西区市场监管局2021年省级市场监管专项资金25万元，其中市场秩序维护与监管费用15万元，用于西区开展春雷行动工作（5万元）和疫情防控工作（10万元）；市场综合业务工作</w:t>
      </w:r>
      <w:r>
        <w:rPr>
          <w:rFonts w:ascii="仿宋_GB2312" w:eastAsia="仿宋_GB2312" w:hint="eastAsia"/>
          <w:sz w:val="32"/>
          <w:szCs w:val="32"/>
          <w:shd w:val="clear" w:color="auto" w:fill="FFFFFF"/>
        </w:rPr>
        <w:lastRenderedPageBreak/>
        <w:t>10万元，用于西区信用监管（5万元）和市场监管综合业务工作（5万元）。</w:t>
      </w:r>
    </w:p>
    <w:p w:rsidR="00485B30" w:rsidRDefault="00A90FDE">
      <w:pPr>
        <w:adjustRightInd w:val="0"/>
        <w:snapToGrid w:val="0"/>
        <w:spacing w:line="56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485B30" w:rsidRDefault="00A90FDE">
      <w:pPr>
        <w:adjustRightInd w:val="0"/>
        <w:snapToGrid w:val="0"/>
        <w:spacing w:line="56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1．资金计划及到位。</w:t>
      </w:r>
    </w:p>
    <w:p w:rsidR="00485B30" w:rsidRDefault="00A90FDE">
      <w:pPr>
        <w:adjustRightInd w:val="0"/>
        <w:snapToGrid w:val="0"/>
        <w:spacing w:line="560" w:lineRule="exact"/>
        <w:ind w:firstLine="72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2021年4月、8月区财政通过大平台系统对我局下达市场监督管理专项经费5万元和20万元。资金及时到位，到位率 100%。 </w:t>
      </w:r>
    </w:p>
    <w:p w:rsidR="00485B30" w:rsidRDefault="00A90FDE">
      <w:pPr>
        <w:adjustRightInd w:val="0"/>
        <w:snapToGrid w:val="0"/>
        <w:spacing w:line="560" w:lineRule="exact"/>
        <w:ind w:firstLine="72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2．资金使用。</w:t>
      </w:r>
    </w:p>
    <w:p w:rsidR="00485B30" w:rsidRDefault="00A90FDE">
      <w:pPr>
        <w:adjustRightInd w:val="0"/>
        <w:snapToGrid w:val="0"/>
        <w:spacing w:line="560" w:lineRule="exact"/>
        <w:ind w:firstLine="72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我局严格按照资金管理办法使用资金，资金使用合规合法，资金开支范围与预算相符。由于该笔资金到位较晚和区财政困难未审核部分已安排报帐资金，所以2021年未支付出去，该资金正在安排使用。</w:t>
      </w:r>
    </w:p>
    <w:p w:rsidR="00485B30" w:rsidRDefault="00A90FDE">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85B30" w:rsidRDefault="00A90FDE">
      <w:pPr>
        <w:adjustRightInd w:val="0"/>
        <w:snapToGrid w:val="0"/>
        <w:spacing w:line="56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485B30" w:rsidRDefault="00A90FDE">
      <w:pPr>
        <w:adjustRightInd w:val="0"/>
        <w:snapToGrid w:val="0"/>
        <w:spacing w:line="560" w:lineRule="exact"/>
        <w:ind w:firstLine="720"/>
        <w:rPr>
          <w:rFonts w:ascii="黑体" w:eastAsia="黑体" w:hAnsi="宋体"/>
          <w:sz w:val="32"/>
          <w:szCs w:val="32"/>
        </w:rPr>
      </w:pPr>
      <w:r>
        <w:rPr>
          <w:rFonts w:ascii="黑体" w:eastAsia="黑体" w:hAnsi="宋体" w:hint="eastAsia"/>
          <w:sz w:val="32"/>
          <w:szCs w:val="32"/>
        </w:rPr>
        <w:t>三、项目实施及管理情况</w:t>
      </w:r>
    </w:p>
    <w:p w:rsidR="00485B30" w:rsidRDefault="00A90FDE">
      <w:pPr>
        <w:adjustRightInd w:val="0"/>
        <w:snapToGrid w:val="0"/>
        <w:spacing w:line="560" w:lineRule="exact"/>
        <w:ind w:firstLine="72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该项目资金实行专款专用，资金使用规范，严格执行相关财务管理制度，资金转付严格按照财务审批程序进行，会计核算结果真实、准确。切实做好绩效监控和绩效评价，确保资金安全。</w:t>
      </w:r>
    </w:p>
    <w:p w:rsidR="00485B30" w:rsidRDefault="00A90FDE">
      <w:pPr>
        <w:adjustRightInd w:val="0"/>
        <w:snapToGrid w:val="0"/>
        <w:spacing w:line="560" w:lineRule="exact"/>
        <w:ind w:firstLine="720"/>
        <w:rPr>
          <w:rFonts w:ascii="黑体" w:eastAsia="黑体" w:hAnsi="宋体"/>
          <w:sz w:val="32"/>
          <w:szCs w:val="32"/>
        </w:rPr>
      </w:pPr>
      <w:r>
        <w:rPr>
          <w:rFonts w:ascii="楷体_GB2312" w:eastAsia="楷体_GB2312" w:hAnsi="宋体" w:hint="eastAsia"/>
          <w:b/>
          <w:sz w:val="32"/>
          <w:szCs w:val="32"/>
          <w:lang w:val="zh-CN"/>
        </w:rPr>
        <w:t>（一）项目组织架构及实施流程。</w:t>
      </w:r>
      <w:r>
        <w:rPr>
          <w:rFonts w:ascii="仿宋_GB2312" w:eastAsia="仿宋_GB2312" w:hAnsi="宋体" w:cs="宋体" w:hint="eastAsia"/>
          <w:sz w:val="32"/>
          <w:szCs w:val="32"/>
          <w:shd w:val="clear" w:color="auto" w:fill="FFFFFF"/>
        </w:rPr>
        <w:t>已明确预算绩效管理(绩效评价)工作职责，已落实该项工作由财务室具体负责，并由相关股室配合绩效评价工作，</w:t>
      </w:r>
      <w:r>
        <w:rPr>
          <w:rFonts w:ascii="仿宋_GB2312" w:eastAsia="仿宋_GB2312" w:hint="eastAsia"/>
          <w:sz w:val="32"/>
          <w:szCs w:val="32"/>
          <w:shd w:val="clear" w:color="auto" w:fill="FFFFFF"/>
        </w:rPr>
        <w:t>严格按照“统筹兼顾、突出重点、促进发展、专款专用、注重绩效”的原则使用该笔专项补助经费。</w:t>
      </w:r>
      <w:r>
        <w:rPr>
          <w:rFonts w:ascii="仿宋_GB2312" w:eastAsia="仿宋_GB2312" w:hAnsi="宋体" w:cs="宋体" w:hint="eastAsia"/>
          <w:sz w:val="32"/>
          <w:szCs w:val="32"/>
          <w:shd w:val="clear" w:color="auto" w:fill="FFFFFF"/>
        </w:rPr>
        <w:t>建立了专项资金管理办法，利用专项经费管理和支付制度进行管理，实行专款专用，专账核算，做好预算执行，加快预算支出进</w:t>
      </w:r>
      <w:r>
        <w:rPr>
          <w:rFonts w:ascii="仿宋_GB2312" w:eastAsia="仿宋_GB2312" w:hAnsi="宋体" w:cs="宋体" w:hint="eastAsia"/>
          <w:sz w:val="32"/>
          <w:szCs w:val="32"/>
          <w:shd w:val="clear" w:color="auto" w:fill="FFFFFF"/>
        </w:rPr>
        <w:lastRenderedPageBreak/>
        <w:t>度，促进资金及时足额拨付，专项资金财政拨款到位后及时进行了项目开展和资金投入。同时注重提高资金项目的安全性，严格执行“收支两条线”的规定，防止截留、坐支、挪用和私设“小金库”，防止数据不实、虚假立项、骗取套取、挤占挪用财政资金等行为。</w:t>
      </w:r>
    </w:p>
    <w:p w:rsidR="00485B30" w:rsidRDefault="00A90FDE">
      <w:pPr>
        <w:pStyle w:val="a7"/>
        <w:adjustRightInd w:val="0"/>
        <w:snapToGrid w:val="0"/>
        <w:spacing w:before="0" w:beforeAutospacing="0" w:after="0" w:afterAutospacing="0" w:line="560" w:lineRule="exact"/>
        <w:ind w:firstLineChars="150" w:firstLine="482"/>
        <w:jc w:val="both"/>
        <w:rPr>
          <w:rFonts w:ascii="仿宋_GB2312" w:eastAsia="仿宋_GB2312"/>
          <w:sz w:val="32"/>
          <w:szCs w:val="32"/>
          <w:shd w:val="clear" w:color="auto" w:fill="FFFFFF"/>
        </w:rPr>
      </w:pPr>
      <w:r>
        <w:rPr>
          <w:rFonts w:ascii="楷体_GB2312" w:eastAsia="楷体_GB2312" w:hint="eastAsia"/>
          <w:b/>
          <w:sz w:val="32"/>
          <w:szCs w:val="32"/>
          <w:lang w:val="zh-CN"/>
        </w:rPr>
        <w:t>（二）项目管理情况。</w:t>
      </w:r>
      <w:r>
        <w:rPr>
          <w:rFonts w:ascii="仿宋_GB2312" w:eastAsia="仿宋_GB2312" w:hint="eastAsia"/>
          <w:sz w:val="32"/>
          <w:szCs w:val="32"/>
          <w:shd w:val="clear" w:color="auto" w:fill="FFFFFF"/>
        </w:rPr>
        <w:t>一是</w:t>
      </w:r>
      <w:r>
        <w:rPr>
          <w:rFonts w:ascii="仿宋_GB2312" w:eastAsia="仿宋_GB2312"/>
          <w:sz w:val="32"/>
          <w:szCs w:val="32"/>
          <w:shd w:val="clear" w:color="auto" w:fill="FFFFFF"/>
        </w:rPr>
        <w:t>建立健全管理制度。我局以项目建设为核心，以绩效评价为资金分配的依据，规范了项目及专项资金的申报、使用和验收评价等环节，保证项目的顺利实施。</w:t>
      </w:r>
    </w:p>
    <w:p w:rsidR="00485B30" w:rsidRDefault="00A90FDE">
      <w:pPr>
        <w:pStyle w:val="a7"/>
        <w:adjustRightInd w:val="0"/>
        <w:snapToGrid w:val="0"/>
        <w:spacing w:before="0" w:beforeAutospacing="0" w:after="0" w:afterAutospacing="0" w:line="560" w:lineRule="exact"/>
        <w:ind w:firstLineChars="200" w:firstLine="640"/>
        <w:jc w:val="both"/>
        <w:rPr>
          <w:rFonts w:ascii="仿宋_GB2312" w:eastAsia="仿宋_GB2312"/>
          <w:sz w:val="32"/>
          <w:szCs w:val="32"/>
          <w:shd w:val="clear" w:color="auto" w:fill="FFFFFF"/>
        </w:rPr>
      </w:pPr>
      <w:r>
        <w:rPr>
          <w:rFonts w:ascii="仿宋_GB2312" w:eastAsia="仿宋_GB2312" w:hint="eastAsia"/>
          <w:sz w:val="32"/>
          <w:szCs w:val="32"/>
          <w:shd w:val="clear" w:color="auto" w:fill="FFFFFF"/>
        </w:rPr>
        <w:t>二是加强专项资金管理。项目资金的使用都严格按照专款专用的原则，做到了无虚列套取、无截留、挤占、挪用等情况。项目资金的支出都有完整的审批程序，资金支出严谨而规范。</w:t>
      </w:r>
    </w:p>
    <w:p w:rsidR="00485B30" w:rsidRDefault="00A90FDE">
      <w:pPr>
        <w:pStyle w:val="a7"/>
        <w:adjustRightInd w:val="0"/>
        <w:snapToGrid w:val="0"/>
        <w:spacing w:before="0" w:beforeAutospacing="0" w:after="0" w:afterAutospacing="0" w:line="560" w:lineRule="exact"/>
        <w:ind w:firstLineChars="150" w:firstLine="482"/>
        <w:jc w:val="both"/>
        <w:rPr>
          <w:rFonts w:ascii="仿宋_GB2312" w:eastAsia="仿宋_GB2312"/>
          <w:sz w:val="32"/>
          <w:szCs w:val="32"/>
          <w:shd w:val="clear" w:color="auto" w:fill="FFFFFF"/>
        </w:rPr>
      </w:pPr>
      <w:r>
        <w:rPr>
          <w:rFonts w:ascii="楷体_GB2312" w:eastAsia="楷体_GB2312" w:hint="eastAsia"/>
          <w:b/>
          <w:sz w:val="32"/>
          <w:szCs w:val="32"/>
          <w:lang w:val="zh-CN"/>
        </w:rPr>
        <w:t>（三）项目监管情况。</w:t>
      </w:r>
      <w:r>
        <w:rPr>
          <w:rFonts w:ascii="仿宋_GB2312" w:eastAsia="仿宋_GB2312"/>
          <w:sz w:val="32"/>
          <w:szCs w:val="32"/>
          <w:shd w:val="clear" w:color="auto" w:fill="FFFFFF"/>
        </w:rPr>
        <w:t>项目按照财政专项资金管理办法进行管理，20</w:t>
      </w:r>
      <w:r>
        <w:rPr>
          <w:rFonts w:ascii="仿宋_GB2312" w:eastAsia="仿宋_GB2312" w:hint="eastAsia"/>
          <w:sz w:val="32"/>
          <w:szCs w:val="32"/>
          <w:shd w:val="clear" w:color="auto" w:fill="FFFFFF"/>
        </w:rPr>
        <w:t>21</w:t>
      </w:r>
      <w:r>
        <w:rPr>
          <w:rFonts w:ascii="仿宋_GB2312" w:eastAsia="仿宋_GB2312"/>
          <w:sz w:val="32"/>
          <w:szCs w:val="32"/>
          <w:shd w:val="clear" w:color="auto" w:fill="FFFFFF"/>
        </w:rPr>
        <w:t>年项目都做到了事前计划详细，目标明晰，事中方案明确，落实责任，事后记录详实，反馈有效。</w:t>
      </w:r>
    </w:p>
    <w:p w:rsidR="00485B30" w:rsidRDefault="00A90FDE">
      <w:pPr>
        <w:adjustRightInd w:val="0"/>
        <w:snapToGrid w:val="0"/>
        <w:spacing w:line="56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485B30" w:rsidRDefault="00A90FDE">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85B30" w:rsidRDefault="00A90FDE">
      <w:pPr>
        <w:adjustRightInd w:val="0"/>
        <w:snapToGrid w:val="0"/>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一是</w:t>
      </w:r>
      <w:r>
        <w:rPr>
          <w:rFonts w:ascii="仿宋_GB2312" w:eastAsia="仿宋_GB2312" w:hAnsi="仿宋_GB2312" w:cs="仿宋_GB2312" w:hint="eastAsia"/>
          <w:color w:val="000000" w:themeColor="text1"/>
          <w:sz w:val="32"/>
          <w:szCs w:val="32"/>
        </w:rPr>
        <w:t>食品安全不断强化。完成食品抽样509个批次，涉及酒类、大米、水产制品、肉制品、食用农产品、饮料等共16个商品类别，不合格食品15个批次，已依法立案查处</w:t>
      </w:r>
      <w:r>
        <w:rPr>
          <w:rFonts w:ascii="仿宋_GB2312" w:eastAsia="仿宋_GB2312" w:cs="仿宋_GB2312" w:hint="eastAsia"/>
          <w:sz w:val="32"/>
          <w:szCs w:val="32"/>
        </w:rPr>
        <w:t>，</w:t>
      </w:r>
      <w:r>
        <w:rPr>
          <w:rFonts w:ascii="仿宋_GB2312" w:eastAsia="仿宋_GB2312" w:hAnsi="仿宋_GB2312" w:cs="仿宋_GB2312" w:hint="eastAsia"/>
          <w:color w:val="000000" w:themeColor="text1"/>
          <w:sz w:val="32"/>
          <w:szCs w:val="32"/>
        </w:rPr>
        <w:t>食品安全抽检批次由2017年3份/千人上升到4份/千人，全区食品安全评价性抽检合格率96%以上。在全市率先</w:t>
      </w:r>
      <w:r>
        <w:rPr>
          <w:rFonts w:ascii="仿宋_GB2312" w:eastAsia="仿宋_GB2312" w:hAnsi="仿宋_GB2312" w:cs="仿宋_GB2312" w:hint="eastAsia"/>
          <w:color w:val="000000"/>
          <w:sz w:val="32"/>
          <w:szCs w:val="32"/>
        </w:rPr>
        <w:t>设置食安副校长工作模式和小作坊作坊长制工作制度，创新开展食品安全“你点我检”“餐饮服务单位红黑榜”等工作，截至目前，全区7名来自市场监管一线的食品安全副校（园）长全部到岗履职，辖区已有10家小</w:t>
      </w:r>
      <w:r>
        <w:rPr>
          <w:rFonts w:ascii="仿宋_GB2312" w:eastAsia="仿宋_GB2312" w:hAnsi="仿宋_GB2312" w:cs="仿宋_GB2312" w:hint="eastAsia"/>
          <w:color w:val="000000"/>
          <w:sz w:val="32"/>
          <w:szCs w:val="32"/>
        </w:rPr>
        <w:lastRenderedPageBreak/>
        <w:t>作坊设立了“属地作坊长、行业作坊长、企业作坊长”三位一体的“作坊长”管理责任制，累计开展“你点我检”5期；累计制发“餐饮单位红黑榜”3期，22家红榜、23家黑榜单位通过抖音、微信、LED宣传屏进行公示，引导群众“用脚投票”，促进餐饮行业良性发展；持续推进“互联网+食品监管”模式（千里眼计划）覆盖进程，截至目前，辖区共120家经营单位纳入“互联网+食品安全监管”，目前，辖区保健食品经营场所摄像头已达到全覆盖，其他重点食品经营场所摄像头覆盖率正稳步推进；持续推进“合格证+追溯码”猪肉质量安全闭环监管模式，统一合格证样式、承诺内容、开具方式等指标，实现猪肉从养殖户到餐桌“一票通”，努力推动食品安全监管由“管得严”向“管得好”转变。</w:t>
      </w: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color w:val="000000" w:themeColor="text1"/>
          <w:sz w:val="32"/>
          <w:szCs w:val="32"/>
        </w:rPr>
        <w:t>特种设备安全不断压实。持续推进改进电梯维护保养模式和调整电梯检验检测方式试点工作，目前，西区已建成两批电梯物联网共计102台，另有180台电梯达成了安装协议，预计2021年底实现全区电梯物联网全覆盖，进一步方便了使用单位对电梯的管理，提高了电梯的维护保养工作质量，强化了监管机构的可视化监管，实现了电梯故障智能化推送，使用单位、维保公司和监管机构能同时获取信息，同时应急响应，同时开展救援，效率提升了约50%。</w:t>
      </w:r>
      <w:r>
        <w:rPr>
          <w:rFonts w:ascii="仿宋_GB2312" w:eastAsia="仿宋_GB2312" w:hAnsi="宋体" w:cs="仿宋_GB2312" w:hint="eastAsia"/>
          <w:sz w:val="31"/>
          <w:szCs w:val="31"/>
        </w:rPr>
        <w:t>同时，全面</w:t>
      </w:r>
      <w:r>
        <w:rPr>
          <w:rFonts w:ascii="仿宋_GB2312" w:eastAsia="仿宋_GB2312" w:hAnsi="宋体" w:cs="仿宋_GB2312"/>
          <w:sz w:val="31"/>
          <w:szCs w:val="31"/>
        </w:rPr>
        <w:t>开展</w:t>
      </w:r>
      <w:r>
        <w:rPr>
          <w:rFonts w:ascii="仿宋_GB2312" w:eastAsia="仿宋_GB2312" w:hAnsi="宋体" w:cs="仿宋_GB2312"/>
          <w:sz w:val="31"/>
          <w:szCs w:val="31"/>
        </w:rPr>
        <w:t>“</w:t>
      </w:r>
      <w:r>
        <w:rPr>
          <w:rFonts w:ascii="仿宋_GB2312" w:eastAsia="仿宋_GB2312" w:hAnsi="宋体" w:cs="仿宋_GB2312"/>
          <w:sz w:val="31"/>
          <w:szCs w:val="31"/>
        </w:rPr>
        <w:t>15年以上老旧电梯排查</w:t>
      </w:r>
      <w:r>
        <w:rPr>
          <w:rFonts w:ascii="仿宋_GB2312" w:eastAsia="仿宋_GB2312" w:hAnsi="宋体" w:cs="仿宋_GB2312"/>
          <w:sz w:val="31"/>
          <w:szCs w:val="31"/>
        </w:rPr>
        <w:t>”</w:t>
      </w:r>
      <w:r>
        <w:rPr>
          <w:rFonts w:ascii="仿宋_GB2312" w:eastAsia="仿宋_GB2312" w:hAnsi="宋体" w:cs="仿宋_GB2312"/>
          <w:sz w:val="31"/>
          <w:szCs w:val="31"/>
        </w:rPr>
        <w:t>工作，</w:t>
      </w:r>
      <w:r>
        <w:rPr>
          <w:rFonts w:ascii="仿宋_GB2312" w:eastAsia="仿宋_GB2312" w:hAnsi="宋体" w:cs="仿宋_GB2312" w:hint="eastAsia"/>
          <w:sz w:val="31"/>
          <w:szCs w:val="31"/>
        </w:rPr>
        <w:t>期间，</w:t>
      </w:r>
      <w:r>
        <w:rPr>
          <w:rFonts w:ascii="仿宋_GB2312" w:eastAsia="仿宋_GB2312" w:hAnsi="宋体" w:cs="仿宋_GB2312"/>
          <w:sz w:val="31"/>
          <w:szCs w:val="31"/>
        </w:rPr>
        <w:t>更换15年以上老旧电梯2台，对20余台电梯进行了深入检测和评估，发现并消除安全隐患4处，防止了事故的发生</w:t>
      </w:r>
      <w:r>
        <w:rPr>
          <w:rFonts w:ascii="仿宋_GB2312" w:eastAsia="仿宋_GB2312" w:hAnsi="宋体" w:cs="仿宋_GB2312" w:hint="eastAsia"/>
          <w:sz w:val="31"/>
          <w:szCs w:val="31"/>
        </w:rPr>
        <w:t>。</w:t>
      </w:r>
      <w:r>
        <w:rPr>
          <w:rFonts w:ascii="仿宋_GB2312" w:eastAsia="仿宋_GB2312" w:hAnsi="仿宋_GB2312" w:cs="仿宋_GB2312" w:hint="eastAsia"/>
          <w:color w:val="000000" w:themeColor="text1"/>
          <w:sz w:val="32"/>
          <w:szCs w:val="32"/>
        </w:rPr>
        <w:t>强化日常监督与专项检查相结合，着力抓好医院、工业园区、超市、住宅小区、游乐场所、锅炉、气瓶充装站等重点场所（单位）检查。2021年以来，出动执法人员500余人次，检查企业360</w:t>
      </w:r>
      <w:r>
        <w:rPr>
          <w:rFonts w:ascii="仿宋_GB2312" w:eastAsia="仿宋_GB2312" w:hAnsi="仿宋_GB2312" w:cs="仿宋_GB2312" w:hint="eastAsia"/>
          <w:color w:val="000000" w:themeColor="text1"/>
          <w:sz w:val="32"/>
          <w:szCs w:val="32"/>
        </w:rPr>
        <w:lastRenderedPageBreak/>
        <w:t>余家次，抽查各类特种设备1500余台次，消除各类安全隐患40余处，下达特种设备安全监察指令书20余份，避免直接经济损失500余万元，有效防范了特种设备重特大事故的发生。</w:t>
      </w:r>
      <w:r>
        <w:rPr>
          <w:rFonts w:ascii="仿宋_GB2312" w:eastAsia="仿宋_GB2312" w:hAnsi="仿宋_GB2312" w:cs="仿宋_GB2312" w:hint="eastAsia"/>
          <w:b/>
          <w:bCs/>
          <w:color w:val="000000" w:themeColor="text1"/>
          <w:sz w:val="32"/>
          <w:szCs w:val="32"/>
        </w:rPr>
        <w:t>三是</w:t>
      </w:r>
      <w:r>
        <w:rPr>
          <w:rFonts w:ascii="仿宋_GB2312" w:eastAsia="仿宋_GB2312" w:hAnsi="仿宋_GB2312" w:cs="仿宋_GB2312" w:hint="eastAsia"/>
          <w:color w:val="000000" w:themeColor="text1"/>
          <w:sz w:val="32"/>
          <w:szCs w:val="32"/>
        </w:rPr>
        <w:t>质量强区战略不断提升。深入开展质量强区暨质量提升行动，完成辖区1家企业有机认证工作，指导企业制定企业标准1件，大力推动规模以上食品生产企业建立质量关键控制点体系，取得ISO9001质量管理体系认证2家，HACCP关键控制点认证1家，完成电子追溯体系建设1家、纸质追溯体系建设5家，辖区12家超市（集贸市场）食用农产品合格证制度全面推行。</w:t>
      </w:r>
      <w:r>
        <w:rPr>
          <w:rFonts w:ascii="仿宋_GB2312" w:eastAsia="仿宋_GB2312" w:hint="eastAsia"/>
          <w:sz w:val="32"/>
          <w:szCs w:val="32"/>
        </w:rPr>
        <w:t>组织开展区级商品质量监督抽查20个批次，主要涉及学生用品、塑料袋，全部合格。重点对儿童文具、家电等产品强制认证产品进行监督检查，检查各类销售商22家，督促不符合强制认证产品2个品种下架处理。开展民生计量工作，对辖区内9家集贸市场581台件在用计量器具开展了免费检定，同时，检定辖区在用医疗器具161台件，取水计量器具11件。</w:t>
      </w:r>
      <w:r>
        <w:rPr>
          <w:rFonts w:ascii="仿宋_GB2312" w:eastAsia="仿宋_GB2312" w:hAnsi="仿宋_GB2312" w:cs="仿宋_GB2312" w:hint="eastAsia"/>
          <w:color w:val="000000" w:themeColor="text1"/>
          <w:sz w:val="32"/>
          <w:szCs w:val="32"/>
        </w:rPr>
        <w:t>推进辖区知识产权保护工作，</w:t>
      </w:r>
      <w:r>
        <w:rPr>
          <w:rFonts w:eastAsia="仿宋_GB2312"/>
          <w:sz w:val="32"/>
          <w:szCs w:val="32"/>
        </w:rPr>
        <w:t>开展特色农产品质量提升行动，加强</w:t>
      </w:r>
      <w:r>
        <w:rPr>
          <w:rFonts w:eastAsia="仿宋_GB2312"/>
          <w:sz w:val="32"/>
          <w:szCs w:val="32"/>
        </w:rPr>
        <w:t>“</w:t>
      </w:r>
      <w:r>
        <w:rPr>
          <w:rFonts w:eastAsia="仿宋_GB2312"/>
          <w:sz w:val="32"/>
          <w:szCs w:val="32"/>
        </w:rPr>
        <w:t>攀枝花芒果</w:t>
      </w:r>
      <w:r>
        <w:rPr>
          <w:rFonts w:eastAsia="仿宋_GB2312"/>
          <w:sz w:val="32"/>
          <w:szCs w:val="32"/>
        </w:rPr>
        <w:t>”</w:t>
      </w:r>
      <w:r>
        <w:rPr>
          <w:rFonts w:eastAsia="仿宋_GB2312"/>
          <w:sz w:val="32"/>
          <w:szCs w:val="32"/>
        </w:rPr>
        <w:t>等区域公用品牌使用管理和</w:t>
      </w:r>
      <w:r>
        <w:rPr>
          <w:rFonts w:eastAsia="仿宋_GB2312"/>
          <w:sz w:val="32"/>
          <w:szCs w:val="32"/>
        </w:rPr>
        <w:t>“</w:t>
      </w:r>
      <w:r>
        <w:rPr>
          <w:rFonts w:eastAsia="微软雅黑"/>
          <w:sz w:val="32"/>
          <w:szCs w:val="32"/>
        </w:rPr>
        <w:t>礑礑</w:t>
      </w:r>
      <w:r>
        <w:rPr>
          <w:rFonts w:eastAsia="仿宋_GB2312"/>
          <w:sz w:val="32"/>
          <w:szCs w:val="32"/>
        </w:rPr>
        <w:t>鸡</w:t>
      </w:r>
      <w:r>
        <w:rPr>
          <w:rFonts w:eastAsia="仿宋_GB2312"/>
          <w:sz w:val="32"/>
          <w:szCs w:val="32"/>
        </w:rPr>
        <w:t>”</w:t>
      </w:r>
      <w:r>
        <w:rPr>
          <w:rFonts w:eastAsia="仿宋_GB2312"/>
          <w:sz w:val="32"/>
          <w:szCs w:val="32"/>
        </w:rPr>
        <w:t>农产品地理标志产品保护利用，开展专项执法</w:t>
      </w:r>
      <w:r>
        <w:rPr>
          <w:rFonts w:eastAsia="仿宋_GB2312" w:hint="eastAsia"/>
          <w:sz w:val="32"/>
          <w:szCs w:val="32"/>
        </w:rPr>
        <w:t>4</w:t>
      </w:r>
      <w:r>
        <w:rPr>
          <w:rFonts w:eastAsia="仿宋_GB2312"/>
          <w:sz w:val="32"/>
          <w:szCs w:val="32"/>
        </w:rPr>
        <w:t>次，</w:t>
      </w:r>
      <w:r>
        <w:rPr>
          <w:rFonts w:ascii="仿宋_GB2312" w:eastAsia="仿宋_GB2312" w:hAnsi="仿宋_GB2312" w:cs="仿宋_GB2312" w:hint="eastAsia"/>
          <w:color w:val="000000" w:themeColor="text1"/>
          <w:sz w:val="32"/>
          <w:szCs w:val="32"/>
        </w:rPr>
        <w:t>在辖区成立知识产权维权援助工作站7个。截至目前，全区企业获得专利授权67件，有效发明专利47件，有效外观专利12件，有效实用新型专利122件。四是有效简化退出机制。推进简易注销改革，简化登记表格、将债务债权清算通过报纸公告改为在“国家企业信用信息公示系统”中进行公示公告，</w:t>
      </w:r>
      <w:r>
        <w:rPr>
          <w:rFonts w:ascii="仿宋_GB2312" w:eastAsia="仿宋_GB2312" w:hint="eastAsia"/>
          <w:sz w:val="32"/>
          <w:szCs w:val="32"/>
        </w:rPr>
        <w:t>公示时间由45天压缩为20天，</w:t>
      </w:r>
      <w:r>
        <w:rPr>
          <w:rFonts w:ascii="仿宋_GB2312" w:eastAsia="仿宋_GB2312" w:hAnsi="仿宋_GB2312" w:cs="仿宋_GB2312" w:hint="eastAsia"/>
          <w:color w:val="000000" w:themeColor="text1"/>
          <w:sz w:val="32"/>
          <w:szCs w:val="32"/>
        </w:rPr>
        <w:t>清税时间由机构改革前的3个月缩短为45个工作日；采取立案调查、调查取证等方式，集中吊销部</w:t>
      </w:r>
      <w:r>
        <w:rPr>
          <w:rFonts w:ascii="仿宋_GB2312" w:eastAsia="仿宋_GB2312" w:hAnsi="仿宋_GB2312" w:cs="仿宋_GB2312" w:hint="eastAsia"/>
          <w:color w:val="000000" w:themeColor="text1"/>
          <w:sz w:val="32"/>
          <w:szCs w:val="32"/>
        </w:rPr>
        <w:lastRenderedPageBreak/>
        <w:t>分僵尸企业（长时间未从事经营活动）营业执照。五是落实重点目标“硬任务”。积极推进国卫复审、扫黑除恶、文明城市创建、环保督察、长江禁捕、铁拳行动、百日攻坚、“春雷行动”系列专项行动和非洲猪瘟疫情防控以及舆情处置等重点工作，急难险重应对能力不断提升。区市场监管局联合区级相关部门不定期开展辖区天然水域全面排查4次，</w:t>
      </w:r>
      <w:r>
        <w:rPr>
          <w:rFonts w:ascii="仿宋_GB2312" w:eastAsia="仿宋_GB2312" w:cs="仿宋_GB2312" w:hint="eastAsia"/>
          <w:sz w:val="32"/>
          <w:szCs w:val="32"/>
        </w:rPr>
        <w:t>暗访检查农贸市场</w:t>
      </w:r>
      <w:r>
        <w:rPr>
          <w:rStyle w:val="NormalCharacter"/>
          <w:rFonts w:ascii="仿宋_GB2312" w:eastAsia="仿宋_GB2312" w:hAnsi="仿宋" w:hint="eastAsia"/>
          <w:sz w:val="32"/>
          <w:szCs w:val="32"/>
        </w:rPr>
        <w:t>鲜活水产品销售单位520家次，冷冻水产品经营店和冻库420家次，农贸市场584家次，商超375家次，</w:t>
      </w:r>
      <w:r>
        <w:rPr>
          <w:rFonts w:ascii="仿宋_GB2312" w:eastAsia="仿宋_GB2312" w:hAnsi="宋体" w:cs="仿宋_GB2312" w:hint="eastAsia"/>
          <w:sz w:val="32"/>
          <w:szCs w:val="32"/>
        </w:rPr>
        <w:t>涉及水产品的餐饮单位2458家次，监测电商平台102家次</w:t>
      </w:r>
      <w:r>
        <w:rPr>
          <w:rFonts w:ascii="仿宋_GB2312" w:eastAsia="仿宋_GB2312" w:cs="仿宋_GB2312" w:hint="eastAsia"/>
          <w:sz w:val="32"/>
          <w:szCs w:val="32"/>
        </w:rPr>
        <w:t>，</w:t>
      </w:r>
      <w:r>
        <w:rPr>
          <w:rStyle w:val="NormalCharacter"/>
          <w:rFonts w:ascii="仿宋_GB2312" w:eastAsia="仿宋_GB2312" w:hAnsi="宋体" w:hint="eastAsia"/>
          <w:sz w:val="32"/>
          <w:szCs w:val="32"/>
        </w:rPr>
        <w:t>责令经营户更改店招、店名、菜单22家，立案查处3起发布虚假广告违法行为，目前已全部结案。</w:t>
      </w:r>
      <w:r>
        <w:rPr>
          <w:rFonts w:ascii="仿宋_GB2312" w:eastAsia="仿宋_GB2312" w:hAnsi="仿宋_GB2312" w:cs="仿宋_GB2312" w:hint="eastAsia"/>
          <w:color w:val="000000" w:themeColor="text1"/>
          <w:sz w:val="32"/>
          <w:szCs w:val="32"/>
        </w:rPr>
        <w:t>共办理“春雷行动2021”系列专项行动案件124件，结案率100%。近年，辖区内未发生非洲猪瘟疫情和大规模不明原因生猪死亡事件。六是</w:t>
      </w:r>
      <w:r>
        <w:rPr>
          <w:rFonts w:ascii="楷体_GB2312" w:eastAsia="楷体_GB2312" w:hAnsi="楷体_GB2312" w:cs="楷体_GB2312" w:hint="eastAsia"/>
          <w:color w:val="000000" w:themeColor="text1"/>
          <w:sz w:val="32"/>
          <w:szCs w:val="32"/>
        </w:rPr>
        <w:t>全力以赴投入疫情防控，</w:t>
      </w:r>
      <w:r>
        <w:rPr>
          <w:rFonts w:eastAsia="仿宋_GB2312" w:hint="eastAsia"/>
          <w:color w:val="000000"/>
          <w:sz w:val="32"/>
          <w:szCs w:val="32"/>
        </w:rPr>
        <w:t>组织区冷链物流专班到进口冷链集中监管</w:t>
      </w:r>
      <w:r>
        <w:rPr>
          <w:rFonts w:eastAsia="仿宋_GB2312" w:hint="eastAsia"/>
          <w:color w:val="000000" w:themeColor="text1"/>
          <w:sz w:val="32"/>
          <w:szCs w:val="32"/>
        </w:rPr>
        <w:t>仓值守共计</w:t>
      </w:r>
      <w:r>
        <w:rPr>
          <w:rFonts w:eastAsia="仿宋_GB2312" w:hint="eastAsia"/>
          <w:color w:val="000000" w:themeColor="text1"/>
          <w:sz w:val="32"/>
          <w:szCs w:val="32"/>
        </w:rPr>
        <w:t>3</w:t>
      </w:r>
      <w:r>
        <w:rPr>
          <w:rFonts w:eastAsia="仿宋_GB2312" w:hint="eastAsia"/>
          <w:color w:val="000000" w:themeColor="text1"/>
          <w:sz w:val="32"/>
          <w:szCs w:val="32"/>
        </w:rPr>
        <w:t>轮</w:t>
      </w:r>
      <w:r>
        <w:rPr>
          <w:rFonts w:eastAsia="仿宋_GB2312" w:hint="eastAsia"/>
          <w:color w:val="000000" w:themeColor="text1"/>
          <w:sz w:val="32"/>
          <w:szCs w:val="32"/>
        </w:rPr>
        <w:t>42</w:t>
      </w:r>
      <w:r>
        <w:rPr>
          <w:rFonts w:eastAsia="仿宋_GB2312" w:hint="eastAsia"/>
          <w:color w:val="000000" w:themeColor="text1"/>
          <w:sz w:val="32"/>
          <w:szCs w:val="32"/>
        </w:rPr>
        <w:t>天，共计</w:t>
      </w:r>
      <w:r>
        <w:rPr>
          <w:rFonts w:eastAsia="仿宋_GB2312" w:hint="eastAsia"/>
          <w:color w:val="000000" w:themeColor="text1"/>
          <w:sz w:val="32"/>
          <w:szCs w:val="32"/>
        </w:rPr>
        <w:t>21</w:t>
      </w:r>
      <w:r>
        <w:rPr>
          <w:rFonts w:eastAsia="仿宋_GB2312" w:hint="eastAsia"/>
          <w:color w:val="000000" w:themeColor="text1"/>
          <w:sz w:val="32"/>
          <w:szCs w:val="32"/>
        </w:rPr>
        <w:t>人次。</w:t>
      </w:r>
      <w:r>
        <w:rPr>
          <w:rFonts w:ascii="仿宋_GB2312" w:eastAsia="仿宋_GB2312" w:hAnsi="仿宋_GB2312" w:cs="仿宋_GB2312"/>
          <w:sz w:val="32"/>
          <w:szCs w:val="32"/>
        </w:rPr>
        <w:t>严查冷链食品“三证、一报告、一信息”是否到位，全面实施进口冷链食品“川冷链”平台监管，让冷链食品来源可靠、可追溯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动员辖区进口冷链食品从业人员定期进行核酸检测，截至目前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组织进口冷链人员核酸</w:t>
      </w:r>
      <w:r>
        <w:rPr>
          <w:rFonts w:ascii="仿宋_GB2312" w:eastAsia="仿宋_GB2312" w:hAnsi="仿宋_GB2312" w:cs="仿宋_GB2312" w:hint="eastAsia"/>
          <w:sz w:val="32"/>
          <w:szCs w:val="32"/>
        </w:rPr>
        <w:t>检测</w:t>
      </w:r>
      <w:r>
        <w:rPr>
          <w:rFonts w:ascii="仿宋_GB2312" w:eastAsia="仿宋_GB2312" w:hAnsi="仿宋_GB2312" w:cs="仿宋_GB2312"/>
          <w:sz w:val="32"/>
          <w:szCs w:val="32"/>
        </w:rPr>
        <w:t>2060人次，外环境采样346批次</w:t>
      </w:r>
      <w:r>
        <w:rPr>
          <w:rFonts w:ascii="仿宋_GB2312" w:eastAsia="仿宋_GB2312" w:hAnsi="仿宋_GB2312" w:cs="仿宋_GB2312" w:hint="eastAsia"/>
          <w:sz w:val="32"/>
          <w:szCs w:val="32"/>
        </w:rPr>
        <w:t>。</w:t>
      </w:r>
      <w:r>
        <w:rPr>
          <w:rFonts w:ascii="仿宋_GB2312" w:eastAsia="仿宋_GB2312" w:hint="eastAsia"/>
          <w:sz w:val="32"/>
          <w:szCs w:val="32"/>
        </w:rPr>
        <w:t>加强对辖区各餐饮经营户聚集性活动管理，截至目前，西区共取消各类宴席16场共计623桌；要求企事业单位、学校、幼儿园食堂等群体性就餐单位，分时分区域错峰就餐。</w:t>
      </w:r>
    </w:p>
    <w:p w:rsidR="00485B30" w:rsidRDefault="00A90FDE">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85B30" w:rsidRDefault="00A90FDE">
      <w:pPr>
        <w:pStyle w:val="a7"/>
        <w:adjustRightInd w:val="0"/>
        <w:snapToGrid w:val="0"/>
        <w:spacing w:before="0" w:beforeAutospacing="0" w:after="0" w:afterAutospacing="0" w:line="560" w:lineRule="exact"/>
        <w:ind w:firstLineChars="200" w:firstLine="640"/>
        <w:jc w:val="both"/>
        <w:rPr>
          <w:rFonts w:ascii="仿宋_GB2312" w:eastAsia="仿宋_GB2312"/>
          <w:sz w:val="32"/>
          <w:szCs w:val="32"/>
          <w:shd w:val="clear" w:color="auto" w:fill="FFFFFF"/>
        </w:rPr>
      </w:pPr>
      <w:r>
        <w:rPr>
          <w:rFonts w:ascii="仿宋_GB2312" w:eastAsia="仿宋_GB2312" w:hint="eastAsia"/>
          <w:sz w:val="32"/>
          <w:szCs w:val="32"/>
          <w:shd w:val="clear" w:color="auto" w:fill="FFFFFF"/>
        </w:rPr>
        <w:t>该项目实施有效的加强我区市场综合监管，提升了春雷行动质量，基层执法装备逐步完善，更加规范和维护市场经济秩序；</w:t>
      </w:r>
      <w:r>
        <w:rPr>
          <w:rFonts w:ascii="仿宋_GB2312" w:eastAsia="仿宋_GB2312" w:hint="eastAsia"/>
          <w:sz w:val="32"/>
          <w:szCs w:val="32"/>
          <w:shd w:val="clear" w:color="auto" w:fill="FFFFFF"/>
        </w:rPr>
        <w:lastRenderedPageBreak/>
        <w:t>公平竞争的市场秩序及基层监管队伍执法能力和监管水平不断提高。</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（一）评价结论。</w:t>
      </w:r>
    </w:p>
    <w:p w:rsidR="00485B30" w:rsidRDefault="00A90FDE">
      <w:pPr>
        <w:pStyle w:val="a7"/>
        <w:adjustRightInd w:val="0"/>
        <w:snapToGrid w:val="0"/>
        <w:spacing w:before="0" w:beforeAutospacing="0" w:after="0" w:afterAutospacing="0" w:line="560" w:lineRule="exact"/>
        <w:ind w:firstLineChars="200" w:firstLine="640"/>
        <w:jc w:val="both"/>
        <w:rPr>
          <w:rFonts w:ascii="仿宋_GB2312" w:eastAsia="仿宋_GB2312"/>
          <w:sz w:val="32"/>
          <w:szCs w:val="32"/>
          <w:shd w:val="clear" w:color="auto" w:fill="FFFFFF"/>
        </w:rPr>
      </w:pPr>
      <w:r>
        <w:rPr>
          <w:rFonts w:ascii="仿宋_GB2312" w:eastAsia="仿宋_GB2312"/>
          <w:sz w:val="32"/>
          <w:szCs w:val="32"/>
          <w:shd w:val="clear" w:color="auto" w:fill="FFFFFF"/>
        </w:rPr>
        <w:t>根据财政专项资金绩效评价共性指标表，</w:t>
      </w:r>
      <w:r>
        <w:rPr>
          <w:rFonts w:ascii="仿宋_GB2312" w:eastAsia="仿宋_GB2312" w:hint="eastAsia"/>
          <w:sz w:val="32"/>
          <w:szCs w:val="32"/>
          <w:shd w:val="clear" w:color="auto" w:fill="FFFFFF"/>
        </w:rPr>
        <w:t>西区</w:t>
      </w:r>
      <w:r>
        <w:rPr>
          <w:rFonts w:ascii="仿宋_GB2312" w:eastAsia="仿宋_GB2312"/>
          <w:sz w:val="32"/>
          <w:szCs w:val="32"/>
          <w:shd w:val="clear" w:color="auto" w:fill="FFFFFF"/>
        </w:rPr>
        <w:t>202</w:t>
      </w:r>
      <w:r>
        <w:rPr>
          <w:rFonts w:ascii="仿宋_GB2312" w:eastAsia="仿宋_GB2312" w:hint="eastAsia"/>
          <w:sz w:val="32"/>
          <w:szCs w:val="32"/>
          <w:shd w:val="clear" w:color="auto" w:fill="FFFFFF"/>
        </w:rPr>
        <w:t>1</w:t>
      </w:r>
      <w:r>
        <w:rPr>
          <w:rFonts w:ascii="仿宋_GB2312" w:eastAsia="仿宋_GB2312"/>
          <w:sz w:val="32"/>
          <w:szCs w:val="32"/>
          <w:shd w:val="clear" w:color="auto" w:fill="FFFFFF"/>
        </w:rPr>
        <w:t>年度专项资金整体绩效分值100分，从项目立项、资金落实、业务管理、财务管理、项目产出、项目绩效等方面总体评价，自评得分</w:t>
      </w:r>
      <w:r>
        <w:rPr>
          <w:rFonts w:ascii="仿宋_GB2312" w:eastAsia="仿宋_GB2312" w:hint="eastAsia"/>
          <w:sz w:val="32"/>
          <w:szCs w:val="32"/>
          <w:shd w:val="clear" w:color="auto" w:fill="FFFFFF"/>
        </w:rPr>
        <w:t>92.4</w:t>
      </w:r>
      <w:r>
        <w:rPr>
          <w:rFonts w:ascii="仿宋_GB2312" w:eastAsia="仿宋_GB2312"/>
          <w:sz w:val="32"/>
          <w:szCs w:val="32"/>
          <w:shd w:val="clear" w:color="auto" w:fill="FFFFFF"/>
        </w:rPr>
        <w:t>分</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（二）存在的问题。</w:t>
      </w:r>
    </w:p>
    <w:p w:rsidR="00485B30" w:rsidRDefault="00A90FDE">
      <w:pPr>
        <w:pStyle w:val="a7"/>
        <w:adjustRightInd w:val="0"/>
        <w:snapToGrid w:val="0"/>
        <w:spacing w:before="0" w:beforeAutospacing="0" w:after="0" w:afterAutospacing="0" w:line="560" w:lineRule="exact"/>
        <w:ind w:firstLineChars="200" w:firstLine="640"/>
        <w:jc w:val="both"/>
        <w:rPr>
          <w:rFonts w:ascii="仿宋_GB2312" w:eastAsia="仿宋_GB2312"/>
          <w:sz w:val="32"/>
          <w:szCs w:val="32"/>
          <w:shd w:val="clear" w:color="auto" w:fill="FFFFFF"/>
        </w:rPr>
      </w:pPr>
      <w:r>
        <w:rPr>
          <w:rFonts w:ascii="仿宋_GB2312" w:eastAsia="仿宋_GB2312" w:hint="eastAsia"/>
          <w:sz w:val="32"/>
          <w:szCs w:val="32"/>
          <w:shd w:val="clear" w:color="auto" w:fill="FFFFFF"/>
        </w:rPr>
        <w:t>资金执行率较低。原因一是专项资金下达时间较晚，一般在下半年，单位不能及时制订计划。二是由于财政困难，单位安排使用的资金不能得到财政及时审核报帐，无法支付出去。</w:t>
      </w:r>
    </w:p>
    <w:p w:rsidR="00485B30" w:rsidRDefault="00A90FDE">
      <w:pPr>
        <w:widowControl/>
        <w:adjustRightInd w:val="0"/>
        <w:snapToGrid w:val="0"/>
        <w:spacing w:line="560" w:lineRule="exact"/>
        <w:ind w:firstLineChars="200" w:firstLine="640"/>
        <w:jc w:val="left"/>
        <w:rPr>
          <w:rFonts w:ascii="楷体_GB2312" w:eastAsia="楷体_GB2312" w:hAnsi="宋体" w:cs="宋体"/>
          <w:kern w:val="0"/>
          <w:sz w:val="32"/>
          <w:szCs w:val="32"/>
          <w:shd w:val="clear" w:color="auto" w:fill="FFFFFF"/>
          <w:lang w:val="zh-CN"/>
        </w:rPr>
      </w:pPr>
      <w:r>
        <w:rPr>
          <w:rFonts w:ascii="楷体_GB2312" w:eastAsia="楷体_GB2312" w:hAnsi="宋体" w:cs="宋体" w:hint="eastAsia"/>
          <w:kern w:val="0"/>
          <w:sz w:val="32"/>
          <w:szCs w:val="32"/>
          <w:shd w:val="clear" w:color="auto" w:fill="FFFFFF"/>
          <w:lang w:val="zh-CN"/>
        </w:rPr>
        <w:t>（三）相关建议。</w:t>
      </w:r>
    </w:p>
    <w:p w:rsidR="00485B30" w:rsidRDefault="00A90FDE">
      <w:pPr>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建议专项资金尽量在上半年下达，以便安排相关工作，合理安排资金。建议市级相关科室对资金提出合理化实施方案，以便县区执行；并对县区资金使用情况进行指导，让资金最大合理规范化。</w:t>
      </w:r>
    </w:p>
    <w:p w:rsidR="00485B30" w:rsidRDefault="00485B30">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485B30" w:rsidRDefault="00485B30">
      <w:pPr>
        <w:pStyle w:val="a0"/>
        <w:spacing w:before="93"/>
        <w:rPr>
          <w:lang w:val="zh-CN"/>
        </w:rPr>
      </w:pPr>
    </w:p>
    <w:p w:rsidR="00485B30" w:rsidRDefault="00485B30">
      <w:pPr>
        <w:pStyle w:val="a0"/>
        <w:spacing w:before="93"/>
        <w:rPr>
          <w:lang w:val="zh-CN"/>
        </w:rPr>
      </w:pPr>
    </w:p>
    <w:p w:rsidR="00485B30" w:rsidRDefault="00485B30">
      <w:pPr>
        <w:pStyle w:val="a0"/>
        <w:spacing w:before="93"/>
        <w:rPr>
          <w:lang w:val="zh-CN"/>
        </w:rPr>
      </w:pPr>
    </w:p>
    <w:p w:rsidR="00485B30" w:rsidRDefault="00A90FD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tbl>
      <w:tblPr>
        <w:tblpPr w:leftFromText="180" w:rightFromText="180" w:vertAnchor="text" w:horzAnchor="page" w:tblpX="1281" w:tblpY="660"/>
        <w:tblOverlap w:val="never"/>
        <w:tblW w:w="9811" w:type="dxa"/>
        <w:tblLayout w:type="fixed"/>
        <w:tblLook w:val="04A0"/>
      </w:tblPr>
      <w:tblGrid>
        <w:gridCol w:w="959"/>
        <w:gridCol w:w="850"/>
        <w:gridCol w:w="1134"/>
        <w:gridCol w:w="175"/>
        <w:gridCol w:w="1635"/>
        <w:gridCol w:w="600"/>
        <w:gridCol w:w="1813"/>
        <w:gridCol w:w="2409"/>
        <w:gridCol w:w="236"/>
      </w:tblGrid>
      <w:tr w:rsidR="00485B30">
        <w:trPr>
          <w:trHeight w:val="675"/>
        </w:trPr>
        <w:tc>
          <w:tcPr>
            <w:tcW w:w="9575" w:type="dxa"/>
            <w:gridSpan w:val="8"/>
            <w:tcBorders>
              <w:top w:val="nil"/>
              <w:left w:val="nil"/>
              <w:bottom w:val="nil"/>
              <w:right w:val="nil"/>
            </w:tcBorders>
            <w:shd w:val="clear" w:color="auto" w:fill="auto"/>
            <w:vAlign w:val="center"/>
          </w:tcPr>
          <w:p w:rsidR="00485B30" w:rsidRDefault="00A90FDE">
            <w:pPr>
              <w:widowControl/>
              <w:jc w:val="center"/>
              <w:textAlignment w:val="center"/>
              <w:rPr>
                <w:rFonts w:ascii="宋体" w:hAnsi="宋体" w:cs="宋体"/>
                <w:b/>
                <w:sz w:val="32"/>
                <w:szCs w:val="32"/>
              </w:rPr>
            </w:pPr>
            <w:r>
              <w:rPr>
                <w:rFonts w:ascii="宋体" w:hAnsi="宋体" w:cs="宋体" w:hint="eastAsia"/>
                <w:b/>
                <w:sz w:val="32"/>
                <w:szCs w:val="32"/>
              </w:rPr>
              <w:t>2021年部门预算项目绩效目标自评</w:t>
            </w:r>
          </w:p>
        </w:tc>
        <w:tc>
          <w:tcPr>
            <w:tcW w:w="236" w:type="dxa"/>
            <w:tcBorders>
              <w:top w:val="nil"/>
              <w:left w:val="nil"/>
              <w:bottom w:val="nil"/>
              <w:right w:val="nil"/>
            </w:tcBorders>
            <w:shd w:val="clear" w:color="auto" w:fill="auto"/>
            <w:vAlign w:val="center"/>
          </w:tcPr>
          <w:p w:rsidR="00485B30" w:rsidRDefault="00485B30">
            <w:pPr>
              <w:widowControl/>
              <w:jc w:val="center"/>
              <w:textAlignment w:val="center"/>
              <w:rPr>
                <w:rFonts w:ascii="宋体" w:hAnsi="宋体" w:cs="宋体"/>
                <w:b/>
                <w:kern w:val="0"/>
                <w:sz w:val="32"/>
                <w:szCs w:val="32"/>
              </w:rPr>
            </w:pPr>
          </w:p>
        </w:tc>
      </w:tr>
      <w:tr w:rsidR="00485B30">
        <w:trPr>
          <w:gridAfter w:val="1"/>
          <w:wAfter w:w="236" w:type="dxa"/>
          <w:trHeight w:val="254"/>
        </w:trPr>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485B30">
            <w:pPr>
              <w:widowControl/>
              <w:spacing w:line="320" w:lineRule="exact"/>
              <w:textAlignment w:val="center"/>
              <w:rPr>
                <w:rFonts w:ascii="宋体" w:hAnsi="宋体" w:cs="宋体"/>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宋体" w:hAnsi="宋体" w:cs="宋体"/>
                <w:sz w:val="24"/>
              </w:rPr>
            </w:pPr>
            <w:r>
              <w:rPr>
                <w:rFonts w:ascii="宋体" w:hAnsi="宋体" w:cs="宋体" w:hint="eastAsia"/>
                <w:sz w:val="24"/>
              </w:rPr>
              <w:t>西区市场监督管理局</w:t>
            </w:r>
          </w:p>
        </w:tc>
      </w:tr>
      <w:tr w:rsidR="00485B30">
        <w:trPr>
          <w:gridAfter w:val="1"/>
          <w:wAfter w:w="236" w:type="dxa"/>
          <w:trHeight w:val="341"/>
        </w:trPr>
        <w:tc>
          <w:tcPr>
            <w:tcW w:w="311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sz w:val="24"/>
              </w:rPr>
            </w:pPr>
            <w:r>
              <w:rPr>
                <w:rFonts w:ascii="宋体" w:hAnsi="宋体" w:cs="宋体" w:hint="eastAsia"/>
                <w:sz w:val="24"/>
              </w:rPr>
              <w:t>25</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right"/>
              <w:textAlignment w:val="center"/>
              <w:rPr>
                <w:rFonts w:ascii="宋体" w:hAnsi="宋体" w:cs="宋体"/>
                <w:sz w:val="24"/>
              </w:rPr>
            </w:pPr>
            <w:r>
              <w:rPr>
                <w:rFonts w:ascii="宋体" w:hAnsi="宋体" w:cs="宋体" w:hint="eastAsia"/>
                <w:sz w:val="24"/>
              </w:rPr>
              <w:t>0</w:t>
            </w:r>
          </w:p>
        </w:tc>
      </w:tr>
      <w:tr w:rsidR="00485B30">
        <w:trPr>
          <w:gridAfter w:val="1"/>
          <w:wAfter w:w="236" w:type="dxa"/>
          <w:trHeight w:val="555"/>
        </w:trPr>
        <w:tc>
          <w:tcPr>
            <w:tcW w:w="311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485B30">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485B30" w:rsidRDefault="00A90FDE">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sz w:val="24"/>
              </w:rPr>
            </w:pPr>
            <w:r>
              <w:rPr>
                <w:rFonts w:ascii="宋体" w:hAnsi="宋体" w:cs="宋体" w:hint="eastAsia"/>
                <w:sz w:val="24"/>
              </w:rPr>
              <w:t>25</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485B30" w:rsidRDefault="00A90FDE">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textAlignment w:val="center"/>
              <w:rPr>
                <w:rFonts w:ascii="宋体" w:hAnsi="宋体" w:cs="宋体"/>
                <w:sz w:val="24"/>
              </w:rPr>
            </w:pPr>
            <w:r>
              <w:rPr>
                <w:rFonts w:ascii="宋体" w:hAnsi="宋体" w:cs="宋体" w:hint="eastAsia"/>
                <w:sz w:val="24"/>
              </w:rPr>
              <w:t>0</w:t>
            </w:r>
          </w:p>
        </w:tc>
      </w:tr>
      <w:tr w:rsidR="00485B30">
        <w:trPr>
          <w:gridAfter w:val="1"/>
          <w:wAfter w:w="236" w:type="dxa"/>
          <w:trHeight w:val="341"/>
        </w:trPr>
        <w:tc>
          <w:tcPr>
            <w:tcW w:w="311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485B30">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485B30">
            <w:pPr>
              <w:widowControl/>
              <w:spacing w:line="320" w:lineRule="exact"/>
              <w:jc w:val="left"/>
              <w:textAlignment w:val="center"/>
              <w:rPr>
                <w:rFonts w:ascii="宋体" w:hAnsi="宋体" w:cs="宋体"/>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485B30">
            <w:pPr>
              <w:widowControl/>
              <w:spacing w:line="320" w:lineRule="exact"/>
              <w:jc w:val="center"/>
              <w:textAlignment w:val="center"/>
              <w:rPr>
                <w:rFonts w:ascii="宋体" w:hAnsi="宋体" w:cs="宋体"/>
                <w:sz w:val="24"/>
              </w:rPr>
            </w:pPr>
          </w:p>
        </w:tc>
      </w:tr>
      <w:tr w:rsidR="00485B30">
        <w:trPr>
          <w:gridAfter w:val="1"/>
          <w:wAfter w:w="236" w:type="dxa"/>
          <w:trHeight w:val="217"/>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485B30" w:rsidRDefault="00A90FDE">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42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485B30">
        <w:trPr>
          <w:gridAfter w:val="1"/>
          <w:wAfter w:w="236" w:type="dxa"/>
          <w:trHeight w:val="797"/>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485B30">
            <w:pPr>
              <w:spacing w:line="320" w:lineRule="exact"/>
              <w:jc w:val="center"/>
              <w:rPr>
                <w:rFonts w:ascii="宋体" w:hAnsi="宋体" w:cs="宋体"/>
                <w:sz w:val="24"/>
              </w:rPr>
            </w:pP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tcPr>
          <w:p w:rsidR="00485B30" w:rsidRDefault="00A90FDE">
            <w:pPr>
              <w:widowControl/>
              <w:spacing w:line="320" w:lineRule="exact"/>
              <w:jc w:val="left"/>
              <w:textAlignment w:val="top"/>
              <w:rPr>
                <w:rFonts w:ascii="仿宋_GB2312" w:eastAsia="仿宋_GB2312" w:hAnsi="宋体" w:cs="宋体"/>
                <w:szCs w:val="21"/>
              </w:rPr>
            </w:pPr>
            <w:r>
              <w:rPr>
                <w:rFonts w:ascii="仿宋_GB2312" w:eastAsia="仿宋_GB2312" w:hAnsi="宋体" w:cs="宋体" w:hint="eastAsia"/>
                <w:szCs w:val="21"/>
              </w:rPr>
              <w:t>紧紧年度重点工作，深入实施质量强区战略，全面提升全区市场监管能力。严守食品、重要工业产品质量、特种设备三条安全底线。强化计量技术保障、筑牢标准化基础。强化消费引导、深入推动放心舒心消费环境建设。开展“春雷行动”、加强反垄断和反不正当竞争执行、价格监管、广告监管、网络和合同监管，提高综合行政执法水平。</w:t>
            </w:r>
          </w:p>
        </w:tc>
        <w:tc>
          <w:tcPr>
            <w:tcW w:w="4222" w:type="dxa"/>
            <w:gridSpan w:val="2"/>
            <w:tcBorders>
              <w:top w:val="single" w:sz="4" w:space="0" w:color="000000"/>
              <w:left w:val="single" w:sz="4" w:space="0" w:color="000000"/>
              <w:bottom w:val="single" w:sz="4" w:space="0" w:color="000000"/>
              <w:right w:val="single" w:sz="4" w:space="0" w:color="000000"/>
            </w:tcBorders>
            <w:shd w:val="clear" w:color="auto" w:fill="auto"/>
          </w:tcPr>
          <w:p w:rsidR="00485B30" w:rsidRDefault="00A90FDE">
            <w:pPr>
              <w:widowControl/>
              <w:spacing w:line="320" w:lineRule="exact"/>
              <w:jc w:val="left"/>
              <w:textAlignment w:val="top"/>
              <w:rPr>
                <w:rFonts w:ascii="仿宋_GB2312" w:eastAsia="仿宋_GB2312" w:hAnsi="宋体" w:cs="宋体"/>
                <w:sz w:val="24"/>
              </w:rPr>
            </w:pPr>
            <w:r>
              <w:rPr>
                <w:rFonts w:ascii="仿宋_GB2312" w:eastAsia="仿宋_GB2312" w:hAnsi="宋体" w:cs="宋体" w:hint="eastAsia"/>
                <w:szCs w:val="21"/>
              </w:rPr>
              <w:t>紧紧年度重点工作，深入实施质量强区战略，全面提升全区市场监管能力。严守食品、重要工业产品质量、特种设备三条安全底线。强化计量技术保障、筑牢标准化基础。强化消费引导、深入推动放心舒心消费环境建设。开展“春雷行动”、加强反垄断和反不正当竞争执行、价格监管、广告监管、网络和合同监管，提高综合行政执法水平。</w:t>
            </w:r>
          </w:p>
        </w:tc>
      </w:tr>
      <w:tr w:rsidR="00485B30">
        <w:trPr>
          <w:gridAfter w:val="1"/>
          <w:wAfter w:w="236" w:type="dxa"/>
          <w:trHeight w:val="693"/>
        </w:trPr>
        <w:tc>
          <w:tcPr>
            <w:tcW w:w="959" w:type="dxa"/>
            <w:vMerge w:val="restart"/>
            <w:tcBorders>
              <w:top w:val="single" w:sz="4" w:space="0" w:color="000000"/>
              <w:left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485B30" w:rsidRDefault="00A90FD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485B30" w:rsidRDefault="00A90FD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485B30" w:rsidRDefault="00A90FD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485B30">
        <w:trPr>
          <w:gridAfter w:val="1"/>
          <w:wAfter w:w="236" w:type="dxa"/>
          <w:trHeight w:val="415"/>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bottom"/>
              <w:rPr>
                <w:rFonts w:ascii="仿宋_GB2312" w:eastAsia="仿宋_GB2312" w:hAnsi="仿宋_GB2312" w:cs="仿宋_GB2312"/>
                <w:kern w:val="0"/>
                <w:szCs w:val="21"/>
              </w:rPr>
            </w:pPr>
            <w:r>
              <w:rPr>
                <w:rFonts w:ascii="仿宋_GB2312" w:eastAsia="仿宋_GB2312" w:hAnsi="仿宋_GB2312" w:cs="仿宋_GB2312" w:hint="eastAsia"/>
                <w:kern w:val="0"/>
                <w:szCs w:val="21"/>
              </w:rPr>
              <w:t>完成</w:t>
            </w:r>
          </w:p>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数量指标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各环节检查</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常规性</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常规性</w:t>
            </w:r>
          </w:p>
        </w:tc>
      </w:tr>
      <w:tr w:rsidR="00485B30">
        <w:trPr>
          <w:gridAfter w:val="1"/>
          <w:wAfter w:w="236" w:type="dxa"/>
          <w:trHeight w:val="415"/>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vMerge w:val="restart"/>
            <w:tcBorders>
              <w:top w:val="single" w:sz="4" w:space="0" w:color="000000"/>
              <w:left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质量指标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春雷行动及专项整治</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考评等次</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合格</w:t>
            </w:r>
          </w:p>
        </w:tc>
      </w:tr>
      <w:tr w:rsidR="00485B30">
        <w:trPr>
          <w:gridAfter w:val="1"/>
          <w:wAfter w:w="236" w:type="dxa"/>
          <w:trHeight w:val="415"/>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vMerge/>
            <w:tcBorders>
              <w:left w:val="single" w:sz="4" w:space="0" w:color="000000"/>
              <w:right w:val="single" w:sz="4" w:space="0" w:color="000000"/>
            </w:tcBorders>
            <w:shd w:val="clear" w:color="auto" w:fill="auto"/>
            <w:vAlign w:val="bottom"/>
          </w:tcPr>
          <w:p w:rsidR="00485B30" w:rsidRDefault="00485B30">
            <w:pPr>
              <w:widowControl/>
              <w:spacing w:line="320" w:lineRule="exact"/>
              <w:jc w:val="center"/>
              <w:textAlignment w:val="bottom"/>
              <w:rPr>
                <w:rFonts w:ascii="仿宋_GB2312" w:eastAsia="仿宋_GB2312" w:hAnsi="仿宋_GB2312" w:cs="仿宋_GB2312"/>
                <w:kern w:val="0"/>
                <w:szCs w:val="21"/>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规范和维护市场秩序</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健康有序发展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健康有序发展</w:t>
            </w:r>
          </w:p>
        </w:tc>
      </w:tr>
      <w:tr w:rsidR="00485B30">
        <w:trPr>
          <w:gridAfter w:val="1"/>
          <w:wAfter w:w="236" w:type="dxa"/>
          <w:trHeight w:val="415"/>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vMerge/>
            <w:tcBorders>
              <w:left w:val="single" w:sz="4" w:space="0" w:color="000000"/>
              <w:bottom w:val="single" w:sz="4" w:space="0" w:color="000000"/>
              <w:right w:val="single" w:sz="4" w:space="0" w:color="000000"/>
            </w:tcBorders>
            <w:shd w:val="clear" w:color="auto" w:fill="auto"/>
            <w:vAlign w:val="bottom"/>
          </w:tcPr>
          <w:p w:rsidR="00485B30" w:rsidRDefault="00485B30">
            <w:pPr>
              <w:widowControl/>
              <w:spacing w:line="320" w:lineRule="exact"/>
              <w:jc w:val="center"/>
              <w:textAlignment w:val="bottom"/>
              <w:rPr>
                <w:rFonts w:ascii="仿宋_GB2312" w:eastAsia="仿宋_GB2312" w:hAnsi="仿宋_GB2312" w:cs="仿宋_GB2312"/>
                <w:kern w:val="0"/>
                <w:szCs w:val="21"/>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重大案件查办率、涉弄案件移送率</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100%</w:t>
            </w:r>
          </w:p>
        </w:tc>
      </w:tr>
      <w:tr w:rsidR="00485B30">
        <w:trPr>
          <w:gridAfter w:val="1"/>
          <w:wAfter w:w="236" w:type="dxa"/>
          <w:trHeight w:val="415"/>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时效指标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项目完成时限</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2021年年底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2021年年底</w:t>
            </w:r>
          </w:p>
        </w:tc>
      </w:tr>
      <w:tr w:rsidR="00485B30">
        <w:trPr>
          <w:gridAfter w:val="1"/>
          <w:wAfter w:w="236" w:type="dxa"/>
          <w:trHeight w:val="480"/>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成本指标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春雷行动</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5万元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0万元</w:t>
            </w:r>
          </w:p>
        </w:tc>
      </w:tr>
      <w:tr w:rsidR="00485B30">
        <w:trPr>
          <w:gridAfter w:val="1"/>
          <w:wAfter w:w="236" w:type="dxa"/>
          <w:trHeight w:val="480"/>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效益</w:t>
            </w:r>
            <w:r>
              <w:rPr>
                <w:rFonts w:ascii="仿宋_GB2312" w:eastAsia="仿宋_GB2312" w:hAnsi="仿宋_GB2312" w:cs="仿宋_GB2312" w:hint="eastAsia"/>
                <w:kern w:val="0"/>
                <w:szCs w:val="21"/>
              </w:rPr>
              <w:br/>
              <w:t>指标</w:t>
            </w:r>
          </w:p>
        </w:tc>
        <w:tc>
          <w:tcPr>
            <w:tcW w:w="1134" w:type="dxa"/>
            <w:vMerge w:val="restart"/>
            <w:tcBorders>
              <w:top w:val="single" w:sz="4" w:space="0" w:color="000000"/>
              <w:left w:val="single" w:sz="4" w:space="0" w:color="000000"/>
              <w:right w:val="single" w:sz="4" w:space="0" w:color="000000"/>
            </w:tcBorders>
            <w:shd w:val="clear" w:color="auto" w:fill="auto"/>
            <w:vAlign w:val="bottom"/>
          </w:tcPr>
          <w:p w:rsidR="00485B30" w:rsidRDefault="00A90FDE">
            <w:pPr>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社会效益  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公平竞争的市场秩序</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稳中向好趋势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稳中向好趋势</w:t>
            </w:r>
          </w:p>
        </w:tc>
      </w:tr>
      <w:tr w:rsidR="00485B30">
        <w:trPr>
          <w:gridAfter w:val="1"/>
          <w:wAfter w:w="236" w:type="dxa"/>
          <w:trHeight w:val="480"/>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vMerge/>
            <w:tcBorders>
              <w:left w:val="single" w:sz="4" w:space="0" w:color="000000"/>
              <w:bottom w:val="single" w:sz="4" w:space="0" w:color="000000"/>
              <w:right w:val="single" w:sz="4" w:space="0" w:color="000000"/>
            </w:tcBorders>
            <w:shd w:val="clear" w:color="auto" w:fill="auto"/>
            <w:vAlign w:val="bottom"/>
          </w:tcPr>
          <w:p w:rsidR="00485B30" w:rsidRDefault="00485B30">
            <w:pPr>
              <w:widowControl/>
              <w:spacing w:line="320" w:lineRule="exact"/>
              <w:jc w:val="center"/>
              <w:textAlignment w:val="bottom"/>
              <w:rPr>
                <w:rFonts w:ascii="仿宋_GB2312" w:eastAsia="仿宋_GB2312" w:hAnsi="仿宋_GB2312" w:cs="仿宋_GB2312"/>
                <w:szCs w:val="21"/>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基层监管队伍执法能力和监管水平</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逐步提高</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逐步提高</w:t>
            </w:r>
          </w:p>
        </w:tc>
      </w:tr>
      <w:tr w:rsidR="00485B30">
        <w:trPr>
          <w:gridAfter w:val="1"/>
          <w:wAfter w:w="236" w:type="dxa"/>
          <w:trHeight w:val="577"/>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vMerge w:val="restart"/>
            <w:tcBorders>
              <w:top w:val="single" w:sz="4" w:space="0" w:color="000000"/>
              <w:left w:val="single" w:sz="4" w:space="0" w:color="000000"/>
              <w:right w:val="single" w:sz="4" w:space="0" w:color="000000"/>
            </w:tcBorders>
            <w:shd w:val="clear" w:color="auto" w:fill="auto"/>
            <w:vAlign w:val="bottom"/>
          </w:tcPr>
          <w:p w:rsidR="00485B30" w:rsidRDefault="00A90FDE">
            <w:pPr>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可持续影响指标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通过监督抽查、风险监测、证后监管等保障人民生命财产健康安全</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持续影响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持续影响</w:t>
            </w:r>
          </w:p>
        </w:tc>
      </w:tr>
      <w:tr w:rsidR="00485B30">
        <w:trPr>
          <w:gridAfter w:val="1"/>
          <w:wAfter w:w="236" w:type="dxa"/>
          <w:trHeight w:val="480"/>
        </w:trPr>
        <w:tc>
          <w:tcPr>
            <w:tcW w:w="959" w:type="dxa"/>
            <w:vMerge/>
            <w:tcBorders>
              <w:left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485B30">
            <w:pPr>
              <w:spacing w:line="320" w:lineRule="exact"/>
              <w:jc w:val="center"/>
              <w:rPr>
                <w:rFonts w:ascii="仿宋_GB2312" w:eastAsia="仿宋_GB2312" w:hAnsi="仿宋_GB2312" w:cs="仿宋_GB2312"/>
                <w:szCs w:val="21"/>
              </w:rPr>
            </w:pPr>
          </w:p>
        </w:tc>
        <w:tc>
          <w:tcPr>
            <w:tcW w:w="1134" w:type="dxa"/>
            <w:vMerge/>
            <w:tcBorders>
              <w:left w:val="single" w:sz="4" w:space="0" w:color="000000"/>
              <w:bottom w:val="single" w:sz="4" w:space="0" w:color="000000"/>
              <w:right w:val="single" w:sz="4" w:space="0" w:color="000000"/>
            </w:tcBorders>
            <w:shd w:val="clear" w:color="auto" w:fill="auto"/>
            <w:vAlign w:val="bottom"/>
          </w:tcPr>
          <w:p w:rsidR="00485B30" w:rsidRDefault="00485B30">
            <w:pPr>
              <w:widowControl/>
              <w:spacing w:line="320" w:lineRule="exact"/>
              <w:jc w:val="center"/>
              <w:textAlignment w:val="bottom"/>
              <w:rPr>
                <w:rFonts w:ascii="仿宋_GB2312" w:eastAsia="仿宋_GB2312" w:hAnsi="仿宋_GB2312" w:cs="仿宋_GB2312"/>
                <w:szCs w:val="21"/>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严守食品安全、工业产品安全、特种设备安全底线</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长期</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长期</w:t>
            </w:r>
          </w:p>
        </w:tc>
      </w:tr>
      <w:tr w:rsidR="00485B30">
        <w:trPr>
          <w:gridAfter w:val="1"/>
          <w:wAfter w:w="236" w:type="dxa"/>
          <w:trHeight w:val="530"/>
        </w:trPr>
        <w:tc>
          <w:tcPr>
            <w:tcW w:w="959" w:type="dxa"/>
            <w:vMerge/>
            <w:tcBorders>
              <w:left w:val="single" w:sz="4" w:space="0" w:color="000000"/>
              <w:bottom w:val="single" w:sz="4" w:space="0" w:color="000000"/>
              <w:right w:val="single" w:sz="4" w:space="0" w:color="000000"/>
            </w:tcBorders>
            <w:shd w:val="clear" w:color="auto" w:fill="auto"/>
            <w:vAlign w:val="center"/>
          </w:tcPr>
          <w:p w:rsidR="00485B30" w:rsidRDefault="00485B30">
            <w:pPr>
              <w:spacing w:line="320" w:lineRule="exact"/>
              <w:jc w:val="center"/>
              <w:rPr>
                <w:rFonts w:ascii="仿宋_GB2312" w:eastAsia="仿宋_GB2312" w:hAnsi="仿宋_GB2312" w:cs="仿宋_GB2312"/>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满意</w:t>
            </w:r>
            <w:r>
              <w:rPr>
                <w:rFonts w:ascii="仿宋_GB2312" w:eastAsia="仿宋_GB2312" w:hAnsi="仿宋_GB2312" w:cs="仿宋_GB2312" w:hint="eastAsia"/>
                <w:kern w:val="0"/>
                <w:szCs w:val="21"/>
              </w:rPr>
              <w:br/>
              <w:t>度指标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kern w:val="0"/>
                <w:szCs w:val="21"/>
              </w:rPr>
            </w:pPr>
            <w:r>
              <w:rPr>
                <w:rFonts w:ascii="仿宋_GB2312" w:eastAsia="仿宋_GB2312" w:hAnsi="仿宋_GB2312" w:cs="仿宋_GB2312" w:hint="eastAsia"/>
                <w:kern w:val="0"/>
                <w:szCs w:val="21"/>
              </w:rPr>
              <w:t>满意度</w:t>
            </w:r>
          </w:p>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公众对食品安全满意度得分</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≥70分</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30" w:rsidRDefault="00A90FDE">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87.63分</w:t>
            </w:r>
          </w:p>
        </w:tc>
      </w:tr>
    </w:tbl>
    <w:p w:rsidR="00485B30" w:rsidRDefault="00485B30">
      <w:pPr>
        <w:spacing w:line="580" w:lineRule="exact"/>
        <w:rPr>
          <w:rStyle w:val="1Char"/>
          <w:rFonts w:ascii="仿宋_GB2312" w:eastAsia="仿宋_GB2312" w:hAnsi="黑体"/>
          <w:b w:val="0"/>
          <w:sz w:val="21"/>
          <w:szCs w:val="21"/>
        </w:rPr>
      </w:pPr>
    </w:p>
    <w:p w:rsidR="00485B30" w:rsidRDefault="00A90FDE">
      <w:pPr>
        <w:widowControl/>
        <w:jc w:val="left"/>
        <w:rPr>
          <w:rFonts w:ascii="仿宋" w:eastAsia="仿宋" w:hAnsi="仿宋"/>
        </w:rPr>
      </w:pPr>
      <w:r>
        <w:rPr>
          <w:rStyle w:val="1Char"/>
          <w:rFonts w:ascii="仿宋_GB2312" w:eastAsia="仿宋_GB2312" w:hAnsi="黑体" w:hint="eastAsia"/>
          <w:b w:val="0"/>
          <w:sz w:val="21"/>
          <w:szCs w:val="21"/>
        </w:rPr>
        <w:br w:type="page"/>
      </w:r>
      <w:bookmarkStart w:id="60"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61" w:name="_Toc15396619"/>
      <w:bookmarkEnd w:id="58"/>
      <w:bookmarkEnd w:id="60"/>
    </w:p>
    <w:p w:rsidR="00485B30" w:rsidRDefault="00A90FDE">
      <w:pPr>
        <w:pStyle w:val="2"/>
        <w:adjustRightInd w:val="0"/>
        <w:snapToGrid w:val="0"/>
        <w:spacing w:before="0" w:after="0" w:line="560" w:lineRule="exact"/>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61"/>
    </w:p>
    <w:p w:rsidR="00485B30" w:rsidRDefault="00A90FDE">
      <w:pPr>
        <w:pStyle w:val="2"/>
        <w:adjustRightInd w:val="0"/>
        <w:snapToGrid w:val="0"/>
        <w:spacing w:before="0" w:after="0" w:line="560" w:lineRule="exact"/>
        <w:rPr>
          <w:rFonts w:ascii="仿宋" w:eastAsia="仿宋" w:hAnsi="仿宋"/>
        </w:rPr>
      </w:pPr>
      <w:bookmarkStart w:id="62" w:name="_Toc15396620"/>
      <w:r>
        <w:rPr>
          <w:rFonts w:ascii="仿宋" w:eastAsia="仿宋" w:hAnsi="仿宋" w:hint="eastAsia"/>
          <w:b w:val="0"/>
        </w:rPr>
        <w:t>二、收</w:t>
      </w:r>
      <w:r>
        <w:rPr>
          <w:rStyle w:val="2Char"/>
          <w:rFonts w:ascii="仿宋" w:eastAsia="仿宋" w:hAnsi="仿宋" w:hint="eastAsia"/>
        </w:rPr>
        <w:t>入决算表</w:t>
      </w:r>
      <w:bookmarkEnd w:id="62"/>
    </w:p>
    <w:p w:rsidR="00485B30" w:rsidRDefault="00A90FDE">
      <w:pPr>
        <w:pStyle w:val="2"/>
        <w:adjustRightInd w:val="0"/>
        <w:snapToGrid w:val="0"/>
        <w:spacing w:before="0" w:after="0" w:line="560" w:lineRule="exact"/>
        <w:rPr>
          <w:rFonts w:ascii="仿宋" w:eastAsia="仿宋" w:hAnsi="仿宋"/>
        </w:rPr>
      </w:pPr>
      <w:bookmarkStart w:id="63"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3"/>
    </w:p>
    <w:p w:rsidR="00485B30" w:rsidRDefault="00A90FDE">
      <w:pPr>
        <w:pStyle w:val="2"/>
        <w:adjustRightInd w:val="0"/>
        <w:snapToGrid w:val="0"/>
        <w:spacing w:before="0" w:after="0" w:line="560" w:lineRule="exact"/>
        <w:rPr>
          <w:rFonts w:ascii="仿宋" w:eastAsia="仿宋" w:hAnsi="仿宋"/>
          <w:b w:val="0"/>
        </w:rPr>
      </w:pPr>
      <w:bookmarkStart w:id="64"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4"/>
    </w:p>
    <w:p w:rsidR="00485B30" w:rsidRDefault="00A90FDE">
      <w:pPr>
        <w:pStyle w:val="2"/>
        <w:adjustRightInd w:val="0"/>
        <w:snapToGrid w:val="0"/>
        <w:spacing w:before="0" w:after="0" w:line="560" w:lineRule="exact"/>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6" w:name="_Toc15396624"/>
      <w:bookmarkEnd w:id="65"/>
    </w:p>
    <w:p w:rsidR="00485B30" w:rsidRDefault="00A90FDE">
      <w:pPr>
        <w:pStyle w:val="2"/>
        <w:adjustRightInd w:val="0"/>
        <w:snapToGrid w:val="0"/>
        <w:spacing w:before="0" w:after="0" w:line="560" w:lineRule="exact"/>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6"/>
    </w:p>
    <w:p w:rsidR="00485B30" w:rsidRDefault="00A90FDE">
      <w:pPr>
        <w:pStyle w:val="2"/>
        <w:adjustRightInd w:val="0"/>
        <w:snapToGrid w:val="0"/>
        <w:spacing w:before="0" w:after="0" w:line="560" w:lineRule="exact"/>
        <w:rPr>
          <w:rFonts w:ascii="仿宋" w:eastAsia="仿宋" w:hAnsi="仿宋"/>
        </w:rPr>
      </w:pPr>
      <w:bookmarkStart w:id="6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7"/>
    </w:p>
    <w:p w:rsidR="00485B30" w:rsidRDefault="00A90FDE">
      <w:pPr>
        <w:pStyle w:val="2"/>
        <w:adjustRightInd w:val="0"/>
        <w:snapToGrid w:val="0"/>
        <w:spacing w:before="0" w:after="0" w:line="560" w:lineRule="exact"/>
        <w:rPr>
          <w:rFonts w:ascii="仿宋" w:eastAsia="仿宋" w:hAnsi="仿宋"/>
        </w:rPr>
      </w:pPr>
      <w:bookmarkStart w:id="68"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8"/>
    </w:p>
    <w:p w:rsidR="00485B30" w:rsidRDefault="00A90FDE">
      <w:pPr>
        <w:pStyle w:val="2"/>
        <w:adjustRightInd w:val="0"/>
        <w:snapToGrid w:val="0"/>
        <w:spacing w:before="0" w:after="0" w:line="560" w:lineRule="exact"/>
        <w:rPr>
          <w:rFonts w:ascii="仿宋" w:eastAsia="仿宋" w:hAnsi="仿宋"/>
        </w:rPr>
      </w:pPr>
      <w:bookmarkStart w:id="6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9"/>
    </w:p>
    <w:p w:rsidR="00485B30" w:rsidRDefault="00A90FDE">
      <w:pPr>
        <w:pStyle w:val="2"/>
        <w:adjustRightInd w:val="0"/>
        <w:snapToGrid w:val="0"/>
        <w:spacing w:before="0" w:after="0" w:line="560" w:lineRule="exact"/>
        <w:rPr>
          <w:rFonts w:ascii="仿宋" w:eastAsia="仿宋" w:hAnsi="仿宋"/>
        </w:rPr>
      </w:pPr>
      <w:bookmarkStart w:id="70"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0"/>
    </w:p>
    <w:p w:rsidR="00485B30" w:rsidRDefault="00A90FDE">
      <w:pPr>
        <w:pStyle w:val="2"/>
        <w:adjustRightInd w:val="0"/>
        <w:snapToGrid w:val="0"/>
        <w:spacing w:before="0" w:after="0" w:line="560" w:lineRule="exact"/>
        <w:rPr>
          <w:rFonts w:ascii="仿宋" w:eastAsia="仿宋" w:hAnsi="仿宋"/>
        </w:rPr>
      </w:pPr>
      <w:bookmarkStart w:id="71"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1"/>
    </w:p>
    <w:p w:rsidR="00485B30" w:rsidRDefault="00A90FDE">
      <w:pPr>
        <w:pStyle w:val="2"/>
        <w:adjustRightInd w:val="0"/>
        <w:snapToGrid w:val="0"/>
        <w:spacing w:before="0" w:after="0" w:line="560" w:lineRule="exact"/>
        <w:rPr>
          <w:rFonts w:ascii="仿宋" w:eastAsia="仿宋" w:hAnsi="仿宋"/>
        </w:rPr>
      </w:pPr>
      <w:bookmarkStart w:id="72"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2"/>
    </w:p>
    <w:p w:rsidR="00485B30" w:rsidRDefault="00A90FDE">
      <w:pPr>
        <w:pStyle w:val="2"/>
        <w:adjustRightInd w:val="0"/>
        <w:snapToGrid w:val="0"/>
        <w:spacing w:before="0" w:after="0" w:line="560" w:lineRule="exact"/>
        <w:rPr>
          <w:rStyle w:val="2Char"/>
          <w:rFonts w:ascii="仿宋" w:eastAsia="仿宋" w:hAnsi="仿宋"/>
        </w:rPr>
      </w:pPr>
      <w:bookmarkStart w:id="73"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3"/>
    </w:p>
    <w:p w:rsidR="00485B30" w:rsidRDefault="00A90FDE">
      <w:pPr>
        <w:adjustRightInd w:val="0"/>
        <w:snapToGrid w:val="0"/>
        <w:spacing w:line="560" w:lineRule="exact"/>
        <w:rPr>
          <w:rFonts w:eastAsia="仿宋"/>
        </w:rPr>
      </w:pPr>
      <w:r>
        <w:rPr>
          <w:rStyle w:val="2Char"/>
          <w:rFonts w:ascii="仿宋" w:eastAsia="仿宋" w:hAnsi="仿宋" w:hint="eastAsia"/>
          <w:b w:val="0"/>
          <w:bCs w:val="0"/>
        </w:rPr>
        <w:t>十四、国有资本经营预算财政拨款支出决算表</w:t>
      </w:r>
    </w:p>
    <w:sectPr w:rsidR="00485B30" w:rsidSect="00485B30">
      <w:headerReference w:type="default" r:id="rId15"/>
      <w:footerReference w:type="default" r:id="rId16"/>
      <w:pgSz w:w="11906" w:h="16838"/>
      <w:pgMar w:top="1440" w:right="1531" w:bottom="1440"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E77" w:rsidRDefault="00FA6E77" w:rsidP="00485B30">
      <w:r>
        <w:separator/>
      </w:r>
    </w:p>
  </w:endnote>
  <w:endnote w:type="continuationSeparator" w:id="1">
    <w:p w:rsidR="00FA6E77" w:rsidRDefault="00FA6E77" w:rsidP="004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SimSun">
    <w:altName w:val="宋体"/>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80FE5" w:rsidRDefault="00980FE5">
        <w:pPr>
          <w:pStyle w:val="a5"/>
          <w:jc w:val="center"/>
        </w:pPr>
        <w:r w:rsidRPr="00E075ED">
          <w:fldChar w:fldCharType="begin"/>
        </w:r>
        <w:r>
          <w:instrText>PAGE   \* MERGEFORMAT</w:instrText>
        </w:r>
        <w:r w:rsidRPr="00E075ED">
          <w:fldChar w:fldCharType="separate"/>
        </w:r>
        <w:r w:rsidR="005441BD" w:rsidRPr="005441BD">
          <w:rPr>
            <w:noProof/>
            <w:lang w:val="zh-CN"/>
          </w:rPr>
          <w:t>18</w:t>
        </w:r>
        <w:r>
          <w:rPr>
            <w:lang w:val="zh-CN"/>
          </w:rPr>
          <w:fldChar w:fldCharType="end"/>
        </w:r>
      </w:p>
    </w:sdtContent>
  </w:sdt>
  <w:p w:rsidR="00980FE5" w:rsidRDefault="00980F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E77" w:rsidRDefault="00FA6E77" w:rsidP="00485B30">
      <w:r>
        <w:separator/>
      </w:r>
    </w:p>
  </w:footnote>
  <w:footnote w:type="continuationSeparator" w:id="1">
    <w:p w:rsidR="00FA6E77" w:rsidRDefault="00FA6E77" w:rsidP="004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E5" w:rsidRDefault="00980FE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08AE06F1"/>
    <w:multiLevelType w:val="singleLevel"/>
    <w:tmpl w:val="08AE06F1"/>
    <w:lvl w:ilvl="0">
      <w:start w:val="4"/>
      <w:numFmt w:val="decimal"/>
      <w:suff w:val="nothing"/>
      <w:lvlText w:val="（%1）"/>
      <w:lvlJc w:val="left"/>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8A724CE"/>
    <w:multiLevelType w:val="multilevel"/>
    <w:tmpl w:val="38A724CE"/>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E794925"/>
    <w:multiLevelType w:val="singleLevel"/>
    <w:tmpl w:val="3E794925"/>
    <w:lvl w:ilvl="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wNjk1ZDEzYWQ2MzkxYWI4OTY5MGUzMWE2M2YyYjUifQ=="/>
  </w:docVars>
  <w:rsids>
    <w:rsidRoot w:val="00F1361C"/>
    <w:rsid w:val="D8D6DB89"/>
    <w:rsid w:val="DB6F4CAB"/>
    <w:rsid w:val="DF6F9789"/>
    <w:rsid w:val="000128BB"/>
    <w:rsid w:val="0001728C"/>
    <w:rsid w:val="000222C6"/>
    <w:rsid w:val="00022F70"/>
    <w:rsid w:val="0002549F"/>
    <w:rsid w:val="000416E0"/>
    <w:rsid w:val="00041D8E"/>
    <w:rsid w:val="000468DB"/>
    <w:rsid w:val="00054C4E"/>
    <w:rsid w:val="0005647F"/>
    <w:rsid w:val="0006487A"/>
    <w:rsid w:val="00065F8F"/>
    <w:rsid w:val="00070A43"/>
    <w:rsid w:val="000768F2"/>
    <w:rsid w:val="0009184B"/>
    <w:rsid w:val="00094236"/>
    <w:rsid w:val="0009593C"/>
    <w:rsid w:val="00097322"/>
    <w:rsid w:val="000A6A92"/>
    <w:rsid w:val="000B047F"/>
    <w:rsid w:val="000B5923"/>
    <w:rsid w:val="000B5A48"/>
    <w:rsid w:val="000B6FF3"/>
    <w:rsid w:val="000B7D11"/>
    <w:rsid w:val="000C3467"/>
    <w:rsid w:val="000C3CA6"/>
    <w:rsid w:val="000D1267"/>
    <w:rsid w:val="000D1548"/>
    <w:rsid w:val="000D1D50"/>
    <w:rsid w:val="000D5782"/>
    <w:rsid w:val="000E6613"/>
    <w:rsid w:val="000E7119"/>
    <w:rsid w:val="00114E9B"/>
    <w:rsid w:val="00116A72"/>
    <w:rsid w:val="00124604"/>
    <w:rsid w:val="00142216"/>
    <w:rsid w:val="00144D6A"/>
    <w:rsid w:val="0014729F"/>
    <w:rsid w:val="00153B92"/>
    <w:rsid w:val="00157BAB"/>
    <w:rsid w:val="00161491"/>
    <w:rsid w:val="00162BA8"/>
    <w:rsid w:val="001654D1"/>
    <w:rsid w:val="00174518"/>
    <w:rsid w:val="0018106D"/>
    <w:rsid w:val="001828B0"/>
    <w:rsid w:val="001877A7"/>
    <w:rsid w:val="001907AD"/>
    <w:rsid w:val="00191536"/>
    <w:rsid w:val="00191FE7"/>
    <w:rsid w:val="00194F00"/>
    <w:rsid w:val="00196687"/>
    <w:rsid w:val="001A65C4"/>
    <w:rsid w:val="001B5138"/>
    <w:rsid w:val="001C0962"/>
    <w:rsid w:val="001C65ED"/>
    <w:rsid w:val="001D3721"/>
    <w:rsid w:val="001D7531"/>
    <w:rsid w:val="001E737D"/>
    <w:rsid w:val="001F0592"/>
    <w:rsid w:val="001F644D"/>
    <w:rsid w:val="001F7506"/>
    <w:rsid w:val="001F78A9"/>
    <w:rsid w:val="002006CD"/>
    <w:rsid w:val="00202B36"/>
    <w:rsid w:val="00204B7A"/>
    <w:rsid w:val="00204CDE"/>
    <w:rsid w:val="00205397"/>
    <w:rsid w:val="0021101A"/>
    <w:rsid w:val="00220536"/>
    <w:rsid w:val="002328E2"/>
    <w:rsid w:val="00235629"/>
    <w:rsid w:val="002402C2"/>
    <w:rsid w:val="00260C38"/>
    <w:rsid w:val="002616C0"/>
    <w:rsid w:val="00265372"/>
    <w:rsid w:val="002659BD"/>
    <w:rsid w:val="00265D03"/>
    <w:rsid w:val="00265D7B"/>
    <w:rsid w:val="002662AA"/>
    <w:rsid w:val="00280496"/>
    <w:rsid w:val="00294DC9"/>
    <w:rsid w:val="00295495"/>
    <w:rsid w:val="002A31DE"/>
    <w:rsid w:val="002B2613"/>
    <w:rsid w:val="002D6D05"/>
    <w:rsid w:val="002E110A"/>
    <w:rsid w:val="002F1818"/>
    <w:rsid w:val="002F41FA"/>
    <w:rsid w:val="002F567B"/>
    <w:rsid w:val="003216A9"/>
    <w:rsid w:val="00335A74"/>
    <w:rsid w:val="00341EA6"/>
    <w:rsid w:val="00360A54"/>
    <w:rsid w:val="0036561B"/>
    <w:rsid w:val="00367C4E"/>
    <w:rsid w:val="0037013F"/>
    <w:rsid w:val="0037025E"/>
    <w:rsid w:val="00380C92"/>
    <w:rsid w:val="00393036"/>
    <w:rsid w:val="00396275"/>
    <w:rsid w:val="003A484F"/>
    <w:rsid w:val="003A4883"/>
    <w:rsid w:val="003B0BE0"/>
    <w:rsid w:val="003B0C1B"/>
    <w:rsid w:val="003B688C"/>
    <w:rsid w:val="003C0291"/>
    <w:rsid w:val="003C39AE"/>
    <w:rsid w:val="003C7B60"/>
    <w:rsid w:val="003D0AE8"/>
    <w:rsid w:val="003D0C0F"/>
    <w:rsid w:val="003D11EE"/>
    <w:rsid w:val="003D1FB2"/>
    <w:rsid w:val="003D3DEA"/>
    <w:rsid w:val="003D5F37"/>
    <w:rsid w:val="003D66DA"/>
    <w:rsid w:val="003D733E"/>
    <w:rsid w:val="003E1310"/>
    <w:rsid w:val="003E6F55"/>
    <w:rsid w:val="003F06AF"/>
    <w:rsid w:val="00406099"/>
    <w:rsid w:val="00406254"/>
    <w:rsid w:val="00413989"/>
    <w:rsid w:val="00421C3D"/>
    <w:rsid w:val="004222E8"/>
    <w:rsid w:val="004223DE"/>
    <w:rsid w:val="00434489"/>
    <w:rsid w:val="00437085"/>
    <w:rsid w:val="00443880"/>
    <w:rsid w:val="00446368"/>
    <w:rsid w:val="004464F4"/>
    <w:rsid w:val="004561B6"/>
    <w:rsid w:val="00471401"/>
    <w:rsid w:val="00473F31"/>
    <w:rsid w:val="0048263A"/>
    <w:rsid w:val="00485B30"/>
    <w:rsid w:val="00487B62"/>
    <w:rsid w:val="00487E5D"/>
    <w:rsid w:val="004928D6"/>
    <w:rsid w:val="004A711F"/>
    <w:rsid w:val="004B199D"/>
    <w:rsid w:val="004B3A1F"/>
    <w:rsid w:val="004B4690"/>
    <w:rsid w:val="004B5EC4"/>
    <w:rsid w:val="004C3234"/>
    <w:rsid w:val="004E0159"/>
    <w:rsid w:val="004E0A2D"/>
    <w:rsid w:val="004E206B"/>
    <w:rsid w:val="004E6DF7"/>
    <w:rsid w:val="004F0FBD"/>
    <w:rsid w:val="004F415E"/>
    <w:rsid w:val="00505A47"/>
    <w:rsid w:val="00512ABB"/>
    <w:rsid w:val="00512FDA"/>
    <w:rsid w:val="00514D8D"/>
    <w:rsid w:val="00520DA0"/>
    <w:rsid w:val="00535EA6"/>
    <w:rsid w:val="005366DF"/>
    <w:rsid w:val="005441BD"/>
    <w:rsid w:val="005526C1"/>
    <w:rsid w:val="0056060F"/>
    <w:rsid w:val="005664BB"/>
    <w:rsid w:val="00566FFA"/>
    <w:rsid w:val="0057481D"/>
    <w:rsid w:val="00583703"/>
    <w:rsid w:val="0058486E"/>
    <w:rsid w:val="00585B33"/>
    <w:rsid w:val="00585FBE"/>
    <w:rsid w:val="0059014D"/>
    <w:rsid w:val="005B5C64"/>
    <w:rsid w:val="005C5337"/>
    <w:rsid w:val="005C6BD0"/>
    <w:rsid w:val="005D1C8B"/>
    <w:rsid w:val="005D3B63"/>
    <w:rsid w:val="005D468D"/>
    <w:rsid w:val="005D5CED"/>
    <w:rsid w:val="005F1A4C"/>
    <w:rsid w:val="005F7597"/>
    <w:rsid w:val="00605688"/>
    <w:rsid w:val="006070AF"/>
    <w:rsid w:val="00607E6C"/>
    <w:rsid w:val="006101B1"/>
    <w:rsid w:val="00614E44"/>
    <w:rsid w:val="0062270A"/>
    <w:rsid w:val="00622830"/>
    <w:rsid w:val="00623DA0"/>
    <w:rsid w:val="00630AEF"/>
    <w:rsid w:val="00630B57"/>
    <w:rsid w:val="006325F8"/>
    <w:rsid w:val="00633463"/>
    <w:rsid w:val="00634C9A"/>
    <w:rsid w:val="00634E15"/>
    <w:rsid w:val="0063717E"/>
    <w:rsid w:val="0064193F"/>
    <w:rsid w:val="006440E4"/>
    <w:rsid w:val="00652E7A"/>
    <w:rsid w:val="0065397A"/>
    <w:rsid w:val="0066343B"/>
    <w:rsid w:val="00664777"/>
    <w:rsid w:val="006657E6"/>
    <w:rsid w:val="006748A4"/>
    <w:rsid w:val="00681A31"/>
    <w:rsid w:val="00683E73"/>
    <w:rsid w:val="006A3141"/>
    <w:rsid w:val="006A4A1A"/>
    <w:rsid w:val="006A5E34"/>
    <w:rsid w:val="006B2422"/>
    <w:rsid w:val="006B2B9A"/>
    <w:rsid w:val="006C1937"/>
    <w:rsid w:val="006D72E2"/>
    <w:rsid w:val="006D7690"/>
    <w:rsid w:val="006E2130"/>
    <w:rsid w:val="006E47FB"/>
    <w:rsid w:val="006E6ED1"/>
    <w:rsid w:val="006F020C"/>
    <w:rsid w:val="00707B1C"/>
    <w:rsid w:val="007127B7"/>
    <w:rsid w:val="0071798E"/>
    <w:rsid w:val="007416B6"/>
    <w:rsid w:val="00746F48"/>
    <w:rsid w:val="00751BBC"/>
    <w:rsid w:val="0075404D"/>
    <w:rsid w:val="00754CE0"/>
    <w:rsid w:val="0076182A"/>
    <w:rsid w:val="00767B7E"/>
    <w:rsid w:val="007728EB"/>
    <w:rsid w:val="007770C3"/>
    <w:rsid w:val="00784D24"/>
    <w:rsid w:val="00785FBA"/>
    <w:rsid w:val="00786E4A"/>
    <w:rsid w:val="007875EB"/>
    <w:rsid w:val="0079426B"/>
    <w:rsid w:val="00796B23"/>
    <w:rsid w:val="007B48AE"/>
    <w:rsid w:val="007D1682"/>
    <w:rsid w:val="007D312A"/>
    <w:rsid w:val="007D3F19"/>
    <w:rsid w:val="007E23B0"/>
    <w:rsid w:val="007E23E5"/>
    <w:rsid w:val="007F1991"/>
    <w:rsid w:val="007F2C2F"/>
    <w:rsid w:val="007F35E0"/>
    <w:rsid w:val="007F4DF8"/>
    <w:rsid w:val="007F55FC"/>
    <w:rsid w:val="007F5665"/>
    <w:rsid w:val="00800112"/>
    <w:rsid w:val="0081080E"/>
    <w:rsid w:val="00813348"/>
    <w:rsid w:val="008253BB"/>
    <w:rsid w:val="0083706E"/>
    <w:rsid w:val="008408F6"/>
    <w:rsid w:val="008423A5"/>
    <w:rsid w:val="00842CD7"/>
    <w:rsid w:val="00850625"/>
    <w:rsid w:val="00853718"/>
    <w:rsid w:val="008551B5"/>
    <w:rsid w:val="00855221"/>
    <w:rsid w:val="00860645"/>
    <w:rsid w:val="00871F71"/>
    <w:rsid w:val="00872FD8"/>
    <w:rsid w:val="00885AF4"/>
    <w:rsid w:val="008863C5"/>
    <w:rsid w:val="008939CD"/>
    <w:rsid w:val="008B768C"/>
    <w:rsid w:val="008C4DB1"/>
    <w:rsid w:val="008C4EAF"/>
    <w:rsid w:val="008C5176"/>
    <w:rsid w:val="008C7FD0"/>
    <w:rsid w:val="008D2EDF"/>
    <w:rsid w:val="008E1DE7"/>
    <w:rsid w:val="008E707C"/>
    <w:rsid w:val="008F116B"/>
    <w:rsid w:val="00900B08"/>
    <w:rsid w:val="00902155"/>
    <w:rsid w:val="00902FA3"/>
    <w:rsid w:val="00907F6C"/>
    <w:rsid w:val="00911CF1"/>
    <w:rsid w:val="00923564"/>
    <w:rsid w:val="0092392E"/>
    <w:rsid w:val="009315F9"/>
    <w:rsid w:val="00933499"/>
    <w:rsid w:val="00935C98"/>
    <w:rsid w:val="00946945"/>
    <w:rsid w:val="00950326"/>
    <w:rsid w:val="00951248"/>
    <w:rsid w:val="0095152F"/>
    <w:rsid w:val="00954C49"/>
    <w:rsid w:val="00955E37"/>
    <w:rsid w:val="00966756"/>
    <w:rsid w:val="0097099F"/>
    <w:rsid w:val="00971997"/>
    <w:rsid w:val="00971FFC"/>
    <w:rsid w:val="0097274F"/>
    <w:rsid w:val="00976FC6"/>
    <w:rsid w:val="00980FE5"/>
    <w:rsid w:val="00984B2D"/>
    <w:rsid w:val="0098660A"/>
    <w:rsid w:val="009931C3"/>
    <w:rsid w:val="009A2665"/>
    <w:rsid w:val="009A73FD"/>
    <w:rsid w:val="009B2C43"/>
    <w:rsid w:val="009B4EAE"/>
    <w:rsid w:val="009B7573"/>
    <w:rsid w:val="009C22F4"/>
    <w:rsid w:val="009C2A4B"/>
    <w:rsid w:val="009C2E98"/>
    <w:rsid w:val="009D3447"/>
    <w:rsid w:val="009D4711"/>
    <w:rsid w:val="009D710B"/>
    <w:rsid w:val="009F1185"/>
    <w:rsid w:val="009F18CD"/>
    <w:rsid w:val="009F2A13"/>
    <w:rsid w:val="009F7527"/>
    <w:rsid w:val="00A04EB0"/>
    <w:rsid w:val="00A13CC1"/>
    <w:rsid w:val="00A16847"/>
    <w:rsid w:val="00A237D8"/>
    <w:rsid w:val="00A268C4"/>
    <w:rsid w:val="00A27EDE"/>
    <w:rsid w:val="00A307CD"/>
    <w:rsid w:val="00A331C8"/>
    <w:rsid w:val="00A40A00"/>
    <w:rsid w:val="00A4142F"/>
    <w:rsid w:val="00A422EB"/>
    <w:rsid w:val="00A45BB7"/>
    <w:rsid w:val="00A52867"/>
    <w:rsid w:val="00A54554"/>
    <w:rsid w:val="00A56DF2"/>
    <w:rsid w:val="00A56E6E"/>
    <w:rsid w:val="00A67AB5"/>
    <w:rsid w:val="00A733B2"/>
    <w:rsid w:val="00A741C2"/>
    <w:rsid w:val="00A85FC3"/>
    <w:rsid w:val="00A90FDE"/>
    <w:rsid w:val="00A91760"/>
    <w:rsid w:val="00A93B00"/>
    <w:rsid w:val="00A93C21"/>
    <w:rsid w:val="00A970E1"/>
    <w:rsid w:val="00AA17E4"/>
    <w:rsid w:val="00AB64C9"/>
    <w:rsid w:val="00AC3C6A"/>
    <w:rsid w:val="00AC4390"/>
    <w:rsid w:val="00AD5620"/>
    <w:rsid w:val="00AD656B"/>
    <w:rsid w:val="00AD7C1B"/>
    <w:rsid w:val="00AE16BA"/>
    <w:rsid w:val="00AE1EBE"/>
    <w:rsid w:val="00B00FFC"/>
    <w:rsid w:val="00B03C9D"/>
    <w:rsid w:val="00B060AE"/>
    <w:rsid w:val="00B10517"/>
    <w:rsid w:val="00B14CC2"/>
    <w:rsid w:val="00B14E76"/>
    <w:rsid w:val="00B161B8"/>
    <w:rsid w:val="00B2048C"/>
    <w:rsid w:val="00B310B9"/>
    <w:rsid w:val="00B35F3F"/>
    <w:rsid w:val="00B36CBB"/>
    <w:rsid w:val="00B425E0"/>
    <w:rsid w:val="00B440AA"/>
    <w:rsid w:val="00B44B70"/>
    <w:rsid w:val="00B45C14"/>
    <w:rsid w:val="00B53C56"/>
    <w:rsid w:val="00B57DAF"/>
    <w:rsid w:val="00B76B1A"/>
    <w:rsid w:val="00B7740E"/>
    <w:rsid w:val="00B77EA6"/>
    <w:rsid w:val="00B81598"/>
    <w:rsid w:val="00B841F1"/>
    <w:rsid w:val="00B944D6"/>
    <w:rsid w:val="00BA60E4"/>
    <w:rsid w:val="00BA686A"/>
    <w:rsid w:val="00BB4DF0"/>
    <w:rsid w:val="00BC289F"/>
    <w:rsid w:val="00BC2D50"/>
    <w:rsid w:val="00BC5361"/>
    <w:rsid w:val="00BC5460"/>
    <w:rsid w:val="00BC6B50"/>
    <w:rsid w:val="00BD0E25"/>
    <w:rsid w:val="00BE4DEF"/>
    <w:rsid w:val="00BF5BD6"/>
    <w:rsid w:val="00C03E31"/>
    <w:rsid w:val="00C23BC6"/>
    <w:rsid w:val="00C33E72"/>
    <w:rsid w:val="00C354B2"/>
    <w:rsid w:val="00C35554"/>
    <w:rsid w:val="00C42709"/>
    <w:rsid w:val="00C4786F"/>
    <w:rsid w:val="00C50113"/>
    <w:rsid w:val="00C533CC"/>
    <w:rsid w:val="00C5751C"/>
    <w:rsid w:val="00C61BFC"/>
    <w:rsid w:val="00C626BF"/>
    <w:rsid w:val="00C62B85"/>
    <w:rsid w:val="00C65438"/>
    <w:rsid w:val="00C737C0"/>
    <w:rsid w:val="00C7744D"/>
    <w:rsid w:val="00C87B88"/>
    <w:rsid w:val="00C87FD8"/>
    <w:rsid w:val="00C91381"/>
    <w:rsid w:val="00C91CBB"/>
    <w:rsid w:val="00C92EA0"/>
    <w:rsid w:val="00CA6021"/>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776E"/>
    <w:rsid w:val="00DA634F"/>
    <w:rsid w:val="00DA65AC"/>
    <w:rsid w:val="00DB1913"/>
    <w:rsid w:val="00DC0CC9"/>
    <w:rsid w:val="00DC410D"/>
    <w:rsid w:val="00DC5A81"/>
    <w:rsid w:val="00DC68CA"/>
    <w:rsid w:val="00DC72AF"/>
    <w:rsid w:val="00DC7CBA"/>
    <w:rsid w:val="00DD73B7"/>
    <w:rsid w:val="00DF28BC"/>
    <w:rsid w:val="00DF34B9"/>
    <w:rsid w:val="00E01053"/>
    <w:rsid w:val="00E075ED"/>
    <w:rsid w:val="00E07ACF"/>
    <w:rsid w:val="00E114D4"/>
    <w:rsid w:val="00E12556"/>
    <w:rsid w:val="00E16C8D"/>
    <w:rsid w:val="00E331A1"/>
    <w:rsid w:val="00E33202"/>
    <w:rsid w:val="00E336A9"/>
    <w:rsid w:val="00E4624D"/>
    <w:rsid w:val="00E472B1"/>
    <w:rsid w:val="00E50624"/>
    <w:rsid w:val="00E568DF"/>
    <w:rsid w:val="00E575D1"/>
    <w:rsid w:val="00E64269"/>
    <w:rsid w:val="00E671E9"/>
    <w:rsid w:val="00E73334"/>
    <w:rsid w:val="00E82267"/>
    <w:rsid w:val="00E853CE"/>
    <w:rsid w:val="00E867B6"/>
    <w:rsid w:val="00E97D44"/>
    <w:rsid w:val="00EA010F"/>
    <w:rsid w:val="00EA2658"/>
    <w:rsid w:val="00EA54BA"/>
    <w:rsid w:val="00ED1B63"/>
    <w:rsid w:val="00ED3C1F"/>
    <w:rsid w:val="00ED4085"/>
    <w:rsid w:val="00ED420E"/>
    <w:rsid w:val="00ED6FBE"/>
    <w:rsid w:val="00EE2F57"/>
    <w:rsid w:val="00EE4FDF"/>
    <w:rsid w:val="00EF03F2"/>
    <w:rsid w:val="00EF4C34"/>
    <w:rsid w:val="00EF77C6"/>
    <w:rsid w:val="00F02FA6"/>
    <w:rsid w:val="00F05438"/>
    <w:rsid w:val="00F1361C"/>
    <w:rsid w:val="00F156F0"/>
    <w:rsid w:val="00F160C7"/>
    <w:rsid w:val="00F2408F"/>
    <w:rsid w:val="00F240E9"/>
    <w:rsid w:val="00F3374F"/>
    <w:rsid w:val="00F36D8F"/>
    <w:rsid w:val="00F417B1"/>
    <w:rsid w:val="00F454A1"/>
    <w:rsid w:val="00F45853"/>
    <w:rsid w:val="00F602DF"/>
    <w:rsid w:val="00F754A1"/>
    <w:rsid w:val="00F81FD9"/>
    <w:rsid w:val="00F841AA"/>
    <w:rsid w:val="00F84A94"/>
    <w:rsid w:val="00F87E96"/>
    <w:rsid w:val="00F910A2"/>
    <w:rsid w:val="00F96CAC"/>
    <w:rsid w:val="00FA23E8"/>
    <w:rsid w:val="00FA6E77"/>
    <w:rsid w:val="00FD3CC1"/>
    <w:rsid w:val="00FE4298"/>
    <w:rsid w:val="00FF1E02"/>
    <w:rsid w:val="00FF30B4"/>
    <w:rsid w:val="00FF3E7B"/>
    <w:rsid w:val="066E0107"/>
    <w:rsid w:val="067C6FD8"/>
    <w:rsid w:val="07996F6E"/>
    <w:rsid w:val="0A2032A3"/>
    <w:rsid w:val="101860EC"/>
    <w:rsid w:val="10C055FF"/>
    <w:rsid w:val="118107EC"/>
    <w:rsid w:val="13D50BC4"/>
    <w:rsid w:val="16BB723D"/>
    <w:rsid w:val="1BE8440E"/>
    <w:rsid w:val="1D155CEE"/>
    <w:rsid w:val="23860B96"/>
    <w:rsid w:val="240371BF"/>
    <w:rsid w:val="29B42C36"/>
    <w:rsid w:val="29FD04D3"/>
    <w:rsid w:val="2C8A61B5"/>
    <w:rsid w:val="2DF04E50"/>
    <w:rsid w:val="319F7F4E"/>
    <w:rsid w:val="36AA5135"/>
    <w:rsid w:val="37E16F03"/>
    <w:rsid w:val="38955240"/>
    <w:rsid w:val="3D98207C"/>
    <w:rsid w:val="42C75098"/>
    <w:rsid w:val="44E268DA"/>
    <w:rsid w:val="4A627F82"/>
    <w:rsid w:val="4B4F25DA"/>
    <w:rsid w:val="4BE068DB"/>
    <w:rsid w:val="4D577224"/>
    <w:rsid w:val="4EAB630A"/>
    <w:rsid w:val="4ECE2238"/>
    <w:rsid w:val="4F461B54"/>
    <w:rsid w:val="53A95064"/>
    <w:rsid w:val="5607740D"/>
    <w:rsid w:val="567535C9"/>
    <w:rsid w:val="5AF92295"/>
    <w:rsid w:val="5B776AA3"/>
    <w:rsid w:val="5C125416"/>
    <w:rsid w:val="5CD71FC4"/>
    <w:rsid w:val="60BB5452"/>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85B3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85B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85B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85B3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85B30"/>
    <w:pPr>
      <w:spacing w:beforeLines="30"/>
    </w:pPr>
    <w:rPr>
      <w:rFonts w:ascii="仿宋_GB2312" w:eastAsia="仿宋_GB2312"/>
      <w:kern w:val="0"/>
      <w:sz w:val="30"/>
    </w:rPr>
  </w:style>
  <w:style w:type="paragraph" w:styleId="30">
    <w:name w:val="toc 3"/>
    <w:basedOn w:val="a"/>
    <w:next w:val="a"/>
    <w:uiPriority w:val="39"/>
    <w:unhideWhenUsed/>
    <w:qFormat/>
    <w:rsid w:val="00485B30"/>
    <w:pPr>
      <w:tabs>
        <w:tab w:val="right" w:leader="dot" w:pos="8296"/>
      </w:tabs>
      <w:ind w:leftChars="400" w:left="840"/>
    </w:pPr>
  </w:style>
  <w:style w:type="paragraph" w:styleId="a4">
    <w:name w:val="Balloon Text"/>
    <w:basedOn w:val="a"/>
    <w:link w:val="Char0"/>
    <w:uiPriority w:val="99"/>
    <w:semiHidden/>
    <w:unhideWhenUsed/>
    <w:qFormat/>
    <w:rsid w:val="00485B30"/>
    <w:rPr>
      <w:sz w:val="18"/>
      <w:szCs w:val="18"/>
    </w:rPr>
  </w:style>
  <w:style w:type="paragraph" w:styleId="a5">
    <w:name w:val="footer"/>
    <w:basedOn w:val="a"/>
    <w:link w:val="Char1"/>
    <w:uiPriority w:val="99"/>
    <w:qFormat/>
    <w:rsid w:val="00485B30"/>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485B3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85B3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85B30"/>
    <w:pPr>
      <w:tabs>
        <w:tab w:val="right" w:leader="dot" w:pos="8296"/>
      </w:tabs>
      <w:ind w:leftChars="200" w:left="420"/>
    </w:pPr>
  </w:style>
  <w:style w:type="paragraph" w:styleId="a7">
    <w:name w:val="Normal (Web)"/>
    <w:basedOn w:val="a"/>
    <w:qFormat/>
    <w:rsid w:val="00485B30"/>
    <w:pPr>
      <w:widowControl/>
      <w:spacing w:before="100" w:beforeAutospacing="1" w:after="100" w:afterAutospacing="1"/>
      <w:jc w:val="left"/>
    </w:pPr>
    <w:rPr>
      <w:rFonts w:ascii="宋体" w:hAnsi="宋体" w:cs="宋体"/>
      <w:kern w:val="0"/>
      <w:sz w:val="24"/>
    </w:rPr>
  </w:style>
  <w:style w:type="character" w:styleId="a8">
    <w:name w:val="Strong"/>
    <w:basedOn w:val="a1"/>
    <w:uiPriority w:val="99"/>
    <w:qFormat/>
    <w:rsid w:val="00485B30"/>
    <w:rPr>
      <w:b/>
    </w:rPr>
  </w:style>
  <w:style w:type="character" w:styleId="a9">
    <w:name w:val="Hyperlink"/>
    <w:basedOn w:val="a1"/>
    <w:uiPriority w:val="99"/>
    <w:unhideWhenUsed/>
    <w:qFormat/>
    <w:rsid w:val="00485B30"/>
    <w:rPr>
      <w:color w:val="0000FF" w:themeColor="hyperlink"/>
      <w:u w:val="single"/>
    </w:rPr>
  </w:style>
  <w:style w:type="character" w:customStyle="1" w:styleId="HeaderChar">
    <w:name w:val="Header Char"/>
    <w:basedOn w:val="a1"/>
    <w:uiPriority w:val="99"/>
    <w:semiHidden/>
    <w:qFormat/>
    <w:rsid w:val="00485B30"/>
    <w:rPr>
      <w:rFonts w:ascii="Times New Roman" w:hAnsi="Times New Roman"/>
      <w:sz w:val="18"/>
      <w:szCs w:val="18"/>
    </w:rPr>
  </w:style>
  <w:style w:type="character" w:customStyle="1" w:styleId="Char2">
    <w:name w:val="页眉 Char"/>
    <w:link w:val="a6"/>
    <w:uiPriority w:val="99"/>
    <w:semiHidden/>
    <w:qFormat/>
    <w:locked/>
    <w:rsid w:val="00485B30"/>
    <w:rPr>
      <w:sz w:val="18"/>
    </w:rPr>
  </w:style>
  <w:style w:type="character" w:customStyle="1" w:styleId="FooterChar">
    <w:name w:val="Footer Char"/>
    <w:basedOn w:val="a1"/>
    <w:uiPriority w:val="99"/>
    <w:semiHidden/>
    <w:qFormat/>
    <w:rsid w:val="00485B30"/>
    <w:rPr>
      <w:rFonts w:ascii="Times New Roman" w:hAnsi="Times New Roman"/>
      <w:sz w:val="18"/>
      <w:szCs w:val="18"/>
    </w:rPr>
  </w:style>
  <w:style w:type="character" w:customStyle="1" w:styleId="Char1">
    <w:name w:val="页脚 Char"/>
    <w:link w:val="a5"/>
    <w:uiPriority w:val="99"/>
    <w:qFormat/>
    <w:locked/>
    <w:rsid w:val="00485B30"/>
    <w:rPr>
      <w:sz w:val="18"/>
    </w:rPr>
  </w:style>
  <w:style w:type="character" w:customStyle="1" w:styleId="BodyTextChar">
    <w:name w:val="Body Text Char"/>
    <w:basedOn w:val="a1"/>
    <w:uiPriority w:val="99"/>
    <w:semiHidden/>
    <w:qFormat/>
    <w:rsid w:val="00485B30"/>
    <w:rPr>
      <w:rFonts w:ascii="Times New Roman" w:hAnsi="Times New Roman"/>
      <w:szCs w:val="24"/>
    </w:rPr>
  </w:style>
  <w:style w:type="character" w:customStyle="1" w:styleId="Char">
    <w:name w:val="正文文本 Char"/>
    <w:link w:val="a0"/>
    <w:uiPriority w:val="99"/>
    <w:qFormat/>
    <w:locked/>
    <w:rsid w:val="00485B30"/>
    <w:rPr>
      <w:rFonts w:ascii="仿宋_GB2312" w:eastAsia="仿宋_GB2312" w:hAnsi="Times New Roman"/>
      <w:sz w:val="24"/>
    </w:rPr>
  </w:style>
  <w:style w:type="paragraph" w:customStyle="1" w:styleId="Default">
    <w:name w:val="Default"/>
    <w:uiPriority w:val="99"/>
    <w:qFormat/>
    <w:rsid w:val="00485B30"/>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485B30"/>
    <w:pPr>
      <w:ind w:firstLineChars="200" w:firstLine="420"/>
    </w:pPr>
  </w:style>
  <w:style w:type="character" w:customStyle="1" w:styleId="1Char">
    <w:name w:val="标题 1 Char"/>
    <w:basedOn w:val="a1"/>
    <w:link w:val="1"/>
    <w:uiPriority w:val="9"/>
    <w:qFormat/>
    <w:rsid w:val="00485B30"/>
    <w:rPr>
      <w:rFonts w:ascii="Times New Roman" w:hAnsi="Times New Roman"/>
      <w:b/>
      <w:bCs/>
      <w:kern w:val="44"/>
      <w:sz w:val="44"/>
      <w:szCs w:val="44"/>
    </w:rPr>
  </w:style>
  <w:style w:type="character" w:customStyle="1" w:styleId="2Char">
    <w:name w:val="标题 2 Char"/>
    <w:basedOn w:val="a1"/>
    <w:link w:val="2"/>
    <w:uiPriority w:val="9"/>
    <w:qFormat/>
    <w:rsid w:val="00485B3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85B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485B30"/>
    <w:rPr>
      <w:rFonts w:ascii="Times New Roman" w:hAnsi="Times New Roman"/>
      <w:kern w:val="2"/>
      <w:sz w:val="18"/>
      <w:szCs w:val="18"/>
    </w:rPr>
  </w:style>
  <w:style w:type="character" w:customStyle="1" w:styleId="3Char">
    <w:name w:val="标题 3 Char"/>
    <w:basedOn w:val="a1"/>
    <w:link w:val="3"/>
    <w:uiPriority w:val="9"/>
    <w:qFormat/>
    <w:rsid w:val="00485B30"/>
    <w:rPr>
      <w:rFonts w:ascii="Times New Roman" w:hAnsi="Times New Roman"/>
      <w:b/>
      <w:bCs/>
      <w:kern w:val="2"/>
      <w:sz w:val="32"/>
      <w:szCs w:val="32"/>
    </w:rPr>
  </w:style>
  <w:style w:type="paragraph" w:customStyle="1" w:styleId="TOC2">
    <w:name w:val="TOC 标题2"/>
    <w:basedOn w:val="1"/>
    <w:next w:val="a"/>
    <w:uiPriority w:val="39"/>
    <w:unhideWhenUsed/>
    <w:qFormat/>
    <w:rsid w:val="00485B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ormalCharacter">
    <w:name w:val="NormalCharacter"/>
    <w:semiHidden/>
    <w:qFormat/>
    <w:rsid w:val="00485B30"/>
  </w:style>
  <w:style w:type="character" w:customStyle="1" w:styleId="fontstyle01">
    <w:name w:val="fontstyle01"/>
    <w:basedOn w:val="a1"/>
    <w:qFormat/>
    <w:rsid w:val="00485B30"/>
    <w:rPr>
      <w:rFonts w:ascii="方正小标宋_GBK" w:eastAsia="方正小标宋_GBK" w:hAnsi="方正小标宋_GBK" w:cs="Times New Roman"/>
      <w:color w:val="000000"/>
      <w:sz w:val="44"/>
      <w:szCs w:val="44"/>
    </w:rPr>
  </w:style>
  <w:style w:type="character" w:customStyle="1" w:styleId="ui-icon33">
    <w:name w:val="ui-icon33"/>
    <w:basedOn w:val="a1"/>
    <w:qFormat/>
    <w:rsid w:val="00485B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5199;&#21306;&#24066;&#31649;&#23616;&#39044;&#20915;&#31639;&#20844;&#24320;\&#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5199;&#21306;&#24066;&#31649;&#23616;&#39044;&#20915;&#31639;&#20844;&#24320;\&#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35199;&#21306;&#24066;&#31649;&#23616;&#39044;&#20915;&#31639;&#20844;&#24320;\&#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收、支决算总计变动情况                </a:t>
            </a:r>
            <a:r>
              <a:rPr lang="zh-CN" altLang="en-US" sz="1050"/>
              <a:t>单位：万元</a:t>
            </a:r>
          </a:p>
        </c:rich>
      </c:tx>
    </c:title>
    <c:plotArea>
      <c:layout/>
      <c:barChart>
        <c:barDir val="col"/>
        <c:grouping val="clustered"/>
        <c:ser>
          <c:idx val="0"/>
          <c:order val="0"/>
          <c:tx>
            <c:strRef>
              <c:f>Sheet1!$B$1:$B$2</c:f>
              <c:strCache>
                <c:ptCount val="1"/>
                <c:pt idx="0">
                  <c:v>收、支决算总计变动情况 金额（万元）</c:v>
                </c:pt>
              </c:strCache>
            </c:strRef>
          </c:tx>
          <c:dLbls>
            <c:showVal val="1"/>
          </c:dLbls>
          <c:cat>
            <c:strRef>
              <c:f>Sheet1!$A$3:$A$5</c:f>
              <c:strCache>
                <c:ptCount val="3"/>
                <c:pt idx="0">
                  <c:v>2021年</c:v>
                </c:pt>
                <c:pt idx="1">
                  <c:v>2020年</c:v>
                </c:pt>
                <c:pt idx="2">
                  <c:v>2021年减少额</c:v>
                </c:pt>
              </c:strCache>
            </c:strRef>
          </c:cat>
          <c:val>
            <c:numRef>
              <c:f>Sheet1!$B$3:$B$5</c:f>
              <c:numCache>
                <c:formatCode>General</c:formatCode>
                <c:ptCount val="3"/>
                <c:pt idx="0">
                  <c:v>1503.34</c:v>
                </c:pt>
                <c:pt idx="1">
                  <c:v>1605.6</c:v>
                </c:pt>
                <c:pt idx="2">
                  <c:v>102.26</c:v>
                </c:pt>
              </c:numCache>
            </c:numRef>
          </c:val>
        </c:ser>
        <c:axId val="210493440"/>
        <c:axId val="210494976"/>
      </c:barChart>
      <c:catAx>
        <c:axId val="210493440"/>
        <c:scaling>
          <c:orientation val="minMax"/>
        </c:scaling>
        <c:axPos val="b"/>
        <c:tickLblPos val="nextTo"/>
        <c:crossAx val="210494976"/>
        <c:crosses val="autoZero"/>
        <c:auto val="1"/>
        <c:lblAlgn val="ctr"/>
        <c:lblOffset val="100"/>
      </c:catAx>
      <c:valAx>
        <c:axId val="210494976"/>
        <c:scaling>
          <c:orientation val="minMax"/>
        </c:scaling>
        <c:axPos val="l"/>
        <c:majorGridlines/>
        <c:numFmt formatCode="General" sourceLinked="1"/>
        <c:tickLblPos val="nextTo"/>
        <c:crossAx val="21049344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6"/>
  <c:chart>
    <c:autoTitleDeleted val="1"/>
    <c:view3D>
      <c:rotX val="30"/>
      <c:depthPercent val="100"/>
      <c:perspective val="0"/>
    </c:view3D>
    <c:plotArea>
      <c:layout/>
      <c:pie3DChart>
        <c:varyColors val="1"/>
        <c:ser>
          <c:idx val="0"/>
          <c:order val="0"/>
          <c:dPt>
            <c:idx val="0"/>
            <c:explosion val="13"/>
          </c:dPt>
          <c:cat>
            <c:strRef>
              <c:f>Sheet1!$A$69:$C$69</c:f>
              <c:strCache>
                <c:ptCount val="3"/>
                <c:pt idx="0">
                  <c:v>财政拨款收入</c:v>
                </c:pt>
                <c:pt idx="1">
                  <c:v>其他收入</c:v>
                </c:pt>
                <c:pt idx="2">
                  <c:v>政府性基金预算财政拨款收入</c:v>
                </c:pt>
              </c:strCache>
            </c:strRef>
          </c:cat>
          <c:val>
            <c:numRef>
              <c:f>Sheet1!$A$70:$C$70</c:f>
              <c:numCache>
                <c:formatCode>General</c:formatCode>
                <c:ptCount val="3"/>
                <c:pt idx="0">
                  <c:v>1474.6899999999998</c:v>
                </c:pt>
                <c:pt idx="1">
                  <c:v>9.0000000000000024E-2</c:v>
                </c:pt>
                <c:pt idx="2">
                  <c:v>8.8000000000000007</c:v>
                </c:pt>
              </c:numCache>
            </c:numRef>
          </c:val>
        </c:ser>
      </c:pie3DChart>
    </c:plotArea>
    <c:legend>
      <c:legendPos val="b"/>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Sheet1!$A$243</c:f>
              <c:strCache>
                <c:ptCount val="1"/>
                <c:pt idx="0">
                  <c:v>2021年支出决算情况表</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Lbls>
            <c:dLbl>
              <c:idx val="0"/>
              <c:tx>
                <c:rich>
                  <a:bodyPr/>
                  <a:lstStyle/>
                  <a:p>
                    <a:r>
                      <a:rPr altLang="en-US"/>
                      <a:t>基本支出, 1437.81</a:t>
                    </a:r>
                    <a:r>
                      <a:rPr lang="zh-CN" altLang="en-US"/>
                      <a:t>万元</a:t>
                    </a:r>
                    <a:r>
                      <a:rPr altLang="en-US"/>
                      <a:t> </a:t>
                    </a:r>
                  </a:p>
                </c:rich>
              </c:tx>
              <c:dLblPos val="bestFit"/>
              <c:showVal val="1"/>
              <c:showCatName val="1"/>
            </c:dLbl>
            <c:dLbl>
              <c:idx val="1"/>
              <c:layout>
                <c:manualLayout>
                  <c:x val="-6.0306669702680699E-2"/>
                  <c:y val="2.5966187525761834E-3"/>
                </c:manualLayout>
              </c:layout>
              <c:tx>
                <c:rich>
                  <a:bodyPr/>
                  <a:lstStyle/>
                  <a:p>
                    <a:r>
                      <a:rPr altLang="en-US"/>
                      <a:t>项目支出, 65.53</a:t>
                    </a:r>
                    <a:r>
                      <a:rPr lang="zh-CN" altLang="en-US"/>
                      <a:t>万元</a:t>
                    </a:r>
                    <a:r>
                      <a:rPr altLang="en-US"/>
                      <a:t> </a:t>
                    </a:r>
                  </a:p>
                </c:rich>
              </c:tx>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Sheet1!$B$242:$C$242</c:f>
              <c:strCache>
                <c:ptCount val="2"/>
                <c:pt idx="0">
                  <c:v>基本支出</c:v>
                </c:pt>
                <c:pt idx="1">
                  <c:v>项目支出</c:v>
                </c:pt>
              </c:strCache>
            </c:strRef>
          </c:cat>
          <c:val>
            <c:numRef>
              <c:f>Sheet1!$B$243:$C$243</c:f>
              <c:numCache>
                <c:formatCode>0.00_ </c:formatCode>
                <c:ptCount val="2"/>
                <c:pt idx="0">
                  <c:v>1437.81</c:v>
                </c:pt>
                <c:pt idx="1">
                  <c:v>65.53</c:v>
                </c:pt>
              </c:numCache>
            </c:numRef>
          </c:val>
        </c:ser>
        <c:dLbls>
          <c:showVal val="1"/>
          <c:showCatName val="1"/>
        </c:dLbls>
        <c:firstSliceAng val="0"/>
      </c:pieChart>
      <c:spPr>
        <a:noFill/>
        <a:ln w="25400">
          <a:noFill/>
        </a:ln>
      </c:spPr>
    </c:plotArea>
    <c:plotVisOnly val="1"/>
    <c:dispBlanksAs val="zero"/>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财政拨款收、支决算总计变动情况 </a:t>
            </a:r>
            <a:r>
              <a:rPr lang="zh-CN" altLang="en-US" sz="1050"/>
              <a:t>单位：万元</a:t>
            </a:r>
          </a:p>
        </c:rich>
      </c:tx>
    </c:title>
    <c:plotArea>
      <c:layout/>
      <c:barChart>
        <c:barDir val="col"/>
        <c:grouping val="clustered"/>
        <c:ser>
          <c:idx val="0"/>
          <c:order val="0"/>
          <c:tx>
            <c:strRef>
              <c:f>Sheet2!$B$1:$B$2</c:f>
              <c:strCache>
                <c:ptCount val="1"/>
                <c:pt idx="0">
                  <c:v>财政拨款收、支决算总计变动情况 金额（万元）</c:v>
                </c:pt>
              </c:strCache>
            </c:strRef>
          </c:tx>
          <c:dLbls>
            <c:dLbl>
              <c:idx val="0"/>
              <c:tx>
                <c:rich>
                  <a:bodyPr/>
                  <a:lstStyle/>
                  <a:p>
                    <a:r>
                      <a:rPr lang="en-US" altLang="en-US"/>
                      <a:t>1503.25</a:t>
                    </a:r>
                  </a:p>
                </c:rich>
              </c:tx>
              <c:showVal val="1"/>
            </c:dLbl>
            <c:dLbl>
              <c:idx val="1"/>
              <c:tx>
                <c:rich>
                  <a:bodyPr/>
                  <a:lstStyle/>
                  <a:p>
                    <a:r>
                      <a:rPr lang="en-US" altLang="en-US"/>
                      <a:t>1605.47</a:t>
                    </a:r>
                  </a:p>
                </c:rich>
              </c:tx>
              <c:showVal val="1"/>
            </c:dLbl>
            <c:dLbl>
              <c:idx val="2"/>
              <c:tx>
                <c:rich>
                  <a:bodyPr/>
                  <a:lstStyle/>
                  <a:p>
                    <a:r>
                      <a:rPr lang="en-US" altLang="en-US"/>
                      <a:t>102.22</a:t>
                    </a:r>
                  </a:p>
                </c:rich>
              </c:tx>
              <c:showVal val="1"/>
            </c:dLbl>
            <c:showVal val="1"/>
          </c:dLbls>
          <c:cat>
            <c:strRef>
              <c:f>Sheet2!$A$3:$A$5</c:f>
              <c:strCache>
                <c:ptCount val="3"/>
                <c:pt idx="0">
                  <c:v>2021年</c:v>
                </c:pt>
                <c:pt idx="1">
                  <c:v>2020年</c:v>
                </c:pt>
                <c:pt idx="2">
                  <c:v>2021年减少额</c:v>
                </c:pt>
              </c:strCache>
            </c:strRef>
          </c:cat>
          <c:val>
            <c:numRef>
              <c:f>Sheet2!$B$3:$B$5</c:f>
              <c:numCache>
                <c:formatCode>General</c:formatCode>
                <c:ptCount val="3"/>
                <c:pt idx="0">
                  <c:v>1503.34</c:v>
                </c:pt>
                <c:pt idx="1">
                  <c:v>1605.6</c:v>
                </c:pt>
                <c:pt idx="2">
                  <c:v>102.26</c:v>
                </c:pt>
              </c:numCache>
            </c:numRef>
          </c:val>
        </c:ser>
        <c:axId val="247288192"/>
        <c:axId val="247290112"/>
      </c:barChart>
      <c:catAx>
        <c:axId val="247288192"/>
        <c:scaling>
          <c:orientation val="minMax"/>
        </c:scaling>
        <c:axPos val="b"/>
        <c:tickLblPos val="nextTo"/>
        <c:crossAx val="247290112"/>
        <c:crosses val="autoZero"/>
        <c:auto val="1"/>
        <c:lblAlgn val="ctr"/>
        <c:lblOffset val="100"/>
      </c:catAx>
      <c:valAx>
        <c:axId val="247290112"/>
        <c:scaling>
          <c:orientation val="minMax"/>
        </c:scaling>
        <c:axPos val="l"/>
        <c:majorGridlines/>
        <c:numFmt formatCode="General" sourceLinked="1"/>
        <c:tickLblPos val="nextTo"/>
        <c:crossAx val="2472881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一般公共预算财政拨款支出决算变动情况       </a:t>
            </a:r>
            <a:r>
              <a:rPr lang="zh-CN" altLang="en-US" sz="1050"/>
              <a:t>单位：万元</a:t>
            </a:r>
          </a:p>
        </c:rich>
      </c:tx>
    </c:title>
    <c:plotArea>
      <c:layout/>
      <c:barChart>
        <c:barDir val="col"/>
        <c:grouping val="clustered"/>
        <c:ser>
          <c:idx val="0"/>
          <c:order val="0"/>
          <c:tx>
            <c:strRef>
              <c:f>Sheet3!$B$1:$B$2</c:f>
              <c:strCache>
                <c:ptCount val="1"/>
                <c:pt idx="0">
                  <c:v>一般公共预算财政拨款支出决算变动情况 金额（万元）</c:v>
                </c:pt>
              </c:strCache>
            </c:strRef>
          </c:tx>
          <c:dLbls>
            <c:showVal val="1"/>
          </c:dLbls>
          <c:cat>
            <c:strRef>
              <c:f>Sheet3!$A$3:$A$4</c:f>
              <c:strCache>
                <c:ptCount val="2"/>
                <c:pt idx="0">
                  <c:v>2021年</c:v>
                </c:pt>
                <c:pt idx="1">
                  <c:v>2020年</c:v>
                </c:pt>
              </c:strCache>
            </c:strRef>
          </c:cat>
          <c:val>
            <c:numRef>
              <c:f>Sheet3!$B$3:$B$4</c:f>
              <c:numCache>
                <c:formatCode>General</c:formatCode>
                <c:ptCount val="2"/>
                <c:pt idx="0">
                  <c:v>1494.45</c:v>
                </c:pt>
                <c:pt idx="1">
                  <c:v>1566.97</c:v>
                </c:pt>
              </c:numCache>
            </c:numRef>
          </c:val>
        </c:ser>
        <c:axId val="257769856"/>
        <c:axId val="257771776"/>
      </c:barChart>
      <c:catAx>
        <c:axId val="257769856"/>
        <c:scaling>
          <c:orientation val="minMax"/>
        </c:scaling>
        <c:axPos val="b"/>
        <c:tickLblPos val="nextTo"/>
        <c:crossAx val="257771776"/>
        <c:crosses val="autoZero"/>
        <c:auto val="1"/>
        <c:lblAlgn val="ctr"/>
        <c:lblOffset val="100"/>
      </c:catAx>
      <c:valAx>
        <c:axId val="257771776"/>
        <c:scaling>
          <c:orientation val="minMax"/>
        </c:scaling>
        <c:axPos val="l"/>
        <c:majorGridlines/>
        <c:numFmt formatCode="General" sourceLinked="1"/>
        <c:tickLblPos val="nextTo"/>
        <c:crossAx val="2577698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200" b="0" i="0" strike="noStrike">
                <a:solidFill>
                  <a:srgbClr val="000000"/>
                </a:solidFill>
                <a:latin typeface="宋体" panose="02010600030101010101" charset="-122"/>
                <a:ea typeface="宋体" panose="02010600030101010101" charset="-122"/>
              </a:rPr>
              <a:t>2021</a:t>
            </a:r>
            <a:r>
              <a:rPr lang="zh-CN" altLang="en-US" sz="1200" b="0" i="0" strike="noStrike">
                <a:solidFill>
                  <a:srgbClr val="000000"/>
                </a:solidFill>
                <a:latin typeface="宋体" panose="02010600030101010101" charset="-122"/>
                <a:ea typeface="宋体" panose="02010600030101010101" charset="-122"/>
              </a:rPr>
              <a:t>年一般公共预算财政拨款支出决算结构</a:t>
            </a:r>
          </a:p>
        </c:rich>
      </c:tx>
      <c:layout>
        <c:manualLayout>
          <c:xMode val="edge"/>
          <c:yMode val="edge"/>
          <c:x val="0.17263179997237221"/>
          <c:y val="7.3529411764705899E-2"/>
        </c:manualLayout>
      </c:layout>
      <c:spPr>
        <a:noFill/>
        <a:ln w="25400">
          <a:noFill/>
        </a:ln>
      </c:spPr>
    </c:title>
    <c:plotArea>
      <c:layout>
        <c:manualLayout>
          <c:layoutTarget val="inner"/>
          <c:xMode val="edge"/>
          <c:yMode val="edge"/>
          <c:x val="0.28842134911734157"/>
          <c:y val="0.42353002000519879"/>
          <c:w val="0.23578971606673121"/>
          <c:h val="0.32941223778182288"/>
        </c:manualLayout>
      </c:layout>
      <c:pieChart>
        <c:varyColors val="1"/>
        <c:ser>
          <c:idx val="0"/>
          <c:order val="0"/>
          <c:tx>
            <c:strRef>
              <c:f>Sheet1!$A$166</c:f>
              <c:strCache>
                <c:ptCount val="1"/>
                <c:pt idx="0">
                  <c:v>2021年一般公共预算财政拨款支出决算结构</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dLbl>
              <c:idx val="0"/>
              <c:layout>
                <c:manualLayout>
                  <c:x val="5.7755269355477902E-2"/>
                  <c:y val="5.9854636734974593E-4"/>
                </c:manualLayout>
              </c:layout>
              <c:tx>
                <c:rich>
                  <a:bodyPr/>
                  <a:lstStyle/>
                  <a:p>
                    <a:r>
                      <a:rPr altLang="en-US"/>
                      <a:t>一般公共服务支出, 1138.</a:t>
                    </a:r>
                    <a:r>
                      <a:rPr lang="en-US" altLang="en-US"/>
                      <a:t>35</a:t>
                    </a:r>
                    <a:r>
                      <a:rPr lang="zh-CN" altLang="en-US"/>
                      <a:t>万元</a:t>
                    </a:r>
                    <a:r>
                      <a:rPr altLang="en-US"/>
                      <a:t> , 76.17%</a:t>
                    </a:r>
                  </a:p>
                </c:rich>
              </c:tx>
              <c:dLblPos val="bestFit"/>
              <c:showVal val="1"/>
              <c:showCatName val="1"/>
              <c:showPercent val="1"/>
              <c:separator>, </c:separator>
              <c:extLst>
                <c:ext xmlns:c15="http://schemas.microsoft.com/office/drawing/2012/chart" uri="{CE6537A1-D6FC-4f65-9D91-7224C49458BB}">
                  <c15:layout/>
                </c:ext>
              </c:extLst>
            </c:dLbl>
            <c:dLbl>
              <c:idx val="1"/>
              <c:layout>
                <c:manualLayout>
                  <c:x val="-3.1336827603805378E-2"/>
                  <c:y val="7.3880220132318722E-2"/>
                </c:manualLayout>
              </c:layout>
              <c:tx>
                <c:rich>
                  <a:bodyPr/>
                  <a:lstStyle/>
                  <a:p>
                    <a:r>
                      <a:rPr altLang="en-US"/>
                      <a:t>住房和保障支出, 120.13</a:t>
                    </a:r>
                    <a:r>
                      <a:rPr lang="zh-CN" altLang="en-US"/>
                      <a:t>万元</a:t>
                    </a:r>
                    <a:r>
                      <a:rPr altLang="en-US"/>
                      <a:t> , 8.04%</a:t>
                    </a:r>
                  </a:p>
                </c:rich>
              </c:tx>
              <c:dLblPos val="bestFit"/>
              <c:showVal val="1"/>
              <c:showCatName val="1"/>
              <c:showPercent val="1"/>
              <c:separator>, </c:separator>
              <c:extLst>
                <c:ext xmlns:c15="http://schemas.microsoft.com/office/drawing/2012/chart" uri="{CE6537A1-D6FC-4f65-9D91-7224C49458BB}">
                  <c15:layout/>
                </c:ext>
              </c:extLst>
            </c:dLbl>
            <c:dLbl>
              <c:idx val="2"/>
              <c:layout>
                <c:manualLayout>
                  <c:x val="1.0790882718607625E-2"/>
                  <c:y val="-3.3249035047089696E-2"/>
                </c:manualLayout>
              </c:layout>
              <c:tx>
                <c:rich>
                  <a:bodyPr/>
                  <a:lstStyle/>
                  <a:p>
                    <a:r>
                      <a:rPr altLang="en-US"/>
                      <a:t>社会保障和就业支出, 152.7</a:t>
                    </a:r>
                    <a:r>
                      <a:rPr lang="en-US" altLang="en-US"/>
                      <a:t>7</a:t>
                    </a:r>
                    <a:r>
                      <a:rPr lang="zh-CN" altLang="en-US"/>
                      <a:t>万元</a:t>
                    </a:r>
                    <a:r>
                      <a:rPr altLang="en-US"/>
                      <a:t> , 10.22%</a:t>
                    </a:r>
                  </a:p>
                </c:rich>
              </c:tx>
              <c:dLblPos val="bestFit"/>
              <c:showVal val="1"/>
              <c:showCatName val="1"/>
              <c:showPercent val="1"/>
              <c:separator>, </c:separator>
              <c:extLst>
                <c:ext xmlns:c15="http://schemas.microsoft.com/office/drawing/2012/chart" uri="{CE6537A1-D6FC-4f65-9D91-7224C49458BB}">
                  <c15:layout/>
                </c:ext>
              </c:extLst>
            </c:dLbl>
            <c:dLbl>
              <c:idx val="3"/>
              <c:layout>
                <c:manualLayout>
                  <c:x val="0.13510884609568397"/>
                  <c:y val="2.1528653924811871E-2"/>
                </c:manualLayout>
              </c:layout>
              <c:tx>
                <c:rich>
                  <a:bodyPr/>
                  <a:lstStyle/>
                  <a:p>
                    <a:r>
                      <a:rPr altLang="en-US"/>
                      <a:t>卫生健康支出, 83.20</a:t>
                    </a:r>
                    <a:r>
                      <a:rPr lang="zh-CN" altLang="en-US"/>
                      <a:t>万元</a:t>
                    </a:r>
                    <a:r>
                      <a:rPr altLang="en-US"/>
                      <a:t> , 5.57%</a:t>
                    </a:r>
                  </a:p>
                </c:rich>
              </c:tx>
              <c:dLblPos val="bestFit"/>
              <c:showVal val="1"/>
              <c:showCatName val="1"/>
              <c:showPercent val="1"/>
              <c:separator>, </c:separator>
              <c:extLst>
                <c:ext xmlns:c15="http://schemas.microsoft.com/office/drawing/2012/chart" uri="{CE6537A1-D6FC-4f65-9D91-7224C49458BB}">
                  <c15:layout/>
                </c:ext>
              </c:extLst>
            </c:dLbl>
            <c:numFmt formatCode="0.00%" sourceLinked="0"/>
            <c:spPr>
              <a:noFill/>
              <a:ln w="25400">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showCatName val="1"/>
            <c:showPercent val="1"/>
            <c:separator>, </c:separator>
            <c:showLeaderLines val="1"/>
            <c:extLst>
              <c:ext xmlns:c15="http://schemas.microsoft.com/office/drawing/2012/chart" uri="{CE6537A1-D6FC-4f65-9D91-7224C49458BB}">
                <c15:layout/>
                <c15:showLeaderLines val="1"/>
                <c15:leaderLines/>
              </c:ext>
            </c:extLst>
          </c:dLbls>
          <c:cat>
            <c:strRef>
              <c:f>Sheet1!$B$165:$E$165</c:f>
              <c:strCache>
                <c:ptCount val="4"/>
                <c:pt idx="0">
                  <c:v>一般公共服务支出</c:v>
                </c:pt>
                <c:pt idx="1">
                  <c:v>住房和保障支出</c:v>
                </c:pt>
                <c:pt idx="2">
                  <c:v>社会保障和就业支出</c:v>
                </c:pt>
                <c:pt idx="3">
                  <c:v>卫生健康支出</c:v>
                </c:pt>
              </c:strCache>
            </c:strRef>
          </c:cat>
          <c:val>
            <c:numRef>
              <c:f>Sheet1!$B$166:$E$166</c:f>
              <c:numCache>
                <c:formatCode>0.00_ </c:formatCode>
                <c:ptCount val="4"/>
                <c:pt idx="0">
                  <c:v>1138.3499999999999</c:v>
                </c:pt>
                <c:pt idx="1">
                  <c:v>120.13</c:v>
                </c:pt>
                <c:pt idx="2">
                  <c:v>152.76</c:v>
                </c:pt>
                <c:pt idx="3">
                  <c:v>83.2</c:v>
                </c:pt>
              </c:numCache>
            </c:numRef>
          </c:val>
        </c:ser>
        <c:dLbls>
          <c:showVal val="1"/>
          <c:showCatName val="1"/>
          <c:showPercent val="1"/>
        </c:dLbls>
        <c:firstSliceAng val="0"/>
      </c:pieChart>
      <c:spPr>
        <a:noFill/>
        <a:ln w="25400">
          <a:noFill/>
        </a:ln>
      </c:spPr>
    </c:plotArea>
    <c:legend>
      <c:legendPos val="b"/>
      <c:layout>
        <c:manualLayout>
          <c:xMode val="edge"/>
          <c:yMode val="edge"/>
          <c:x val="4.4210526315789513E-2"/>
          <c:y val="0.92058947043384365"/>
          <c:w val="0.91157983146843602"/>
          <c:h val="5.8823529411764705E-2"/>
        </c:manualLayout>
      </c:layout>
      <c:spPr>
        <a:solidFill>
          <a:srgbClr val="FFFFFF"/>
        </a:solidFill>
        <a:ln w="3175">
          <a:solidFill>
            <a:srgbClr val="000000"/>
          </a:solidFill>
          <a:prstDash val="solid"/>
        </a:ln>
      </c:spPr>
      <c:txPr>
        <a:bodyPr rot="0" spcFirstLastPara="0" vertOverflow="ellipsis" vert="horz" wrap="square" anchor="ctr" anchorCtr="1"/>
        <a:lstStyle/>
        <a:p>
          <a:pPr>
            <a:defRPr lang="zh-CN" sz="8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rgbClr val="FFFFFF"/>
    </a:solidFill>
    <a:ln w="3175" cap="flat" cmpd="sng" algn="ctr">
      <a:solidFill>
        <a:srgbClr val="000000"/>
      </a:solidFill>
      <a:prstDash val="solid"/>
      <a:round/>
    </a:ln>
  </c:spPr>
  <c:txPr>
    <a:bodyPr/>
    <a:lstStyle/>
    <a:p>
      <a:pPr>
        <a:defRPr lang="zh-CN" sz="92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200" b="0" i="0" strike="noStrike">
                <a:solidFill>
                  <a:srgbClr val="000000"/>
                </a:solidFill>
                <a:latin typeface="宋体" panose="02010600030101010101" charset="-122"/>
                <a:ea typeface="宋体" panose="02010600030101010101" charset="-122"/>
              </a:rPr>
              <a:t>2021</a:t>
            </a:r>
            <a:r>
              <a:rPr lang="zh-CN" altLang="en-US" sz="1200" b="0" i="0" strike="noStrike">
                <a:solidFill>
                  <a:srgbClr val="000000"/>
                </a:solidFill>
                <a:latin typeface="宋体" panose="02010600030101010101" charset="-122"/>
                <a:ea typeface="宋体" panose="02010600030101010101" charset="-122"/>
              </a:rPr>
              <a:t>年度“三公”经费财政拨款支出决算情况</a:t>
            </a:r>
            <a:endParaRPr lang="zh-CN" altLang="en-US" sz="950" b="0" i="0" strike="noStrike">
              <a:solidFill>
                <a:srgbClr val="000000"/>
              </a:solidFill>
              <a:latin typeface="宋体" panose="02010600030101010101" charset="-122"/>
              <a:ea typeface="宋体" panose="02010600030101010101" charset="-122"/>
            </a:endParaRPr>
          </a:p>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950" b="0" i="0" strike="noStrike">
                <a:solidFill>
                  <a:srgbClr val="000000"/>
                </a:solidFill>
                <a:latin typeface="宋体" panose="02010600030101010101" charset="-122"/>
                <a:ea typeface="宋体" panose="02010600030101010101" charset="-122"/>
              </a:rPr>
              <a:t>（单位：万元）</a:t>
            </a:r>
          </a:p>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ltLang="en-US" sz="950" b="0" i="0" strike="noStrike">
              <a:solidFill>
                <a:srgbClr val="000000"/>
              </a:solidFill>
              <a:latin typeface="宋体" panose="02010600030101010101" charset="-122"/>
              <a:ea typeface="宋体" panose="02010600030101010101" charset="-122"/>
            </a:endParaRPr>
          </a:p>
        </c:rich>
      </c:tx>
      <c:layout>
        <c:manualLayout>
          <c:xMode val="edge"/>
          <c:yMode val="edge"/>
          <c:x val="0.131696662917135"/>
          <c:y val="5.5555920093321734E-2"/>
        </c:manualLayout>
      </c:layout>
      <c:spPr>
        <a:noFill/>
        <a:ln w="25400">
          <a:noFill/>
        </a:ln>
      </c:spPr>
    </c:title>
    <c:plotArea>
      <c:layout>
        <c:manualLayout>
          <c:layoutTarget val="inner"/>
          <c:xMode val="edge"/>
          <c:yMode val="edge"/>
          <c:x val="0.23437525544875587"/>
          <c:y val="0.39236244155016364"/>
          <c:w val="0.20982165725888569"/>
          <c:h val="0.32638999562580134"/>
        </c:manualLayout>
      </c:layout>
      <c:pieChart>
        <c:varyColors val="1"/>
        <c:ser>
          <c:idx val="0"/>
          <c:order val="0"/>
          <c:tx>
            <c:strRef>
              <c:f>Sheet1!$A$194</c:f>
              <c:strCache>
                <c:ptCount val="1"/>
                <c:pt idx="0">
                  <c:v>2021年度“三公”经费财政拨款支出决算情况</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0.13169544094657901"/>
                  <c:y val="3.2638266677405589E-2"/>
                </c:manualLayout>
              </c:layout>
              <c:tx>
                <c:rich>
                  <a:bodyPr rot="0" spcFirstLastPara="0" vertOverflow="ellipsis" vert="horz" wrap="square" lIns="38100" tIns="19050" rIns="38100" bIns="19050"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875" b="0" i="0" strike="noStrike">
                        <a:solidFill>
                          <a:srgbClr val="000000"/>
                        </a:solidFill>
                        <a:latin typeface="宋体" panose="02010600030101010101" charset="-122"/>
                        <a:ea typeface="宋体" panose="02010600030101010101" charset="-122"/>
                      </a:rPr>
                      <a:t>因公出国（境）费</a:t>
                    </a:r>
                    <a:r>
                      <a:rPr lang="en-US" altLang="zh-CN" sz="875" b="0" i="0" strike="noStrike">
                        <a:solidFill>
                          <a:srgbClr val="000000"/>
                        </a:solidFill>
                        <a:latin typeface="宋体" panose="02010600030101010101" charset="-122"/>
                        <a:ea typeface="宋体" panose="02010600030101010101" charset="-122"/>
                      </a:rPr>
                      <a:t>, 0, 0.00%</a:t>
                    </a:r>
                  </a:p>
                </c:rich>
              </c:tx>
              <c:spPr>
                <a:noFill/>
                <a:ln w="25400">
                  <a:noFill/>
                </a:ln>
                <a:effectLst/>
              </c:spPr>
              <c:dLblPos val="bestFit"/>
              <c:showVal val="1"/>
              <c:showCatName val="1"/>
              <c:showSerName val="1"/>
              <c:showPercent val="1"/>
              <c:extLst>
                <c:ext xmlns:c15="http://schemas.microsoft.com/office/drawing/2012/chart" uri="{CE6537A1-D6FC-4f65-9D91-7224C49458BB}">
                  <c15:layout/>
                </c:ext>
              </c:extLst>
            </c:dLbl>
            <c:dLbl>
              <c:idx val="2"/>
              <c:layout>
                <c:manualLayout>
                  <c:x val="-4.3027714904694724E-2"/>
                  <c:y val="1.4201475711216041E-2"/>
                </c:manualLayout>
              </c:layout>
              <c:dLblPos val="bestFit"/>
              <c:showVal val="1"/>
              <c:showCatName val="1"/>
              <c:showPercent val="1"/>
              <c:extLst>
                <c:ext xmlns:c15="http://schemas.microsoft.com/office/drawing/2012/chart" uri="{CE6537A1-D6FC-4f65-9D91-7224C49458BB}">
                  <c15:layout/>
                </c:ext>
              </c:extLst>
            </c:dLbl>
            <c:numFmt formatCode="0.00%" sourceLinked="0"/>
            <c:spPr>
              <a:noFill/>
              <a:ln w="25400">
                <a:noFill/>
              </a:ln>
              <a:effectLst/>
            </c:spPr>
            <c:txPr>
              <a:bodyPr rot="0" spcFirstLastPara="0" vertOverflow="ellipsis" vert="horz" wrap="square" lIns="38100" tIns="19050" rIns="38100" bIns="19050"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Sheet1!$B$193:$D$193</c:f>
              <c:strCache>
                <c:ptCount val="3"/>
                <c:pt idx="0">
                  <c:v>因公出国（境）费</c:v>
                </c:pt>
                <c:pt idx="1">
                  <c:v>公务用车购置及运行维护费</c:v>
                </c:pt>
                <c:pt idx="2">
                  <c:v>公务接待费</c:v>
                </c:pt>
              </c:strCache>
            </c:strRef>
          </c:cat>
          <c:val>
            <c:numRef>
              <c:f>Sheet1!$B$194:$D$194</c:f>
              <c:numCache>
                <c:formatCode>General</c:formatCode>
                <c:ptCount val="3"/>
                <c:pt idx="0">
                  <c:v>0</c:v>
                </c:pt>
                <c:pt idx="1">
                  <c:v>11.18</c:v>
                </c:pt>
                <c:pt idx="2">
                  <c:v>0.43000000000000038</c:v>
                </c:pt>
              </c:numCache>
            </c:numRef>
          </c:val>
        </c:ser>
        <c:dLbls>
          <c:showVal val="1"/>
          <c:showCatName val="1"/>
          <c:showPercent val="1"/>
        </c:dLbls>
        <c:firstSliceAng val="0"/>
      </c:pieChart>
      <c:spPr>
        <a:noFill/>
        <a:ln w="25400">
          <a:noFill/>
        </a:ln>
      </c:spPr>
    </c:plotArea>
    <c:legend>
      <c:legendPos val="r"/>
      <c:layout>
        <c:manualLayout>
          <c:xMode val="edge"/>
          <c:yMode val="edge"/>
          <c:x val="0.66964356017998028"/>
          <c:y val="0.39236256926217833"/>
          <c:w val="0.31250023434570751"/>
          <c:h val="0.32638998250218865"/>
        </c:manualLayout>
      </c:layout>
      <c:spPr>
        <a:solidFill>
          <a:srgbClr val="FFFFFF"/>
        </a:solidFill>
        <a:ln w="3175">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rgbClr val="FFFFFF"/>
    </a:solidFill>
    <a:ln w="3175" cap="flat" cmpd="sng" algn="ctr">
      <a:solidFill>
        <a:srgbClr val="000000"/>
      </a:solid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F570-9011-4E3D-81D9-BB416AB1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49</Pages>
  <Words>4047</Words>
  <Characters>23069</Characters>
  <Application>Microsoft Office Word</Application>
  <DocSecurity>0</DocSecurity>
  <Lines>192</Lines>
  <Paragraphs>54</Paragraphs>
  <ScaleCrop>false</ScaleCrop>
  <Company>四川省财政厅</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郑传秀</cp:lastModifiedBy>
  <cp:revision>122</cp:revision>
  <cp:lastPrinted>2022-09-27T08:51:00Z</cp:lastPrinted>
  <dcterms:created xsi:type="dcterms:W3CDTF">2022-09-23T03:26:00Z</dcterms:created>
  <dcterms:modified xsi:type="dcterms:W3CDTF">2023-10-09T08:48:00Z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4E7D7BB643864D41AFE6DF6AD5EF7F79</vt:lpwstr>
  </property>
</Properties>
</file>