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7193"/>
      <w:bookmarkStart w:id="2" w:name="_Toc15378441"/>
      <w:bookmarkStart w:id="3" w:name="_Toc15377425"/>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96476"/>
      <w:bookmarkStart w:id="9" w:name="_Toc15378442"/>
      <w:bookmarkStart w:id="10" w:name="_Toc15377426"/>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宋体" w:eastAsia="方正小标宋简体"/>
          <w:color w:val="000000"/>
          <w:sz w:val="72"/>
          <w:szCs w:val="72"/>
        </w:rPr>
        <w:t>攀枝花市</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宋体" w:eastAsia="方正小标宋简体"/>
          <w:color w:val="000000"/>
          <w:sz w:val="72"/>
          <w:szCs w:val="72"/>
        </w:rPr>
        <w:t>西区图书馆</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公开时间：2022年9月29日</w:t>
      </w:r>
    </w:p>
    <w:p/>
    <w:p>
      <w:pPr>
        <w:pStyle w:val="11"/>
        <w:adjustRightInd w:val="0"/>
        <w:snapToGrid w:val="0"/>
        <w:spacing w:before="0" w:line="440" w:lineRule="exact"/>
        <w:jc w:val="left"/>
        <w:rPr>
          <w:rFonts w:cstheme="minorBidi"/>
          <w:sz w:val="24"/>
          <w:szCs w:val="24"/>
        </w:rPr>
      </w:pPr>
      <w:r>
        <w:rPr>
          <w:rFonts w:hint="eastAsia"/>
          <w:sz w:val="24"/>
        </w:rPr>
        <w:t>第一部分部门概况....................................................4</w:t>
      </w:r>
    </w:p>
    <w:p>
      <w:pPr>
        <w:pStyle w:val="12"/>
        <w:adjustRightInd w:val="0"/>
        <w:snapToGrid w:val="0"/>
        <w:spacing w:line="440" w:lineRule="exact"/>
        <w:jc w:val="left"/>
        <w:rPr>
          <w:rFonts w:ascii="仿宋" w:hAnsi="仿宋" w:eastAsia="仿宋"/>
          <w:sz w:val="24"/>
        </w:rPr>
      </w:pPr>
      <w:r>
        <w:rPr>
          <w:rFonts w:hint="eastAsia"/>
          <w:sz w:val="24"/>
        </w:rPr>
        <w:t>一、基本职能及主要工作..................................................................................4</w:t>
      </w:r>
    </w:p>
    <w:p>
      <w:pPr>
        <w:pStyle w:val="12"/>
        <w:adjustRightInd w:val="0"/>
        <w:snapToGrid w:val="0"/>
        <w:spacing w:line="440" w:lineRule="exact"/>
        <w:jc w:val="left"/>
        <w:rPr>
          <w:rFonts w:ascii="仿宋" w:hAnsi="仿宋" w:eastAsia="仿宋" w:cstheme="minorBidi"/>
          <w:sz w:val="24"/>
        </w:rPr>
      </w:pPr>
      <w:r>
        <w:rPr>
          <w:rFonts w:hint="eastAsia"/>
          <w:sz w:val="24"/>
        </w:rPr>
        <w:t>二、机构设置......................................................................................................6</w:t>
      </w:r>
    </w:p>
    <w:p>
      <w:pPr>
        <w:pStyle w:val="11"/>
        <w:adjustRightInd w:val="0"/>
        <w:snapToGrid w:val="0"/>
        <w:spacing w:before="0" w:line="440" w:lineRule="exact"/>
        <w:jc w:val="left"/>
        <w:rPr>
          <w:sz w:val="24"/>
          <w:szCs w:val="24"/>
        </w:rPr>
      </w:pPr>
      <w:r>
        <w:rPr>
          <w:rFonts w:hint="eastAsia"/>
          <w:sz w:val="24"/>
        </w:rPr>
        <w:t>第二部分 2021年度部门决算情况说明..................................7</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一、收入支出决算总体情况说明......................................................................7</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二、收入决算情况说明......................................................................................8</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三、支出决算情况说明......................................................................................8</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四、财政拨款收入支出决算总体情况说明......................................................8</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五、一般公共预算财政拨款支出决算情况说明..............................................9</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六、一般公共预算财政拨款基本支出决算情况说明......................................11</w:t>
      </w:r>
    </w:p>
    <w:p>
      <w:pPr>
        <w:pStyle w:val="12"/>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七、“三公”经费财政拨款支出决算情况说明..............................................12</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八、政府性基金预算支出决算情况说明..........................................................13</w:t>
      </w:r>
    </w:p>
    <w:p>
      <w:pPr>
        <w:pStyle w:val="12"/>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九、国有资本经营预算支出决算情况说明............................13</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6"/>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其他重要事项的情况说明......................................13</w:t>
      </w:r>
    </w:p>
    <w:p>
      <w:pPr>
        <w:pStyle w:val="11"/>
        <w:adjustRightInd w:val="0"/>
        <w:snapToGrid w:val="0"/>
        <w:spacing w:before="0" w:line="440" w:lineRule="exact"/>
        <w:jc w:val="left"/>
        <w:rPr>
          <w:rFonts w:cstheme="minorBidi"/>
          <w:sz w:val="24"/>
          <w:szCs w:val="24"/>
        </w:rPr>
      </w:pPr>
      <w:r>
        <w:rPr>
          <w:rFonts w:hint="eastAsia"/>
          <w:sz w:val="24"/>
        </w:rPr>
        <w:t>第三部分名词解释...................................................15</w:t>
      </w:r>
    </w:p>
    <w:p>
      <w:pPr>
        <w:pStyle w:val="11"/>
        <w:adjustRightInd w:val="0"/>
        <w:snapToGrid w:val="0"/>
        <w:spacing w:before="0" w:line="440" w:lineRule="exact"/>
        <w:jc w:val="left"/>
        <w:rPr>
          <w:rFonts w:cstheme="minorBidi"/>
          <w:sz w:val="24"/>
          <w:szCs w:val="24"/>
        </w:rPr>
      </w:pPr>
      <w:r>
        <w:rPr>
          <w:rFonts w:hint="eastAsia"/>
          <w:sz w:val="24"/>
        </w:rPr>
        <w:t>第四部分附件.......................................................18</w:t>
      </w:r>
    </w:p>
    <w:p>
      <w:pPr>
        <w:pStyle w:val="11"/>
        <w:adjustRightInd w:val="0"/>
        <w:snapToGrid w:val="0"/>
        <w:spacing w:before="0" w:line="440" w:lineRule="exact"/>
        <w:jc w:val="left"/>
        <w:rPr>
          <w:rFonts w:cstheme="minorBidi"/>
          <w:sz w:val="24"/>
          <w:szCs w:val="24"/>
        </w:rPr>
      </w:pPr>
      <w:r>
        <w:rPr>
          <w:rFonts w:hint="eastAsia"/>
          <w:sz w:val="24"/>
        </w:rPr>
        <w:t>第五部分附表.......................................................28</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收入支出决算总表......................................................................................28</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二、收入决算表..................................................28</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三、支出决算表..................................................28</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四、财政拨款收入支出决算总表....................................28</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五、财政拨款支出决算明细表......................................28</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六、一般公共预算财政拨款支出决算表..............................28</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七、一般公共预算财政拨款支出决算明细表..........................28</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八、一般公共预算财政拨款基本支出决算表..........................28</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九、一般公共预算财政拨款项目支出决算表..........................28</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十、一般公共预算财政拨款“三公”经费支出决算表..................28</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十一、政府性基金预算财政拨款收入支出决算表......................28</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十二、政府性基金预算财政拨款“三公”经费支出决算表..............28</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十三、国有资本经营预算财政拨款收入支出决算表....................28</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十四、国有资本经营预算财政拨款支出决算表........................28</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Fonts w:ascii="黑体" w:hAnsi="黑体" w:eastAsia="黑体"/>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pageBreakBefore w:val="0"/>
        <w:widowControl w:val="0"/>
        <w:kinsoku/>
        <w:wordWrap/>
        <w:overflowPunct/>
        <w:topLinePunct w:val="0"/>
        <w:bidi w:val="0"/>
        <w:spacing w:line="353" w:lineRule="auto"/>
        <w:ind w:firstLine="640" w:firstLineChars="200"/>
        <w:textAlignment w:val="auto"/>
        <w:rPr>
          <w:rFonts w:hint="default" w:ascii="Times New Roman" w:hAnsi="Times New Roman" w:eastAsia="黑体" w:cs="Times New Roman"/>
          <w:color w:val="000000"/>
          <w:sz w:val="32"/>
          <w:szCs w:val="32"/>
        </w:rPr>
      </w:pPr>
      <w:bookmarkStart w:id="14" w:name="_Toc15396600"/>
      <w:bookmarkStart w:id="15" w:name="_Toc15377197"/>
      <w:r>
        <w:rPr>
          <w:rFonts w:hint="default" w:ascii="Times New Roman" w:hAnsi="Times New Roman" w:eastAsia="黑体" w:cs="Times New Roman"/>
          <w:color w:val="000000"/>
          <w:sz w:val="32"/>
          <w:szCs w:val="32"/>
        </w:rPr>
        <w:t>一、基本职能及主要工作</w:t>
      </w:r>
      <w:bookmarkEnd w:id="14"/>
      <w:bookmarkEnd w:id="15"/>
    </w:p>
    <w:p>
      <w:pPr>
        <w:pageBreakBefore w:val="0"/>
        <w:widowControl w:val="0"/>
        <w:kinsoku/>
        <w:wordWrap/>
        <w:overflowPunct/>
        <w:topLinePunct w:val="0"/>
        <w:bidi w:val="0"/>
        <w:spacing w:line="353" w:lineRule="auto"/>
        <w:ind w:firstLine="640" w:firstLineChars="200"/>
        <w:textAlignment w:val="auto"/>
        <w:rPr>
          <w:rFonts w:hint="default" w:ascii="Times New Roman" w:hAnsi="Times New Roman" w:eastAsia="楷体_GB2312" w:cs="Times New Roman"/>
          <w:color w:val="000000"/>
          <w:sz w:val="32"/>
          <w:szCs w:val="32"/>
        </w:rPr>
      </w:pPr>
      <w:bookmarkStart w:id="16" w:name="_Toc15378445"/>
      <w:bookmarkStart w:id="17" w:name="_Toc15377198"/>
      <w:r>
        <w:rPr>
          <w:rFonts w:hint="default" w:ascii="Times New Roman" w:hAnsi="Times New Roman" w:eastAsia="楷体_GB2312" w:cs="Times New Roman"/>
          <w:color w:val="000000"/>
          <w:sz w:val="32"/>
          <w:szCs w:val="32"/>
        </w:rPr>
        <w:t>（一）主要职能。</w:t>
      </w:r>
    </w:p>
    <w:bookmarkEnd w:id="16"/>
    <w:bookmarkEnd w:id="17"/>
    <w:p>
      <w:pPr>
        <w:pageBreakBefore w:val="0"/>
        <w:widowControl w:val="0"/>
        <w:kinsoku/>
        <w:wordWrap/>
        <w:overflowPunct/>
        <w:topLinePunct w:val="0"/>
        <w:bidi w:val="0"/>
        <w:spacing w:line="353" w:lineRule="auto"/>
        <w:ind w:firstLine="640" w:firstLineChars="200"/>
        <w:textAlignment w:val="auto"/>
        <w:rPr>
          <w:rFonts w:hint="default" w:ascii="Times New Roman" w:hAnsi="Times New Roman" w:eastAsia="仿宋_GB2312" w:cs="Times New Roman"/>
          <w:color w:val="000000"/>
          <w:sz w:val="32"/>
          <w:szCs w:val="32"/>
        </w:rPr>
      </w:pPr>
      <w:bookmarkStart w:id="18" w:name="_Toc15378446"/>
      <w:bookmarkStart w:id="19" w:name="_Toc15377199"/>
      <w:r>
        <w:rPr>
          <w:rFonts w:hint="default" w:ascii="Times New Roman" w:hAnsi="Times New Roman" w:eastAsia="仿宋_GB2312" w:cs="Times New Roman"/>
          <w:color w:val="000000"/>
          <w:sz w:val="32"/>
          <w:szCs w:val="32"/>
        </w:rPr>
        <w:t>保存借阅图书资料，积极推进免费开放工作；采编与储藏图书资料借阅；图书资料网络系统；文献数字化处理；图书馆学研究、收集；举办各类展览、知识培训与社会教育。并指导全区文化信息资源共享工程的建设工作。依托图书馆计算机网络环境，建立电子阅览室，为群众、尤其是青少年朋友提供文化信息服务和绿色上网空间。</w:t>
      </w:r>
    </w:p>
    <w:p>
      <w:pPr>
        <w:pageBreakBefore w:val="0"/>
        <w:widowControl w:val="0"/>
        <w:kinsoku/>
        <w:wordWrap/>
        <w:overflowPunct/>
        <w:topLinePunct w:val="0"/>
        <w:bidi w:val="0"/>
        <w:spacing w:line="353" w:lineRule="auto"/>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（二）2021年重点工作完成情况。</w:t>
      </w:r>
      <w:bookmarkEnd w:id="18"/>
      <w:bookmarkEnd w:id="19"/>
    </w:p>
    <w:p>
      <w:pPr>
        <w:pageBreakBefore w:val="0"/>
        <w:widowControl w:val="0"/>
        <w:kinsoku/>
        <w:wordWrap/>
        <w:overflowPunct/>
        <w:topLinePunct w:val="0"/>
        <w:bidi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1、加强传统阅读推广。图书馆本馆图书借阅量为图书借阅量为18582册次，接待读者为22523人次，同时为了不</w:t>
      </w:r>
      <w:r>
        <w:rPr>
          <w:rFonts w:hint="default" w:ascii="Times New Roman" w:hAnsi="Times New Roman" w:eastAsia="仿宋_GB2312" w:cs="Times New Roman"/>
          <w:sz w:val="32"/>
          <w:szCs w:val="32"/>
        </w:rPr>
        <w:t>断扩充馆藏量，购入新书1000余册。为增加借阅卡办卡量，我馆积极探索，以在校师生、医务工作者、在职企事业机关员工、现役退役军人为试点推出免费借书卡办理的政策。经过风险评估，我馆取消收取办卡押金，并大力宣传改政策，目前为止办卡量接近1万张。</w:t>
      </w:r>
    </w:p>
    <w:p>
      <w:pPr>
        <w:pageBreakBefore w:val="0"/>
        <w:widowControl w:val="0"/>
        <w:kinsoku/>
        <w:wordWrap/>
        <w:overflowPunct/>
        <w:topLinePunct w:val="0"/>
        <w:bidi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注重媒体阅读推广。积极打造微信公众号，现已推送145期微信内容，包含好书推荐、好书安利、线上阅读、线上互动活动的形式内容，吸引读者9000余人次。同时完善微信公众号可提供的相关功能，上线自助续借、书籍管理、藏书查询、电子图书阅览等相关板块，提供更多的便捷服务和更全面的书籍选择。让读者足不出户就能享受公共文化服务给生活带来的便利。</w:t>
      </w:r>
    </w:p>
    <w:p>
      <w:pPr>
        <w:pageBreakBefore w:val="0"/>
        <w:widowControl w:val="0"/>
        <w:kinsoku/>
        <w:wordWrap/>
        <w:overflowPunct/>
        <w:topLinePunct w:val="0"/>
        <w:autoSpaceDE w:val="0"/>
        <w:autoSpaceDN w:val="0"/>
        <w:bidi w:val="0"/>
        <w:adjustRightIn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开展各类读者活动。一是推出线上互动活动，在节假日推出相关阅读和读者互动活动，如《21天线上打卡活动》《晒年味儿有奖征集活动》《猜灯谜、闹元宵》等；在特定节日上线“党史百年学习专辑”，“建党百年·峥嵘岁月”14天打卡活动，“4.23世界读书日·共读一本书”等活动；根据西区特色推出三线文化周等系列活动。二是认真开展线下活动，2021年开展苏铁讲堂8期，共有400余人参与；开展各主题阅读活动和流动服务12次，暑期开展“小小图书管理员”研学活动；开展对外培训6次，包含基层专干等，培训人次100余人；组织开展“建党一百周年画展”。</w:t>
      </w:r>
    </w:p>
    <w:p>
      <w:pPr>
        <w:pageBreakBefore w:val="0"/>
        <w:widowControl w:val="0"/>
        <w:kinsoku/>
        <w:wordWrap/>
        <w:overflowPunct/>
        <w:topLinePunct w:val="0"/>
        <w:bidi w:val="0"/>
        <w:spacing w:line="353" w:lineRule="auto"/>
        <w:ind w:firstLine="640" w:firstLineChars="200"/>
        <w:textAlignment w:val="auto"/>
        <w:rPr>
          <w:rFonts w:hint="default" w:ascii="Times New Roman" w:hAnsi="Times New Roman" w:eastAsia="仿宋_GB2312" w:cs="Times New Roman"/>
          <w:color w:val="000000"/>
          <w:kern w:val="0"/>
          <w:sz w:val="33"/>
          <w:szCs w:val="33"/>
        </w:rPr>
      </w:pPr>
      <w:r>
        <w:rPr>
          <w:rFonts w:hint="default" w:ascii="Times New Roman" w:hAnsi="Times New Roman" w:eastAsia="仿宋_GB2312" w:cs="Times New Roman"/>
          <w:sz w:val="32"/>
          <w:szCs w:val="32"/>
        </w:rPr>
        <w:t>4、主抓地企共建。截止2021年我馆共建成一个分馆和九家馆外阅读点。</w:t>
      </w:r>
      <w:r>
        <w:rPr>
          <w:rFonts w:hint="default" w:ascii="Times New Roman" w:hAnsi="Times New Roman" w:eastAsia="仿宋_GB2312" w:cs="Times New Roman"/>
          <w:color w:val="000000"/>
          <w:kern w:val="0"/>
          <w:sz w:val="33"/>
          <w:szCs w:val="33"/>
        </w:rPr>
        <w:t>积极探索“党建引领、地企共建”的文化事业发展新模式，积极联合辖区企业合作共赢，推动公共文化服务全域联动、全社会参与。我馆</w:t>
      </w:r>
      <w:r>
        <w:rPr>
          <w:rFonts w:hint="default" w:ascii="Times New Roman" w:hAnsi="Times New Roman" w:eastAsia="仿宋_GB2312" w:cs="Times New Roman"/>
          <w:kern w:val="0"/>
          <w:sz w:val="33"/>
          <w:szCs w:val="33"/>
        </w:rPr>
        <w:t>联合西区横店影院、希悦酒店、含章书院等大小企业商家，建立了多个馆外阅读点，将图书资源配送到群众日常休闲学习娱乐的身边场所，</w:t>
      </w:r>
      <w:r>
        <w:rPr>
          <w:rFonts w:hint="default" w:ascii="Times New Roman" w:hAnsi="Times New Roman" w:eastAsia="仿宋_GB2312" w:cs="Times New Roman"/>
          <w:color w:val="000000"/>
          <w:kern w:val="0"/>
          <w:sz w:val="33"/>
          <w:szCs w:val="33"/>
        </w:rPr>
        <w:t>共建文化阵地，共创文化品牌，共享文化成果。</w:t>
      </w:r>
    </w:p>
    <w:p>
      <w:pPr>
        <w:pageBreakBefore w:val="0"/>
        <w:widowControl w:val="0"/>
        <w:kinsoku/>
        <w:wordWrap/>
        <w:overflowPunct/>
        <w:topLinePunct w:val="0"/>
        <w:autoSpaceDE w:val="0"/>
        <w:autoSpaceDN w:val="0"/>
        <w:bidi w:val="0"/>
        <w:adjustRightIn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关爱适龄儿童。积极与辖区内的幼儿园联手建立馆外阅读点，开展各类幼儿活动。以提升阅读兴趣为抓手，建立和谐的低幼亲子阅读氛围，加强对特殊群体的阅读推广工作，培养孩子们的良好阅读习惯，推动全民阅读工作开展。</w:t>
      </w:r>
    </w:p>
    <w:p>
      <w:pPr>
        <w:pageBreakBefore w:val="0"/>
        <w:widowControl w:val="0"/>
        <w:kinsoku/>
        <w:wordWrap/>
        <w:overflowPunct/>
        <w:topLinePunct w:val="0"/>
        <w:autoSpaceDE w:val="0"/>
        <w:autoSpaceDN w:val="0"/>
        <w:bidi w:val="0"/>
        <w:adjustRightIn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推出定制服务。开展你选书我买单活动，面向辖区居民推出定制购书服务；开展订单式菜单式服务，根据群众需求推出高考志愿填报讲座，寒暑假推出图书管理员社会实践活动等；安装“数字文化驿站”10台，主动将更加便捷的文化资源配置到基层去，充分利用碎片化时间丰富群众精神文化生活。</w:t>
      </w:r>
    </w:p>
    <w:p>
      <w:pPr>
        <w:pStyle w:val="6"/>
        <w:pageBreakBefore w:val="0"/>
        <w:widowControl w:val="0"/>
        <w:kinsoku/>
        <w:wordWrap/>
        <w:overflowPunct/>
        <w:topLinePunct w:val="0"/>
        <w:bidi w:val="0"/>
        <w:adjustRightInd w:val="0"/>
        <w:snapToGrid w:val="0"/>
        <w:spacing w:before="93" w:line="353"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cs="Times New Roman"/>
          <w:sz w:val="32"/>
          <w:szCs w:val="32"/>
        </w:rPr>
        <w:t>我馆将持续关注公益事业，继续依托丰富的馆藏优点，以及各馆外阅读点优越的地理位置，不断更新服务形式和内容，更好地完善图书馆的社会文化功能，拓展阅读推广和文化服务活动范围，主动将阅读送到群众手中，拉近图书馆与群众的距离，让更多</w:t>
      </w:r>
      <w:r>
        <w:rPr>
          <w:rFonts w:hint="default" w:ascii="Times New Roman" w:hAnsi="Times New Roman" w:eastAsia="仿宋" w:cs="Times New Roman"/>
          <w:sz w:val="32"/>
          <w:szCs w:val="32"/>
        </w:rPr>
        <w:t>群众享受到基本公共文化服务权益。</w:t>
      </w:r>
    </w:p>
    <w:p>
      <w:pPr>
        <w:pStyle w:val="6"/>
        <w:pageBreakBefore w:val="0"/>
        <w:widowControl w:val="0"/>
        <w:kinsoku/>
        <w:wordWrap/>
        <w:overflowPunct/>
        <w:topLinePunct w:val="0"/>
        <w:bidi w:val="0"/>
        <w:adjustRightInd w:val="0"/>
        <w:snapToGrid w:val="0"/>
        <w:spacing w:before="93" w:line="353" w:lineRule="auto"/>
        <w:ind w:firstLine="640" w:firstLineChars="200"/>
        <w:textAlignment w:val="auto"/>
        <w:rPr>
          <w:rFonts w:hint="eastAsia" w:ascii="黑体" w:hAnsi="黑体" w:eastAsia="黑体" w:cs="黑体"/>
          <w:sz w:val="32"/>
          <w:szCs w:val="32"/>
        </w:rPr>
      </w:pPr>
      <w:bookmarkStart w:id="20" w:name="_Toc15377200"/>
      <w:bookmarkStart w:id="21" w:name="_Toc15396601"/>
      <w:r>
        <w:rPr>
          <w:rFonts w:hint="eastAsia" w:ascii="黑体" w:hAnsi="黑体" w:eastAsia="黑体" w:cs="黑体"/>
          <w:sz w:val="32"/>
          <w:szCs w:val="32"/>
        </w:rPr>
        <w:t>二、机构设置</w:t>
      </w:r>
      <w:bookmarkEnd w:id="20"/>
      <w:bookmarkEnd w:id="21"/>
    </w:p>
    <w:p>
      <w:pPr>
        <w:pStyle w:val="6"/>
        <w:pageBreakBefore w:val="0"/>
        <w:widowControl w:val="0"/>
        <w:kinsoku/>
        <w:wordWrap/>
        <w:overflowPunct/>
        <w:topLinePunct w:val="0"/>
        <w:bidi w:val="0"/>
        <w:adjustRightInd w:val="0"/>
        <w:snapToGrid w:val="0"/>
        <w:spacing w:before="93" w:line="353"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西区图书馆下属二级单位0个，其中行政单位0个，参照公务员法管理的事业单位0个，其他事业单位0个。</w:t>
      </w:r>
    </w:p>
    <w:p>
      <w:pPr>
        <w:pStyle w:val="6"/>
        <w:pageBreakBefore w:val="0"/>
        <w:widowControl w:val="0"/>
        <w:kinsoku/>
        <w:wordWrap/>
        <w:overflowPunct/>
        <w:topLinePunct w:val="0"/>
        <w:bidi w:val="0"/>
        <w:adjustRightInd w:val="0"/>
        <w:snapToGrid w:val="0"/>
        <w:spacing w:before="93" w:line="353"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纳入西区图书馆2021年度部门决算编制范围的二级预算单位包括：</w:t>
      </w:r>
    </w:p>
    <w:p>
      <w:pPr>
        <w:pStyle w:val="6"/>
        <w:adjustRightInd w:val="0"/>
        <w:snapToGrid w:val="0"/>
        <w:spacing w:before="93" w:line="600" w:lineRule="exact"/>
        <w:ind w:left="672"/>
        <w:outlineLvl w:val="2"/>
        <w:rPr>
          <w:rFonts w:ascii="仿宋" w:hAnsi="仿宋" w:eastAsia="仿宋"/>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22" w:name="_Toc15377204"/>
      <w:bookmarkStart w:id="23" w:name="_Toc15396602"/>
      <w:r>
        <w:rPr>
          <w:rFonts w:hint="eastAsia" w:ascii="黑体" w:hAnsi="黑体" w:eastAsia="黑体"/>
          <w:b w:val="0"/>
        </w:rPr>
        <w:t>第二部分 2021年度</w:t>
      </w:r>
      <w:r>
        <w:rPr>
          <w:rStyle w:val="27"/>
          <w:rFonts w:hint="eastAsia" w:ascii="黑体" w:hAnsi="黑体" w:eastAsia="黑体"/>
          <w:b w:val="0"/>
          <w:bCs/>
        </w:rPr>
        <w:t>部门决算情况说明</w:t>
      </w:r>
      <w:bookmarkEnd w:id="22"/>
      <w:bookmarkEnd w:id="23"/>
    </w:p>
    <w:p/>
    <w:p>
      <w:pPr>
        <w:pStyle w:val="26"/>
        <w:numPr>
          <w:ilvl w:val="0"/>
          <w:numId w:val="1"/>
        </w:numPr>
        <w:spacing w:line="600" w:lineRule="exact"/>
        <w:ind w:firstLineChars="0"/>
        <w:outlineLvl w:val="1"/>
        <w:rPr>
          <w:rStyle w:val="28"/>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2021年度收、支总计102.23万元。与2020年相比，收、支总计各减少5.77万元，下降5.34</w:t>
      </w:r>
      <w:r>
        <w:rPr>
          <w:rFonts w:ascii="仿宋" w:hAnsi="仿宋" w:eastAsia="仿宋"/>
          <w:sz w:val="32"/>
          <w:szCs w:val="32"/>
        </w:rPr>
        <w:t>%</w:t>
      </w:r>
      <w:r>
        <w:rPr>
          <w:rFonts w:hint="eastAsia" w:ascii="仿宋" w:hAnsi="仿宋" w:eastAsia="仿宋"/>
          <w:sz w:val="32"/>
          <w:szCs w:val="32"/>
        </w:rPr>
        <w:t>。主要变动原因是项目经费减少。</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"C:\\Users\\w\\AppData\\Roaming\\Tencent\\Users\\248301485\\QQ\\WinTemp\\RichOle\\U~OH5_8Q0~6FXUX@1D(@C]3.png"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495800" cy="26955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4495800" cy="269557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jc w:val="left"/>
        <w:rPr>
          <w:rFonts w:ascii="仿宋_GB2312" w:eastAsia="仿宋_GB2312"/>
          <w:sz w:val="32"/>
          <w:szCs w:val="32"/>
        </w:rPr>
      </w:pPr>
    </w:p>
    <w:p>
      <w:pPr>
        <w:pStyle w:val="26"/>
        <w:numPr>
          <w:ilvl w:val="0"/>
          <w:numId w:val="1"/>
        </w:numPr>
        <w:spacing w:line="600" w:lineRule="exact"/>
        <w:ind w:firstLineChars="0"/>
        <w:outlineLvl w:val="1"/>
        <w:rPr>
          <w:rStyle w:val="28"/>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2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21年本年收入合计102.23万元，其中：一般公共预算财政拨款收入99.6万元，占97.43</w:t>
      </w:r>
      <w:r>
        <w:rPr>
          <w:rFonts w:ascii="仿宋" w:hAnsi="仿宋" w:eastAsia="仿宋"/>
          <w:sz w:val="32"/>
          <w:szCs w:val="32"/>
        </w:rPr>
        <w:t>%</w:t>
      </w:r>
      <w:r>
        <w:rPr>
          <w:rFonts w:hint="eastAsia" w:ascii="仿宋" w:hAnsi="仿宋" w:eastAsia="仿宋"/>
          <w:sz w:val="32"/>
          <w:szCs w:val="32"/>
        </w:rPr>
        <w:t>；政府性基金预算财政拨款收入2.63万元，占2.57</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"C:\\Users\\w\\AppData\\Roaming\\Tencent\\Users\\248301485\\QQ\\WinTemp\\RichOle\\[%K6AM6N3($67~E4}Y55DOP.png"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238625" cy="2724150"/>
            <wp:effectExtent l="0" t="0" r="952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4238625" cy="272415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_GB2312" w:eastAsia="仿宋_GB2312"/>
          <w:sz w:val="32"/>
          <w:szCs w:val="32"/>
        </w:rPr>
      </w:pPr>
    </w:p>
    <w:p>
      <w:pPr>
        <w:pStyle w:val="26"/>
        <w:numPr>
          <w:ilvl w:val="0"/>
          <w:numId w:val="1"/>
        </w:numPr>
        <w:spacing w:line="600" w:lineRule="exact"/>
        <w:ind w:firstLineChars="0"/>
        <w:outlineLvl w:val="1"/>
        <w:rPr>
          <w:rStyle w:val="28"/>
          <w:rFonts w:ascii="黑体" w:hAnsi="黑体" w:eastAsia="黑体"/>
          <w:b w:val="0"/>
        </w:rPr>
      </w:pPr>
      <w:bookmarkStart w:id="28" w:name="_Toc15396605"/>
      <w:bookmarkStart w:id="29" w:name="_Toc15377207"/>
      <w:r>
        <w:rPr>
          <w:rFonts w:hint="eastAsia" w:ascii="黑体" w:hAnsi="黑体" w:eastAsia="黑体"/>
          <w:sz w:val="32"/>
          <w:szCs w:val="32"/>
        </w:rPr>
        <w:t>支</w:t>
      </w:r>
      <w:r>
        <w:rPr>
          <w:rStyle w:val="28"/>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21年本年支出合计102.23万元，其中：基本支出80万元，占78.25</w:t>
      </w:r>
      <w:r>
        <w:rPr>
          <w:rFonts w:ascii="仿宋" w:hAnsi="仿宋" w:eastAsia="仿宋"/>
          <w:sz w:val="32"/>
          <w:szCs w:val="32"/>
        </w:rPr>
        <w:t>%</w:t>
      </w:r>
      <w:r>
        <w:rPr>
          <w:rFonts w:hint="eastAsia" w:ascii="仿宋" w:hAnsi="仿宋" w:eastAsia="仿宋"/>
          <w:sz w:val="32"/>
          <w:szCs w:val="32"/>
        </w:rPr>
        <w:t>；项目支出22.23万元，占21.75</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widowControl/>
        <w:jc w:val="left"/>
        <w:rPr>
          <w:rFonts w:ascii="仿宋_GB2312" w:eastAsia="仿宋_GB2312"/>
          <w:sz w:val="32"/>
          <w:szCs w:val="32"/>
        </w:rPr>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"C:\\Users\\w\\AppData\\Roaming\\Tencent\\Users\\248301485\\QQ\\WinTemp\\RichOle\\AU[_KZA`IYL(%_]C%N6%`1K.png"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733800" cy="272415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3733800" cy="272415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outlineLvl w:val="1"/>
        <w:rPr>
          <w:rStyle w:val="28"/>
          <w:rFonts w:ascii="黑体" w:hAnsi="黑体" w:eastAsia="黑体"/>
          <w:b w:val="0"/>
        </w:rPr>
      </w:pPr>
      <w:bookmarkStart w:id="30" w:name="_Toc15377208"/>
      <w:bookmarkStart w:id="31"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21年财政拨款收、支总计102.23万元。与</w:t>
      </w:r>
      <w:r>
        <w:rPr>
          <w:rFonts w:ascii="仿宋" w:hAnsi="仿宋" w:eastAsia="仿宋"/>
          <w:sz w:val="32"/>
          <w:szCs w:val="32"/>
        </w:rPr>
        <w:t>20</w:t>
      </w:r>
      <w:r>
        <w:rPr>
          <w:rFonts w:hint="eastAsia" w:ascii="仿宋" w:hAnsi="仿宋" w:eastAsia="仿宋"/>
          <w:sz w:val="32"/>
          <w:szCs w:val="32"/>
        </w:rPr>
        <w:t>20年相比，财政拨款收、支总计各减少5.76万元，下降5.33</w:t>
      </w:r>
      <w:r>
        <w:rPr>
          <w:rFonts w:ascii="仿宋" w:hAnsi="仿宋" w:eastAsia="仿宋"/>
          <w:sz w:val="32"/>
          <w:szCs w:val="32"/>
        </w:rPr>
        <w:t>%</w:t>
      </w:r>
      <w:r>
        <w:rPr>
          <w:rFonts w:hint="eastAsia" w:ascii="仿宋" w:hAnsi="仿宋" w:eastAsia="仿宋"/>
          <w:sz w:val="32"/>
          <w:szCs w:val="32"/>
        </w:rPr>
        <w:t>。主要变动原因是项目经费减少。</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"C:\\Users\\w\\AppData\\Roaming\\Tencent\\Users\\248301485\\QQ\\WinTemp\\RichOle\\)R]~M~_M`11@SRIK4M9CO(V.png"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162425" cy="2724150"/>
            <wp:effectExtent l="0" t="0" r="9525"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9"/>
                    <a:stretch>
                      <a:fillRect/>
                    </a:stretch>
                  </pic:blipFill>
                  <pic:spPr>
                    <a:xfrm>
                      <a:off x="0" y="0"/>
                      <a:ext cx="4162425" cy="272415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rPr>
          <w:rFonts w:ascii="仿宋" w:hAnsi="仿宋" w:eastAsia="仿宋"/>
          <w:b/>
          <w:sz w:val="32"/>
          <w:szCs w:val="32"/>
        </w:rPr>
      </w:pPr>
    </w:p>
    <w:p>
      <w:pPr>
        <w:spacing w:line="600" w:lineRule="exact"/>
        <w:ind w:firstLine="640" w:firstLineChars="200"/>
        <w:outlineLvl w:val="1"/>
        <w:rPr>
          <w:rStyle w:val="28"/>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21年一般公共预算财政拨款支出99.6万元，占本年支出合计的97.43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20年相比，一般公共预算财政拨款支出减少8.39万元，下降7.77</w:t>
      </w:r>
      <w:r>
        <w:rPr>
          <w:rFonts w:ascii="仿宋" w:hAnsi="仿宋" w:eastAsia="仿宋"/>
          <w:sz w:val="32"/>
          <w:szCs w:val="32"/>
        </w:rPr>
        <w:t>%</w:t>
      </w:r>
      <w:r>
        <w:rPr>
          <w:rFonts w:hint="eastAsia" w:ascii="仿宋" w:hAnsi="仿宋" w:eastAsia="仿宋"/>
          <w:sz w:val="32"/>
          <w:szCs w:val="32"/>
        </w:rPr>
        <w:t>。主要变动原因是项目经费减少。</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"C:\\Users\\w\\AppData\\Roaming\\Tencent\\Users\\248301485\\QQ\\WinTemp\\RichOle\\`FC4DU3OUJZDW2G7@S6C{GG.png"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601720" cy="2461260"/>
            <wp:effectExtent l="0" t="0" r="17780" b="1524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0"/>
                    <a:stretch>
                      <a:fillRect/>
                    </a:stretch>
                  </pic:blipFill>
                  <pic:spPr>
                    <a:xfrm>
                      <a:off x="0" y="0"/>
                      <a:ext cx="3601720" cy="246126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21年一般公共预算财政拨款支出99.6万元，主要用于以下方面</w:t>
      </w:r>
      <w:r>
        <w:rPr>
          <w:rFonts w:ascii="仿宋" w:hAnsi="仿宋" w:eastAsia="仿宋"/>
          <w:sz w:val="32"/>
          <w:szCs w:val="32"/>
        </w:rPr>
        <w:t>:</w:t>
      </w:r>
      <w:r>
        <w:rPr>
          <w:rFonts w:hint="eastAsia" w:ascii="仿宋" w:hAnsi="仿宋" w:eastAsia="仿宋"/>
          <w:b/>
          <w:bCs/>
          <w:sz w:val="32"/>
          <w:szCs w:val="32"/>
        </w:rPr>
        <w:t>文化旅游体育与传媒（类）支出77.57万元，占77.88</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支出11.29万元，占11.34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4.26万元，占4.28</w:t>
      </w:r>
      <w:r>
        <w:rPr>
          <w:rFonts w:ascii="仿宋" w:hAnsi="仿宋" w:eastAsia="仿宋"/>
          <w:sz w:val="32"/>
          <w:szCs w:val="32"/>
        </w:rPr>
        <w:t>%</w:t>
      </w:r>
      <w:r>
        <w:rPr>
          <w:rFonts w:hint="eastAsia" w:ascii="仿宋" w:hAnsi="仿宋" w:eastAsia="仿宋"/>
          <w:sz w:val="32"/>
          <w:szCs w:val="32"/>
        </w:rPr>
        <w:t>；住房保障支出6.48万元，占6.5</w:t>
      </w:r>
      <w:r>
        <w:rPr>
          <w:rFonts w:ascii="仿宋" w:hAnsi="仿宋" w:eastAsia="仿宋"/>
          <w:sz w:val="32"/>
          <w:szCs w:val="32"/>
        </w:rPr>
        <w:t>%</w:t>
      </w:r>
      <w:r>
        <w:rPr>
          <w:rFonts w:hint="eastAsia" w:ascii="仿宋" w:hAnsi="仿宋" w:eastAsia="仿宋"/>
          <w:sz w:val="32"/>
          <w:szCs w:val="32"/>
        </w:rPr>
        <w:t>。</w:t>
      </w:r>
    </w:p>
    <w:p>
      <w:pPr>
        <w:widowControl/>
        <w:jc w:val="left"/>
        <w:rPr>
          <w:rFonts w:ascii="仿宋" w:hAnsi="仿宋" w:eastAsia="仿宋"/>
          <w:sz w:val="32"/>
          <w:szCs w:val="32"/>
        </w:rPr>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"C:\\Users\\w\\AppData\\Roaming\\Tencent\\Users\\248301485\\QQ\\WinTemp\\RichOle\\6VUFLP12P6IKM0OJQVTU4JV.png"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590925" cy="2705100"/>
            <wp:effectExtent l="0" t="0" r="9525"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3590925" cy="270510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7444"/>
      <w:bookmarkStart w:id="38" w:name="_Toc15378460"/>
      <w:bookmarkStart w:id="39" w:name="_Toc15377213"/>
      <w:r>
        <w:rPr>
          <w:rFonts w:hint="eastAsia" w:ascii="仿宋" w:hAnsi="仿宋" w:eastAsia="仿宋"/>
          <w:b/>
          <w:sz w:val="32"/>
          <w:szCs w:val="32"/>
        </w:rPr>
        <w:t>2021年一般公共预算支出决算数为99.6万元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文化旅游体育与传媒支出（类）文化和旅游（款）图书馆（项）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支出决算为57.96万元，完成预算100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文化旅游体育与传媒支出（类）文化和旅游（款）其他文化和旅游支出（项）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支出决算为3.2万元，完成预算100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Cs/>
          <w:color w:val="000000"/>
          <w:sz w:val="32"/>
          <w:szCs w:val="32"/>
        </w:rPr>
      </w:pPr>
      <w:r>
        <w:rPr>
          <w:rStyle w:val="15"/>
          <w:rFonts w:hint="eastAsia" w:ascii="仿宋" w:hAnsi="仿宋" w:eastAsia="仿宋"/>
          <w:bCs/>
          <w:color w:val="000000"/>
          <w:sz w:val="32"/>
          <w:szCs w:val="32"/>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文化旅游体育与传媒支出（类）其他文化旅游体育与传媒支出（款）其他文化旅游体育与传媒支出（项）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支出决算为16.4万元，完成预算100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4</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社会保障和就业支出（类）行政事业单位养老支出（款）事业单位离退休（项）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支出决算为1.05万元，完成预算100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Cs/>
          <w:color w:val="000000"/>
          <w:sz w:val="32"/>
          <w:szCs w:val="32"/>
        </w:rPr>
      </w:pPr>
      <w:r>
        <w:rPr>
          <w:rStyle w:val="15"/>
          <w:rFonts w:hint="eastAsia" w:ascii="仿宋" w:hAnsi="仿宋" w:eastAsia="仿宋"/>
          <w:bCs/>
          <w:color w:val="000000"/>
          <w:sz w:val="32"/>
          <w:szCs w:val="32"/>
        </w:rPr>
        <w:t>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社会保障和就业支出（类）行政事业单位养老支出（款）机关事业单位基本养老保险缴费支出（项）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支出决算为5.27万元，完成预算100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Cs/>
          <w:color w:val="000000"/>
          <w:sz w:val="32"/>
          <w:szCs w:val="32"/>
        </w:rPr>
      </w:pPr>
      <w:r>
        <w:rPr>
          <w:rStyle w:val="15"/>
          <w:rFonts w:hint="eastAsia" w:ascii="仿宋" w:hAnsi="仿宋" w:eastAsia="仿宋"/>
          <w:bCs/>
          <w:color w:val="000000"/>
          <w:sz w:val="32"/>
          <w:szCs w:val="32"/>
        </w:rPr>
        <w:t>6</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社会保障和就业支出（类）行政事业单位养老支出（款）机关事业单位职业年金缴费支出（项）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支出决算为4.98万元，完成预算100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7</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卫生健康支出（类）行政事业单位医疗（款）事业单位医疗（项）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支出决算为3.86万元，完成预算100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8</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卫生健康支出（类）行政事业单位医疗（款）公务员医疗补助（项）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支出决算为0.4万元，完成预算100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9</w:t>
      </w:r>
      <w:r>
        <w:rPr>
          <w:rStyle w:val="15"/>
          <w:rFonts w:ascii="仿宋" w:hAnsi="仿宋" w:eastAsia="仿宋"/>
          <w:bCs/>
          <w:color w:val="000000"/>
          <w:sz w:val="32"/>
          <w:szCs w:val="32"/>
        </w:rPr>
        <w:t>.</w:t>
      </w:r>
      <w:r>
        <w:rPr>
          <w:rFonts w:hint="eastAsia" w:ascii="仿宋" w:hAnsi="仿宋" w:eastAsia="仿宋"/>
          <w:b/>
          <w:bCs/>
          <w:color w:val="000000"/>
          <w:sz w:val="32"/>
          <w:szCs w:val="32"/>
        </w:rPr>
        <w:t>住房保障支出</w:t>
      </w:r>
      <w:r>
        <w:rPr>
          <w:rStyle w:val="15"/>
          <w:rFonts w:hint="eastAsia" w:ascii="仿宋" w:hAnsi="仿宋" w:eastAsia="仿宋"/>
          <w:bCs/>
          <w:color w:val="000000"/>
          <w:sz w:val="32"/>
          <w:szCs w:val="32"/>
        </w:rPr>
        <w:t>（类）住房改革支出（款）住房公积金（项）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支出决算为6.48万元，完成预算100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8"/>
        </w:rPr>
      </w:pPr>
      <w:bookmarkStart w:id="40" w:name="_Toc15396608"/>
      <w:bookmarkStart w:id="4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21年一般公共预算财政拨款基本支出80万元，其中：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77.24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2.76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42" w:name="_Toc15396609"/>
      <w:bookmarkStart w:id="43" w:name="_Toc15377215"/>
      <w:r>
        <w:rPr>
          <w:rFonts w:hint="eastAsia" w:ascii="黑体" w:eastAsia="黑体"/>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bookmarkStart w:id="46" w:name="_Toc15377218"/>
      <w:bookmarkStart w:id="47" w:name="_Toc15396610"/>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21年政府性基金预算财政拨款支出2.63万元。</w:t>
      </w:r>
    </w:p>
    <w:p>
      <w:pPr>
        <w:numPr>
          <w:ilvl w:val="0"/>
          <w:numId w:val="2"/>
        </w:numPr>
        <w:spacing w:line="600" w:lineRule="exact"/>
        <w:ind w:firstLine="640"/>
        <w:outlineLvl w:val="1"/>
        <w:rPr>
          <w:rStyle w:val="28"/>
          <w:rFonts w:ascii="黑体" w:hAnsi="黑体" w:eastAsia="黑体"/>
          <w:b w:val="0"/>
        </w:rPr>
      </w:pPr>
      <w:bookmarkStart w:id="48" w:name="_Toc15377219"/>
      <w:bookmarkStart w:id="49" w:name="_Toc15396611"/>
      <w:r>
        <w:rPr>
          <w:rStyle w:val="28"/>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600" w:lineRule="exact"/>
        <w:ind w:firstLine="640"/>
        <w:outlineLvl w:val="1"/>
        <w:rPr>
          <w:rStyle w:val="28"/>
          <w:rFonts w:ascii="黑体" w:hAnsi="黑体" w:eastAsia="黑体"/>
          <w:b w:val="0"/>
        </w:rPr>
      </w:pPr>
      <w:bookmarkStart w:id="50" w:name="_Toc15396612"/>
      <w:bookmarkStart w:id="51" w:name="_Toc15377221"/>
      <w:r>
        <w:rPr>
          <w:rStyle w:val="28"/>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21年，西区图书馆机关运行经费支出0万元。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21年，西区图书馆政府采购支出总额0万元，其中：政府采购货物支出0万元、政府采购工程支出0万元、政府采购服务支出0万元。授予中小企业合同金额0万元，占政府采购支出总额的0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日，西区图书馆共有车辆0辆，其中：主要领导干部用车0辆、机要通信用车0辆、应急保障用车0辆、其他用车0辆。单价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图书馆免费开放专项资金、2021年新书购买费、订阅报刊杂志费、2021年图书馆房租、物业管理费及分馆建设费3个项目开展了预算事前绩效评估，对3个项目编制了绩效目标，预算执行过程中，选取3个项目开展绩效监控，年终执行完毕后，对3个项目开展了绩效自评。同时，本部门对2021年部门整体开展绩效自评，《2021年西区图书馆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7"/>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27"/>
          <w:rFonts w:hint="eastAsia" w:ascii="黑体" w:hAnsi="黑体" w:eastAsia="黑体"/>
          <w:b w:val="0"/>
        </w:rPr>
        <w:t>词解释</w:t>
      </w:r>
      <w:bookmarkEnd w:id="55"/>
      <w:bookmarkEnd w:id="56"/>
    </w:p>
    <w:p>
      <w:pPr>
        <w:spacing w:line="600" w:lineRule="exact"/>
        <w:jc w:val="left"/>
        <w:rPr>
          <w:rFonts w:ascii="宋体"/>
          <w:b/>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5"/>
        <w:spacing w:line="560" w:lineRule="exact"/>
        <w:ind w:firstLine="640" w:firstLineChars="200"/>
        <w:rPr>
          <w:rFonts w:ascii="仿宋_GB2312" w:hAnsi="Times New Roman" w:eastAsia="仿宋_GB2312"/>
          <w:sz w:val="32"/>
          <w:szCs w:val="32"/>
        </w:rPr>
      </w:pPr>
      <w:r>
        <w:rPr>
          <w:rFonts w:hint="eastAsia" w:ascii="仿宋_GB2312" w:eastAsia="仿宋_GB2312"/>
          <w:sz w:val="32"/>
          <w:szCs w:val="32"/>
        </w:rPr>
        <w:t>9.</w:t>
      </w:r>
      <w:r>
        <w:rPr>
          <w:rFonts w:hint="eastAsia" w:ascii="仿宋_GB2312" w:hAnsi="Times New Roman" w:eastAsia="仿宋_GB2312"/>
          <w:sz w:val="32"/>
          <w:szCs w:val="32"/>
        </w:rPr>
        <w:t>文化旅游体育与传媒支出（类）文化和旅游（款）图书馆（项）:反映图书馆的支出。</w:t>
      </w:r>
    </w:p>
    <w:p>
      <w:pPr>
        <w:pStyle w:val="25"/>
        <w:spacing w:line="560" w:lineRule="exact"/>
        <w:ind w:firstLine="640" w:firstLineChars="200"/>
        <w:rPr>
          <w:rFonts w:ascii="仿宋_GB2312" w:eastAsia="仿宋_GB2312"/>
          <w:sz w:val="32"/>
          <w:szCs w:val="32"/>
        </w:rPr>
      </w:pPr>
      <w:r>
        <w:rPr>
          <w:rFonts w:hint="eastAsia" w:ascii="仿宋_GB2312" w:hAnsi="Times New Roman" w:eastAsia="仿宋_GB2312"/>
          <w:sz w:val="32"/>
          <w:szCs w:val="32"/>
        </w:rPr>
        <w:t>10.</w:t>
      </w:r>
      <w:r>
        <w:rPr>
          <w:rFonts w:hint="eastAsia" w:ascii="仿宋_GB2312" w:eastAsia="仿宋_GB2312"/>
          <w:sz w:val="32"/>
          <w:szCs w:val="32"/>
        </w:rPr>
        <w:t>文化旅游体育与传媒支出（类）文化和旅游（款）其他文化和旅游支出（项）:反映除上述项目以外其他用于文化和旅游方面的支出</w:t>
      </w:r>
      <w:r>
        <w:rPr>
          <w:rFonts w:hint="eastAsia" w:ascii="仿宋_GB2312" w:hAnsi="Times New Roman" w:eastAsia="仿宋_GB2312"/>
          <w:sz w:val="32"/>
          <w:szCs w:val="32"/>
        </w:rPr>
        <w:t xml:space="preserve">。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11.文化旅游体育与传媒支出（类）其他文化旅游体育与传媒支出（款） 其他文化旅游体育与传媒支出（项）:反映除上述项目以外其他用于文化旅游体育与传媒方面的支出。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12.社会保障和就业（类）行政事业单位养老支出（款） 机关事业单位基本养老保险缴费支出（项）:指机关事业单 位实施养老保险制度由单位缴纳的基本养老保险费。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13.社会保障和就业（类）行政事业单位养老支出（款）机关事业单位职业年金缴费支出（项):反映机关事业单位实施养老保险制度由单位实际缴纳的职业年金支出。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14.卫生健康支出（类）行政事业单位医疗（款）事业单位医疗（项）:反映财政部门安排的事业单位基本医疗保险缴费经费，未参加医疗保险的事业单位的公费同医疗经费，按国家规定享受离休人员待遇的医疗经费。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15.卫生健康支出（类）行政事业单位医疗（款）公务员医疗补助（项）:反映财政部门安排的公务员医疗补助经费。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16.住房保障支出（类）住房改革支出（款）住房公积金（项）:指行政事业单位按人力资源和社会保障部、财政部规定的基本工资和津贴补贴以及规定比例为职工缴纳的住房公积金。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17.城乡社区支出(类)</w:t>
      </w:r>
      <w:r>
        <w:rPr>
          <w:rFonts w:hint="eastAsia"/>
        </w:rPr>
        <w:t xml:space="preserve"> </w:t>
      </w:r>
      <w:r>
        <w:rPr>
          <w:rFonts w:hint="eastAsia" w:ascii="仿宋_GB2312" w:eastAsia="仿宋_GB2312" w:cs="仿宋"/>
          <w:color w:val="000000"/>
          <w:kern w:val="0"/>
          <w:sz w:val="32"/>
          <w:szCs w:val="32"/>
        </w:rPr>
        <w:t>国有土地使用权出让收入安排的支出(款)</w:t>
      </w:r>
      <w:r>
        <w:rPr>
          <w:rFonts w:hint="eastAsia"/>
        </w:rPr>
        <w:t xml:space="preserve"> </w:t>
      </w:r>
      <w:r>
        <w:rPr>
          <w:rFonts w:hint="eastAsia" w:ascii="仿宋_GB2312" w:eastAsia="仿宋_GB2312" w:cs="仿宋"/>
          <w:color w:val="000000"/>
          <w:kern w:val="0"/>
          <w:sz w:val="32"/>
          <w:szCs w:val="32"/>
        </w:rPr>
        <w:t>土地开发支出(项):反映新疆生产建设兵团和地方政府用于前期土地开发性支出以及与前期土地开发相关的费用等支出。</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18.基本支出:指为保障机构正常运转、完成日常工作任务而发生的人员支出和公用支出。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19.项目支出:指在基本支出之外为完成特定行政任务 和事业发展目标所发生的支出。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20.“三公”经费:指部门用财政拨款安排的因公出国 （境）费、公务用车购置及运行费和公务接待费。其中，因公出国（境）费反映单位公务出国（境）的国际旅费、国外 城市间交通费、住宿费、伙食费、培训费、公杂费等支出； 公务用车购置及运行费反映单位公务用车车辆购置支出（含 车辆购置税）及租用费、燃料费、维修费、过路过桥费、保 险费等支出；公务接待费反映单位按规定开支的各类公务接 待（含外宾接待）支出。 </w:t>
      </w:r>
    </w:p>
    <w:p>
      <w:pPr>
        <w:pStyle w:val="25"/>
        <w:spacing w:line="560" w:lineRule="exact"/>
        <w:ind w:firstLine="640" w:firstLineChars="200"/>
        <w:rPr>
          <w:rFonts w:ascii="仿宋_GB2312" w:eastAsia="仿宋_GB2312"/>
          <w:color w:val="auto"/>
          <w:sz w:val="32"/>
          <w:szCs w:val="32"/>
        </w:rPr>
      </w:pPr>
      <w:r>
        <w:rPr>
          <w:rFonts w:hint="eastAsia" w:ascii="仿宋_GB2312" w:hAnsi="Times New Roman" w:eastAsia="仿宋_GB2312"/>
          <w:sz w:val="32"/>
          <w:szCs w:val="32"/>
        </w:rPr>
        <w:t>21.机关运行经费:为保障行政单位（含参照公务员法管理的事业单位）运行用于购买货物和服务的各项资金，包括办公及印刷费、邮电费、差旅费、会议费、福利费、日常 维修费、专用材料及一般设备购置费、办公用房水电费、办公用房取暖费、办公用房物业管理费、公务用车运行维护费以及其他费用。</w:t>
      </w:r>
    </w:p>
    <w:p>
      <w:pPr>
        <w:spacing w:line="600" w:lineRule="exact"/>
        <w:jc w:val="center"/>
        <w:outlineLvl w:val="0"/>
        <w:rPr>
          <w:rStyle w:val="27"/>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7"/>
          <w:rFonts w:hint="eastAsia" w:ascii="黑体" w:hAnsi="黑体" w:eastAsia="黑体"/>
          <w:b w:val="0"/>
        </w:rPr>
        <w:t>四部分 附件</w:t>
      </w:r>
      <w:bookmarkEnd w:id="58"/>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2021年攀枝花市西区图书馆部门</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6"/>
        <w:spacing w:before="93"/>
      </w:pPr>
      <w:r>
        <w:rPr>
          <w:rFonts w:hint="eastAsia" w:ascii="仿宋" w:hAnsi="仿宋" w:eastAsia="仿宋"/>
          <w:sz w:val="32"/>
          <w:szCs w:val="32"/>
        </w:rPr>
        <w:t>西区图书馆下属二级单位0个，其中行政单位0个，参照公务员法管理的事业单位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widowControl/>
        <w:adjustRightInd w:val="0"/>
        <w:snapToGrid w:val="0"/>
        <w:spacing w:line="572"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spacing w:line="353" w:lineRule="auto"/>
        <w:ind w:firstLine="640" w:firstLineChars="200"/>
        <w:rPr>
          <w:rFonts w:eastAsia="仿宋_GB2312"/>
        </w:rPr>
      </w:pPr>
      <w:r>
        <w:rPr>
          <w:rFonts w:hint="eastAsia" w:ascii="仿宋_GB2312" w:eastAsia="仿宋_GB2312"/>
          <w:color w:val="000000"/>
          <w:sz w:val="32"/>
          <w:szCs w:val="32"/>
        </w:rPr>
        <w:t>保存借阅图书资料，积极推进免费开放工作；采编与储藏图书资料借阅；图书资料网络系统；文献数字化处理；图书馆学研究、收集；举办各类展览、知识培训与社会教育。并指导全区文化信息资源共享工程的建设工作。依托图书馆计算机网络环境，建立电子阅览室，为群众、尤其是青少年朋友提供文化信息服务和绿色上网空间。</w:t>
      </w:r>
    </w:p>
    <w:p>
      <w:pPr>
        <w:widowControl/>
        <w:adjustRightInd w:val="0"/>
        <w:snapToGrid w:val="0"/>
        <w:spacing w:line="572"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pStyle w:val="6"/>
        <w:spacing w:before="93"/>
      </w:pPr>
      <w:r>
        <w:rPr>
          <w:rFonts w:hint="eastAsia" w:ascii="Times New Roman"/>
          <w:sz w:val="32"/>
          <w:szCs w:val="32"/>
        </w:rPr>
        <w:t>西区图书馆</w:t>
      </w:r>
      <w:r>
        <w:rPr>
          <w:rFonts w:hint="eastAsia"/>
          <w:sz w:val="32"/>
          <w:szCs w:val="32"/>
        </w:rPr>
        <w:t>共有编制8个，其中：事业6个，临聘2个。截止2021年底在编人员5人，其中：事业4人，临聘1人</w:t>
      </w:r>
      <w:r>
        <w:rPr>
          <w:rStyle w:val="33"/>
          <w:rFonts w:hint="default" w:ascii="Times New Roman" w:eastAsia="仿宋_GB2312"/>
        </w:rPr>
        <w:t>。</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adjustRightInd w:val="0"/>
        <w:snapToGrid w:val="0"/>
        <w:spacing w:line="353" w:lineRule="auto"/>
        <w:ind w:firstLine="640" w:firstLineChars="200"/>
        <w:rPr>
          <w:rFonts w:eastAsia="楷体_GB2312"/>
          <w:sz w:val="32"/>
          <w:szCs w:val="32"/>
        </w:rPr>
      </w:pPr>
      <w:r>
        <w:rPr>
          <w:rFonts w:hint="eastAsia" w:eastAsia="仿宋_GB2312"/>
          <w:sz w:val="32"/>
          <w:szCs w:val="32"/>
        </w:rPr>
        <w:t>2021年全年预算数102.23万元，其中：基本支出80万元、项目支出22.23万元。1-12月财政拨款收入102.23万元，其中：基本支出拨款80万元，占全年预算数的78.25%；项目支出拨款22.23万元，占全年预算数的21.75%。</w:t>
      </w:r>
    </w:p>
    <w:p>
      <w:pPr>
        <w:adjustRightInd w:val="0"/>
        <w:snapToGrid w:val="0"/>
        <w:spacing w:line="353" w:lineRule="auto"/>
        <w:rPr>
          <w:rFonts w:eastAsia="楷体_GB2312"/>
          <w:sz w:val="32"/>
          <w:szCs w:val="32"/>
        </w:rPr>
      </w:pPr>
      <w:r>
        <w:rPr>
          <w:rFonts w:hint="eastAsia" w:ascii="仿宋_GB2312" w:hAnsi="宋体" w:eastAsia="仿宋_GB2312" w:cs="宋体"/>
          <w:color w:val="000000"/>
          <w:kern w:val="0"/>
          <w:sz w:val="32"/>
          <w:szCs w:val="32"/>
          <w:shd w:val="clear" w:color="auto" w:fill="FFFFFF"/>
          <w:lang w:val="zh-CN"/>
        </w:rPr>
        <w:t>（二）</w:t>
      </w:r>
      <w:r>
        <w:rPr>
          <w:rFonts w:eastAsia="楷体_GB2312"/>
          <w:sz w:val="32"/>
          <w:szCs w:val="32"/>
        </w:rPr>
        <w:t>部门财政资金支出情况</w:t>
      </w:r>
    </w:p>
    <w:p>
      <w:pPr>
        <w:adjustRightInd w:val="0"/>
        <w:snapToGrid w:val="0"/>
        <w:spacing w:line="353" w:lineRule="auto"/>
        <w:rPr>
          <w:rFonts w:hint="eastAsia" w:ascii="仿宋_GB2312" w:hAnsi="仿宋" w:eastAsia="仿宋_GB2312"/>
          <w:sz w:val="32"/>
          <w:szCs w:val="32"/>
        </w:rPr>
      </w:pPr>
      <w:r>
        <w:rPr>
          <w:rFonts w:hint="eastAsia" w:ascii="仿宋_GB2312" w:hAnsi="仿宋" w:eastAsia="仿宋_GB2312"/>
          <w:sz w:val="32"/>
          <w:szCs w:val="32"/>
        </w:rPr>
        <w:t>2021年1-12月财政拨款支出总计</w:t>
      </w:r>
      <w:r>
        <w:rPr>
          <w:rFonts w:hint="eastAsia" w:eastAsia="仿宋_GB2312"/>
          <w:sz w:val="32"/>
          <w:szCs w:val="32"/>
        </w:rPr>
        <w:t>102.23</w:t>
      </w:r>
      <w:r>
        <w:rPr>
          <w:rFonts w:hint="eastAsia" w:ascii="仿宋_GB2312" w:hAnsi="仿宋" w:eastAsia="仿宋_GB2312"/>
          <w:sz w:val="32"/>
          <w:szCs w:val="32"/>
        </w:rPr>
        <w:t>万元，占全年预算数的100%。其中：基本支出80万元，</w:t>
      </w:r>
      <w:r>
        <w:rPr>
          <w:rFonts w:hint="eastAsia" w:eastAsia="仿宋_GB2312"/>
          <w:sz w:val="32"/>
          <w:szCs w:val="32"/>
        </w:rPr>
        <w:t>占全年预算数的78.25%；项目支出拨款22.23万元，占全年预算数的21.75%</w:t>
      </w:r>
      <w:r>
        <w:rPr>
          <w:rFonts w:hint="eastAsia" w:ascii="仿宋_GB2312" w:hAnsi="仿宋" w:eastAsia="仿宋_GB2312"/>
          <w:sz w:val="32"/>
          <w:szCs w:val="32"/>
        </w:rPr>
        <w:t>。</w:t>
      </w:r>
    </w:p>
    <w:p>
      <w:pPr>
        <w:adjustRightInd w:val="0"/>
        <w:snapToGrid w:val="0"/>
        <w:spacing w:line="353" w:lineRule="auto"/>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20</w:t>
      </w:r>
      <w:r>
        <w:rPr>
          <w:rFonts w:hint="eastAsia" w:ascii="仿宋_GB2312" w:hAnsi="宋体" w:eastAsia="仿宋_GB2312" w:cs="宋体"/>
          <w:kern w:val="0"/>
          <w:sz w:val="32"/>
          <w:szCs w:val="32"/>
          <w:shd w:val="clear" w:color="auto" w:fill="FFFFFF"/>
        </w:rPr>
        <w:t>21</w:t>
      </w:r>
      <w:r>
        <w:rPr>
          <w:rFonts w:hint="eastAsia" w:ascii="仿宋_GB2312" w:hAnsi="宋体" w:eastAsia="仿宋_GB2312" w:cs="宋体"/>
          <w:kern w:val="0"/>
          <w:sz w:val="32"/>
          <w:szCs w:val="32"/>
          <w:shd w:val="clear" w:color="auto" w:fill="FFFFFF"/>
          <w:lang w:val="zh-CN"/>
        </w:rPr>
        <w:t>年本部门的绩效目标制定、目标完成、预算编制等均按照区财政局下达的相关文件指标进行了编制和预算公开，并按相关要求严格执行预算范围内开支。年度内根据工作开展情况进行经费执行，并完成所有预定目标，未发生违规记录。</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本单位按照区财政局下达的预算指标，严格执行预算内开支，保障了单位正常运转。并按相关要求进行预决算公开工作，绩效目标如实填报，专项预算进行了规划和筹划。</w:t>
      </w:r>
    </w:p>
    <w:p>
      <w:pPr>
        <w:widowControl/>
        <w:numPr>
          <w:ilvl w:val="0"/>
          <w:numId w:val="4"/>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从整体上看，202</w:t>
      </w:r>
      <w:r>
        <w:rPr>
          <w:rFonts w:hint="eastAsia" w:ascii="仿宋_GB2312" w:hAnsi="宋体" w:eastAsia="仿宋_GB2312" w:cs="宋体"/>
          <w:kern w:val="0"/>
          <w:sz w:val="32"/>
          <w:szCs w:val="32"/>
          <w:shd w:val="clear" w:color="auto" w:fill="FFFFFF"/>
        </w:rPr>
        <w:t>1</w:t>
      </w:r>
      <w:r>
        <w:rPr>
          <w:rFonts w:hint="eastAsia" w:ascii="仿宋_GB2312" w:hAnsi="宋体" w:eastAsia="仿宋_GB2312" w:cs="宋体"/>
          <w:kern w:val="0"/>
          <w:sz w:val="32"/>
          <w:szCs w:val="32"/>
          <w:shd w:val="clear" w:color="auto" w:fill="FFFFFF"/>
          <w:lang w:val="zh-CN"/>
        </w:rPr>
        <w:t>年我馆资金运行维护决策正确，资金管理规范，项目管理到位，政策执行有力，有效发挥了财政资金的使用效率。我馆各项资金其主要用途是保障该部门机构正常运转、完成日常工作任务以及本单位承担的其他具体工作。在人员经费支出、公共支出严格执行区委区政府的各项制度；在项目经费的使用上，在保证各项任务顺利完成的同时，严格落实厉行节约的原则；三公经费的使用严格控制在预算申报的范围内。</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6"/>
        <w:spacing w:before="93"/>
      </w:pPr>
      <w:r>
        <w:rPr>
          <w:rFonts w:hint="eastAsia" w:ascii="Times New Roman" w:eastAsia="楷体"/>
          <w:kern w:val="2"/>
          <w:sz w:val="32"/>
          <w:szCs w:val="32"/>
        </w:rPr>
        <w:t>2021年，我单位以绩效目标实现为导向，进一步加强制度建设，不断提升资金支出质量，预算绩效管理取得新成效。一是抓好项目资金使用管理，有序的开展各项工作。二是探索绩效跟踪监控，加强过程监控。三是深入开展资金支出绩效评价，对专项资金实施绩效评价和项目核查。四是强化评价结果应用，组织绩效评价和绩效跟踪监控，对发现的问题及时改进，加强评价结果与项目资金安排的衔接。五是健全绩效管理工作机制，明确职责分工，努力提高了绩效管理工作水平</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自主预算绩效监控意识不够，未及时对各项目经费进行预算绩效监控。</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6"/>
        <w:spacing w:before="93"/>
        <w:rPr>
          <w:rFonts w:hAnsi="宋体" w:cs="宋体"/>
          <w:sz w:val="32"/>
          <w:szCs w:val="32"/>
          <w:shd w:val="clear" w:color="auto" w:fill="FFFFFF"/>
          <w:lang w:val="zh-CN"/>
        </w:rPr>
      </w:pPr>
      <w:r>
        <w:rPr>
          <w:rFonts w:hint="eastAsia" w:hAnsi="宋体" w:cs="宋体"/>
          <w:sz w:val="32"/>
          <w:szCs w:val="32"/>
          <w:shd w:val="clear" w:color="auto" w:fill="FFFFFF"/>
          <w:lang w:val="zh-CN"/>
        </w:rPr>
        <w:t>及时做好各项目资金的预算绩效监控工作，即要确保各项工作顺利的开展，又要做好厉行节约，力争把成本降低。</w:t>
      </w:r>
    </w:p>
    <w:p>
      <w:pPr>
        <w:pStyle w:val="6"/>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专项预算项目支出绩效自评报告范本</w:t>
      </w:r>
    </w:p>
    <w:p>
      <w:pPr>
        <w:spacing w:line="600" w:lineRule="exact"/>
        <w:ind w:firstLine="640"/>
        <w:jc w:val="center"/>
        <w:rPr>
          <w:rFonts w:ascii="宋体" w:hAnsi="宋体"/>
          <w:sz w:val="32"/>
          <w:szCs w:val="32"/>
          <w:lang w:val="zh-CN"/>
        </w:rPr>
      </w:pPr>
      <w:r>
        <w:rPr>
          <w:rFonts w:hint="eastAsia" w:ascii="宋体" w:hAnsi="宋体"/>
          <w:sz w:val="32"/>
          <w:szCs w:val="32"/>
          <w:lang w:val="zh-CN"/>
        </w:rPr>
        <w:t>（</w:t>
      </w:r>
      <w:r>
        <w:rPr>
          <w:rFonts w:hint="eastAsia" w:ascii="宋体" w:hAnsi="宋体"/>
          <w:sz w:val="32"/>
          <w:szCs w:val="32"/>
        </w:rPr>
        <w:t>图书馆免费开放专项资金</w:t>
      </w:r>
      <w:r>
        <w:rPr>
          <w:rFonts w:hint="eastAsia" w:ascii="宋体" w:hAnsi="宋体"/>
          <w:sz w:val="32"/>
          <w:szCs w:val="32"/>
          <w:lang w:val="zh-CN"/>
        </w:rPr>
        <w:t>）</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宋体" w:eastAsia="仿宋_GB2312"/>
          <w:sz w:val="32"/>
          <w:szCs w:val="32"/>
        </w:rPr>
        <w:t>.</w:t>
      </w:r>
      <w:r>
        <w:rPr>
          <w:rFonts w:hint="eastAsia" w:ascii="仿宋_GB2312" w:hAnsi="宋体" w:eastAsia="仿宋_GB2312"/>
          <w:sz w:val="32"/>
          <w:szCs w:val="32"/>
          <w:lang w:val="zh-CN"/>
        </w:rPr>
        <w:t>西区图书馆是该项目的具体实施主体。</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sz w:val="32"/>
          <w:szCs w:val="32"/>
        </w:rPr>
        <w:t>.</w:t>
      </w:r>
      <w:r>
        <w:rPr>
          <w:rFonts w:hint="eastAsia" w:ascii="仿宋_GB2312" w:hAnsi="宋体" w:eastAsia="仿宋_GB2312"/>
          <w:sz w:val="32"/>
          <w:szCs w:val="32"/>
          <w:lang w:val="zh-CN"/>
        </w:rPr>
        <w:t>项目立项、资金申报的依据是：根据工作职责，</w:t>
      </w:r>
      <w:r>
        <w:rPr>
          <w:rFonts w:hint="eastAsia" w:ascii="仿宋_GB2312" w:eastAsia="仿宋_GB2312" w:cs="仿宋_GB2312"/>
          <w:sz w:val="32"/>
          <w:szCs w:val="32"/>
        </w:rPr>
        <w:t>持续关注公益事业，继续依托丰富的馆藏优点，以及各馆外阅读点优越的地理位置，不断更新服务形式和内容，更好地完善图书馆的社会文化功能，拓展阅读推广和文化服务活动范围，主动将阅读送到群众手中，拉近图书馆与群众的距离，让更多群众享受到基本公共文化服务权益</w:t>
      </w:r>
      <w:r>
        <w:rPr>
          <w:rFonts w:hint="eastAsia" w:ascii="仿宋_GB2312" w:hAnsi="宋体" w:eastAsia="仿宋_GB2312"/>
          <w:sz w:val="32"/>
          <w:szCs w:val="32"/>
          <w:lang w:val="zh-CN"/>
        </w:rPr>
        <w:t>,经费</w:t>
      </w:r>
      <w:r>
        <w:rPr>
          <w:rFonts w:hint="eastAsia" w:ascii="仿宋_GB2312" w:hAnsi="宋体" w:eastAsia="仿宋_GB2312"/>
          <w:sz w:val="32"/>
          <w:szCs w:val="32"/>
        </w:rPr>
        <w:t>19.1万</w:t>
      </w:r>
      <w:r>
        <w:rPr>
          <w:rFonts w:hint="eastAsia" w:ascii="仿宋_GB2312" w:hAnsi="宋体" w:eastAsia="仿宋_GB2312"/>
          <w:sz w:val="32"/>
          <w:szCs w:val="32"/>
          <w:lang w:val="zh-CN"/>
        </w:rPr>
        <w:t>元。</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rPr>
        <w:t>.</w:t>
      </w:r>
      <w:r>
        <w:rPr>
          <w:rFonts w:hint="eastAsia" w:ascii="仿宋_GB2312" w:hAnsi="宋体" w:eastAsia="仿宋_GB2312"/>
          <w:sz w:val="32"/>
          <w:szCs w:val="32"/>
          <w:lang w:val="zh-CN"/>
        </w:rPr>
        <w:t>资金管理办法制定情况，资金支持具体项目的条件、范围与支持方式概况，此资金只能用于该项目。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w:t>
      </w:r>
      <w:r>
        <w:rPr>
          <w:rFonts w:hint="eastAsia" w:ascii="仿宋_GB2312" w:hAnsi="宋体" w:eastAsia="仿宋_GB2312"/>
          <w:sz w:val="32"/>
          <w:szCs w:val="32"/>
        </w:rPr>
        <w:t>.</w:t>
      </w:r>
      <w:r>
        <w:rPr>
          <w:rFonts w:hint="eastAsia" w:ascii="仿宋_GB2312" w:hAnsi="宋体" w:eastAsia="仿宋_GB2312"/>
          <w:sz w:val="32"/>
          <w:szCs w:val="32"/>
          <w:lang w:val="zh-CN"/>
        </w:rPr>
        <w:t>用于维修、更换馆内设施，零星业务设备更新费用。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color w:val="FF0000"/>
          <w:sz w:val="32"/>
          <w:szCs w:val="32"/>
          <w:lang w:val="zh-CN"/>
        </w:rPr>
      </w:pPr>
      <w:r>
        <w:rPr>
          <w:rFonts w:hint="eastAsia" w:ascii="仿宋_GB2312" w:hAnsi="宋体" w:eastAsia="仿宋_GB2312"/>
          <w:sz w:val="32"/>
          <w:szCs w:val="32"/>
          <w:lang w:val="zh-CN"/>
        </w:rPr>
        <w:t>1．项目主要内容。不断</w:t>
      </w:r>
      <w:r>
        <w:rPr>
          <w:rFonts w:hint="eastAsia" w:ascii="仿宋_GB2312" w:eastAsia="仿宋_GB2312" w:cs="仿宋_GB2312"/>
          <w:sz w:val="32"/>
          <w:szCs w:val="32"/>
        </w:rPr>
        <w:t>扩充馆藏量，购入新书</w:t>
      </w:r>
      <w:r>
        <w:rPr>
          <w:rFonts w:ascii="仿宋_GB2312" w:eastAsia="仿宋_GB2312" w:cs="仿宋_GB2312"/>
          <w:sz w:val="32"/>
          <w:szCs w:val="32"/>
        </w:rPr>
        <w:t>1000</w:t>
      </w:r>
      <w:r>
        <w:rPr>
          <w:rFonts w:hint="eastAsia" w:ascii="仿宋_GB2312" w:eastAsia="仿宋_GB2312" w:cs="仿宋_GB2312"/>
          <w:sz w:val="32"/>
          <w:szCs w:val="32"/>
        </w:rPr>
        <w:t>余册，积极打造微信公众号，推出线上互动活动，在节假日推出相关阅读和读者互动活动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eastAsia="仿宋_GB2312"/>
          <w:sz w:val="32"/>
          <w:szCs w:val="32"/>
        </w:rPr>
        <w:t>加强传统阅读推广。一是不断补充馆藏，满足读者基本阅读需求。结合图书馆馆藏结构和公共示范区创建需求，新购置各类图书5000余册，全区公共图书馆图书借阅量为图书借阅量为20235册次，馆内接待读者为18026人次。二是开展图书推荐活动，馆内设置有“新书荐读”专栏，及时向读者推荐好书、畅销书，一年来共向读者推荐各类图书300余种、通过政府采购了数字资源40TB，建立网上数字图书馆，现已推出100万册电子图书、5000种期刊、400种全国主流报纸、1000个系列共计7000集的讲座等免费电子资源等</w:t>
      </w:r>
      <w:r>
        <w:rPr>
          <w:rFonts w:hint="eastAsia" w:ascii="仿宋_GB2312" w:hAnsi="宋体" w:eastAsia="仿宋_GB2312"/>
          <w:color w:val="FF0000"/>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3．通过自评，申报内容与实际相符，申报目标合理可行。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eastAsia="仿宋_GB2312"/>
          <w:sz w:val="32"/>
          <w:szCs w:val="32"/>
        </w:rPr>
      </w:pPr>
      <w:r>
        <w:rPr>
          <w:rFonts w:hint="eastAsia" w:ascii="仿宋_GB2312" w:eastAsia="仿宋_GB2312"/>
          <w:sz w:val="32"/>
          <w:szCs w:val="32"/>
        </w:rPr>
        <w:t>按照区财政局下达的项目支出绩效评价指标体系，针对 申报内容、实施情况、资金兑现、财务管理、社会效益等做 出自我评价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eastAsia="仿宋_GB2312"/>
          <w:sz w:val="32"/>
          <w:szCs w:val="32"/>
        </w:rPr>
        <w:t>该项目为上级资金，2021年到位19.1万元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1．资金计划。该项目属上级预算项目经费</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已全部到位。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eastAsia="仿宋_GB2312"/>
          <w:sz w:val="32"/>
          <w:szCs w:val="32"/>
        </w:rPr>
        <w:t>2021年共支出19.1万元，当年全部支付到位。资金开支范围、标准及支付进度等符合规定，按实际发生额进行支付，并严格按照财务管理制度审核支付，支付依据合规合法</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有健全的财务制度，项目预算、资金拨付严格按照财务管理制度进行管理。保证专款专用，资金发放复查由财务人员按照财务制度进行资金的审核、支付和核算，在具体支付时，手续是完善的，不存在虚假会计凭证的情况，会计严格执行财务管理制度，财务处理及时，核算规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13"/>
        <w:widowControl/>
        <w:shd w:val="clear" w:color="auto" w:fill="FFFFFF"/>
        <w:spacing w:beforeAutospacing="0" w:after="150" w:afterAutospacing="0" w:line="450" w:lineRule="atLeast"/>
        <w:ind w:firstLine="480"/>
        <w:rPr>
          <w:rFonts w:ascii="仿宋_GB2312" w:hAnsi="仿宋_GB2312" w:eastAsia="仿宋_GB2312" w:cs="仿宋_GB2312"/>
          <w:color w:val="333333"/>
          <w:sz w:val="32"/>
          <w:szCs w:val="32"/>
          <w:shd w:val="clear" w:color="auto" w:fill="FFFFFF"/>
        </w:rPr>
      </w:pPr>
      <w:r>
        <w:rPr>
          <w:rFonts w:eastAsia="微软雅黑"/>
          <w:color w:val="333333"/>
          <w:sz w:val="32"/>
          <w:szCs w:val="32"/>
          <w:shd w:val="clear" w:color="auto" w:fill="FFFFFF"/>
        </w:rPr>
        <w:t>1.</w:t>
      </w:r>
      <w:r>
        <w:rPr>
          <w:rFonts w:ascii="仿宋_GB2312" w:hAnsi="仿宋_GB2312" w:eastAsia="仿宋_GB2312" w:cs="仿宋_GB2312"/>
          <w:color w:val="333333"/>
          <w:sz w:val="32"/>
          <w:szCs w:val="32"/>
          <w:shd w:val="clear" w:color="auto" w:fill="FFFFFF"/>
        </w:rPr>
        <w:t>根据预算项目批复，下达项目经费，预算单位进行项目实施计划。</w:t>
      </w:r>
    </w:p>
    <w:p>
      <w:pPr>
        <w:pStyle w:val="13"/>
        <w:widowControl/>
        <w:shd w:val="clear" w:color="auto" w:fill="FFFFFF"/>
        <w:spacing w:beforeAutospacing="0" w:after="150" w:afterAutospacing="0" w:line="450" w:lineRule="atLeas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2</w:t>
      </w:r>
      <w:bookmarkStart w:id="73" w:name="_GoBack"/>
      <w:bookmarkEnd w:id="73"/>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拨付时根据工作完成情况，报分管领导审核同意，呈报单位主要负责人审批同意后支付</w:t>
      </w:r>
      <w:r>
        <w:rPr>
          <w:rFonts w:hint="eastAsia" w:ascii="仿宋_GB2312" w:hAnsi="仿宋_GB2312" w:eastAsia="仿宋_GB2312" w:cs="仿宋_GB2312"/>
          <w:color w:val="333333"/>
          <w:sz w:val="32"/>
          <w:szCs w:val="32"/>
          <w:shd w:val="clear" w:color="auto" w:fill="FFFFFF"/>
        </w:rPr>
        <w:t>。</w:t>
      </w:r>
    </w:p>
    <w:p>
      <w:pPr>
        <w:pStyle w:val="13"/>
        <w:widowControl/>
        <w:shd w:val="clear" w:color="auto" w:fill="FFFFFF"/>
        <w:spacing w:beforeAutospacing="0" w:after="150" w:afterAutospacing="0" w:line="450" w:lineRule="atLeast"/>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pStyle w:val="13"/>
        <w:widowControl/>
        <w:shd w:val="clear" w:color="auto" w:fill="FFFFFF"/>
        <w:spacing w:beforeAutospacing="0" w:after="150" w:afterAutospacing="0" w:line="450" w:lineRule="atLeast"/>
        <w:rPr>
          <w:rFonts w:ascii="仿宋_GB2312" w:hAnsi="宋体" w:eastAsia="仿宋_GB2312"/>
          <w:sz w:val="32"/>
          <w:szCs w:val="32"/>
          <w:lang w:val="zh-CN"/>
        </w:rPr>
      </w:pPr>
      <w:r>
        <w:rPr>
          <w:rFonts w:hint="eastAsia" w:ascii="仿宋_GB2312" w:hAnsi="宋体" w:eastAsia="仿宋_GB2312"/>
          <w:kern w:val="2"/>
          <w:sz w:val="32"/>
          <w:szCs w:val="32"/>
          <w:lang w:val="zh-CN"/>
        </w:rPr>
        <w:t>项目是区财政纳入年度预算，严格安照项目要求及财经法律法规等要求落实的</w:t>
      </w:r>
      <w:r>
        <w:rPr>
          <w:rFonts w:hint="eastAsia" w:ascii="仿宋_GB2312" w:hAnsi="宋体" w:eastAsia="仿宋_GB2312"/>
          <w:sz w:val="32"/>
          <w:szCs w:val="32"/>
          <w:lang w:val="zh-CN"/>
        </w:rPr>
        <w:t>。</w:t>
      </w:r>
    </w:p>
    <w:p>
      <w:pPr>
        <w:adjustRightInd w:val="0"/>
        <w:snapToGrid w:val="0"/>
        <w:spacing w:line="600" w:lineRule="exact"/>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_GB2312" w:hAnsi="宋体" w:eastAsia="仿宋_GB2312"/>
          <w:sz w:val="32"/>
          <w:szCs w:val="32"/>
          <w:lang w:val="zh-CN"/>
        </w:rPr>
      </w:pPr>
      <w:r>
        <w:rPr>
          <w:rFonts w:ascii="微软雅黑" w:hAnsi="微软雅黑" w:eastAsia="微软雅黑" w:cs="微软雅黑"/>
          <w:color w:val="333333"/>
          <w:sz w:val="32"/>
          <w:szCs w:val="32"/>
          <w:shd w:val="clear" w:color="auto" w:fill="FFFFFF"/>
        </w:rPr>
        <w:t> </w:t>
      </w:r>
      <w:r>
        <w:rPr>
          <w:rFonts w:hint="eastAsia" w:ascii="仿宋_GB2312" w:hAnsi="宋体" w:eastAsia="仿宋_GB2312"/>
          <w:sz w:val="32"/>
          <w:szCs w:val="32"/>
          <w:lang w:val="zh-CN"/>
        </w:rPr>
        <w:t>项目完成情况每年都要向上级财政部门填写相关的绩效分析评价，并上报相关对口管理部门检查。</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2"/>
        <w:rPr>
          <w:color w:val="FF0000"/>
        </w:rPr>
      </w:pPr>
      <w:r>
        <w:rPr>
          <w:rFonts w:hint="eastAsia" w:ascii="仿宋_GB2312" w:hAnsi="宋体" w:eastAsia="仿宋_GB2312"/>
          <w:sz w:val="32"/>
          <w:szCs w:val="32"/>
          <w:lang w:val="zh-CN"/>
        </w:rPr>
        <w:t>项目完成数量、质量、时效等情况，与项目计划完成目 标相符。更好地</w:t>
      </w:r>
      <w:r>
        <w:rPr>
          <w:rFonts w:hint="eastAsia" w:ascii="仿宋_GB2312" w:eastAsia="仿宋_GB2312"/>
          <w:sz w:val="32"/>
          <w:szCs w:val="32"/>
        </w:rPr>
        <w:t>将服务延伸至基层，辐射力度更加广泛</w:t>
      </w:r>
      <w:r>
        <w:rPr>
          <w:rFonts w:hint="eastAsia" w:eastAsia="仿宋_GB2312"/>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从项目社会效益方面来看，丰富了群众日益增长的精神需求；从服务对象满意度来看，服务对象满意度提升。</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一是本项目依规立项；二是本项目严格按相关要求执行；三是本项目资金使用合理合规；四是本项目在产出数量、产出质量、产出时效、产出成本方面均达到绩效目标，经济效益、社会效益成果显著。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40" w:firstLineChars="200"/>
        <w:rPr>
          <w:rFonts w:eastAsia="仿宋"/>
          <w:sz w:val="32"/>
          <w:szCs w:val="32"/>
        </w:rPr>
      </w:pPr>
      <w:r>
        <w:rPr>
          <w:rFonts w:eastAsia="仿宋"/>
          <w:sz w:val="32"/>
          <w:szCs w:val="32"/>
        </w:rPr>
        <w:t>1.预算编制时间短，任务重，需要财政做更系统的培训和指导。</w:t>
      </w:r>
    </w:p>
    <w:p>
      <w:pPr>
        <w:spacing w:line="580" w:lineRule="exact"/>
        <w:ind w:firstLine="640" w:firstLineChars="200"/>
        <w:rPr>
          <w:rFonts w:eastAsia="仿宋"/>
          <w:sz w:val="32"/>
          <w:szCs w:val="32"/>
        </w:rPr>
      </w:pPr>
      <w:r>
        <w:rPr>
          <w:rFonts w:eastAsia="仿宋"/>
          <w:sz w:val="32"/>
          <w:szCs w:val="32"/>
        </w:rPr>
        <w:t>2.绩效从制定、评价到使用都缺少系统性训练。</w:t>
      </w:r>
    </w:p>
    <w:p>
      <w:pPr>
        <w:spacing w:line="580" w:lineRule="exact"/>
        <w:ind w:firstLine="640" w:firstLineChars="200"/>
        <w:rPr>
          <w:rFonts w:ascii="仿宋_GB2312" w:hAnsi="宋体" w:eastAsia="仿宋_GB2312"/>
          <w:sz w:val="32"/>
          <w:szCs w:val="32"/>
          <w:lang w:val="zh-CN"/>
        </w:rPr>
      </w:pPr>
      <w:r>
        <w:rPr>
          <w:rFonts w:eastAsia="仿宋"/>
          <w:sz w:val="32"/>
          <w:szCs w:val="32"/>
        </w:rPr>
        <w:t>3.预算编制的合理性需要提高</w:t>
      </w:r>
      <w:r>
        <w:rPr>
          <w:rFonts w:hint="eastAsia" w:ascii="仿宋_GB2312" w:hAnsi="宋体" w:eastAsia="仿宋_GB2312"/>
          <w:sz w:val="32"/>
          <w:szCs w:val="32"/>
          <w:lang w:val="zh-CN"/>
        </w:rPr>
        <w:t>。</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eastAsia="仿宋"/>
          <w:sz w:val="32"/>
          <w:szCs w:val="32"/>
        </w:rPr>
        <w:t>加强预算编制的合理性，平衡预算配置。加强对预算编制和绩效的培训，绩效不仅是在绩效填报上培训，还需要从绩效编制、绩效编制、绩效评价（自评和第三方评价）、绩效结果应用上做一体化培训，促进绩效系统的成熟和稳定</w:t>
      </w:r>
      <w:r>
        <w:rPr>
          <w:rFonts w:hint="eastAsia" w:ascii="仿宋_GB2312" w:hAnsi="宋体" w:eastAsia="仿宋_GB2312"/>
          <w:sz w:val="32"/>
          <w:szCs w:val="32"/>
          <w:lang w:val="zh-CN"/>
        </w:rPr>
        <w:t>。</w:t>
      </w:r>
    </w:p>
    <w:p>
      <w:pPr>
        <w:pStyle w:val="6"/>
        <w:spacing w:before="93"/>
        <w:rPr>
          <w:lang w:val="zh-CN"/>
        </w:rPr>
      </w:pPr>
    </w:p>
    <w:p>
      <w:pPr>
        <w:pStyle w:val="6"/>
        <w:spacing w:before="93"/>
        <w:rPr>
          <w:lang w:val="zh-CN"/>
        </w:rPr>
      </w:pPr>
    </w:p>
    <w:p>
      <w:pPr>
        <w:pStyle w:val="6"/>
        <w:spacing w:before="93"/>
        <w:rPr>
          <w:lang w:val="zh-CN"/>
        </w:rPr>
      </w:pP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p>
      <w:pPr>
        <w:spacing w:line="580" w:lineRule="exact"/>
        <w:rPr>
          <w:rStyle w:val="27"/>
          <w:rFonts w:ascii="黑体" w:hAnsi="黑体" w:eastAsia="黑体"/>
          <w:b w:val="0"/>
        </w:rPr>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"C:\\Users\\w\\AppData\\Roaming\\Tencent\\Users\\248301485\\QQ\\WinTemp\\RichOle\\37_WB(53M1LCDO}0DYPM2NK.png"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018530" cy="5575300"/>
            <wp:effectExtent l="0" t="0" r="1270" b="635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a:stretch>
                      <a:fillRect/>
                    </a:stretch>
                  </pic:blipFill>
                  <pic:spPr>
                    <a:xfrm>
                      <a:off x="0" y="0"/>
                      <a:ext cx="6018530" cy="5575300"/>
                    </a:xfrm>
                    <a:prstGeom prst="rect">
                      <a:avLst/>
                    </a:prstGeom>
                    <a:noFill/>
                    <a:ln w="9525">
                      <a:noFill/>
                    </a:ln>
                  </pic:spPr>
                </pic:pic>
              </a:graphicData>
            </a:graphic>
          </wp:inline>
        </w:drawing>
      </w:r>
      <w:r>
        <w:rPr>
          <w:rFonts w:ascii="宋体" w:hAnsi="宋体" w:cs="宋体"/>
          <w:kern w:val="0"/>
          <w:sz w:val="24"/>
        </w:rPr>
        <w:fldChar w:fldCharType="end"/>
      </w: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pPr>
      <w:r>
        <w:drawing>
          <wp:inline distT="0" distB="0" distL="114300" distR="114300">
            <wp:extent cx="5273040" cy="4527550"/>
            <wp:effectExtent l="0" t="0" r="381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5273040" cy="4527550"/>
                    </a:xfrm>
                    <a:prstGeom prst="rect">
                      <a:avLst/>
                    </a:prstGeom>
                    <a:noFill/>
                    <a:ln w="9525">
                      <a:noFill/>
                    </a:ln>
                  </pic:spPr>
                </pic:pic>
              </a:graphicData>
            </a:graphic>
          </wp:inline>
        </w:drawing>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"C:\\Users\\w\\AppData\\Roaming\\Tencent\\Users\\248301485\\QQ\\WinTemp\\RichOle\\GQ_6F080RAM(K[N)1LN`1G7.png"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160770" cy="5787390"/>
            <wp:effectExtent l="0" t="0" r="11430" b="381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4"/>
                    <a:stretch>
                      <a:fillRect/>
                    </a:stretch>
                  </pic:blipFill>
                  <pic:spPr>
                    <a:xfrm>
                      <a:off x="0" y="0"/>
                      <a:ext cx="6160770" cy="5787390"/>
                    </a:xfrm>
                    <a:prstGeom prst="rect">
                      <a:avLst/>
                    </a:prstGeom>
                    <a:noFill/>
                    <a:ln w="9525">
                      <a:noFill/>
                    </a:ln>
                  </pic:spPr>
                </pic:pic>
              </a:graphicData>
            </a:graphic>
          </wp:inline>
        </w:drawing>
      </w:r>
      <w:r>
        <w:rPr>
          <w:rFonts w:ascii="宋体" w:hAnsi="宋体" w:cs="宋体"/>
          <w:kern w:val="0"/>
          <w:sz w:val="24"/>
        </w:rPr>
        <w:fldChar w:fldCharType="end"/>
      </w:r>
    </w:p>
    <w:p>
      <w:pPr>
        <w:widowControl/>
        <w:jc w:val="left"/>
        <w:rPr>
          <w:rStyle w:val="27"/>
          <w:rFonts w:ascii="黑体" w:hAnsi="黑体" w:eastAsia="黑体"/>
          <w:b w:val="0"/>
        </w:rPr>
      </w:pPr>
      <w:r>
        <w:rPr>
          <w:rStyle w:val="27"/>
          <w:rFonts w:ascii="黑体" w:hAnsi="黑体" w:eastAsia="黑体"/>
          <w:b w:val="0"/>
        </w:rPr>
        <w:br w:type="page"/>
      </w:r>
    </w:p>
    <w:p>
      <w:pPr>
        <w:spacing w:line="600" w:lineRule="exact"/>
        <w:jc w:val="center"/>
        <w:outlineLvl w:val="0"/>
        <w:rPr>
          <w:rFonts w:ascii="仿宋" w:hAnsi="仿宋" w:eastAsia="仿宋"/>
        </w:rPr>
      </w:pPr>
      <w:bookmarkStart w:id="59" w:name="_Toc15396618"/>
      <w:r>
        <w:rPr>
          <w:rFonts w:hint="eastAsia" w:ascii="黑体" w:hAnsi="黑体" w:eastAsia="黑体"/>
          <w:sz w:val="44"/>
          <w:szCs w:val="44"/>
        </w:rPr>
        <w:t>第</w:t>
      </w:r>
      <w:r>
        <w:rPr>
          <w:rStyle w:val="27"/>
          <w:rFonts w:hint="eastAsia" w:ascii="黑体" w:hAnsi="黑体" w:eastAsia="黑体"/>
          <w:b w:val="0"/>
        </w:rPr>
        <w:t>五部分 附表</w:t>
      </w:r>
      <w:bookmarkEnd w:id="57"/>
      <w:bookmarkEnd w:id="59"/>
      <w:bookmarkStart w:id="60" w:name="_Toc15396619"/>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60"/>
    </w:p>
    <w:p>
      <w:pPr>
        <w:pStyle w:val="4"/>
        <w:rPr>
          <w:rFonts w:ascii="仿宋" w:hAnsi="仿宋" w:eastAsia="仿宋"/>
        </w:rPr>
      </w:pPr>
      <w:bookmarkStart w:id="61" w:name="_Toc15396620"/>
      <w:r>
        <w:rPr>
          <w:rFonts w:hint="eastAsia" w:ascii="仿宋" w:hAnsi="仿宋" w:eastAsia="仿宋"/>
          <w:b w:val="0"/>
        </w:rPr>
        <w:t>二、收</w:t>
      </w:r>
      <w:r>
        <w:rPr>
          <w:rStyle w:val="28"/>
          <w:rFonts w:hint="eastAsia" w:ascii="仿宋" w:hAnsi="仿宋" w:eastAsia="仿宋"/>
          <w:b w:val="0"/>
          <w:bCs w:val="0"/>
        </w:rPr>
        <w:t>入决算表</w:t>
      </w:r>
      <w:bookmarkEnd w:id="61"/>
    </w:p>
    <w:p>
      <w:pPr>
        <w:pStyle w:val="4"/>
        <w:rPr>
          <w:rFonts w:ascii="仿宋" w:hAnsi="仿宋" w:eastAsia="仿宋"/>
        </w:rPr>
      </w:pPr>
      <w:bookmarkStart w:id="62"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62"/>
    </w:p>
    <w:p>
      <w:pPr>
        <w:pStyle w:val="4"/>
        <w:rPr>
          <w:rFonts w:ascii="仿宋" w:hAnsi="仿宋" w:eastAsia="仿宋"/>
          <w:b w:val="0"/>
        </w:rPr>
      </w:pPr>
      <w:bookmarkStart w:id="63"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63"/>
    </w:p>
    <w:p>
      <w:pPr>
        <w:pStyle w:val="4"/>
        <w:rPr>
          <w:rStyle w:val="28"/>
          <w:rFonts w:ascii="仿宋" w:hAnsi="仿宋" w:eastAsia="仿宋"/>
          <w:b w:val="0"/>
          <w:bCs w:val="0"/>
        </w:rPr>
      </w:pPr>
      <w:bookmarkStart w:id="64"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64"/>
      <w:bookmarkStart w:id="65" w:name="_Toc15396624"/>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65"/>
    </w:p>
    <w:p>
      <w:pPr>
        <w:pStyle w:val="4"/>
        <w:rPr>
          <w:rFonts w:ascii="仿宋" w:hAnsi="仿宋" w:eastAsia="仿宋"/>
        </w:rPr>
      </w:pPr>
      <w:bookmarkStart w:id="66"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6"/>
    </w:p>
    <w:p>
      <w:pPr>
        <w:pStyle w:val="4"/>
        <w:rPr>
          <w:rFonts w:ascii="仿宋" w:hAnsi="仿宋" w:eastAsia="仿宋"/>
        </w:rPr>
      </w:pPr>
      <w:bookmarkStart w:id="67"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7"/>
    </w:p>
    <w:p>
      <w:pPr>
        <w:pStyle w:val="4"/>
        <w:rPr>
          <w:rFonts w:ascii="仿宋" w:hAnsi="仿宋" w:eastAsia="仿宋"/>
        </w:rPr>
      </w:pPr>
      <w:bookmarkStart w:id="68"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8"/>
    </w:p>
    <w:p>
      <w:pPr>
        <w:pStyle w:val="4"/>
        <w:rPr>
          <w:rFonts w:ascii="仿宋" w:hAnsi="仿宋" w:eastAsia="仿宋"/>
        </w:rPr>
      </w:pPr>
      <w:bookmarkStart w:id="69" w:name="_Toc15396628"/>
      <w:r>
        <w:rPr>
          <w:rStyle w:val="28"/>
          <w:rFonts w:hint="eastAsia" w:ascii="仿宋" w:hAnsi="仿宋" w:eastAsia="仿宋"/>
          <w:b w:val="0"/>
          <w:bCs w:val="0"/>
        </w:rPr>
        <w:t>十、</w:t>
      </w:r>
      <w:r>
        <w:rPr>
          <w:rFonts w:hint="eastAsia" w:ascii="仿宋" w:hAnsi="仿宋" w:eastAsia="仿宋"/>
          <w:b w:val="0"/>
        </w:rPr>
        <w:t>一</w:t>
      </w:r>
      <w:r>
        <w:rPr>
          <w:rStyle w:val="28"/>
          <w:rFonts w:hint="eastAsia" w:ascii="仿宋" w:hAnsi="仿宋" w:eastAsia="仿宋"/>
          <w:b w:val="0"/>
          <w:bCs w:val="0"/>
        </w:rPr>
        <w:t>般公共预算财政拨款“三公”经费支出决算表</w:t>
      </w:r>
      <w:bookmarkEnd w:id="69"/>
    </w:p>
    <w:p>
      <w:pPr>
        <w:pStyle w:val="4"/>
        <w:rPr>
          <w:rFonts w:ascii="仿宋" w:hAnsi="仿宋" w:eastAsia="仿宋"/>
        </w:rPr>
      </w:pPr>
      <w:bookmarkStart w:id="70" w:name="_Toc15396629"/>
      <w:r>
        <w:rPr>
          <w:rStyle w:val="28"/>
          <w:rFonts w:hint="eastAsia" w:ascii="仿宋" w:hAnsi="仿宋" w:eastAsia="仿宋"/>
          <w:b w:val="0"/>
          <w:bCs w:val="0"/>
        </w:rPr>
        <w:t>十一、</w:t>
      </w:r>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70"/>
    </w:p>
    <w:p>
      <w:pPr>
        <w:pStyle w:val="4"/>
        <w:rPr>
          <w:rFonts w:ascii="仿宋" w:hAnsi="仿宋" w:eastAsia="仿宋"/>
        </w:rPr>
      </w:pPr>
      <w:bookmarkStart w:id="71" w:name="_Toc15396630"/>
      <w:r>
        <w:rPr>
          <w:rStyle w:val="28"/>
          <w:rFonts w:hint="eastAsia" w:ascii="仿宋" w:hAnsi="仿宋" w:eastAsia="仿宋"/>
          <w:b w:val="0"/>
          <w:bCs w:val="0"/>
        </w:rPr>
        <w:t>十二、</w:t>
      </w:r>
      <w:r>
        <w:rPr>
          <w:rFonts w:hint="eastAsia" w:ascii="仿宋" w:hAnsi="仿宋" w:eastAsia="仿宋"/>
          <w:b w:val="0"/>
        </w:rPr>
        <w:t>政</w:t>
      </w:r>
      <w:r>
        <w:rPr>
          <w:rStyle w:val="28"/>
          <w:rFonts w:hint="eastAsia" w:ascii="仿宋" w:hAnsi="仿宋" w:eastAsia="仿宋"/>
          <w:b w:val="0"/>
          <w:bCs w:val="0"/>
        </w:rPr>
        <w:t>府性基金预算财政拨款“三公”经费支出决算表</w:t>
      </w:r>
      <w:bookmarkEnd w:id="71"/>
    </w:p>
    <w:p>
      <w:pPr>
        <w:pStyle w:val="4"/>
        <w:rPr>
          <w:rStyle w:val="28"/>
          <w:rFonts w:ascii="仿宋" w:hAnsi="仿宋" w:eastAsia="仿宋"/>
          <w:b w:val="0"/>
          <w:bCs w:val="0"/>
        </w:rPr>
      </w:pPr>
      <w:bookmarkStart w:id="72" w:name="_Toc15396631"/>
      <w:r>
        <w:rPr>
          <w:rStyle w:val="28"/>
          <w:rFonts w:hint="eastAsia" w:ascii="仿宋" w:hAnsi="仿宋" w:eastAsia="仿宋"/>
          <w:b w:val="0"/>
          <w:bCs w:val="0"/>
        </w:rPr>
        <w:t>十三、</w:t>
      </w:r>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72"/>
    </w:p>
    <w:p>
      <w:pPr>
        <w:rPr>
          <w:rFonts w:eastAsia="仿宋"/>
        </w:rPr>
      </w:pPr>
      <w:r>
        <w:rPr>
          <w:rStyle w:val="28"/>
          <w:rFonts w:hint="eastAsia" w:ascii="仿宋" w:hAnsi="仿宋" w:eastAsia="仿宋"/>
          <w:b w:val="0"/>
          <w:bCs w:val="0"/>
        </w:rPr>
        <w:t>十四、国有资本经营预算财政拨款支出决算表</w:t>
      </w:r>
    </w:p>
    <w:sectPr>
      <w:headerReference r:id="rId3" w:type="default"/>
      <w:footerReference r:id="rId4" w:type="default"/>
      <w:pgSz w:w="11906" w:h="16838"/>
      <w:pgMar w:top="2098"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9"/>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18</w:t>
                    </w:r>
                    <w:r>
                      <w:rPr>
                        <w:rFonts w:hint="eastAsia" w:ascii="宋体" w:hAnsi="宋体" w:eastAsia="宋体" w:cs="宋体"/>
                        <w:sz w:val="28"/>
                        <w:szCs w:val="28"/>
                        <w:lang w:val="zh-CN"/>
                      </w:rPr>
                      <w:fldChar w:fldCharType="end"/>
                    </w:r>
                  </w:p>
                </w:sdtContent>
              </w:sdt>
              <w:p>
                <w:pPr>
                  <w:pStyle w:val="2"/>
                </w:pP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cyZTJkOWVjMmQ4NzRjMTczZTljM2FjOTk0MTk3ZT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57D86"/>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2F57AF"/>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3C81"/>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0E2"/>
    <w:rsid w:val="007127B7"/>
    <w:rsid w:val="0071798E"/>
    <w:rsid w:val="007416B6"/>
    <w:rsid w:val="00746F48"/>
    <w:rsid w:val="0075404D"/>
    <w:rsid w:val="0076182A"/>
    <w:rsid w:val="00767B7E"/>
    <w:rsid w:val="00775638"/>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15012"/>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14B9"/>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1905"/>
    <w:rsid w:val="00B03C9D"/>
    <w:rsid w:val="00B060AE"/>
    <w:rsid w:val="00B10517"/>
    <w:rsid w:val="00B14E76"/>
    <w:rsid w:val="00B161B8"/>
    <w:rsid w:val="00B2048C"/>
    <w:rsid w:val="00B310B9"/>
    <w:rsid w:val="00B35F3F"/>
    <w:rsid w:val="00B36CBB"/>
    <w:rsid w:val="00B425E0"/>
    <w:rsid w:val="00B440AA"/>
    <w:rsid w:val="00B44A8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E0F6E"/>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90ED9"/>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67C6FD8"/>
    <w:rsid w:val="07996F6E"/>
    <w:rsid w:val="09C57BC2"/>
    <w:rsid w:val="0A2032A3"/>
    <w:rsid w:val="101860EC"/>
    <w:rsid w:val="10C055FF"/>
    <w:rsid w:val="118107EC"/>
    <w:rsid w:val="13D50BC4"/>
    <w:rsid w:val="155E1926"/>
    <w:rsid w:val="16BB723D"/>
    <w:rsid w:val="1BE8440E"/>
    <w:rsid w:val="1D155CEE"/>
    <w:rsid w:val="23860B96"/>
    <w:rsid w:val="240371BF"/>
    <w:rsid w:val="29FD04D3"/>
    <w:rsid w:val="2C8A61B5"/>
    <w:rsid w:val="2DF04E50"/>
    <w:rsid w:val="319F7F4E"/>
    <w:rsid w:val="36AA5135"/>
    <w:rsid w:val="37E16F03"/>
    <w:rsid w:val="3B9E1770"/>
    <w:rsid w:val="3D98207C"/>
    <w:rsid w:val="44E268DA"/>
    <w:rsid w:val="48E70D8E"/>
    <w:rsid w:val="4A627F82"/>
    <w:rsid w:val="4B4F25DA"/>
    <w:rsid w:val="4BDB440D"/>
    <w:rsid w:val="4BE068DB"/>
    <w:rsid w:val="4D577224"/>
    <w:rsid w:val="4EAB630A"/>
    <w:rsid w:val="4ECE2238"/>
    <w:rsid w:val="50BA29F3"/>
    <w:rsid w:val="54455564"/>
    <w:rsid w:val="5AF92295"/>
    <w:rsid w:val="5CD71FC4"/>
    <w:rsid w:val="6A487E7B"/>
    <w:rsid w:val="6C4A05C8"/>
    <w:rsid w:val="6E7E3605"/>
    <w:rsid w:val="6FF5CC65"/>
    <w:rsid w:val="715C0E4B"/>
    <w:rsid w:val="72734D90"/>
    <w:rsid w:val="7300675E"/>
    <w:rsid w:val="73AD73D5"/>
    <w:rsid w:val="73B6EB34"/>
    <w:rsid w:val="79EE5BA4"/>
    <w:rsid w:val="7A4C046A"/>
    <w:rsid w:val="7A894339"/>
    <w:rsid w:val="7EEF11D3"/>
    <w:rsid w:val="7FA30C79"/>
    <w:rsid w:val="7FC96657"/>
    <w:rsid w:val="D8D6DB89"/>
    <w:rsid w:val="DB6F4CAB"/>
    <w:rsid w:val="DF6F9789"/>
  </w:rsids>
  <m:mathPr>
    <m:lMargin m:val="0"/>
    <m:mathFont m:val="Cambria Math"/>
    <m:rMargin m:val="0"/>
    <m:wrapIndent m:val="1440"/>
    <m:brkBin m:val="before"/>
    <m:brkBinSub m:val="--"/>
    <m:defJc m:val="centerGroup"/>
    <m:intLim m:val="subSup"/>
    <m:naryLim m:val="undOvr"/>
    <m:smallFrac m:val="1"/>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spacing w:beforeAutospacing="1"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paragraph" w:customStyle="1" w:styleId="18">
    <w:name w:val="默认"/>
    <w:basedOn w:val="1"/>
    <w:next w:val="1"/>
    <w:qFormat/>
    <w:uiPriority w:val="0"/>
    <w:pPr>
      <w:widowControl/>
      <w:jc w:val="left"/>
    </w:pPr>
    <w:rPr>
      <w:rFonts w:ascii="Helvetica Neue" w:hAnsi="Helvetica Neue" w:eastAsia="Arial Unicode MS" w:cs="Arial Unicode MS"/>
      <w:color w:val="000000"/>
      <w:kern w:val="0"/>
      <w:sz w:val="22"/>
    </w:rPr>
  </w:style>
  <w:style w:type="character" w:customStyle="1" w:styleId="19">
    <w:name w:val="Header Char"/>
    <w:basedOn w:val="14"/>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4"/>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4"/>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列出段落1"/>
    <w:basedOn w:val="1"/>
    <w:qFormat/>
    <w:uiPriority w:val="34"/>
    <w:pPr>
      <w:ind w:firstLine="420" w:firstLineChars="200"/>
    </w:pPr>
  </w:style>
  <w:style w:type="character" w:customStyle="1" w:styleId="27">
    <w:name w:val="标题 1 Char"/>
    <w:basedOn w:val="14"/>
    <w:link w:val="3"/>
    <w:qFormat/>
    <w:uiPriority w:val="9"/>
    <w:rPr>
      <w:rFonts w:ascii="Times New Roman" w:hAnsi="Times New Roman"/>
      <w:b/>
      <w:bCs/>
      <w:kern w:val="44"/>
      <w:sz w:val="44"/>
      <w:szCs w:val="44"/>
    </w:rPr>
  </w:style>
  <w:style w:type="character" w:customStyle="1" w:styleId="28">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4"/>
    <w:link w:val="8"/>
    <w:semiHidden/>
    <w:qFormat/>
    <w:uiPriority w:val="99"/>
    <w:rPr>
      <w:rFonts w:ascii="Times New Roman" w:hAnsi="Times New Roman"/>
      <w:kern w:val="2"/>
      <w:sz w:val="18"/>
      <w:szCs w:val="18"/>
    </w:rPr>
  </w:style>
  <w:style w:type="character" w:customStyle="1" w:styleId="31">
    <w:name w:val="标题 3 Char"/>
    <w:basedOn w:val="14"/>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fontstyle61"/>
    <w:qFormat/>
    <w:uiPriority w:val="0"/>
    <w:rPr>
      <w:rFonts w:hint="eastAsia" w:ascii="楷体_GB2312" w:eastAsia="楷体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28</Pages>
  <Words>1831</Words>
  <Characters>10440</Characters>
  <Lines>87</Lines>
  <Paragraphs>24</Paragraphs>
  <ScaleCrop>false</ScaleCrop>
  <LinksUpToDate>false</LinksUpToDate>
  <CharactersWithSpaces>12247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2022-08-08T09:11:00Z</cp:lastPrinted>
  <dcterms:modified xsi:type="dcterms:W3CDTF">2023-10-09T07:52:01Z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4E7D7BB643864D41AFE6DF6AD5EF7F79</vt:lpwstr>
  </property>
</Properties>
</file>