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8441"/>
      <w:bookmarkStart w:id="4" w:name="_Toc15396475"/>
      <w:bookmarkStart w:id="5" w:name="_Toc15377425"/>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bookmarkStart w:id="6" w:name="_Toc15396598"/>
      <w:bookmarkStart w:id="7" w:name="_Toc15306268"/>
      <w:bookmarkStart w:id="8" w:name="_Toc15377194"/>
      <w:bookmarkStart w:id="9" w:name="_Toc15378442"/>
      <w:bookmarkStart w:id="10" w:name="_Toc15396476"/>
      <w:bookmarkStart w:id="11" w:name="_Toc15377426"/>
      <w:r>
        <w:rPr>
          <w:rFonts w:hint="eastAsia" w:ascii="方正小标宋简体" w:hAnsi="方正小标宋简体" w:eastAsia="方正小标宋简体" w:cs="方正小标宋简体"/>
          <w:sz w:val="72"/>
          <w:szCs w:val="72"/>
        </w:rPr>
        <w:t>四川省</w:t>
      </w:r>
      <w:r>
        <w:rPr>
          <w:rFonts w:hint="eastAsia" w:ascii="方正小标宋_GBK" w:hAnsi="方正小标宋_GBK" w:eastAsia="方正小标宋_GBK" w:cs="方正小标宋_GBK"/>
          <w:color w:val="000000"/>
          <w:sz w:val="72"/>
          <w:szCs w:val="72"/>
        </w:rPr>
        <w:t>攀枝花市西区文化广播电视和旅游局</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bookmarkStart w:id="12" w:name="_Toc15396599"/>
      <w:bookmarkStart w:id="13" w:name="_Toc15377196"/>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公开时间：2022年9月29日</w:t>
      </w:r>
    </w:p>
    <w:p/>
    <w:p>
      <w:pPr>
        <w:pStyle w:val="11"/>
        <w:adjustRightInd w:val="0"/>
        <w:snapToGrid w:val="0"/>
        <w:spacing w:before="0" w:line="440" w:lineRule="exact"/>
        <w:jc w:val="left"/>
        <w:rPr>
          <w:rFonts w:cstheme="minorBidi"/>
          <w:sz w:val="24"/>
          <w:szCs w:val="24"/>
        </w:rPr>
      </w:pPr>
      <w:r>
        <w:rPr>
          <w:rFonts w:hint="eastAsia"/>
          <w:sz w:val="24"/>
        </w:rPr>
        <w:t>第一部分单位概况</w:t>
      </w:r>
      <w:r>
        <w:tab/>
      </w:r>
      <w:r>
        <w:rPr>
          <w:rFonts w:hint="eastAsia"/>
          <w:sz w:val="24"/>
        </w:rPr>
        <w:t>4</w:t>
      </w:r>
    </w:p>
    <w:p>
      <w:pPr>
        <w:pStyle w:val="12"/>
        <w:adjustRightInd w:val="0"/>
        <w:snapToGrid w:val="0"/>
        <w:spacing w:line="440" w:lineRule="exact"/>
        <w:jc w:val="left"/>
        <w:rPr>
          <w:rFonts w:ascii="仿宋" w:hAnsi="仿宋" w:eastAsia="仿宋"/>
          <w:sz w:val="24"/>
        </w:rPr>
      </w:pPr>
      <w:r>
        <w:rPr>
          <w:rFonts w:hint="eastAsia"/>
          <w:sz w:val="24"/>
        </w:rPr>
        <w:t>一、职能简介</w:t>
      </w:r>
      <w:r>
        <w:tab/>
      </w:r>
      <w:r>
        <w:rPr>
          <w:rFonts w:hint="eastAsia"/>
        </w:rPr>
        <w:t>4</w:t>
      </w:r>
    </w:p>
    <w:p>
      <w:pPr>
        <w:pStyle w:val="12"/>
        <w:adjustRightInd w:val="0"/>
        <w:snapToGrid w:val="0"/>
        <w:spacing w:line="440" w:lineRule="exact"/>
        <w:jc w:val="left"/>
        <w:rPr>
          <w:rFonts w:hint="eastAsia"/>
          <w:sz w:val="24"/>
        </w:rPr>
      </w:pPr>
      <w:r>
        <w:rPr>
          <w:rFonts w:hint="eastAsia"/>
          <w:sz w:val="24"/>
        </w:rPr>
        <w:t>二、</w:t>
      </w:r>
      <w:r>
        <w:rPr>
          <w:rFonts w:hint="eastAsia" w:asciiTheme="minorEastAsia" w:hAnsiTheme="minorEastAsia" w:eastAsiaTheme="minorEastAsia" w:cstheme="minorEastAsia"/>
          <w:sz w:val="24"/>
        </w:rPr>
        <w:t>2021年重点工</w:t>
      </w:r>
      <w:r>
        <w:rPr>
          <w:rFonts w:hint="eastAsia"/>
          <w:sz w:val="24"/>
        </w:rPr>
        <w:t>作完成情况..........................................................................11</w:t>
      </w:r>
    </w:p>
    <w:p>
      <w:pPr>
        <w:pStyle w:val="12"/>
        <w:adjustRightInd w:val="0"/>
        <w:snapToGrid w:val="0"/>
        <w:spacing w:line="440" w:lineRule="exact"/>
        <w:jc w:val="left"/>
        <w:rPr>
          <w:rFonts w:hint="default" w:eastAsia="宋体"/>
          <w:lang w:val="en-US" w:eastAsia="zh-CN"/>
        </w:rPr>
      </w:pPr>
      <w:r>
        <w:rPr>
          <w:rFonts w:hint="eastAsia"/>
          <w:sz w:val="24"/>
          <w:lang w:val="en-US" w:eastAsia="zh-CN"/>
        </w:rPr>
        <w:t>三、机构设置情况</w:t>
      </w:r>
      <w:r>
        <w:rPr>
          <w:rFonts w:hint="eastAsia"/>
          <w:sz w:val="24"/>
        </w:rPr>
        <w:tab/>
      </w:r>
      <w:r>
        <w:rPr>
          <w:rFonts w:hint="eastAsia"/>
          <w:sz w:val="24"/>
          <w:lang w:val="en-US" w:eastAsia="zh-CN"/>
        </w:rPr>
        <w:t>11</w:t>
      </w:r>
    </w:p>
    <w:p>
      <w:pPr>
        <w:pStyle w:val="11"/>
        <w:adjustRightInd w:val="0"/>
        <w:snapToGrid w:val="0"/>
        <w:spacing w:before="0" w:line="440" w:lineRule="exact"/>
        <w:jc w:val="left"/>
        <w:rPr>
          <w:sz w:val="24"/>
          <w:szCs w:val="24"/>
        </w:rPr>
      </w:pPr>
      <w:r>
        <w:rPr>
          <w:rFonts w:hint="eastAsia"/>
          <w:sz w:val="24"/>
        </w:rPr>
        <w:t>第二部分2021年度单位决算情况说明..................................12</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一、收入支出决算总体情况说明......................................................................12</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二、收入决算情况说明......................................................................................12</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三、支出决算情况说明......................................................................................13</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四、财政拨款收入支出决算总体情况说明......................................................13</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五、一般公共预算财政拨款支出决算情况说明..............................................14</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六、一般公共预算财政拨款基本支出决算情况说明......................................17</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七、“三公”经费财政拨款支出决算情况说明..............................................18</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八、政府性基金预算支出决算情况说明..........................................................19</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九、国有资本经营预算支出决算情况说明............................19</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其他重要事项的情况说明......................................19</w:t>
      </w:r>
    </w:p>
    <w:p>
      <w:pPr>
        <w:pStyle w:val="11"/>
        <w:adjustRightInd w:val="0"/>
        <w:snapToGrid w:val="0"/>
        <w:spacing w:before="0" w:line="440" w:lineRule="exact"/>
        <w:jc w:val="left"/>
        <w:rPr>
          <w:rFonts w:cstheme="minorBidi"/>
          <w:sz w:val="24"/>
          <w:szCs w:val="24"/>
        </w:rPr>
      </w:pPr>
      <w:r>
        <w:rPr>
          <w:rFonts w:hint="eastAsia"/>
          <w:sz w:val="24"/>
        </w:rPr>
        <w:t>第三部分名词解释...................................................21</w:t>
      </w:r>
    </w:p>
    <w:p>
      <w:pPr>
        <w:pStyle w:val="11"/>
        <w:adjustRightInd w:val="0"/>
        <w:snapToGrid w:val="0"/>
        <w:spacing w:before="0" w:line="440" w:lineRule="exact"/>
        <w:jc w:val="left"/>
        <w:rPr>
          <w:rFonts w:cstheme="minorBidi"/>
          <w:sz w:val="24"/>
          <w:szCs w:val="24"/>
        </w:rPr>
      </w:pPr>
      <w:r>
        <w:rPr>
          <w:rFonts w:hint="eastAsia"/>
          <w:sz w:val="24"/>
        </w:rPr>
        <w:t>第四部分附件.......................................................25</w:t>
      </w:r>
    </w:p>
    <w:p>
      <w:pPr>
        <w:pStyle w:val="11"/>
        <w:adjustRightInd w:val="0"/>
        <w:snapToGrid w:val="0"/>
        <w:spacing w:before="0" w:line="440" w:lineRule="exact"/>
        <w:jc w:val="left"/>
        <w:rPr>
          <w:rFonts w:cstheme="minorBidi"/>
          <w:sz w:val="24"/>
          <w:szCs w:val="24"/>
        </w:rPr>
      </w:pPr>
      <w:r>
        <w:rPr>
          <w:rFonts w:hint="eastAsia"/>
          <w:sz w:val="24"/>
        </w:rPr>
        <w:t>第五部分附表.......................................................34</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十一、政府性基金预算财政拨款收入支出决算表......................34</w:t>
      </w:r>
    </w:p>
    <w:p>
      <w:pPr>
        <w:pStyle w:val="12"/>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十二、政府性基金预算财政拨款“三公”经费支出决算表..............34</w:t>
      </w:r>
    </w:p>
    <w:p>
      <w:pPr>
        <w:pStyle w:val="12"/>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十三、国有资本经营预算财政拨款收入支出决算表....................34</w:t>
      </w:r>
    </w:p>
    <w:p>
      <w:pPr>
        <w:pStyle w:val="12"/>
        <w:adjustRightInd w:val="0"/>
        <w:snapToGrid w:val="0"/>
        <w:spacing w:line="440" w:lineRule="exact"/>
        <w:jc w:val="left"/>
        <w:rPr>
          <w:rFonts w:ascii="仿宋" w:hAnsi="仿宋" w:eastAsia="仿宋"/>
          <w:bCs/>
          <w:kern w:val="44"/>
          <w:sz w:val="24"/>
        </w:rPr>
      </w:pPr>
      <w:r>
        <w:rPr>
          <w:rFonts w:hint="eastAsia" w:asciiTheme="minorEastAsia" w:hAnsiTheme="minorEastAsia" w:eastAsiaTheme="minorEastAsia" w:cstheme="minorEastAsia"/>
          <w:sz w:val="24"/>
        </w:rPr>
        <w:t>十四、国有资本经营预算财政拨款支出决算表........................34</w:t>
      </w:r>
      <w:r>
        <w:rPr>
          <w:rFonts w:ascii="仿宋" w:hAnsi="仿宋" w:eastAsia="仿宋"/>
          <w:b/>
          <w:sz w:val="24"/>
        </w:rPr>
        <w:br w:type="page"/>
      </w:r>
    </w:p>
    <w:p>
      <w:pPr>
        <w:pStyle w:val="3"/>
        <w:jc w:val="center"/>
        <w:rPr>
          <w:rFonts w:ascii="黑体" w:eastAsia="黑体"/>
          <w:sz w:val="32"/>
          <w:szCs w:val="32"/>
        </w:rPr>
      </w:pPr>
      <w:r>
        <w:rPr>
          <w:rFonts w:hint="eastAsia" w:ascii="黑体" w:hAnsi="黑体" w:eastAsia="黑体"/>
          <w:b w:val="0"/>
        </w:rPr>
        <w:t>第一部分 单位</w:t>
      </w:r>
      <w:r>
        <w:rPr>
          <w:rStyle w:val="26"/>
          <w:rFonts w:hint="eastAsia" w:ascii="黑体" w:hAnsi="黑体" w:eastAsia="黑体"/>
          <w:b w:val="0"/>
          <w:bCs w:val="0"/>
        </w:rPr>
        <w:t>概况</w:t>
      </w:r>
      <w:bookmarkEnd w:id="12"/>
      <w:bookmarkEnd w:id="13"/>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黑体" w:hAnsi="黑体" w:eastAsia="黑体" w:cs="黑体"/>
          <w:color w:val="000000"/>
          <w:sz w:val="32"/>
          <w:szCs w:val="32"/>
        </w:rPr>
      </w:pPr>
      <w:bookmarkStart w:id="14" w:name="_Toc15396600"/>
      <w:bookmarkStart w:id="15" w:name="_Toc15377197"/>
      <w:r>
        <w:rPr>
          <w:rFonts w:hint="eastAsia" w:ascii="黑体" w:hAnsi="黑体" w:eastAsia="黑体" w:cs="黑体"/>
          <w:color w:val="000000"/>
          <w:sz w:val="32"/>
          <w:szCs w:val="32"/>
        </w:rPr>
        <w:t>一、职能简介</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1.拟订文化广播电视和旅游政策措施、规范性文件，加强文化广播电视阵地建设，把握正确的舆论导向和创作导向，负责本系统、本部门依法行政工作。</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2.组织推动全区文化、广播电视和旅游业发展，拟订发展规划并组织实施，推进文化广播电视和旅游体制机制改革，推进文化广播电视和旅游融合发展。</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管理全区重大文化广播电视和旅游活动，指导全区重点文化广播电视和旅游基础设施建设，组织全区文化广播电视和旅游宣传推广活动，促进文化广播电视和旅游产业对外合作与市场推广，制定旅游市场开发战略并组织实施，推进全域旅游。</w:t>
      </w:r>
    </w:p>
    <w:p>
      <w:pPr>
        <w:pageBreakBefore w:val="0"/>
        <w:widowControl/>
        <w:shd w:val="clear" w:color="auto" w:fill="FFFFFF"/>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导管理文化艺术、广播电视事业，推动文化艺术、广播电视创作生产，扶持体现社会主义核心价值观、具有导向性代表性示范性的文化艺术、广播电视作品，推动各门类文化艺术及艺术品种发展，推动中华优秀传统文化传承发展。</w:t>
      </w:r>
    </w:p>
    <w:p>
      <w:pPr>
        <w:pStyle w:val="13"/>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负责公共文化事业发展，推进全区公共文化服务体系、广播电视基本公共服务和旅游公共服务建设，组织实施公共服务重大公益工程和公益活动，深入实施惠民工程，统筹推进文化和广播电视基本公共服务标准化、均等化。</w:t>
      </w:r>
    </w:p>
    <w:p>
      <w:pPr>
        <w:pStyle w:val="13"/>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6.推进文化广播电视和旅游行业信息化、标准化建设。组织实施文化和旅游资源普查、挖掘、保护与利用工作，促进产业发展。</w:t>
      </w:r>
    </w:p>
    <w:p>
      <w:pPr>
        <w:pStyle w:val="13"/>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指导文化广播电视和旅游市场发展，对文化广播电视和旅游市场经营活动进行行业监管，推进行业信用体系建设，依法规范文化广播电视和旅游市场。负责全区文化旅游市场领域综合行政执法，组织或参与查处全区性跨区域文化、就让我、广播电视、旅游等市场的违法行为，督查督办大案要案，维护市场秩序。</w:t>
      </w:r>
    </w:p>
    <w:p>
      <w:pPr>
        <w:pStyle w:val="13"/>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管理和指导全区文物保护利用与考古工作、协调、指导和监督全区文物安全，履行文物行政督察职责。监督管理全区文化遗产保护和博物馆事业，负责地方文物保护单位申报工作，推进全区文化遗产的管理、保护、传承、普及、弘扬和振兴工作。</w:t>
      </w:r>
    </w:p>
    <w:p>
      <w:pPr>
        <w:pStyle w:val="13"/>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负责对各类广播电视机构进行业务指导和行业监管，会同有关部门对网络视听节目服务机构及内容进行管理。负责广播电视与新媒体新技术新业态融合发展，推进“三网”融合。负责广播电视节目传输覆盖、监测和安全播出的监督管理，指导、推进应急广播电视体系建设。</w:t>
      </w:r>
    </w:p>
    <w:p>
      <w:pPr>
        <w:pStyle w:val="13"/>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10.承担全区文化广播电视和旅游、文物对外以及对港澳台的交流与合作。</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11.负责职责范围内的安全生产和职业健康、生态环境保护、审批服务便民化等工作。</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12.完成区委、区政府交办的其他任务。</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二、2021年重点工作</w:t>
      </w:r>
      <w:bookmarkEnd w:id="14"/>
      <w:bookmarkEnd w:id="15"/>
      <w:r>
        <w:rPr>
          <w:rFonts w:hint="eastAsia" w:ascii="黑体" w:hAnsi="黑体" w:eastAsia="黑体" w:cs="黑体"/>
          <w:color w:val="000000"/>
          <w:sz w:val="32"/>
          <w:szCs w:val="32"/>
        </w:rPr>
        <w:t>完成情况</w:t>
      </w:r>
    </w:p>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1.构建公共文化服务体系。</w:t>
      </w:r>
      <w:r>
        <w:rPr>
          <w:rFonts w:hint="eastAsia" w:ascii="仿宋_GB2312" w:hAnsi="仿宋_GB2312" w:eastAsia="仿宋_GB2312" w:cs="仿宋_GB2312"/>
          <w:color w:val="000000"/>
          <w:sz w:val="32"/>
          <w:szCs w:val="32"/>
        </w:rPr>
        <w:t>圆满完成第四批国家</w:t>
      </w:r>
      <w:r>
        <w:rPr>
          <w:rFonts w:hint="eastAsia" w:ascii="仿宋_GB2312" w:hAnsi="仿宋_GB2312" w:eastAsia="仿宋_GB2312" w:cs="仿宋_GB2312"/>
          <w:sz w:val="32"/>
          <w:szCs w:val="32"/>
        </w:rPr>
        <w:t>公共文化服务体系示范区创建任务，公共文化服务提质增效。</w:t>
      </w:r>
      <w:r>
        <w:rPr>
          <w:rFonts w:hint="eastAsia" w:ascii="仿宋_GB2312" w:hAnsi="仿宋_GB2312" w:eastAsia="仿宋_GB2312" w:cs="仿宋_GB2312"/>
          <w:b/>
          <w:bCs/>
          <w:sz w:val="32"/>
          <w:szCs w:val="32"/>
        </w:rPr>
        <w:t>一是创新服务机制。</w:t>
      </w:r>
      <w:r>
        <w:rPr>
          <w:rFonts w:hint="eastAsia" w:ascii="仿宋_GB2312" w:hAnsi="仿宋_GB2312" w:eastAsia="仿宋_GB2312" w:cs="仿宋_GB2312"/>
          <w:sz w:val="32"/>
          <w:szCs w:val="32"/>
        </w:rPr>
        <w:t>建成市三线博物馆分馆3个，区文化馆分馆4个、图书馆分馆6个，地企共建馆外服务点8个；新设文化共享数字终端10个，推出党史学习教育等线上文化服务项目180余件，线下线上文化生活更为便捷。</w:t>
      </w:r>
      <w:r>
        <w:rPr>
          <w:rFonts w:hint="eastAsia" w:ascii="仿宋_GB2312" w:hAnsi="仿宋_GB2312" w:eastAsia="仿宋_GB2312" w:cs="仿宋_GB2312"/>
          <w:b/>
          <w:bCs/>
          <w:sz w:val="32"/>
          <w:szCs w:val="32"/>
        </w:rPr>
        <w:t>二是按需增强供给。</w:t>
      </w:r>
      <w:r>
        <w:rPr>
          <w:rFonts w:hint="eastAsia" w:ascii="仿宋_GB2312" w:hAnsi="仿宋_GB2312" w:eastAsia="仿宋_GB2312" w:cs="仿宋_GB2312"/>
          <w:sz w:val="32"/>
          <w:szCs w:val="32"/>
        </w:rPr>
        <w:t>以“菜单式”“订单式”服务模式统筹资源，先后推出“文化服务惠民行”“你选书·我买单”“夏季文艺订单”等服务项目，打造“苏铁剧场”“苏铁书院”服务品牌，围绕庆祝中国共产党成立100周年实施“习风暖阳庆新春”线上文艺拜年演出、金沙书会、美术书法展、市歌红歌传唱、专题文艺汇演等重要活动，创编文艺作品11件，举办送演出下基层15次、图书下基层流动服务13次，读书交流和讲座活动8次。</w:t>
      </w:r>
      <w:r>
        <w:rPr>
          <w:rFonts w:hint="eastAsia" w:ascii="仿宋_GB2312" w:hAnsi="仿宋_GB2312" w:eastAsia="仿宋_GB2312" w:cs="仿宋_GB2312"/>
          <w:b/>
          <w:bCs/>
          <w:sz w:val="32"/>
          <w:szCs w:val="32"/>
        </w:rPr>
        <w:t>三是加强阵地建设。</w:t>
      </w:r>
      <w:r>
        <w:rPr>
          <w:rFonts w:hint="eastAsia" w:ascii="仿宋_GB2312" w:hAnsi="仿宋_GB2312" w:eastAsia="仿宋_GB2312" w:cs="仿宋_GB2312"/>
          <w:sz w:val="32"/>
          <w:szCs w:val="32"/>
        </w:rPr>
        <w:t>落实疫情防控要求，开展基层文化专干集中培训5次和下基层指导160余次，用专业指导、节目、队伍和资金支持基层文化站举办建党100周年主题群众文艺汇演28台，党史学习宣讲30场，文体宣传志愿服务、游园展览等其他活动近百次，让文化全方位走进群众。</w:t>
      </w:r>
      <w:r>
        <w:rPr>
          <w:rFonts w:hint="eastAsia" w:ascii="仿宋_GB2312" w:hAnsi="仿宋_GB2312" w:eastAsia="仿宋_GB2312" w:cs="仿宋_GB2312"/>
          <w:b/>
          <w:bCs/>
          <w:sz w:val="32"/>
          <w:szCs w:val="32"/>
        </w:rPr>
        <w:t>四是推动公共建设。</w:t>
      </w:r>
      <w:r>
        <w:rPr>
          <w:rFonts w:hint="eastAsia" w:ascii="仿宋_GB2312" w:hAnsi="仿宋_GB2312" w:eastAsia="仿宋_GB2312" w:cs="仿宋_GB2312"/>
          <w:sz w:val="32"/>
          <w:szCs w:val="32"/>
        </w:rPr>
        <w:t>投入逾100万元为乡镇（街道）综合文化站和村（社区）综合文化服务中心日常运行和活动开展提供支持；投入72万元完成城乡美绘项目，用225个配电箱彩绘妆点城市街道，以2154平方米立面墙绘美化文旅新村；投入近40万元实施农村地区“户户通”直播卫星改造升级和广播电视运行维护，启动了全区“应急广播”体系设计和“文旅+广电”智慧化项目试点。</w:t>
      </w:r>
    </w:p>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2.加强文旅市场监管力度。</w:t>
      </w:r>
      <w:r>
        <w:rPr>
          <w:rFonts w:hint="eastAsia" w:ascii="仿宋_GB2312" w:hAnsi="仿宋_GB2312" w:eastAsia="仿宋_GB2312" w:cs="仿宋_GB2312"/>
          <w:b/>
          <w:bCs/>
          <w:sz w:val="32"/>
          <w:szCs w:val="32"/>
        </w:rPr>
        <w:t>一是落实疫情防控措施。</w:t>
      </w:r>
      <w:r>
        <w:rPr>
          <w:rFonts w:hint="eastAsia" w:ascii="仿宋_GB2312" w:hAnsi="仿宋_GB2312" w:eastAsia="仿宋_GB2312" w:cs="仿宋_GB2312"/>
          <w:sz w:val="32"/>
          <w:szCs w:val="32"/>
        </w:rPr>
        <w:t>严格落实常态化防疫措施，建立完善防疫应急预案、工作台账和问题台账，停业整顿2家，责令整改7家；做好重点地区或中高风险地区来（返）攀人员摸排和后勤保障服务工作；组织264名文旅市场从业人员接种新冠疫苗，并做好疫苗接种率统计、宣传等工作，疫苗接种率达99.6%。</w:t>
      </w:r>
      <w:r>
        <w:rPr>
          <w:rFonts w:hint="eastAsia" w:ascii="仿宋_GB2312" w:hAnsi="仿宋_GB2312" w:eastAsia="仿宋_GB2312" w:cs="仿宋_GB2312"/>
          <w:b/>
          <w:bCs/>
          <w:sz w:val="32"/>
          <w:szCs w:val="32"/>
        </w:rPr>
        <w:t>二是扎实推进“三防一安全”。</w:t>
      </w:r>
      <w:r>
        <w:rPr>
          <w:rFonts w:hint="eastAsia" w:ascii="仿宋_GB2312" w:hAnsi="仿宋_GB2312" w:eastAsia="仿宋_GB2312" w:cs="仿宋_GB2312"/>
          <w:sz w:val="32"/>
          <w:szCs w:val="32"/>
        </w:rPr>
        <w:t>开展文旅市场各类专项整治，</w:t>
      </w:r>
      <w:r>
        <w:rPr>
          <w:rFonts w:hint="eastAsia" w:ascii="仿宋_GB2312" w:hAnsi="仿宋_GB2312" w:eastAsia="仿宋_GB2312" w:cs="仿宋_GB2312"/>
          <w:bCs/>
          <w:sz w:val="32"/>
          <w:szCs w:val="32"/>
        </w:rPr>
        <w:t>制定整治方案，明确整治措施、任务、时限等要求，形成排查报告和问题台账，共</w:t>
      </w:r>
      <w:r>
        <w:rPr>
          <w:rFonts w:hint="eastAsia" w:ascii="仿宋_GB2312" w:hAnsi="仿宋_GB2312" w:eastAsia="仿宋_GB2312" w:cs="仿宋_GB2312"/>
          <w:color w:val="000000"/>
          <w:spacing w:val="-6"/>
          <w:sz w:val="32"/>
          <w:szCs w:val="32"/>
        </w:rPr>
        <w:t>发现问题38个，并立即督促整改，定期开展整改回头看，整改完成率100%。落实七级包保工作责任，局领导</w:t>
      </w:r>
      <w:r>
        <w:rPr>
          <w:rFonts w:hint="eastAsia" w:ascii="仿宋_GB2312" w:hAnsi="仿宋_GB2312" w:eastAsia="仿宋_GB2312" w:cs="仿宋_GB2312"/>
          <w:bCs/>
          <w:sz w:val="32"/>
          <w:szCs w:val="32"/>
        </w:rPr>
        <w:t>主动深入社区开展督导4次，整改存在问题5个，向社区、文旅市场、公共服务场所印发宣传资料4000余份，签订承诺书50余份，开展消防应急演练1次</w:t>
      </w:r>
      <w:bookmarkStart w:id="16" w:name="OLE_LINK3"/>
      <w:r>
        <w:rPr>
          <w:rFonts w:hint="eastAsia" w:ascii="仿宋_GB2312" w:hAnsi="仿宋_GB2312" w:eastAsia="仿宋_GB2312" w:cs="仿宋_GB2312"/>
          <w:bCs/>
          <w:sz w:val="32"/>
          <w:szCs w:val="32"/>
        </w:rPr>
        <w:t>，开展防汛专项督导检查14次。</w:t>
      </w:r>
      <w:r>
        <w:rPr>
          <w:rFonts w:hint="eastAsia" w:ascii="仿宋_GB2312" w:hAnsi="仿宋_GB2312" w:eastAsia="仿宋_GB2312" w:cs="仿宋_GB2312"/>
          <w:b/>
          <w:sz w:val="32"/>
          <w:szCs w:val="32"/>
        </w:rPr>
        <w:t>三是规范文旅市场经营行为。</w:t>
      </w:r>
      <w:r>
        <w:rPr>
          <w:rFonts w:hint="eastAsia" w:ascii="仿宋_GB2312" w:hAnsi="仿宋_GB2312" w:eastAsia="仿宋_GB2312" w:cs="仿宋_GB2312"/>
          <w:bCs/>
          <w:sz w:val="32"/>
          <w:szCs w:val="32"/>
        </w:rPr>
        <w:t>以建党100周年为契机，开展专项整治行动执法10余次，查处未经许可经营旅行社业务案件1件和无证经营歌厅2家，清理游摊商贩7家、无证经营出版物1家，处理文化旅游市场市民投诉5件，群众满意度100%；编制2020年行政责任清单384项，办理行政审批案件11件，政务服务一体化平台事项认领率100%，办件覆盖率80%以上，好评率100%。</w:t>
      </w:r>
    </w:p>
    <w:bookmarkEnd w:id="16"/>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3.全力推进文旅产业项目建设。</w:t>
      </w:r>
    </w:p>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（1）2021年旅游经济指标完成情况。</w:t>
      </w:r>
      <w:r>
        <w:rPr>
          <w:rFonts w:hint="eastAsia" w:ascii="仿宋_GB2312" w:hAnsi="仿宋_GB2312" w:eastAsia="仿宋_GB2312" w:cs="仿宋_GB2312"/>
          <w:bCs/>
          <w:sz w:val="32"/>
          <w:szCs w:val="32"/>
        </w:rPr>
        <w:t>2021年固定资产投资目标任务为4亿元，目前在库项目总投资额为5.76亿元，1-10月已完成固定资产报数3.07亿元，完成目标任务的76.8%。2021年文旅产业招商引资目标任务为4亿元，1-11月招商引资总到位资金完成3.6亿元，完成目标任务的90%；2021年国内省外到位资金目标任务为1.5亿元，完成2.75亿元，完成目标任务的183%。服务业增加值增速目标：前三季度全市文化、体育和娱乐业营业收入现价增速为0.8%，工资总额现价增速为13.8%。</w:t>
      </w:r>
    </w:p>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（2）统筹协调，全力推进文旅产业项目。一是</w:t>
      </w:r>
      <w:r>
        <w:rPr>
          <w:rFonts w:hint="eastAsia" w:ascii="仿宋_GB2312" w:hAnsi="仿宋_GB2312" w:eastAsia="仿宋_GB2312" w:cs="仿宋_GB2312"/>
          <w:bCs/>
          <w:sz w:val="32"/>
          <w:szCs w:val="32"/>
        </w:rPr>
        <w:t>统筹推进雅阁居西佛山文旅康养城项目。全力以赴推进雅阁居西佛山文旅康养城项目，做好统筹协调、主动服务，跟进项目前期工作。现已成立项目领导小组，明确成员单位和工作职责。截止11月，投资企业已在西区成立攀枝花市鑫熙阁康养旅游有限公司，缴纳项目保证金110万元，完成项目初步规划设计，正在评审。</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强化指导提档升级。针对庄上村和金家村，积极策划两村提档升级，已完成村内主干道美绘景点，成为新的网红打卡点，7月金家村被成功申报为省级乡村旅游重点村。按照3A级旅游景区标准指导两村积极开展创建工作，指导庄上村完善停车位、母婴室、游客接待中心、标识标牌等旅游基础配套设施和村内农家乐提升旅游服务质量水平。指导金家村顺扬民宿完成建设，并积极对外宣传推广，吸引康养游客。指导菊香小蘭家花卉景观提升，新增小桥流水、秋千等小景点，中秋国庆期间吸引大量游客前往游玩，日均接待人数上千人。针对三线文旅产业园，积极配合三线干部学院西区分院推进习风园“背水小道”提升改造，不断完善提升高家坪影视基地基础设施，植入体验项目，结合辖区内的研学点位，进一步推出半日、一日和两日研学课程。针对希悦国际精品酒店，积极帮助业主协调解决装修中遇到的困难，并指导酒店顺利完成装修，已于6月16日对外营业，高端大气上档次的装修风格深受消费者欢迎。</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全面梳理解决金沙滩历史遗留问题，推进对外招商引资。我局牵头拟定金沙滩解决历史遗留问题处置的工作方案，形成工作专班，为现有资产有效利用和项目招商引资奠定基础。根据梳理的金沙滩历史遗留问题情况和线索，已聘请第三方公司对金沙滩片区进行了评估和摸底；草拟了土地和资产利用协议，初步完成金沙滩旅游资源整理、打包，列出了资源包清单，根据金沙滩文化旅游发展的情况特点以及土地情况，编制了《金沙滩2021年招商引资工作专案》，并对接有意向的商家，积极开展招商引资。</w:t>
      </w:r>
    </w:p>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（3)丰富宣传活动，拉动文旅消费。一是</w:t>
      </w:r>
      <w:r>
        <w:rPr>
          <w:rFonts w:hint="eastAsia" w:ascii="仿宋_GB2312" w:hAnsi="仿宋_GB2312" w:eastAsia="仿宋_GB2312" w:cs="仿宋_GB2312"/>
          <w:bCs/>
          <w:sz w:val="32"/>
          <w:szCs w:val="32"/>
        </w:rPr>
        <w:t>首创了“苏铁宝宝带你逛西区”的旅游地图，拍摄《金沙水韵城 苏铁康养乡》西区文旅宣传片，依托省市区各级宣传推广平台，精心筹备参加成都至攀枝花红色旅游首发专列和2021年第八届四川国际旅游交易博览会，创新方式推介西区的景区景点和吃住耍处，大大提升了西区对外影响力。</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依托《火红年华》电视剧播出，积极谋划高家坪影视基地打造，完善旅游基础配套设施建设，丰富体验项目，加大对外宣传力度。</w:t>
      </w:r>
      <w:r>
        <w:rPr>
          <w:rFonts w:hint="eastAsia" w:ascii="仿宋_GB2312" w:hAnsi="仿宋_GB2312" w:eastAsia="仿宋_GB2312" w:cs="仿宋_GB2312"/>
          <w:b/>
          <w:sz w:val="32"/>
          <w:szCs w:val="32"/>
        </w:rPr>
        <w:t>三是</w:t>
      </w:r>
      <w:r>
        <w:rPr>
          <w:rFonts w:hint="eastAsia" w:ascii="仿宋_GB2312" w:hAnsi="仿宋_GB2312" w:eastAsia="仿宋_GB2312" w:cs="仿宋_GB2312"/>
          <w:bCs/>
          <w:sz w:val="32"/>
          <w:szCs w:val="32"/>
        </w:rPr>
        <w:t>推出“清凉一夏—赏花玩水品位西区”系列活动，西佛山水上世界和苏铁福镇两大户外水上项目备受市内外游客青睐，日均接待人数突破500人以上，周末节假日接待游客每日突破上千人，星瑞时代广场夜市热闹，各餐饮店推出啤酒活动，沃尔玛、北京华联等大型超市推出促销活动，吸引“内圈”“中圈”（如华坪等周边县区）消费者较多。</w:t>
      </w:r>
    </w:p>
    <w:p>
      <w:pPr>
        <w:pageBreakBefore w:val="0"/>
        <w:kinsoku/>
        <w:wordWrap/>
        <w:overflowPunct/>
        <w:topLinePunct w:val="0"/>
        <w:autoSpaceDE/>
        <w:autoSpaceDN/>
        <w:bidi w:val="0"/>
        <w:adjustRightInd/>
        <w:snapToGrid/>
        <w:spacing w:line="353" w:lineRule="auto"/>
        <w:ind w:firstLine="643" w:firstLineChars="20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xml:space="preserve"> 4.取得的工作成绩</w:t>
      </w:r>
    </w:p>
    <w:p>
      <w:pPr>
        <w:pageBreakBefore w:val="0"/>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过不懈努力，西区“初心园”荣获四川省首批社区博物馆示范项目和相应的奖励资金；区文化馆被评为四川省百家全民艺术普及示范基地；格里坪镇入选全省首届乡村文化振兴魅力乡镇竞演大赛百个魅力乡镇，傈僳族高腔传承人海国英获评百名乡村文化能人。文艺队伍赴京参加《国色芳华》全国第二届电视模特大赛并斩获大赛银奖、最佳组织奖和优秀表演奖3大奖项；“七彩炫舞舞蹈队”获评省级文旅公共服务高质量发展“四个一批”评选优秀团队；文艺节目《山野朵朵花香》《阿姊妮玛瓦踢踢》和《难忘大三线》分别荣获市级“英雄攀枝花·颂歌献给党”广场舞展演比赛二等奖、合唱展演三等奖；西区苏铁山药被成功申报为攀枝花市首批“天府旅游名品”。</w:t>
      </w:r>
    </w:p>
    <w:p>
      <w:pPr>
        <w:pageBreakBefore w:val="0"/>
        <w:widowControl/>
        <w:kinsoku/>
        <w:wordWrap/>
        <w:overflowPunct/>
        <w:topLinePunct w:val="0"/>
        <w:autoSpaceDE/>
        <w:autoSpaceDN/>
        <w:bidi w:val="0"/>
        <w:adjustRightInd/>
        <w:snapToGrid/>
        <w:spacing w:line="353" w:lineRule="auto"/>
        <w:ind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三、机构设置情况</w:t>
      </w:r>
    </w:p>
    <w:p>
      <w:pPr>
        <w:pageBreakBefore w:val="0"/>
        <w:widowControl/>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攀枝花市西区文化广播电视和旅游局下设独立编制机构</w:t>
      </w:r>
      <w:r>
        <w:rPr>
          <w:rFonts w:hint="eastAsia" w:ascii="仿宋_GB2312" w:hAnsi="仿宋_GB2312" w:eastAsia="仿宋_GB2312" w:cs="仿宋_GB2312"/>
          <w:bCs/>
          <w:sz w:val="32"/>
          <w:szCs w:val="32"/>
          <w:lang w:val="en-US" w:eastAsia="zh-CN"/>
        </w:rPr>
        <w:t>0个，其中行政机构0个，参照公务员法管理的事业机构0个，其他事业机构2个。</w:t>
      </w:r>
    </w:p>
    <w:p>
      <w:pPr>
        <w:pageBreakBefore w:val="0"/>
        <w:widowControl/>
        <w:kinsoku/>
        <w:wordWrap/>
        <w:overflowPunct/>
        <w:topLinePunct w:val="0"/>
        <w:autoSpaceDE/>
        <w:autoSpaceDN/>
        <w:bidi w:val="0"/>
        <w:adjustRightInd/>
        <w:snapToGrid/>
        <w:spacing w:line="353"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lang w:val="en-US" w:eastAsia="zh-CN"/>
        </w:rPr>
        <w:t>纳入2021年度单位决算编制范围的独立编制机构包括：攀枝花市西区文化馆、攀枝花市西区图书馆。</w:t>
      </w:r>
      <w:r>
        <w:rPr>
          <w:rFonts w:hint="eastAsia" w:ascii="仿宋_GB2312" w:hAnsi="仿宋_GB2312" w:eastAsia="仿宋_GB2312" w:cs="仿宋_GB2312"/>
          <w:bCs/>
          <w:sz w:val="32"/>
          <w:szCs w:val="32"/>
        </w:rPr>
        <w:br w:type="page"/>
      </w:r>
    </w:p>
    <w:p>
      <w:pPr>
        <w:pStyle w:val="3"/>
        <w:ind w:right="440"/>
        <w:jc w:val="center"/>
        <w:rPr>
          <w:rStyle w:val="26"/>
          <w:rFonts w:ascii="黑体" w:hAnsi="黑体" w:eastAsia="黑体"/>
          <w:b w:val="0"/>
          <w:bCs/>
        </w:rPr>
      </w:pPr>
      <w:bookmarkStart w:id="17" w:name="_Toc15396602"/>
      <w:bookmarkStart w:id="18" w:name="_Toc15377204"/>
      <w:r>
        <w:rPr>
          <w:rFonts w:hint="eastAsia" w:ascii="黑体" w:hAnsi="黑体" w:eastAsia="黑体"/>
          <w:b w:val="0"/>
        </w:rPr>
        <w:t>第二部分 2021年度</w:t>
      </w:r>
      <w:r>
        <w:rPr>
          <w:rStyle w:val="26"/>
          <w:rFonts w:hint="eastAsia" w:ascii="黑体" w:hAnsi="黑体" w:eastAsia="黑体"/>
          <w:b w:val="0"/>
          <w:bCs/>
        </w:rPr>
        <w:t>单位决算情况说明</w:t>
      </w:r>
      <w:bookmarkEnd w:id="17"/>
      <w:bookmarkEnd w:id="18"/>
    </w:p>
    <w:p/>
    <w:p>
      <w:pPr>
        <w:pStyle w:val="25"/>
        <w:numPr>
          <w:ilvl w:val="0"/>
          <w:numId w:val="1"/>
        </w:numPr>
        <w:spacing w:line="600" w:lineRule="exact"/>
        <w:ind w:firstLineChars="0"/>
        <w:outlineLvl w:val="1"/>
        <w:rPr>
          <w:rStyle w:val="27"/>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2021年度收、支总计689.35万元。与2020年相比，收、支总计各减少530.09万元，下降47.47</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"C:\\Users\\w\\AppData\\Roaming\\Tencent\\Users\\248301485\\QQ\\WinTemp\\RichOle\\89S)4T]D}3KBH1)L6GIISWI.png"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400550" cy="2743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400550" cy="27432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jc w:val="left"/>
        <w:rPr>
          <w:rFonts w:ascii="仿宋_GB2312" w:eastAsia="仿宋_GB2312"/>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1" w:name="_Toc15377206"/>
      <w:bookmarkStart w:id="22" w:name="_Toc15396604"/>
      <w:r>
        <w:rPr>
          <w:rFonts w:hint="eastAsia" w:ascii="黑体" w:hAnsi="黑体" w:eastAsia="黑体"/>
          <w:sz w:val="32"/>
          <w:szCs w:val="32"/>
        </w:rPr>
        <w:t>收</w:t>
      </w:r>
      <w:r>
        <w:rPr>
          <w:rStyle w:val="27"/>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21年本年收入合计644.89万元，其中：一般公共预算财政拨款收入639.57万元，占99.18</w:t>
      </w:r>
      <w:r>
        <w:rPr>
          <w:rFonts w:ascii="仿宋" w:hAnsi="仿宋" w:eastAsia="仿宋"/>
          <w:sz w:val="32"/>
          <w:szCs w:val="32"/>
        </w:rPr>
        <w:t>%</w:t>
      </w:r>
      <w:r>
        <w:rPr>
          <w:rFonts w:hint="eastAsia" w:ascii="仿宋" w:hAnsi="仿宋" w:eastAsia="仿宋"/>
          <w:sz w:val="32"/>
          <w:szCs w:val="32"/>
        </w:rPr>
        <w:t>；政府性基金预算财政拨款收入5.32万元，占0.82</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"C:\\Users\\w\\AppData\\Roaming\\Tencent\\Users\\248301485\\QQ\\WinTemp\\RichOle\\E%QR[GIL$COHA7NSN~VSUTC.png"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257675" cy="272415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257675" cy="27241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7"/>
          <w:rFonts w:hint="eastAsia" w:ascii="黑体" w:hAnsi="黑体" w:eastAsia="黑体"/>
          <w:b w:val="0"/>
        </w:rPr>
        <w:t>出决算情况说明</w:t>
      </w:r>
      <w:bookmarkEnd w:id="23"/>
      <w:bookmarkEnd w:id="24"/>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21年本年支出合计689.35万元，其中：基本支出528.24万元，占76.63</w:t>
      </w:r>
      <w:r>
        <w:rPr>
          <w:rFonts w:ascii="仿宋" w:hAnsi="仿宋" w:eastAsia="仿宋"/>
          <w:sz w:val="32"/>
          <w:szCs w:val="32"/>
        </w:rPr>
        <w:t>%</w:t>
      </w:r>
      <w:r>
        <w:rPr>
          <w:rFonts w:hint="eastAsia" w:ascii="仿宋" w:hAnsi="仿宋" w:eastAsia="仿宋"/>
          <w:sz w:val="32"/>
          <w:szCs w:val="32"/>
        </w:rPr>
        <w:t>；项目支出161.12万元，占23.37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"C:\\Users\\w\\AppData\\Roaming\\Tencent\\Users\\248301485\\QQ\\WinTemp\\RichOle\\WYHY}~)PGG(BOL({LCY1E(4.png"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971925" cy="274320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3971925" cy="27432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7"/>
          <w:rFonts w:ascii="黑体" w:hAnsi="黑体" w:eastAsia="黑体"/>
          <w:b w:val="0"/>
        </w:rPr>
      </w:pPr>
      <w:bookmarkStart w:id="25" w:name="_Toc15396606"/>
      <w:bookmarkStart w:id="26"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5"/>
      <w:bookmarkEnd w:id="2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21年财政拨款收、支总计689.35万元。与</w:t>
      </w:r>
      <w:r>
        <w:rPr>
          <w:rFonts w:ascii="仿宋" w:hAnsi="仿宋" w:eastAsia="仿宋"/>
          <w:sz w:val="32"/>
          <w:szCs w:val="32"/>
        </w:rPr>
        <w:t>20</w:t>
      </w:r>
      <w:r>
        <w:rPr>
          <w:rFonts w:hint="eastAsia" w:ascii="仿宋" w:hAnsi="仿宋" w:eastAsia="仿宋"/>
          <w:sz w:val="32"/>
          <w:szCs w:val="32"/>
        </w:rPr>
        <w:t>20年相比，财政拨款收、支总计各减少528.58万元，下降43.4</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rPr>
          <w:rFonts w:ascii="仿宋" w:hAnsi="仿宋" w:eastAsia="仿宋"/>
          <w:b/>
          <w:sz w:val="32"/>
          <w:szCs w:val="32"/>
        </w:rPr>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"C:\\Users\\w\\AppData\\Roaming\\Tencent\\Users\\248301485\\QQ\\WinTemp\\RichOle\\L1@V~1AGZEFL97RG@X1Y2]7.png"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4076700" cy="27241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4076700" cy="272415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outlineLvl w:val="1"/>
        <w:rPr>
          <w:rStyle w:val="27"/>
          <w:rFonts w:ascii="黑体" w:hAnsi="黑体" w:eastAsia="黑体"/>
          <w:b w:val="0"/>
        </w:rPr>
      </w:pPr>
      <w:bookmarkStart w:id="27" w:name="_Toc15396607"/>
      <w:bookmarkStart w:id="28" w:name="_Toc15377209"/>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21年一般公共预算财政拨款支出684.04万元，占本年支出合计的99.23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20年相比，一般公共预算财政拨款支出减少185.8万元，下降21.36</w:t>
      </w:r>
      <w:r>
        <w:rPr>
          <w:rFonts w:ascii="仿宋" w:hAnsi="仿宋" w:eastAsia="仿宋"/>
          <w:sz w:val="32"/>
          <w:szCs w:val="32"/>
        </w:rPr>
        <w:t>%</w:t>
      </w:r>
      <w:r>
        <w:rPr>
          <w:rFonts w:hint="eastAsia" w:ascii="仿宋" w:hAnsi="仿宋" w:eastAsia="仿宋"/>
          <w:sz w:val="32"/>
          <w:szCs w:val="32"/>
        </w:rPr>
        <w:t>。主要变动原因是项目经费减少。</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"C:\\Users\\w\\AppData\\Roaming\\Tencent\\Users\\248301485\\QQ\\WinTemp\\RichOle\\3DKMF($RV42JaHXM02{VY.png"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04800" cy="3048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r>
        <w:rPr>
          <w:rFonts w:ascii="宋体" w:hAnsi="宋体" w:cs="宋体"/>
          <w:kern w:val="0"/>
          <w:sz w:val="24"/>
        </w:rPr>
        <w:fldChar w:fldCharType="end"/>
      </w: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"C:\\Users\\w\\AppData\\Roaming\\Tencent\\Users\\248301485\\QQ\\WinTemp\\RichOle\\9SMJJ2UF}{B~@4Y2S[[@[]2.png"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796665" cy="2405380"/>
            <wp:effectExtent l="0" t="0" r="13335" b="1397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1"/>
                    <a:stretch>
                      <a:fillRect/>
                    </a:stretch>
                  </pic:blipFill>
                  <pic:spPr>
                    <a:xfrm>
                      <a:off x="0" y="0"/>
                      <a:ext cx="3796665" cy="240538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21年一般公共预算财政拨款支出684.04万元，主要用于以下方面</w:t>
      </w:r>
      <w:r>
        <w:rPr>
          <w:rFonts w:ascii="仿宋" w:hAnsi="仿宋" w:eastAsia="仿宋"/>
          <w:sz w:val="32"/>
          <w:szCs w:val="32"/>
        </w:rPr>
        <w:t>:</w:t>
      </w:r>
      <w:r>
        <w:rPr>
          <w:rFonts w:hint="eastAsia" w:ascii="仿宋" w:hAnsi="仿宋" w:eastAsia="仿宋"/>
          <w:b/>
          <w:bCs/>
          <w:sz w:val="32"/>
          <w:szCs w:val="32"/>
        </w:rPr>
        <w:t>文化旅游体育与传媒（类）支出554.81万元，占81.11</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支出56.65万元，占8.28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29.18万元，占4.26</w:t>
      </w:r>
      <w:r>
        <w:rPr>
          <w:rFonts w:ascii="仿宋" w:hAnsi="仿宋" w:eastAsia="仿宋"/>
          <w:sz w:val="32"/>
          <w:szCs w:val="32"/>
        </w:rPr>
        <w:t>%</w:t>
      </w:r>
      <w:r>
        <w:rPr>
          <w:rFonts w:hint="eastAsia" w:ascii="仿宋" w:hAnsi="仿宋" w:eastAsia="仿宋"/>
          <w:sz w:val="32"/>
          <w:szCs w:val="32"/>
        </w:rPr>
        <w:t>；住房保障支出43.39万元，占6.35</w:t>
      </w:r>
      <w:r>
        <w:rPr>
          <w:rFonts w:ascii="仿宋" w:hAnsi="仿宋" w:eastAsia="仿宋"/>
          <w:sz w:val="32"/>
          <w:szCs w:val="32"/>
        </w:rPr>
        <w:t>%</w:t>
      </w:r>
      <w:r>
        <w:rPr>
          <w:rFonts w:hint="eastAsia" w:ascii="仿宋" w:hAnsi="仿宋" w:eastAsia="仿宋"/>
          <w:sz w:val="32"/>
          <w:szCs w:val="32"/>
        </w:rPr>
        <w:t>。</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"C:\\Users\\w\\AppData\\Roaming\\Tencent\\Users\\248301485\\QQ\\WinTemp\\RichOle\\L6D)P1F9X]D0(4{~0G_U_88.png"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762375" cy="275272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2"/>
                    <a:stretch>
                      <a:fillRect/>
                    </a:stretch>
                  </pic:blipFill>
                  <pic:spPr>
                    <a:xfrm>
                      <a:off x="0" y="0"/>
                      <a:ext cx="3762375" cy="275272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8460"/>
      <w:bookmarkStart w:id="33" w:name="_Toc15377444"/>
      <w:bookmarkStart w:id="34" w:name="_Toc15377213"/>
      <w:r>
        <w:rPr>
          <w:rFonts w:hint="eastAsia" w:ascii="仿宋" w:hAnsi="仿宋" w:eastAsia="仿宋"/>
          <w:b/>
          <w:sz w:val="32"/>
          <w:szCs w:val="32"/>
        </w:rPr>
        <w:t>2021年一般公共预算支出决算数为684.04</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32"/>
      <w:bookmarkEnd w:id="33"/>
      <w:bookmarkEnd w:id="34"/>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文化旅游体育与传媒支出（类）文化和旅游（款）行政运行（项）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支出决算为160.77万元，完成预算100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文化旅游体育与传媒支出（类）文化和旅游（款）图书馆（项）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支出决算为57.96万元，完成预算100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文化旅游体育与传媒支出（类）文化和旅游（款）群众文化（项）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支出决算为106.12万元，完成预算100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文化旅游体育与传媒支出（类）文化和旅游（款）其他文化和旅游支出（项）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支出决算为130.07万元，完成预算100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文化旅游体育与传媒支出（类）文物（款）博物馆（项）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支出决算为15.52万元，完成预算100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文化旅游体育与传媒支出（类）广播电视（款）其他广播电视支出（项）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支出决算为21.48万元，完成预算100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文化旅游体育与传媒支出（类）其他文化旅游体育与传媒支出（款）其他文化旅游体育与传媒支出（项）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支出决算为62.89万元，完成预算100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Fonts w:hint="eastAsia" w:ascii="仿宋" w:hAnsi="仿宋" w:eastAsia="仿宋"/>
          <w:b/>
          <w:bCs/>
          <w:color w:val="000000"/>
          <w:sz w:val="32"/>
          <w:szCs w:val="32"/>
        </w:rPr>
        <w:t>社会保障和就业支出</w:t>
      </w:r>
      <w:r>
        <w:rPr>
          <w:rStyle w:val="16"/>
          <w:rFonts w:hint="eastAsia" w:ascii="仿宋" w:hAnsi="仿宋" w:eastAsia="仿宋"/>
          <w:bCs/>
          <w:color w:val="000000"/>
          <w:sz w:val="32"/>
          <w:szCs w:val="32"/>
        </w:rPr>
        <w:t>（类）行政事业单位养老支出（款）行政单位离退休（项）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支出决算为0.81万元，完成预算100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sz w:val="32"/>
          <w:szCs w:val="32"/>
        </w:rPr>
      </w:pPr>
      <w:r>
        <w:rPr>
          <w:rStyle w:val="16"/>
          <w:rFonts w:hint="eastAsia" w:ascii="仿宋" w:hAnsi="仿宋" w:eastAsia="仿宋"/>
          <w:bCs/>
          <w:color w:val="000000"/>
          <w:sz w:val="32"/>
          <w:szCs w:val="32"/>
          <w:lang w:val="en-US" w:eastAsia="zh-CN"/>
        </w:rPr>
        <w:t>9</w:t>
      </w:r>
      <w:r>
        <w:rPr>
          <w:rStyle w:val="16"/>
          <w:rFonts w:ascii="仿宋" w:hAnsi="仿宋" w:eastAsia="仿宋"/>
          <w:bCs/>
          <w:color w:val="000000"/>
          <w:sz w:val="32"/>
          <w:szCs w:val="32"/>
        </w:rPr>
        <w:t>.</w:t>
      </w:r>
      <w:r>
        <w:rPr>
          <w:rFonts w:hint="eastAsia" w:ascii="仿宋" w:hAnsi="仿宋" w:eastAsia="仿宋"/>
          <w:b/>
          <w:bCs/>
          <w:color w:val="000000"/>
          <w:sz w:val="32"/>
          <w:szCs w:val="32"/>
        </w:rPr>
        <w:t>社会保障和就业支出</w:t>
      </w:r>
      <w:r>
        <w:rPr>
          <w:rStyle w:val="16"/>
          <w:rFonts w:hint="eastAsia" w:ascii="仿宋" w:hAnsi="仿宋" w:eastAsia="仿宋"/>
          <w:bCs/>
          <w:color w:val="000000"/>
          <w:sz w:val="32"/>
          <w:szCs w:val="32"/>
        </w:rPr>
        <w:t>（类）行政事业单位养老支出（款）事业单位离退休（项）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支出决算为14.21万元，完成预算100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16"/>
          <w:rFonts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10</w:t>
      </w:r>
      <w:r>
        <w:rPr>
          <w:rStyle w:val="16"/>
          <w:rFonts w:ascii="仿宋" w:hAnsi="仿宋" w:eastAsia="仿宋"/>
          <w:bCs/>
          <w:color w:val="000000"/>
          <w:sz w:val="32"/>
          <w:szCs w:val="32"/>
        </w:rPr>
        <w:t>.</w:t>
      </w:r>
      <w:r>
        <w:rPr>
          <w:rFonts w:hint="eastAsia" w:ascii="仿宋" w:hAnsi="仿宋" w:eastAsia="仿宋"/>
          <w:b/>
          <w:bCs/>
          <w:color w:val="000000"/>
          <w:sz w:val="32"/>
          <w:szCs w:val="32"/>
        </w:rPr>
        <w:t>社会保障和就业支出</w:t>
      </w:r>
      <w:r>
        <w:rPr>
          <w:rStyle w:val="16"/>
          <w:rFonts w:hint="eastAsia" w:ascii="仿宋" w:hAnsi="仿宋" w:eastAsia="仿宋"/>
          <w:bCs/>
          <w:color w:val="000000"/>
          <w:sz w:val="32"/>
          <w:szCs w:val="32"/>
        </w:rPr>
        <w:t>（类）行政事业单位养老支出（款）机关事业单位基本养老保险缴费支出（项）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支出决算为32.4万元，完成预算100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16"/>
          <w:rFonts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Fonts w:hint="eastAsia" w:ascii="仿宋" w:hAnsi="仿宋" w:eastAsia="仿宋"/>
          <w:b/>
          <w:bCs/>
          <w:color w:val="000000"/>
          <w:sz w:val="32"/>
          <w:szCs w:val="32"/>
        </w:rPr>
        <w:t>社会保障和就业支出</w:t>
      </w:r>
      <w:r>
        <w:rPr>
          <w:rStyle w:val="16"/>
          <w:rFonts w:hint="eastAsia" w:ascii="仿宋" w:hAnsi="仿宋" w:eastAsia="仿宋"/>
          <w:bCs/>
          <w:color w:val="000000"/>
          <w:sz w:val="32"/>
          <w:szCs w:val="32"/>
        </w:rPr>
        <w:t>（类）行政事业单位养老支出（款）机关事业单位职业年金缴费支出（项）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支出决算为9.23万元，完成预算100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16"/>
          <w:rFonts w:ascii="仿宋" w:hAnsi="仿宋" w:eastAsia="仿宋"/>
          <w:b w:val="0"/>
          <w:bCs/>
          <w:color w:val="000000"/>
          <w:sz w:val="32"/>
          <w:szCs w:val="32"/>
        </w:rPr>
      </w:pPr>
      <w:r>
        <w:rPr>
          <w:rStyle w:val="16"/>
          <w:rFonts w:hint="eastAsia" w:ascii="仿宋" w:hAnsi="仿宋" w:eastAsia="仿宋"/>
          <w:bCs/>
          <w:color w:val="000000"/>
          <w:sz w:val="32"/>
          <w:szCs w:val="32"/>
        </w:rPr>
        <w:t>1</w:t>
      </w: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w:t>
      </w:r>
      <w:r>
        <w:rPr>
          <w:rFonts w:hint="eastAsia" w:ascii="仿宋" w:hAnsi="仿宋" w:eastAsia="仿宋"/>
          <w:b/>
          <w:bCs/>
          <w:color w:val="000000"/>
          <w:sz w:val="32"/>
          <w:szCs w:val="32"/>
        </w:rPr>
        <w:t>卫生健康支出</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支出决算为9.96万元，完成预算100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16"/>
          <w:rFonts w:ascii="仿宋" w:hAnsi="仿宋" w:eastAsia="仿宋"/>
          <w:b w:val="0"/>
          <w:bCs/>
          <w:color w:val="000000"/>
          <w:sz w:val="32"/>
          <w:szCs w:val="32"/>
        </w:rPr>
      </w:pPr>
      <w:r>
        <w:rPr>
          <w:rStyle w:val="16"/>
          <w:rFonts w:hint="eastAsia" w:ascii="仿宋" w:hAnsi="仿宋" w:eastAsia="仿宋"/>
          <w:bCs/>
          <w:color w:val="000000"/>
          <w:sz w:val="32"/>
          <w:szCs w:val="32"/>
        </w:rPr>
        <w:t>1</w:t>
      </w:r>
      <w:r>
        <w:rPr>
          <w:rStyle w:val="16"/>
          <w:rFonts w:hint="eastAsia" w:ascii="仿宋" w:hAnsi="仿宋" w:eastAsia="仿宋"/>
          <w:bCs/>
          <w:color w:val="000000"/>
          <w:sz w:val="32"/>
          <w:szCs w:val="32"/>
          <w:lang w:val="en-US" w:eastAsia="zh-CN"/>
        </w:rPr>
        <w:t>3</w:t>
      </w:r>
      <w:r>
        <w:rPr>
          <w:rStyle w:val="16"/>
          <w:rFonts w:hint="eastAsia" w:ascii="仿宋" w:hAnsi="仿宋" w:eastAsia="仿宋"/>
          <w:bCs/>
          <w:color w:val="000000"/>
          <w:sz w:val="32"/>
          <w:szCs w:val="32"/>
        </w:rPr>
        <w:t>.</w:t>
      </w:r>
      <w:r>
        <w:rPr>
          <w:rFonts w:hint="eastAsia" w:ascii="仿宋" w:hAnsi="仿宋" w:eastAsia="仿宋"/>
          <w:b/>
          <w:bCs/>
          <w:color w:val="000000"/>
          <w:sz w:val="32"/>
          <w:szCs w:val="32"/>
        </w:rPr>
        <w:t>卫生健康支出</w:t>
      </w:r>
      <w:r>
        <w:rPr>
          <w:rStyle w:val="16"/>
          <w:rFonts w:hint="eastAsia" w:ascii="仿宋" w:hAnsi="仿宋" w:eastAsia="仿宋"/>
          <w:bCs/>
          <w:color w:val="000000"/>
          <w:sz w:val="32"/>
          <w:szCs w:val="32"/>
        </w:rPr>
        <w:t>（类）行政事业单位医疗（款）事业单位医疗（项）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支出决算16.4万元，完成预算100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16"/>
          <w:rFonts w:ascii="仿宋" w:hAnsi="仿宋" w:eastAsia="仿宋"/>
          <w:b w:val="0"/>
          <w:bCs/>
          <w:color w:val="000000"/>
          <w:sz w:val="32"/>
          <w:szCs w:val="32"/>
        </w:rPr>
      </w:pPr>
      <w:r>
        <w:rPr>
          <w:rStyle w:val="16"/>
          <w:rFonts w:hint="eastAsia" w:ascii="仿宋" w:hAnsi="仿宋" w:eastAsia="仿宋"/>
          <w:bCs/>
          <w:color w:val="000000"/>
          <w:sz w:val="32"/>
          <w:szCs w:val="32"/>
        </w:rPr>
        <w:t>1</w:t>
      </w: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rPr>
        <w:t>.</w:t>
      </w:r>
      <w:r>
        <w:rPr>
          <w:rFonts w:hint="eastAsia" w:ascii="仿宋" w:hAnsi="仿宋" w:eastAsia="仿宋"/>
          <w:b/>
          <w:bCs/>
          <w:color w:val="000000"/>
          <w:sz w:val="32"/>
          <w:szCs w:val="32"/>
        </w:rPr>
        <w:t>卫生健康支出</w:t>
      </w:r>
      <w:r>
        <w:rPr>
          <w:rStyle w:val="16"/>
          <w:rFonts w:hint="eastAsia" w:ascii="仿宋" w:hAnsi="仿宋" w:eastAsia="仿宋"/>
          <w:bCs/>
          <w:color w:val="000000"/>
          <w:sz w:val="32"/>
          <w:szCs w:val="32"/>
        </w:rPr>
        <w:t>（类）行政事业单位医疗（款）公务员医疗补助（项）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支出决算2.82万元，完成预算100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sz w:val="32"/>
          <w:szCs w:val="32"/>
        </w:rPr>
      </w:pPr>
      <w:r>
        <w:rPr>
          <w:rStyle w:val="16"/>
          <w:rFonts w:hint="eastAsia" w:ascii="仿宋" w:hAnsi="仿宋" w:eastAsia="仿宋"/>
          <w:bCs/>
          <w:color w:val="000000"/>
          <w:sz w:val="32"/>
          <w:szCs w:val="32"/>
        </w:rPr>
        <w:t>1</w:t>
      </w: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rPr>
        <w:t>.</w:t>
      </w:r>
      <w:r>
        <w:rPr>
          <w:rFonts w:hint="eastAsia" w:ascii="仿宋" w:hAnsi="仿宋" w:eastAsia="仿宋"/>
          <w:b/>
          <w:bCs/>
          <w:color w:val="000000"/>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支出决算43.39万元，完成预算100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35" w:name="_Toc15377214"/>
      <w:bookmarkStart w:id="3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5"/>
      <w:bookmarkEnd w:id="36"/>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21年一般公共预算财政拨款基本支出528.24万元，其中：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495.34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32.9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37" w:name="_Toc15396609"/>
      <w:bookmarkStart w:id="38"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bookmarkStart w:id="40" w:name="_Toc15396610"/>
      <w:bookmarkStart w:id="41" w:name="_Toc15377218"/>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2" w:name="_Toc15377217"/>
      <w:r>
        <w:rPr>
          <w:rFonts w:hint="eastAsia" w:ascii="仿宋" w:hAnsi="仿宋" w:eastAsia="仿宋"/>
          <w:b/>
          <w:sz w:val="32"/>
          <w:szCs w:val="32"/>
        </w:rPr>
        <w:t>（二）“三公”经费财政拨款支出决算具体情况说明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21年政府性基金预算财政拨款支出5.32万元。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7"/>
          <w:rFonts w:ascii="黑体" w:hAnsi="黑体" w:eastAsia="黑体"/>
          <w:b w:val="0"/>
        </w:rPr>
      </w:pPr>
      <w:bookmarkStart w:id="43" w:name="_Toc15396611"/>
      <w:bookmarkStart w:id="44" w:name="_Toc15377219"/>
      <w:r>
        <w:rPr>
          <w:rStyle w:val="27"/>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7"/>
          <w:rFonts w:ascii="黑体" w:hAnsi="黑体" w:eastAsia="黑体"/>
          <w:b w:val="0"/>
        </w:rPr>
      </w:pPr>
      <w:bookmarkStart w:id="45" w:name="_Toc15377221"/>
      <w:bookmarkStart w:id="46" w:name="_Toc15396612"/>
      <w:r>
        <w:rPr>
          <w:rStyle w:val="27"/>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21年，西区文化旅游广电新闻出版局机关运行经费支出26.23万元，比</w:t>
      </w:r>
      <w:r>
        <w:rPr>
          <w:rFonts w:ascii="仿宋_GB2312" w:eastAsia="仿宋_GB2312"/>
          <w:sz w:val="32"/>
          <w:szCs w:val="32"/>
        </w:rPr>
        <w:t>20</w:t>
      </w:r>
      <w:r>
        <w:rPr>
          <w:rFonts w:hint="eastAsia" w:ascii="仿宋_GB2312" w:eastAsia="仿宋_GB2312"/>
          <w:sz w:val="32"/>
          <w:szCs w:val="32"/>
        </w:rPr>
        <w:t>20年减少14.36万元，下降35.38</w:t>
      </w:r>
      <w:r>
        <w:rPr>
          <w:rFonts w:ascii="仿宋_GB2312" w:eastAsia="仿宋_GB2312"/>
          <w:sz w:val="32"/>
          <w:szCs w:val="32"/>
        </w:rPr>
        <w:t>%</w:t>
      </w:r>
      <w:r>
        <w:rPr>
          <w:rFonts w:hint="eastAsia" w:ascii="仿宋_GB2312" w:eastAsia="仿宋_GB2312"/>
          <w:sz w:val="32"/>
          <w:szCs w:val="32"/>
        </w:rPr>
        <w:t>。主要原因是厉行节约。</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21年，西区文化旅游广电新闻出版局政府采购支出总额35.8万元，其中：政府采购货物支出35.8万元、政府采购工程支出0万元、政府采购服务支出0万元。授予中小企业合同金额0万元，占政府采购支出总额的0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日，西区文化旅游广电新闻出版局共有车辆0辆，其中：主要领导干部用车0辆、机要通信用车0辆、应急保障用车0辆、其他用车0辆。单价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区农村地面数字电视（村村响、户户通）运维协议、公共文化服务示范区体系创建工作经费、“五老”网吧义务监督员补助经费等11个项目开展了预算事前绩效评估，对11个项目编制了绩效目标，预算执行过程中，选取11个项目开展绩效监控，年终执行完毕后，对11个项目开展了绩效自评。2021年特定目标类部门预算项目绩效目标自评表见附件（第四部分）。</w:t>
      </w:r>
    </w:p>
    <w:p>
      <w:pPr>
        <w:autoSpaceDE w:val="0"/>
        <w:autoSpaceDN w:val="0"/>
        <w:adjustRightInd w:val="0"/>
        <w:spacing w:line="600" w:lineRule="exact"/>
        <w:ind w:firstLine="643" w:firstLineChars="200"/>
        <w:rPr>
          <w:rFonts w:ascii="仿宋" w:hAnsi="仿宋" w:eastAsia="仿宋"/>
          <w:b/>
          <w:sz w:val="32"/>
          <w:szCs w:val="32"/>
        </w:rPr>
      </w:pPr>
      <w:r>
        <w:rPr>
          <w:rFonts w:hint="eastAsia" w:ascii="仿宋" w:hAnsi="仿宋" w:eastAsia="仿宋"/>
          <w:b/>
          <w:sz w:val="32"/>
          <w:szCs w:val="32"/>
        </w:rPr>
        <w:t>（注：单位</w:t>
      </w:r>
      <w:r>
        <w:rPr>
          <w:rFonts w:hint="eastAsia" w:ascii="仿宋_GB2312" w:hAnsi="仿宋_GB2312" w:eastAsia="仿宋_GB2312" w:cs="仿宋_GB2312"/>
          <w:b/>
          <w:sz w:val="32"/>
          <w:szCs w:val="32"/>
        </w:rPr>
        <w:t>2021年特定目标类部门预算项目绩效目标自评表为本部门2021年部门整体支出绩效评价报告中涉及本单位的附表</w:t>
      </w:r>
      <w:r>
        <w:rPr>
          <w:rFonts w:hint="eastAsia" w:ascii="仿宋" w:hAnsi="仿宋" w:eastAsia="仿宋"/>
          <w:b/>
          <w:sz w:val="32"/>
          <w:szCs w:val="32"/>
        </w:rPr>
        <w:t>）</w:t>
      </w:r>
    </w:p>
    <w:p>
      <w:pPr>
        <w:pStyle w:val="6"/>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50" w:name="_Toc15377225"/>
      <w:bookmarkStart w:id="51" w:name="_Toc15396613"/>
      <w:r>
        <w:rPr>
          <w:rFonts w:hint="eastAsia" w:ascii="黑体" w:hAnsi="黑体" w:eastAsia="黑体"/>
          <w:sz w:val="44"/>
          <w:szCs w:val="44"/>
        </w:rPr>
        <w:t>名</w:t>
      </w:r>
      <w:r>
        <w:rPr>
          <w:rStyle w:val="26"/>
          <w:rFonts w:hint="eastAsia" w:ascii="黑体" w:hAnsi="黑体" w:eastAsia="黑体"/>
          <w:b w:val="0"/>
        </w:rPr>
        <w:t>词解释</w:t>
      </w:r>
      <w:bookmarkEnd w:id="50"/>
      <w:bookmarkEnd w:id="51"/>
    </w:p>
    <w:p>
      <w:pPr>
        <w:spacing w:line="600" w:lineRule="exact"/>
        <w:jc w:val="left"/>
        <w:rPr>
          <w:rFonts w:ascii="宋体"/>
          <w:b/>
          <w:sz w:val="44"/>
          <w:szCs w:val="44"/>
        </w:rPr>
      </w:pPr>
    </w:p>
    <w:p>
      <w:pPr>
        <w:pStyle w:val="24"/>
        <w:spacing w:line="560" w:lineRule="exact"/>
        <w:ind w:firstLine="640" w:firstLineChars="200"/>
        <w:rPr>
          <w:rFonts w:ascii="仿宋_GB2312" w:eastAsia="仿宋_GB2312"/>
          <w:sz w:val="32"/>
          <w:szCs w:val="32"/>
        </w:rPr>
      </w:pPr>
      <w:bookmarkStart w:id="52"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9.文化旅游体育与传媒支出（类）文化和旅游（款）行政运行（项）：反映行政单位（包括实行公务员管理的事业单位）的基本支出。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10.</w:t>
      </w:r>
      <w:r>
        <w:rPr>
          <w:rFonts w:hint="eastAsia" w:ascii="仿宋_GB2312" w:eastAsia="仿宋_GB2312"/>
          <w:sz w:val="32"/>
          <w:szCs w:val="32"/>
        </w:rPr>
        <w:t>文化旅游体育与传媒支出（类）文化和旅游（款）图书馆（项）:反映图书馆的支出。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11.文化旅游体育与传媒支出（类）文化和旅游（款） 群众文化（项）：反映群众文化方面的支出,包括基层文化馆(站)、群众艺术馆支出等。</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12.文化旅游体育与传媒支出（类）文化和旅游（款）其他文化和旅游支出（项）：反映除上述项目以外其他用于文化和旅游方面的支出。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13.文化旅游体育与传媒支出（类）文物（款）博物馆（项）：反映文物系统及其他部门所属博物馆、纪念馆（室）的支出。 </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14.文化旅游体育与传媒支出（类）广播电视（款）其他广播电视支出（项）：反映除上述项目以外其他用于广播电视方面的支出。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15.文化旅游体育与传媒支出（类）其他文化旅游体育与传媒支出（款）其他文化旅游体育与传媒支出（项）：反映除上述项目以外其他用于文化旅游体育与传媒方面的支出。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16.社会保障和就业（类）行政事业单位养老支出（款） 行政单位离退休（项）：反映行政单位（包括实行公务员管理的事业单位）开支的离退休经费</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17.社会保障和就业（类）行政事业单位养老支出（款） 事业单位离退休（项）：反映事业单位开支的离退休经费。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18.社会保障和就业（类）行政事业单位养老支出（款） 机关事业单位基本养老保险缴费支出（项）：指机关事业单 位实施养老保险制度由单位缴纳的基本养老保险费。 </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19. 社会保障和就业（类）行政事业单位养老支出（款）机关事业单位职业年金缴费支出（项):反映机关事业单位实施养老保险制度由单位实际缴纳的职业年金支出。</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21.卫生健康支出（类）行政事业单位医疗（款）事业单位医疗（项）：反映财政部门安排的事业单位基本医疗保险缴费经费，未参加医疗保险的事业单位的公费同医疗经费，按国家规定享受离休人员待遇的医疗经费。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22.卫生健康支出（类）行政事业单位医疗（款）公务员医疗补助（项）：反映财政部门安排的公务员医疗补助经费。 </w:t>
      </w:r>
    </w:p>
    <w:p>
      <w:pPr>
        <w:spacing w:line="600" w:lineRule="exact"/>
        <w:ind w:firstLine="640"/>
        <w:rPr>
          <w:rFonts w:hint="eastAsia" w:ascii="仿宋_GB2312" w:eastAsia="仿宋_GB2312" w:cs="仿宋"/>
          <w:color w:val="000000"/>
          <w:kern w:val="0"/>
          <w:sz w:val="32"/>
          <w:szCs w:val="32"/>
        </w:rPr>
      </w:pPr>
      <w:r>
        <w:rPr>
          <w:rFonts w:hint="eastAsia" w:ascii="仿宋_GB2312" w:eastAsia="仿宋_GB2312" w:cs="仿宋"/>
          <w:color w:val="000000"/>
          <w:kern w:val="0"/>
          <w:sz w:val="32"/>
          <w:szCs w:val="32"/>
        </w:rPr>
        <w:t>23.城乡社区支出(类)</w:t>
      </w:r>
      <w:r>
        <w:rPr>
          <w:rFonts w:hint="eastAsia"/>
        </w:rPr>
        <w:t xml:space="preserve"> </w:t>
      </w:r>
      <w:r>
        <w:rPr>
          <w:rFonts w:hint="eastAsia" w:ascii="仿宋_GB2312" w:eastAsia="仿宋_GB2312" w:cs="仿宋"/>
          <w:color w:val="000000"/>
          <w:kern w:val="0"/>
          <w:sz w:val="32"/>
          <w:szCs w:val="32"/>
        </w:rPr>
        <w:t>国有土地使用权出让收入安排的支出(款)</w:t>
      </w:r>
      <w:r>
        <w:rPr>
          <w:rFonts w:hint="eastAsia"/>
        </w:rPr>
        <w:t xml:space="preserve"> </w:t>
      </w:r>
      <w:r>
        <w:rPr>
          <w:rFonts w:hint="eastAsia" w:ascii="仿宋_GB2312" w:eastAsia="仿宋_GB2312" w:cs="仿宋"/>
          <w:color w:val="000000"/>
          <w:kern w:val="0"/>
          <w:sz w:val="32"/>
          <w:szCs w:val="32"/>
        </w:rPr>
        <w:t>土地开发支出(项):反映新疆生产建设兵团和地方政府用于前期土地开发性支出以及与前期土地开发相关的费用等支出。</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24.住房保障支出（类）住房改革支出（款）住房公积金（项）：指行政事业单位按人力资源和社会保障部、财政部规定的基本工资和津贴补贴以及规定比例为职工缴纳的住房公积金。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25.基本支出：指为保障机构正常运转、完成日常工作任务而发生的人员支出和公用支出。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26.项目支出：指在基本支出之外为完成特定行政任务 和事业发展目标所发生的支出。 </w:t>
      </w:r>
    </w:p>
    <w:p>
      <w:pPr>
        <w:spacing w:line="600" w:lineRule="exact"/>
        <w:ind w:firstLine="640"/>
        <w:rPr>
          <w:rFonts w:ascii="仿宋_GB2312" w:eastAsia="仿宋_GB2312" w:cs="仿宋"/>
          <w:color w:val="000000"/>
          <w:kern w:val="0"/>
          <w:sz w:val="32"/>
          <w:szCs w:val="32"/>
        </w:rPr>
      </w:pPr>
      <w:r>
        <w:rPr>
          <w:rFonts w:hint="eastAsia" w:ascii="仿宋_GB2312" w:eastAsia="仿宋_GB2312" w:cs="仿宋"/>
          <w:color w:val="000000"/>
          <w:kern w:val="0"/>
          <w:sz w:val="32"/>
          <w:szCs w:val="32"/>
        </w:rPr>
        <w:t xml:space="preserve">27.“三公”经费：指部门用财政拨款安排的因公出国 （境）费、公务用车购置及运行费和公务接待费。其中，因 公出国（境）费反映单位公务出国（境）的国际旅费、国外 城市间交通费、住宿费、伙食费、培训费、公杂费等支出； 公务用车购置及运行费反映单位公务用车车辆购置支出（含 车辆购置税）及租用费、燃料费、维修费、过路过桥费、保 险费等支出；公务接待费反映单位按规定开支的各类公务接 待（含外宾接待）支出。 </w:t>
      </w:r>
    </w:p>
    <w:p>
      <w:pPr>
        <w:spacing w:line="600" w:lineRule="exact"/>
        <w:jc w:val="left"/>
        <w:outlineLvl w:val="0"/>
        <w:rPr>
          <w:rStyle w:val="26"/>
          <w:rFonts w:ascii="黑体" w:hAnsi="黑体" w:eastAsia="黑体"/>
          <w:b w:val="0"/>
        </w:rPr>
      </w:pPr>
      <w:r>
        <w:rPr>
          <w:rFonts w:hint="eastAsia" w:ascii="仿宋_GB2312" w:eastAsia="仿宋_GB2312"/>
          <w:sz w:val="32"/>
          <w:szCs w:val="32"/>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sz w:val="44"/>
          <w:szCs w:val="44"/>
        </w:rPr>
        <w:br w:type="page"/>
      </w:r>
      <w:bookmarkStart w:id="53" w:name="_Toc15396614"/>
      <w:r>
        <w:rPr>
          <w:rFonts w:hint="eastAsia" w:ascii="黑体" w:hAnsi="黑体" w:eastAsia="黑体"/>
          <w:sz w:val="44"/>
          <w:szCs w:val="44"/>
        </w:rPr>
        <w:t>第</w:t>
      </w:r>
      <w:r>
        <w:rPr>
          <w:rStyle w:val="26"/>
          <w:rFonts w:hint="eastAsia" w:ascii="黑体" w:hAnsi="黑体" w:eastAsia="黑体"/>
          <w:b w:val="0"/>
        </w:rPr>
        <w:t>四部分 附件</w:t>
      </w:r>
      <w:bookmarkEnd w:id="53"/>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p>
      <w:pPr>
        <w:spacing w:line="580" w:lineRule="exact"/>
        <w:rPr>
          <w:rStyle w:val="26"/>
          <w:rFonts w:ascii="黑体" w:hAnsi="黑体" w:eastAsia="黑体"/>
          <w:b w:val="0"/>
        </w:rPr>
      </w:pPr>
      <w:bookmarkStart w:id="54" w:name="_Toc15396618"/>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"C:\\Users\\w\\AppData\\Roaming\\Tencent\\Users\\248301485\\QQ\\WinTemp\\RichOle\\Z37FR)9YR{T`PT189XD4Q3E.png"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463030" cy="5521325"/>
            <wp:effectExtent l="0" t="0" r="13970" b="317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3"/>
                    <a:stretch>
                      <a:fillRect/>
                    </a:stretch>
                  </pic:blipFill>
                  <pic:spPr>
                    <a:xfrm>
                      <a:off x="0" y="0"/>
                      <a:ext cx="6463030" cy="5521325"/>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"C:\\Users\\w\\AppData\\Roaming\\Tencent\\Users\\248301485\\QQ\\WinTemp\\RichOle\\YAT4R5@T41L5U(3MY5@F]JM.png"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76670" cy="5532120"/>
            <wp:effectExtent l="0" t="0" r="5080" b="1143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4"/>
                    <a:stretch>
                      <a:fillRect/>
                    </a:stretch>
                  </pic:blipFill>
                  <pic:spPr>
                    <a:xfrm>
                      <a:off x="0" y="0"/>
                      <a:ext cx="6376670" cy="553212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6"/>
          <w:rFonts w:ascii="黑体" w:hAnsi="黑体" w:eastAsia="黑体"/>
          <w:b w:val="0"/>
        </w:rPr>
      </w:pPr>
      <w:r>
        <w:rPr>
          <w:rStyle w:val="26"/>
          <w:rFonts w:ascii="黑体" w:hAnsi="黑体" w:eastAsia="黑体"/>
          <w:b w:val="0"/>
        </w:rPr>
        <w:br w:type="page"/>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"C:\\Users\\w\\AppData\\Roaming\\Tencent\\Users\\248301485\\QQ\\WinTemp\\RichOle\\SY[5J22`3JT`$B7V_{8GK%E.png"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351270" cy="5484495"/>
            <wp:effectExtent l="0" t="0" r="11430" b="190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5"/>
                    <a:stretch>
                      <a:fillRect/>
                    </a:stretch>
                  </pic:blipFill>
                  <pic:spPr>
                    <a:xfrm>
                      <a:off x="0" y="0"/>
                      <a:ext cx="6351270" cy="548449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"C:\\Users\\w\\AppData\\Roaming\\Tencent\\Users\\248301485\\QQ\\WinTemp\\RichOle\\]3CY0IW{F7@~CNCW0S){T4K.png"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97295" cy="5402580"/>
            <wp:effectExtent l="0" t="0" r="8255" b="762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6"/>
                    <a:stretch>
                      <a:fillRect/>
                    </a:stretch>
                  </pic:blipFill>
                  <pic:spPr>
                    <a:xfrm>
                      <a:off x="0" y="0"/>
                      <a:ext cx="6297295" cy="540258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"C:\\Users\\w\\AppData\\Roaming\\Tencent\\Users\\248301485\\QQ\\WinTemp\\RichOle\\5Y_UAQ_E%@2)4Y[E)05Q3BG.png"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993130" cy="5296535"/>
            <wp:effectExtent l="0" t="0" r="7620" b="1841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7"/>
                    <a:stretch>
                      <a:fillRect/>
                    </a:stretch>
                  </pic:blipFill>
                  <pic:spPr>
                    <a:xfrm>
                      <a:off x="0" y="0"/>
                      <a:ext cx="5993130" cy="5296535"/>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"C:\\Users\\w\\AppData\\Roaming\\Tencent\\Users\\248301485\\QQ\\WinTemp\\RichOle\\R4S}@]0YJ941%2X~DM82U{W.png"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264910" cy="5536565"/>
            <wp:effectExtent l="0" t="0" r="2540" b="698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8"/>
                    <a:stretch>
                      <a:fillRect/>
                    </a:stretch>
                  </pic:blipFill>
                  <pic:spPr>
                    <a:xfrm>
                      <a:off x="0" y="0"/>
                      <a:ext cx="6264910" cy="5536565"/>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580" w:lineRule="exact"/>
        <w:rPr>
          <w:rStyle w:val="26"/>
          <w:rFonts w:ascii="黑体" w:hAnsi="黑体" w:eastAsia="黑体"/>
          <w:b w:val="0"/>
        </w:rPr>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"C:\\Users\\w\\AppData\\Roaming\\Tencent\\Users\\248301485\\QQ\\WinTemp\\RichOle\\37_WB(53M1LCDO}0DYPM2NK.png"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018530" cy="5575300"/>
            <wp:effectExtent l="0" t="0" r="1270" b="635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9"/>
                    <a:stretch>
                      <a:fillRect/>
                    </a:stretch>
                  </pic:blipFill>
                  <pic:spPr>
                    <a:xfrm>
                      <a:off x="0" y="0"/>
                      <a:ext cx="6018530" cy="5575300"/>
                    </a:xfrm>
                    <a:prstGeom prst="rect">
                      <a:avLst/>
                    </a:prstGeom>
                    <a:noFill/>
                    <a:ln w="9525">
                      <a:noFill/>
                    </a:ln>
                  </pic:spPr>
                </pic:pic>
              </a:graphicData>
            </a:graphic>
          </wp:inline>
        </w:drawing>
      </w:r>
      <w:r>
        <w:rPr>
          <w:rFonts w:ascii="宋体" w:hAnsi="宋体" w:cs="宋体"/>
          <w:kern w:val="0"/>
          <w:sz w:val="24"/>
        </w:rPr>
        <w:fldChar w:fldCharType="end"/>
      </w: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rPr>
          <w:rStyle w:val="26"/>
          <w:rFonts w:ascii="黑体" w:hAnsi="黑体" w:eastAsia="黑体"/>
          <w:b w:val="0"/>
        </w:rPr>
      </w:pPr>
    </w:p>
    <w:p>
      <w:pPr>
        <w:widowControl/>
        <w:jc w:val="left"/>
      </w:pPr>
      <w:r>
        <w:drawing>
          <wp:inline distT="0" distB="0" distL="114300" distR="114300">
            <wp:extent cx="5273040" cy="4527550"/>
            <wp:effectExtent l="0" t="0" r="381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5273040" cy="4527550"/>
                    </a:xfrm>
                    <a:prstGeom prst="rect">
                      <a:avLst/>
                    </a:prstGeom>
                    <a:noFill/>
                    <a:ln w="9525">
                      <a:noFill/>
                    </a:ln>
                  </pic:spPr>
                </pic:pic>
              </a:graphicData>
            </a:graphic>
          </wp:inline>
        </w:drawing>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"C:\\Users\\w\\AppData\\Roaming\\Tencent\\Users\\248301485\\QQ\\WinTemp\\RichOle\\GQ_6F080RAM(K[N)1LN`1G7.png"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6160770" cy="5787390"/>
            <wp:effectExtent l="0" t="0" r="11430" b="381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21"/>
                    <a:stretch>
                      <a:fillRect/>
                    </a:stretch>
                  </pic:blipFill>
                  <pic:spPr>
                    <a:xfrm>
                      <a:off x="0" y="0"/>
                      <a:ext cx="6160770" cy="5787390"/>
                    </a:xfrm>
                    <a:prstGeom prst="rect">
                      <a:avLst/>
                    </a:prstGeom>
                    <a:noFill/>
                    <a:ln w="9525">
                      <a:noFill/>
                    </a:ln>
                  </pic:spPr>
                </pic:pic>
              </a:graphicData>
            </a:graphic>
          </wp:inline>
        </w:drawing>
      </w:r>
      <w:r>
        <w:rPr>
          <w:rFonts w:ascii="宋体" w:hAnsi="宋体" w:cs="宋体"/>
          <w:kern w:val="0"/>
          <w:sz w:val="24"/>
        </w:rPr>
        <w:fldChar w:fldCharType="end"/>
      </w:r>
    </w:p>
    <w:p>
      <w:pPr>
        <w:widowControl/>
        <w:jc w:val="left"/>
      </w:pPr>
    </w:p>
    <w:p>
      <w:pPr>
        <w:widowControl/>
        <w:jc w:val="left"/>
      </w:pPr>
    </w:p>
    <w:p>
      <w:pPr>
        <w:widowControl/>
        <w:jc w:val="left"/>
      </w:pPr>
    </w:p>
    <w:p>
      <w:pPr>
        <w:pStyle w:val="32"/>
        <w:rPr>
          <w:rFonts w:ascii="黑体" w:hAnsi="黑体" w:eastAsia="黑体"/>
          <w:color w:val="auto"/>
          <w:sz w:val="44"/>
          <w:szCs w:val="44"/>
        </w:rPr>
      </w:pPr>
    </w:p>
    <w:p>
      <w:pPr>
        <w:spacing w:line="600" w:lineRule="exact"/>
        <w:outlineLvl w:val="0"/>
        <w:rPr>
          <w:rFonts w:ascii="黑体" w:hAnsi="黑体" w:eastAsia="黑体"/>
          <w:sz w:val="44"/>
          <w:szCs w:val="44"/>
        </w:rPr>
      </w:pPr>
    </w:p>
    <w:p>
      <w:pPr>
        <w:numPr>
          <w:numId w:val="0"/>
        </w:numPr>
        <w:spacing w:line="600" w:lineRule="exact"/>
        <w:ind w:leftChars="150"/>
        <w:jc w:val="center"/>
        <w:outlineLvl w:val="0"/>
        <w:rPr>
          <w:rStyle w:val="26"/>
          <w:rFonts w:hint="eastAsia" w:ascii="黑体" w:hAnsi="黑体" w:eastAsia="黑体"/>
          <w:b w:val="0"/>
        </w:rPr>
      </w:pPr>
      <w:r>
        <w:rPr>
          <w:rStyle w:val="26"/>
          <w:rFonts w:hint="eastAsia" w:ascii="黑体" w:hAnsi="黑体" w:eastAsia="黑体"/>
          <w:b w:val="0"/>
          <w:lang w:eastAsia="zh-CN"/>
        </w:rPr>
        <w:t>第五部分</w:t>
      </w:r>
      <w:r>
        <w:rPr>
          <w:rStyle w:val="26"/>
          <w:rFonts w:hint="eastAsia" w:ascii="黑体" w:hAnsi="黑体" w:eastAsia="黑体"/>
          <w:b w:val="0"/>
          <w:lang w:val="en-US" w:eastAsia="zh-CN"/>
        </w:rPr>
        <w:t xml:space="preserve"> </w:t>
      </w:r>
      <w:r>
        <w:rPr>
          <w:rStyle w:val="26"/>
          <w:rFonts w:hint="eastAsia" w:ascii="黑体" w:hAnsi="黑体" w:eastAsia="黑体"/>
          <w:b w:val="0"/>
        </w:rPr>
        <w:t>附表</w:t>
      </w:r>
      <w:bookmarkEnd w:id="52"/>
      <w:bookmarkEnd w:id="54"/>
      <w:bookmarkStart w:id="55" w:name="_Toc15396619"/>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68" w:name="_GoBack"/>
      <w:bookmarkEnd w:id="68"/>
      <w:r>
        <w:rPr>
          <w:rFonts w:hint="eastAsia" w:ascii="仿宋_GB2312" w:hAnsi="仿宋_GB2312" w:eastAsia="仿宋_GB2312" w:cs="仿宋_GB2312"/>
          <w:sz w:val="32"/>
          <w:szCs w:val="32"/>
        </w:rPr>
        <w:t>一、收入支出决算总表</w:t>
      </w:r>
      <w:bookmarkEnd w:id="55"/>
    </w:p>
    <w:p>
      <w:pPr>
        <w:rPr>
          <w:rFonts w:hint="eastAsia" w:ascii="仿宋_GB2312" w:hAnsi="仿宋_GB2312" w:eastAsia="仿宋_GB2312" w:cs="仿宋_GB2312"/>
          <w:sz w:val="32"/>
          <w:szCs w:val="32"/>
        </w:rPr>
      </w:pPr>
      <w:bookmarkStart w:id="56" w:name="_Toc15396620"/>
      <w:r>
        <w:rPr>
          <w:rFonts w:hint="eastAsia" w:ascii="仿宋_GB2312" w:hAnsi="仿宋_GB2312" w:eastAsia="仿宋_GB2312" w:cs="仿宋_GB2312"/>
          <w:sz w:val="32"/>
          <w:szCs w:val="32"/>
        </w:rPr>
        <w:t>二、收入决算表</w:t>
      </w:r>
      <w:bookmarkEnd w:id="56"/>
    </w:p>
    <w:p>
      <w:pPr>
        <w:rPr>
          <w:rFonts w:hint="eastAsia" w:ascii="仿宋_GB2312" w:hAnsi="仿宋_GB2312" w:eastAsia="仿宋_GB2312" w:cs="仿宋_GB2312"/>
          <w:sz w:val="32"/>
          <w:szCs w:val="32"/>
        </w:rPr>
      </w:pPr>
      <w:bookmarkStart w:id="57" w:name="_Toc15396621"/>
      <w:r>
        <w:rPr>
          <w:rFonts w:hint="eastAsia" w:ascii="仿宋_GB2312" w:hAnsi="仿宋_GB2312" w:eastAsia="仿宋_GB2312" w:cs="仿宋_GB2312"/>
          <w:sz w:val="32"/>
          <w:szCs w:val="32"/>
        </w:rPr>
        <w:t>三、支出决算表</w:t>
      </w:r>
      <w:bookmarkEnd w:id="57"/>
    </w:p>
    <w:p>
      <w:pPr>
        <w:rPr>
          <w:rFonts w:hint="eastAsia" w:ascii="仿宋_GB2312" w:hAnsi="仿宋_GB2312" w:eastAsia="仿宋_GB2312" w:cs="仿宋_GB2312"/>
          <w:sz w:val="32"/>
          <w:szCs w:val="32"/>
        </w:rPr>
      </w:pPr>
      <w:bookmarkStart w:id="58" w:name="_Toc15396622"/>
      <w:r>
        <w:rPr>
          <w:rFonts w:hint="eastAsia" w:ascii="仿宋_GB2312" w:hAnsi="仿宋_GB2312" w:eastAsia="仿宋_GB2312" w:cs="仿宋_GB2312"/>
          <w:sz w:val="32"/>
          <w:szCs w:val="32"/>
        </w:rPr>
        <w:t>四、财政拨款收入支出决算总表</w:t>
      </w:r>
      <w:bookmarkEnd w:id="58"/>
    </w:p>
    <w:p>
      <w:pPr>
        <w:rPr>
          <w:rFonts w:hint="eastAsia" w:ascii="仿宋_GB2312" w:hAnsi="仿宋_GB2312" w:eastAsia="仿宋_GB2312" w:cs="仿宋_GB2312"/>
          <w:sz w:val="32"/>
          <w:szCs w:val="32"/>
        </w:rPr>
      </w:pPr>
      <w:bookmarkStart w:id="59" w:name="_Toc15396623"/>
      <w:r>
        <w:rPr>
          <w:rFonts w:hint="eastAsia" w:ascii="仿宋_GB2312" w:hAnsi="仿宋_GB2312" w:eastAsia="仿宋_GB2312" w:cs="仿宋_GB2312"/>
          <w:sz w:val="32"/>
          <w:szCs w:val="32"/>
        </w:rPr>
        <w:t>五、财政拨款支出决算明细表</w:t>
      </w:r>
      <w:bookmarkEnd w:id="59"/>
      <w:bookmarkStart w:id="60" w:name="_Toc15396624"/>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bookmarkEnd w:id="60"/>
    </w:p>
    <w:p>
      <w:pPr>
        <w:rPr>
          <w:rFonts w:hint="eastAsia" w:ascii="仿宋_GB2312" w:hAnsi="仿宋_GB2312" w:eastAsia="仿宋_GB2312" w:cs="仿宋_GB2312"/>
          <w:sz w:val="32"/>
          <w:szCs w:val="32"/>
        </w:rPr>
      </w:pPr>
      <w:bookmarkStart w:id="61" w:name="_Toc15396625"/>
      <w:r>
        <w:rPr>
          <w:rFonts w:hint="eastAsia" w:ascii="仿宋_GB2312" w:hAnsi="仿宋_GB2312" w:eastAsia="仿宋_GB2312" w:cs="仿宋_GB2312"/>
          <w:sz w:val="32"/>
          <w:szCs w:val="32"/>
        </w:rPr>
        <w:t>七、一般公共预算财政拨款支出决算明细表</w:t>
      </w:r>
      <w:bookmarkEnd w:id="61"/>
    </w:p>
    <w:p>
      <w:pPr>
        <w:rPr>
          <w:rFonts w:hint="eastAsia" w:ascii="仿宋_GB2312" w:hAnsi="仿宋_GB2312" w:eastAsia="仿宋_GB2312" w:cs="仿宋_GB2312"/>
          <w:sz w:val="32"/>
          <w:szCs w:val="32"/>
        </w:rPr>
      </w:pPr>
      <w:bookmarkStart w:id="62" w:name="_Toc15396626"/>
      <w:r>
        <w:rPr>
          <w:rFonts w:hint="eastAsia" w:ascii="仿宋_GB2312" w:hAnsi="仿宋_GB2312" w:eastAsia="仿宋_GB2312" w:cs="仿宋_GB2312"/>
          <w:sz w:val="32"/>
          <w:szCs w:val="32"/>
        </w:rPr>
        <w:t>八、一般公共预算财政拨款基本支出决算表</w:t>
      </w:r>
      <w:bookmarkEnd w:id="62"/>
    </w:p>
    <w:p>
      <w:pPr>
        <w:rPr>
          <w:rFonts w:hint="eastAsia" w:ascii="仿宋_GB2312" w:hAnsi="仿宋_GB2312" w:eastAsia="仿宋_GB2312" w:cs="仿宋_GB2312"/>
          <w:sz w:val="32"/>
          <w:szCs w:val="32"/>
        </w:rPr>
      </w:pPr>
      <w:bookmarkStart w:id="63" w:name="_Toc15396627"/>
      <w:r>
        <w:rPr>
          <w:rFonts w:hint="eastAsia" w:ascii="仿宋_GB2312" w:hAnsi="仿宋_GB2312" w:eastAsia="仿宋_GB2312" w:cs="仿宋_GB2312"/>
          <w:sz w:val="32"/>
          <w:szCs w:val="32"/>
        </w:rPr>
        <w:t>九、一般公共预算财政拨款项目支出决算表</w:t>
      </w:r>
      <w:bookmarkEnd w:id="63"/>
    </w:p>
    <w:p>
      <w:pPr>
        <w:rPr>
          <w:rFonts w:hint="eastAsia" w:ascii="仿宋_GB2312" w:hAnsi="仿宋_GB2312" w:eastAsia="仿宋_GB2312" w:cs="仿宋_GB2312"/>
          <w:sz w:val="32"/>
          <w:szCs w:val="32"/>
        </w:rPr>
      </w:pPr>
      <w:bookmarkStart w:id="64" w:name="_Toc15396628"/>
      <w:r>
        <w:rPr>
          <w:rFonts w:hint="eastAsia" w:ascii="仿宋_GB2312" w:hAnsi="仿宋_GB2312" w:eastAsia="仿宋_GB2312" w:cs="仿宋_GB2312"/>
          <w:sz w:val="32"/>
          <w:szCs w:val="32"/>
        </w:rPr>
        <w:t>十、一般公共预算财政拨款“三公”经费支出决算表</w:t>
      </w:r>
      <w:bookmarkEnd w:id="64"/>
    </w:p>
    <w:p>
      <w:pPr>
        <w:rPr>
          <w:rFonts w:hint="eastAsia" w:ascii="仿宋_GB2312" w:hAnsi="仿宋_GB2312" w:eastAsia="仿宋_GB2312" w:cs="仿宋_GB2312"/>
          <w:sz w:val="32"/>
          <w:szCs w:val="32"/>
        </w:rPr>
      </w:pPr>
      <w:bookmarkStart w:id="65" w:name="_Toc15396629"/>
      <w:r>
        <w:rPr>
          <w:rFonts w:hint="eastAsia" w:ascii="仿宋_GB2312" w:hAnsi="仿宋_GB2312" w:eastAsia="仿宋_GB2312" w:cs="仿宋_GB2312"/>
          <w:sz w:val="32"/>
          <w:szCs w:val="32"/>
        </w:rPr>
        <w:t>十一、政府性基金预算财政拨款收入支出决算表</w:t>
      </w:r>
      <w:bookmarkEnd w:id="65"/>
    </w:p>
    <w:p>
      <w:pPr>
        <w:rPr>
          <w:rFonts w:hint="eastAsia" w:ascii="仿宋_GB2312" w:hAnsi="仿宋_GB2312" w:eastAsia="仿宋_GB2312" w:cs="仿宋_GB2312"/>
          <w:sz w:val="32"/>
          <w:szCs w:val="32"/>
        </w:rPr>
      </w:pPr>
      <w:bookmarkStart w:id="66" w:name="_Toc15396630"/>
      <w:r>
        <w:rPr>
          <w:rFonts w:hint="eastAsia" w:ascii="仿宋_GB2312" w:hAnsi="仿宋_GB2312" w:eastAsia="仿宋_GB2312" w:cs="仿宋_GB2312"/>
          <w:sz w:val="32"/>
          <w:szCs w:val="32"/>
        </w:rPr>
        <w:t>十二、政府性基金预算财政拨款“三公”经费支出决算表</w:t>
      </w:r>
      <w:bookmarkEnd w:id="66"/>
    </w:p>
    <w:p>
      <w:pPr>
        <w:rPr>
          <w:rFonts w:hint="eastAsia" w:ascii="仿宋_GB2312" w:hAnsi="仿宋_GB2312" w:eastAsia="仿宋_GB2312" w:cs="仿宋_GB2312"/>
          <w:sz w:val="32"/>
          <w:szCs w:val="32"/>
        </w:rPr>
      </w:pPr>
      <w:bookmarkStart w:id="67" w:name="_Toc15396631"/>
      <w:r>
        <w:rPr>
          <w:rFonts w:hint="eastAsia" w:ascii="仿宋_GB2312" w:hAnsi="仿宋_GB2312" w:eastAsia="仿宋_GB2312" w:cs="仿宋_GB2312"/>
          <w:sz w:val="32"/>
          <w:szCs w:val="32"/>
        </w:rPr>
        <w:t>十三、国有资本经营预算财政拨款收入支出决算表</w:t>
      </w:r>
      <w:bookmarkEnd w:id="67"/>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十四、国有资本经营预算财政拨款支出决算表</w:t>
      </w:r>
    </w:p>
    <w:sectPr>
      <w:headerReference r:id="rId3" w:type="default"/>
      <w:footerReference r:id="rId4"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穝灿砰">
    <w:altName w:val="宋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9"/>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cyZTJkOWVjMmQ4NzRjMTczZTljM2FjOTk0MTk3Z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9F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A46E7"/>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2755"/>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1445"/>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168"/>
    <w:rsid w:val="00B81598"/>
    <w:rsid w:val="00B841F1"/>
    <w:rsid w:val="00B944D6"/>
    <w:rsid w:val="00BB10E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1F20"/>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BF7729"/>
    <w:rsid w:val="11DD6519"/>
    <w:rsid w:val="16BB723D"/>
    <w:rsid w:val="18015F3F"/>
    <w:rsid w:val="1B114950"/>
    <w:rsid w:val="1BE8440E"/>
    <w:rsid w:val="1D155CEE"/>
    <w:rsid w:val="20F57F95"/>
    <w:rsid w:val="240371BF"/>
    <w:rsid w:val="25C741E6"/>
    <w:rsid w:val="27842671"/>
    <w:rsid w:val="29FD04D3"/>
    <w:rsid w:val="2ABE7A3E"/>
    <w:rsid w:val="2EFA178C"/>
    <w:rsid w:val="30A63504"/>
    <w:rsid w:val="30B46D73"/>
    <w:rsid w:val="319F7F4E"/>
    <w:rsid w:val="39AE70AB"/>
    <w:rsid w:val="3C0C0783"/>
    <w:rsid w:val="3F9F3A96"/>
    <w:rsid w:val="43832880"/>
    <w:rsid w:val="493C27E9"/>
    <w:rsid w:val="496F39ED"/>
    <w:rsid w:val="49FF41D3"/>
    <w:rsid w:val="4BE068DB"/>
    <w:rsid w:val="4BF6002B"/>
    <w:rsid w:val="4ECE2238"/>
    <w:rsid w:val="51DB4B86"/>
    <w:rsid w:val="530231D8"/>
    <w:rsid w:val="55333C3E"/>
    <w:rsid w:val="64CA39A1"/>
    <w:rsid w:val="6641477A"/>
    <w:rsid w:val="6C4A05C8"/>
    <w:rsid w:val="72734D90"/>
    <w:rsid w:val="79E7B28D"/>
    <w:rsid w:val="7B84284C"/>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qFormat/>
    <w:uiPriority w:val="10"/>
    <w:pPr>
      <w:spacing w:line="240" w:lineRule="atLeast"/>
      <w:jc w:val="center"/>
    </w:pPr>
    <w:rPr>
      <w:rFonts w:ascii="Arial" w:hAnsi="Arial" w:eastAsia="穝灿砰"/>
      <w:sz w:val="52"/>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默认"/>
    <w:basedOn w:val="1"/>
    <w:next w:val="1"/>
    <w:qFormat/>
    <w:uiPriority w:val="0"/>
    <w:pPr>
      <w:widowControl/>
      <w:jc w:val="left"/>
    </w:pPr>
    <w:rPr>
      <w:rFonts w:ascii="Helvetica Neue" w:hAnsi="Helvetica Neue" w:eastAsia="Arial Unicode MS" w:cs="Arial Unicode MS"/>
      <w:color w:val="000000"/>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NUL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2041</Words>
  <Characters>11640</Characters>
  <Lines>97</Lines>
  <Paragraphs>27</Paragraphs>
  <TotalTime>6</TotalTime>
  <ScaleCrop>false</ScaleCrop>
  <LinksUpToDate>false</LinksUpToDate>
  <CharactersWithSpaces>13654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邓文婧(收文1)</cp:lastModifiedBy>
  <cp:lastPrinted>2022-08-06T02:23:00Z</cp:lastPrinted>
  <dcterms:modified xsi:type="dcterms:W3CDTF">2023-10-09T03:54:14Z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ADDE7DE90F3E4747A93238ECD20BA493</vt:lpwstr>
  </property>
</Properties>
</file>