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475"/>
      <w:bookmarkStart w:id="2" w:name="_Toc15396597"/>
      <w:bookmarkStart w:id="3" w:name="_Toc15378441"/>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476"/>
      <w:bookmarkStart w:id="8" w:name="_Toc15377426"/>
      <w:bookmarkStart w:id="9" w:name="_Toc15396598"/>
      <w:bookmarkStart w:id="10" w:name="_Toc15377194"/>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eastAsia="zh-CN"/>
        </w:rPr>
        <w:t>攀枝花市西区区委宣传部</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w:t>
      </w:r>
      <w:r>
        <w:rPr>
          <w:rFonts w:hint="eastAsia"/>
          <w:lang w:val="en-US" w:eastAsia="zh-CN"/>
        </w:rPr>
        <w:t>10</w:t>
      </w:r>
      <w:r>
        <w:rPr>
          <w:rFonts w:hint="eastAsia"/>
        </w:rPr>
        <w:t>月</w:t>
      </w:r>
      <w:r>
        <w:rPr>
          <w:rFonts w:hint="eastAsia"/>
          <w:lang w:val="en-US" w:eastAsia="zh-CN"/>
        </w:rPr>
        <w:t>9</w:t>
      </w:r>
      <w:r>
        <w:rPr>
          <w:rFonts w:hint="eastAsia"/>
        </w:rPr>
        <w:t>日</w:t>
      </w:r>
    </w:p>
    <w:p/>
    <w:p>
      <w:pPr>
        <w:pStyle w:val="11"/>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第一部分 部门概况.................................................................................................4</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一、基本职能及主要工作.........................................................................</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.....4</w:t>
      </w:r>
    </w:p>
    <w:p>
      <w:pPr>
        <w:pStyle w:val="12"/>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二、机构设置....................................................................................................</w:t>
      </w:r>
      <w:r>
        <w:rPr>
          <w:rFonts w:hint="eastAsia" w:cs="Times New Roman"/>
          <w:kern w:val="2"/>
          <w:sz w:val="24"/>
          <w:szCs w:val="24"/>
          <w:lang w:val="en-US" w:eastAsia="zh-CN" w:bidi="ar-SA"/>
        </w:rPr>
        <w:t>5</w:t>
      </w:r>
    </w:p>
    <w:p>
      <w:pPr>
        <w:pStyle w:val="11"/>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第二部分 2021年度部门决算情况说明................................................................6</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一、收入支出决算总体情况说明....................................................................6</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二、收入决算情况说明....................................................................................6</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三、支出决算情况说明...............................................</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7</w:t>
      </w:r>
    </w:p>
    <w:p>
      <w:pPr>
        <w:pStyle w:val="12"/>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四、财政拨款收入支出决算总体情况说明...................</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8</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五、一般公共预算财政拨款支出决算情况说明............................................</w:t>
      </w:r>
      <w:r>
        <w:rPr>
          <w:rFonts w:hint="eastAsia" w:cs="Times New Roman"/>
          <w:kern w:val="2"/>
          <w:sz w:val="24"/>
          <w:szCs w:val="24"/>
          <w:lang w:val="en-US" w:eastAsia="zh-CN" w:bidi="ar-SA"/>
        </w:rPr>
        <w:t>9</w:t>
      </w:r>
    </w:p>
    <w:p>
      <w:pPr>
        <w:pStyle w:val="12"/>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六、一般公共预算财政拨款基本支出决算情况说明...................................</w:t>
      </w:r>
      <w:r>
        <w:rPr>
          <w:rFonts w:hint="eastAsia" w:cs="Times New Roman"/>
          <w:kern w:val="2"/>
          <w:sz w:val="24"/>
          <w:szCs w:val="24"/>
          <w:lang w:val="en-US" w:eastAsia="zh-CN" w:bidi="ar-SA"/>
        </w:rPr>
        <w:t>.11</w:t>
      </w:r>
    </w:p>
    <w:p>
      <w:pPr>
        <w:pStyle w:val="12"/>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七、“三公”经费财政拨款支出决算情况说明..........................................</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12</w:t>
      </w:r>
    </w:p>
    <w:p>
      <w:pPr>
        <w:pStyle w:val="12"/>
        <w:adjustRightInd w:val="0"/>
        <w:snapToGrid w:val="0"/>
        <w:spacing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八、政府性基金预算支出决算情况说明..................................................</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13</w:t>
      </w:r>
    </w:p>
    <w:p>
      <w:pPr>
        <w:pStyle w:val="12"/>
        <w:adjustRightInd w:val="0"/>
        <w:snapToGrid w:val="0"/>
        <w:spacing w:line="440" w:lineRule="exact"/>
        <w:ind w:leftChars="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九、国有资本经营预算支出决算情况说明...................................................</w:t>
      </w:r>
      <w:r>
        <w:rPr>
          <w:rFonts w:hint="eastAsia" w:cs="Times New Roman"/>
          <w:kern w:val="2"/>
          <w:sz w:val="24"/>
          <w:szCs w:val="24"/>
          <w:lang w:val="en-US" w:eastAsia="zh-CN" w:bidi="ar-SA"/>
        </w:rPr>
        <w:t>14</w:t>
      </w:r>
    </w:p>
    <w:p>
      <w:pPr>
        <w:adjustRightInd w:val="0"/>
        <w:snapToGrid w:val="0"/>
        <w:spacing w:line="440" w:lineRule="exact"/>
        <w:ind w:firstLine="420" w:firstLineChars="175"/>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十、其他重要事项的情况说明.......................................................................</w:t>
      </w:r>
      <w:r>
        <w:rPr>
          <w:rFonts w:hint="eastAsia" w:cs="Times New Roman"/>
          <w:kern w:val="2"/>
          <w:sz w:val="24"/>
          <w:szCs w:val="24"/>
          <w:lang w:val="en-US" w:eastAsia="zh-CN" w:bidi="ar-SA"/>
        </w:rPr>
        <w:t>14</w:t>
      </w:r>
    </w:p>
    <w:p>
      <w:pPr>
        <w:pStyle w:val="11"/>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第三部分 名词解释................................................................................................16</w:t>
      </w:r>
    </w:p>
    <w:p>
      <w:pPr>
        <w:pStyle w:val="11"/>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第四部分 附件........................................................................................................19</w:t>
      </w:r>
    </w:p>
    <w:p>
      <w:pPr>
        <w:pStyle w:val="11"/>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第五部分 附表........................................................................................................25</w:t>
      </w:r>
      <w:bookmarkStart w:id="73" w:name="_GoBack"/>
      <w:bookmarkEnd w:id="73"/>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一、收入支出决算总表</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二、收入决算表</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三、支出决算表</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四、财政拨款收入支出决算总表</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五、财政拨款支出决算明细表</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六、一般公共预算财政拨款支出决算表</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七、一般公共预算财政拨款支出决算明细表</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八、一般公共预算财政拨款基本支出决算表</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九、一般公共预算财政拨款项目支出决算表</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十、一般公共预算财政拨款“三公”经费支出决算表</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十一、政府性基金预算财政拨款收入支出决算表</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十二、政府性基金预算财政拨款“三公”经费支出决算表</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十三、国有资本经营预算财政拨款收入支出决算表</w:t>
      </w:r>
    </w:p>
    <w:p>
      <w:pPr>
        <w:pStyle w:val="12"/>
        <w:adjustRightInd w:val="0"/>
        <w:snapToGrid w:val="0"/>
        <w:spacing w:line="44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十四、国有资本经营预算财政拨款支出决算表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rPr>
          <w:rStyle w:val="25"/>
          <w:rFonts w:ascii="仿宋" w:hAnsi="仿宋" w:eastAsia="仿宋"/>
          <w:b w:val="0"/>
          <w:bCs w:val="0"/>
        </w:rPr>
      </w:pPr>
      <w:bookmarkStart w:id="14" w:name="_Toc15377197"/>
      <w:bookmarkStart w:id="15" w:name="_Toc15396600"/>
      <w:r>
        <w:rPr>
          <w:rFonts w:hint="eastAsia" w:ascii="黑体" w:hAnsi="黑体" w:eastAsia="黑体"/>
          <w:b w:val="0"/>
        </w:rPr>
        <w:t>一、基</w:t>
      </w:r>
      <w:r>
        <w:rPr>
          <w:rStyle w:val="25"/>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40" w:firstLineChars="200"/>
        <w:outlineLvl w:val="2"/>
        <w:rPr>
          <w:rFonts w:hint="eastAsia" w:ascii="仿宋" w:hAnsi="仿宋" w:eastAsia="仿宋"/>
          <w:bCs/>
          <w:sz w:val="32"/>
          <w:szCs w:val="32"/>
        </w:rPr>
      </w:pPr>
      <w:bookmarkStart w:id="16" w:name="_Toc15378445"/>
      <w:bookmarkStart w:id="17" w:name="_Toc15377198"/>
      <w:r>
        <w:rPr>
          <w:rFonts w:hint="eastAsia" w:ascii="仿宋" w:hAnsi="仿宋" w:eastAsia="仿宋"/>
          <w:bCs/>
          <w:sz w:val="32"/>
          <w:szCs w:val="32"/>
        </w:rPr>
        <w:t>（一）主要职能。</w:t>
      </w:r>
      <w:bookmarkEnd w:id="16"/>
      <w:bookmarkEnd w:id="17"/>
      <w:bookmarkStart w:id="18" w:name="_Toc15378446"/>
      <w:bookmarkStart w:id="19" w:name="_Toc15377199"/>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一是拟定全区宣传思想文化工作重大政策和事业产业发展总体规划，统筹协调推进宣传思想文化领域法治建设。 </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二是统筹协调全区党的意识形态工作。</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三是统筹指导协调理论研究、理论学习、理论宣传工作，组织推动理论武装工作。</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四是负责规划组织全局性思想政治工作；组织重大先进典型的学习和推广。</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五是统筹组织协调精神文明建设工作，协调推进精神文明创建、公民思想道德建设和志愿服务工作。</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六是统筹协调对外宣传工作。</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七是统筹指导推进文化体制改革和文化事业、文化产业及旅游发展。</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八是负责管理新闻出版行政事务。</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九是负责管理电影行政事务。</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十是归口领导区文广旅局等宣传思想文化和旅游单位，受区委委托，代管区文学艺术界联合会等宣传思想文化和旅游单位。</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十一是统筹推进网络阵地建设。</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十二是负责职责范围内的安全生产和职业健康、生态环境保护等工作。</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十三是完成区委和市委宣传部交办的其他任务。</w:t>
      </w:r>
    </w:p>
    <w:p>
      <w:pPr>
        <w:pStyle w:val="6"/>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8"/>
      <w:bookmarkEnd w:id="19"/>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一是落实党管意识形态工作责任制，确保意识形态领域安全。</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二是抓好创建全国文明城市工作。</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三是推动新时代文明实践中心、融媒体中心融合发展。</w:t>
      </w:r>
    </w:p>
    <w:p>
      <w:pPr>
        <w:ind w:firstLine="800" w:firstLineChars="250"/>
        <w:rPr>
          <w:rFonts w:hint="eastAsia" w:ascii="仿宋" w:hAnsi="仿宋" w:eastAsia="仿宋"/>
          <w:sz w:val="32"/>
          <w:szCs w:val="32"/>
        </w:rPr>
      </w:pPr>
      <w:r>
        <w:rPr>
          <w:rFonts w:hint="eastAsia" w:ascii="仿宋" w:hAnsi="仿宋" w:eastAsia="仿宋"/>
          <w:sz w:val="32"/>
          <w:szCs w:val="32"/>
          <w:lang w:val="en-US" w:eastAsia="zh-CN"/>
        </w:rPr>
        <w:t>四是做好迎接宣传贯彻党的二十大和省第十二次党代会工作。</w:t>
      </w:r>
    </w:p>
    <w:p>
      <w:pPr>
        <w:pStyle w:val="4"/>
        <w:rPr>
          <w:rStyle w:val="25"/>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5"/>
          <w:rFonts w:hint="eastAsia" w:ascii="黑体" w:hAnsi="黑体" w:eastAsia="黑体"/>
          <w:b w:val="0"/>
          <w:bCs w:val="0"/>
        </w:rPr>
        <w:t>构设置</w:t>
      </w:r>
      <w:bookmarkEnd w:id="20"/>
      <w:bookmarkEnd w:id="21"/>
    </w:p>
    <w:p>
      <w:pPr>
        <w:ind w:firstLine="660" w:firstLineChars="200"/>
        <w:rPr>
          <w:rFonts w:ascii="仿宋" w:hAnsi="仿宋" w:eastAsia="仿宋"/>
          <w:kern w:val="0"/>
          <w:sz w:val="32"/>
          <w:szCs w:val="32"/>
        </w:rPr>
      </w:pPr>
      <w:r>
        <w:rPr>
          <w:rFonts w:hint="eastAsia" w:ascii="方正仿宋_GBK" w:hAnsi="方正仿宋_GBK" w:eastAsia="方正仿宋_GBK" w:cs="方正仿宋_GBK"/>
          <w:sz w:val="33"/>
          <w:szCs w:val="33"/>
          <w:lang w:val="en-US" w:eastAsia="zh-CN"/>
        </w:rPr>
        <w:t>西区区委宣传部内设股室4个，下属二级单位</w:t>
      </w:r>
      <w:r>
        <w:rPr>
          <w:rFonts w:hint="default" w:ascii="方正仿宋_GBK" w:hAnsi="方正仿宋_GBK" w:eastAsia="方正仿宋_GBK" w:cs="方正仿宋_GBK"/>
          <w:sz w:val="33"/>
          <w:szCs w:val="33"/>
          <w:lang w:val="en-US" w:eastAsia="zh-CN"/>
        </w:rPr>
        <w:t>0</w:t>
      </w:r>
      <w:r>
        <w:rPr>
          <w:rFonts w:hint="eastAsia" w:ascii="方正仿宋_GBK" w:hAnsi="方正仿宋_GBK" w:eastAsia="方正仿宋_GBK" w:cs="方正仿宋_GBK"/>
          <w:sz w:val="33"/>
          <w:szCs w:val="33"/>
          <w:lang w:val="en-US" w:eastAsia="zh-CN"/>
        </w:rPr>
        <w:t>个，其中行政单位</w:t>
      </w:r>
      <w:r>
        <w:rPr>
          <w:rFonts w:hint="default" w:ascii="方正仿宋_GBK" w:hAnsi="方正仿宋_GBK" w:eastAsia="方正仿宋_GBK" w:cs="方正仿宋_GBK"/>
          <w:sz w:val="33"/>
          <w:szCs w:val="33"/>
          <w:lang w:val="en-US" w:eastAsia="zh-CN"/>
        </w:rPr>
        <w:t>0</w:t>
      </w:r>
      <w:r>
        <w:rPr>
          <w:rFonts w:hint="eastAsia" w:ascii="方正仿宋_GBK" w:hAnsi="方正仿宋_GBK" w:eastAsia="方正仿宋_GBK" w:cs="方正仿宋_GBK"/>
          <w:sz w:val="33"/>
          <w:szCs w:val="33"/>
          <w:lang w:val="en-US" w:eastAsia="zh-CN"/>
        </w:rPr>
        <w:t>个。代管事业单位</w:t>
      </w:r>
      <w:r>
        <w:rPr>
          <w:rFonts w:hint="default" w:ascii="方正仿宋_GBK" w:hAnsi="方正仿宋_GBK" w:eastAsia="方正仿宋_GBK" w:cs="方正仿宋_GBK"/>
          <w:sz w:val="33"/>
          <w:szCs w:val="33"/>
          <w:lang w:val="en-US" w:eastAsia="zh-CN"/>
        </w:rPr>
        <w:t>1</w:t>
      </w:r>
      <w:r>
        <w:rPr>
          <w:rFonts w:hint="eastAsia" w:ascii="方正仿宋_GBK" w:hAnsi="方正仿宋_GBK" w:eastAsia="方正仿宋_GBK" w:cs="方正仿宋_GBK"/>
          <w:sz w:val="33"/>
          <w:szCs w:val="33"/>
          <w:lang w:val="en-US" w:eastAsia="zh-CN"/>
        </w:rPr>
        <w:t>个，（攀枝花市西区融媒体中心）。与区文联合署办公。</w:t>
      </w:r>
      <w:r>
        <w:rPr>
          <w:rFonts w:ascii="仿宋" w:hAnsi="仿宋" w:eastAsia="仿宋"/>
          <w:sz w:val="32"/>
          <w:szCs w:val="32"/>
        </w:rPr>
        <w:br w:type="page"/>
      </w:r>
    </w:p>
    <w:p>
      <w:pPr>
        <w:pStyle w:val="3"/>
        <w:ind w:right="440"/>
        <w:jc w:val="center"/>
        <w:rPr>
          <w:rStyle w:val="24"/>
          <w:rFonts w:ascii="黑体" w:hAnsi="黑体" w:eastAsia="黑体"/>
          <w:b w:val="0"/>
          <w:bCs/>
        </w:rPr>
      </w:pPr>
      <w:bookmarkStart w:id="22" w:name="_Toc15396602"/>
      <w:bookmarkStart w:id="23" w:name="_Toc15377204"/>
      <w:r>
        <w:rPr>
          <w:rFonts w:hint="eastAsia" w:ascii="黑体" w:hAnsi="黑体" w:eastAsia="黑体"/>
          <w:b w:val="0"/>
        </w:rPr>
        <w:t>第二部分 2021年度</w:t>
      </w:r>
      <w:r>
        <w:rPr>
          <w:rStyle w:val="24"/>
          <w:rFonts w:hint="eastAsia" w:ascii="黑体" w:hAnsi="黑体" w:eastAsia="黑体"/>
          <w:b w:val="0"/>
          <w:bCs/>
        </w:rPr>
        <w:t>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420" w:firstLineChars="200"/>
        <w:rPr>
          <w:rFonts w:hint="eastAsia" w:ascii="仿宋" w:hAnsi="仿宋" w:eastAsia="仿宋"/>
          <w:sz w:val="32"/>
          <w:szCs w:val="32"/>
          <w:lang w:eastAsia="zh-CN"/>
        </w:rPr>
      </w:pPr>
      <w:r>
        <w:drawing>
          <wp:anchor distT="0" distB="0" distL="114300" distR="114300" simplePos="0" relativeHeight="251659264" behindDoc="0" locked="0" layoutInCell="1" allowOverlap="1">
            <wp:simplePos x="0" y="0"/>
            <wp:positionH relativeFrom="column">
              <wp:posOffset>634365</wp:posOffset>
            </wp:positionH>
            <wp:positionV relativeFrom="paragraph">
              <wp:posOffset>1468120</wp:posOffset>
            </wp:positionV>
            <wp:extent cx="4572000" cy="2743200"/>
            <wp:effectExtent l="4445" t="4445" r="10795" b="1079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2021年度收、支总计</w:t>
      </w:r>
      <w:r>
        <w:rPr>
          <w:rFonts w:hint="eastAsia" w:ascii="仿宋" w:hAnsi="仿宋" w:eastAsia="仿宋"/>
          <w:sz w:val="32"/>
          <w:szCs w:val="32"/>
          <w:lang w:val="en-US" w:eastAsia="zh-CN"/>
        </w:rPr>
        <w:t>612.39</w:t>
      </w:r>
      <w:r>
        <w:rPr>
          <w:rFonts w:hint="eastAsia" w:ascii="仿宋" w:hAnsi="仿宋" w:eastAsia="仿宋"/>
          <w:sz w:val="32"/>
          <w:szCs w:val="32"/>
        </w:rPr>
        <w:t>万元。与2020年相比，收、支总计各减少</w:t>
      </w:r>
      <w:r>
        <w:rPr>
          <w:rFonts w:hint="eastAsia" w:ascii="仿宋" w:hAnsi="仿宋" w:eastAsia="仿宋"/>
          <w:sz w:val="32"/>
          <w:szCs w:val="32"/>
          <w:lang w:val="en-US" w:eastAsia="zh-CN"/>
        </w:rPr>
        <w:t>269.43</w:t>
      </w:r>
      <w:r>
        <w:rPr>
          <w:rFonts w:hint="eastAsia" w:ascii="仿宋" w:hAnsi="仿宋" w:eastAsia="仿宋"/>
          <w:sz w:val="32"/>
          <w:szCs w:val="32"/>
        </w:rPr>
        <w:t>万元，下降</w:t>
      </w:r>
      <w:r>
        <w:rPr>
          <w:rFonts w:hint="eastAsia" w:ascii="仿宋" w:hAnsi="仿宋" w:eastAsia="仿宋"/>
          <w:sz w:val="32"/>
          <w:szCs w:val="32"/>
          <w:lang w:val="en-US" w:eastAsia="zh-CN"/>
        </w:rPr>
        <w:t>30.55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西区新时代文明实践中心，融媒体中心建设完成。</w:t>
      </w:r>
    </w:p>
    <w:p>
      <w:pPr>
        <w:spacing w:line="600" w:lineRule="exact"/>
        <w:ind w:firstLine="640" w:firstLineChars="200"/>
        <w:jc w:val="left"/>
        <w:rPr>
          <w:rFonts w:ascii="仿宋_GB2312" w:eastAsia="仿宋_GB2312"/>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576.16</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450.74</w:t>
      </w:r>
      <w:r>
        <w:rPr>
          <w:rFonts w:hint="eastAsia" w:ascii="仿宋" w:hAnsi="仿宋" w:eastAsia="仿宋"/>
          <w:sz w:val="32"/>
          <w:szCs w:val="32"/>
        </w:rPr>
        <w:t>万元，占</w:t>
      </w:r>
      <w:r>
        <w:rPr>
          <w:rFonts w:hint="eastAsia" w:ascii="仿宋" w:hAnsi="仿宋" w:eastAsia="仿宋"/>
          <w:sz w:val="32"/>
          <w:szCs w:val="32"/>
          <w:lang w:val="en-US" w:eastAsia="zh-CN"/>
        </w:rPr>
        <w:t>78.23</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125.42</w:t>
      </w:r>
      <w:r>
        <w:rPr>
          <w:rFonts w:hint="eastAsia" w:ascii="仿宋" w:hAnsi="仿宋" w:eastAsia="仿宋"/>
          <w:sz w:val="32"/>
          <w:szCs w:val="32"/>
        </w:rPr>
        <w:t>万元，占</w:t>
      </w:r>
      <w:r>
        <w:rPr>
          <w:rFonts w:hint="eastAsia" w:ascii="仿宋" w:hAnsi="仿宋" w:eastAsia="仿宋"/>
          <w:sz w:val="32"/>
          <w:szCs w:val="32"/>
          <w:lang w:val="en-US" w:eastAsia="zh-CN"/>
        </w:rPr>
        <w:t>21.77</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420" w:firstLineChars="200"/>
        <w:rPr>
          <w:rFonts w:ascii="仿宋_GB2312" w:eastAsia="仿宋_GB2312"/>
          <w:sz w:val="32"/>
          <w:szCs w:val="32"/>
        </w:rPr>
      </w:pPr>
      <w:r>
        <w:drawing>
          <wp:anchor distT="0" distB="0" distL="114300" distR="114300" simplePos="0" relativeHeight="251660288" behindDoc="0" locked="0" layoutInCell="1" allowOverlap="1">
            <wp:simplePos x="0" y="0"/>
            <wp:positionH relativeFrom="column">
              <wp:posOffset>400685</wp:posOffset>
            </wp:positionH>
            <wp:positionV relativeFrom="paragraph">
              <wp:posOffset>249555</wp:posOffset>
            </wp:positionV>
            <wp:extent cx="4572000" cy="2743200"/>
            <wp:effectExtent l="4445" t="4445" r="10795" b="1079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460.09</w:t>
      </w:r>
      <w:r>
        <w:rPr>
          <w:rFonts w:hint="eastAsia" w:ascii="仿宋" w:hAnsi="仿宋" w:eastAsia="仿宋"/>
          <w:sz w:val="32"/>
          <w:szCs w:val="32"/>
        </w:rPr>
        <w:t>万元，其中：基本支出</w:t>
      </w:r>
      <w:r>
        <w:rPr>
          <w:rFonts w:hint="eastAsia" w:ascii="仿宋" w:hAnsi="仿宋" w:eastAsia="仿宋"/>
          <w:sz w:val="32"/>
          <w:szCs w:val="32"/>
          <w:lang w:val="en-US" w:eastAsia="zh-CN"/>
        </w:rPr>
        <w:t>425.19</w:t>
      </w:r>
      <w:r>
        <w:rPr>
          <w:rFonts w:hint="eastAsia" w:ascii="仿宋" w:hAnsi="仿宋" w:eastAsia="仿宋"/>
          <w:sz w:val="32"/>
          <w:szCs w:val="32"/>
        </w:rPr>
        <w:t>万元，占</w:t>
      </w:r>
      <w:r>
        <w:rPr>
          <w:rFonts w:hint="eastAsia" w:ascii="仿宋" w:hAnsi="仿宋" w:eastAsia="仿宋"/>
          <w:sz w:val="32"/>
          <w:szCs w:val="32"/>
          <w:lang w:val="en-US" w:eastAsia="zh-CN"/>
        </w:rPr>
        <w:t>92.41</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34.91</w:t>
      </w:r>
      <w:r>
        <w:rPr>
          <w:rFonts w:hint="eastAsia" w:ascii="仿宋" w:hAnsi="仿宋" w:eastAsia="仿宋"/>
          <w:sz w:val="32"/>
          <w:szCs w:val="32"/>
        </w:rPr>
        <w:t>万元，占</w:t>
      </w:r>
      <w:r>
        <w:rPr>
          <w:rFonts w:hint="eastAsia" w:ascii="仿宋" w:hAnsi="仿宋" w:eastAsia="仿宋"/>
          <w:sz w:val="32"/>
          <w:szCs w:val="32"/>
          <w:lang w:val="en-US" w:eastAsia="zh-CN"/>
        </w:rPr>
        <w:t>7.59</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420" w:firstLineChars="200"/>
        <w:rPr>
          <w:rFonts w:ascii="仿宋_GB2312" w:eastAsia="仿宋_GB2312"/>
          <w:sz w:val="32"/>
          <w:szCs w:val="32"/>
        </w:rPr>
      </w:pPr>
      <w:r>
        <w:drawing>
          <wp:anchor distT="0" distB="0" distL="114300" distR="114300" simplePos="0" relativeHeight="251661312" behindDoc="0" locked="0" layoutInCell="1" allowOverlap="1">
            <wp:simplePos x="0" y="0"/>
            <wp:positionH relativeFrom="column">
              <wp:posOffset>354965</wp:posOffset>
            </wp:positionH>
            <wp:positionV relativeFrom="paragraph">
              <wp:posOffset>50800</wp:posOffset>
            </wp:positionV>
            <wp:extent cx="4572000" cy="2743200"/>
            <wp:effectExtent l="4445" t="4445" r="10795" b="10795"/>
            <wp:wrapTopAndBottom/>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2021年度收、支总计</w:t>
      </w:r>
      <w:r>
        <w:rPr>
          <w:rFonts w:hint="eastAsia" w:ascii="仿宋" w:hAnsi="仿宋" w:eastAsia="仿宋"/>
          <w:sz w:val="32"/>
          <w:szCs w:val="32"/>
          <w:lang w:val="en-US" w:eastAsia="zh-CN"/>
        </w:rPr>
        <w:t>612.39</w:t>
      </w:r>
      <w:r>
        <w:rPr>
          <w:rFonts w:hint="eastAsia" w:ascii="仿宋" w:hAnsi="仿宋" w:eastAsia="仿宋"/>
          <w:sz w:val="32"/>
          <w:szCs w:val="32"/>
        </w:rPr>
        <w:t>万元。与2020年相比，收、支总计各减少</w:t>
      </w:r>
      <w:r>
        <w:rPr>
          <w:rFonts w:hint="eastAsia" w:ascii="仿宋" w:hAnsi="仿宋" w:eastAsia="仿宋"/>
          <w:sz w:val="32"/>
          <w:szCs w:val="32"/>
          <w:lang w:val="en-US" w:eastAsia="zh-CN"/>
        </w:rPr>
        <w:t>269.43</w:t>
      </w:r>
      <w:r>
        <w:rPr>
          <w:rFonts w:hint="eastAsia" w:ascii="仿宋" w:hAnsi="仿宋" w:eastAsia="仿宋"/>
          <w:sz w:val="32"/>
          <w:szCs w:val="32"/>
        </w:rPr>
        <w:t>万元，下降</w:t>
      </w:r>
      <w:r>
        <w:rPr>
          <w:rFonts w:hint="eastAsia" w:ascii="仿宋" w:hAnsi="仿宋" w:eastAsia="仿宋"/>
          <w:sz w:val="32"/>
          <w:szCs w:val="32"/>
          <w:lang w:val="en-US" w:eastAsia="zh-CN"/>
        </w:rPr>
        <w:t>30.55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西区新时代文明实践中心，融媒体中心建设完成。</w:t>
      </w:r>
    </w:p>
    <w:p>
      <w:pPr>
        <w:spacing w:line="600" w:lineRule="exact"/>
        <w:ind w:firstLine="640"/>
        <w:rPr>
          <w:rFonts w:ascii="仿宋" w:hAnsi="仿宋" w:eastAsia="仿宋"/>
          <w:b/>
          <w:sz w:val="32"/>
          <w:szCs w:val="32"/>
        </w:rPr>
      </w:pPr>
      <w:r>
        <w:drawing>
          <wp:anchor distT="0" distB="0" distL="114300" distR="114300" simplePos="0" relativeHeight="251662336" behindDoc="0" locked="0" layoutInCell="1" allowOverlap="1">
            <wp:simplePos x="0" y="0"/>
            <wp:positionH relativeFrom="column">
              <wp:posOffset>212725</wp:posOffset>
            </wp:positionH>
            <wp:positionV relativeFrom="paragraph">
              <wp:posOffset>200660</wp:posOffset>
            </wp:positionV>
            <wp:extent cx="4572000" cy="2743200"/>
            <wp:effectExtent l="4445" t="4445" r="10795" b="1079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460.09</w:t>
      </w:r>
      <w:r>
        <w:rPr>
          <w:rFonts w:hint="eastAsia" w:ascii="仿宋" w:hAnsi="仿宋" w:eastAsia="仿宋"/>
          <w:sz w:val="32"/>
          <w:szCs w:val="32"/>
        </w:rPr>
        <w:t>万元，占本年支出合计的</w:t>
      </w:r>
      <w:r>
        <w:rPr>
          <w:rFonts w:hint="eastAsia" w:ascii="仿宋" w:hAnsi="仿宋" w:eastAsia="仿宋"/>
          <w:sz w:val="32"/>
          <w:szCs w:val="32"/>
          <w:lang w:val="en-US" w:eastAsia="zh-CN"/>
        </w:rPr>
        <w:t>75.13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w:t>
      </w:r>
      <w:r>
        <w:rPr>
          <w:rFonts w:hint="eastAsia" w:ascii="仿宋" w:hAnsi="仿宋" w:eastAsia="仿宋"/>
          <w:sz w:val="32"/>
          <w:szCs w:val="32"/>
          <w:lang w:val="en-US" w:eastAsia="zh-CN"/>
        </w:rPr>
        <w:t>136.92</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hint="eastAsia" w:ascii="仿宋" w:hAnsi="仿宋" w:eastAsia="仿宋"/>
          <w:sz w:val="32"/>
          <w:szCs w:val="32"/>
          <w:lang w:val="en-US" w:eastAsia="zh-CN"/>
        </w:rPr>
        <w:t>22.93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西区新时代文明实践中心，融媒体中心建设完成。</w:t>
      </w:r>
    </w:p>
    <w:p>
      <w:pPr>
        <w:spacing w:line="600" w:lineRule="exact"/>
        <w:ind w:firstLine="420" w:firstLineChars="200"/>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438785</wp:posOffset>
            </wp:positionH>
            <wp:positionV relativeFrom="paragraph">
              <wp:posOffset>316865</wp:posOffset>
            </wp:positionV>
            <wp:extent cx="4572000" cy="2743200"/>
            <wp:effectExtent l="4445" t="4445" r="10795" b="10795"/>
            <wp:wrapTopAndBottom/>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460.09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358.89</w:t>
      </w:r>
      <w:r>
        <w:rPr>
          <w:rFonts w:hint="eastAsia" w:ascii="仿宋" w:hAnsi="仿宋" w:eastAsia="仿宋"/>
          <w:sz w:val="32"/>
          <w:szCs w:val="32"/>
        </w:rPr>
        <w:t>万元，占</w:t>
      </w:r>
      <w:r>
        <w:rPr>
          <w:rFonts w:hint="eastAsia" w:ascii="仿宋" w:hAnsi="仿宋" w:eastAsia="仿宋"/>
          <w:sz w:val="32"/>
          <w:szCs w:val="32"/>
          <w:lang w:val="en-US" w:eastAsia="zh-CN"/>
        </w:rPr>
        <w:t>78.00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5.84</w:t>
      </w:r>
      <w:r>
        <w:rPr>
          <w:rFonts w:hint="eastAsia" w:ascii="仿宋" w:hAnsi="仿宋" w:eastAsia="仿宋"/>
          <w:b/>
          <w:bCs/>
          <w:sz w:val="32"/>
          <w:szCs w:val="32"/>
        </w:rPr>
        <w:t>万元，占</w:t>
      </w:r>
      <w:r>
        <w:rPr>
          <w:rFonts w:hint="eastAsia" w:ascii="仿宋" w:hAnsi="仿宋" w:eastAsia="仿宋"/>
          <w:b/>
          <w:bCs/>
          <w:sz w:val="32"/>
          <w:szCs w:val="32"/>
          <w:lang w:val="en-US" w:eastAsia="zh-CN"/>
        </w:rPr>
        <w:t>1.27</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31.11</w:t>
      </w:r>
      <w:r>
        <w:rPr>
          <w:rFonts w:hint="eastAsia" w:ascii="仿宋" w:hAnsi="仿宋" w:eastAsia="仿宋"/>
          <w:sz w:val="32"/>
          <w:szCs w:val="32"/>
        </w:rPr>
        <w:t>万元，占</w:t>
      </w:r>
      <w:r>
        <w:rPr>
          <w:rFonts w:hint="eastAsia" w:ascii="仿宋" w:hAnsi="仿宋" w:eastAsia="仿宋"/>
          <w:sz w:val="32"/>
          <w:szCs w:val="32"/>
          <w:lang w:val="en-US" w:eastAsia="zh-CN"/>
        </w:rPr>
        <w:t>6.76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24.32</w:t>
      </w:r>
      <w:r>
        <w:rPr>
          <w:rFonts w:hint="eastAsia" w:ascii="仿宋" w:hAnsi="仿宋" w:eastAsia="仿宋"/>
          <w:sz w:val="32"/>
          <w:szCs w:val="32"/>
        </w:rPr>
        <w:t>万元，占</w:t>
      </w:r>
      <w:r>
        <w:rPr>
          <w:rFonts w:hint="eastAsia" w:ascii="仿宋" w:hAnsi="仿宋" w:eastAsia="仿宋"/>
          <w:sz w:val="32"/>
          <w:szCs w:val="32"/>
          <w:lang w:val="en-US" w:eastAsia="zh-CN"/>
        </w:rPr>
        <w:t>5.29</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39.93</w:t>
      </w:r>
      <w:r>
        <w:rPr>
          <w:rFonts w:hint="eastAsia" w:ascii="仿宋" w:hAnsi="仿宋" w:eastAsia="仿宋"/>
          <w:sz w:val="32"/>
          <w:szCs w:val="32"/>
        </w:rPr>
        <w:t>万元，占</w:t>
      </w:r>
      <w:r>
        <w:rPr>
          <w:rFonts w:hint="eastAsia" w:ascii="仿宋" w:hAnsi="仿宋" w:eastAsia="仿宋"/>
          <w:sz w:val="32"/>
          <w:szCs w:val="32"/>
          <w:lang w:val="en-US" w:eastAsia="zh-CN"/>
        </w:rPr>
        <w:t>8.68</w:t>
      </w:r>
      <w:r>
        <w:rPr>
          <w:rFonts w:ascii="仿宋" w:hAnsi="仿宋" w:eastAsia="仿宋"/>
          <w:sz w:val="32"/>
          <w:szCs w:val="32"/>
        </w:rPr>
        <w:t>%</w:t>
      </w:r>
      <w:r>
        <w:rPr>
          <w:rFonts w:hint="eastAsia" w:ascii="仿宋" w:hAnsi="仿宋" w:eastAsia="仿宋"/>
          <w:sz w:val="32"/>
          <w:szCs w:val="32"/>
        </w:rPr>
        <w:t>。</w:t>
      </w:r>
    </w:p>
    <w:p>
      <w:pPr>
        <w:spacing w:line="600" w:lineRule="exact"/>
        <w:ind w:firstLine="420" w:firstLineChars="200"/>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217805</wp:posOffset>
            </wp:positionH>
            <wp:positionV relativeFrom="paragraph">
              <wp:posOffset>295275</wp:posOffset>
            </wp:positionV>
            <wp:extent cx="5203825" cy="3276600"/>
            <wp:effectExtent l="4445" t="4445" r="19050" b="10795"/>
            <wp:wrapTopAndBottom/>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8460"/>
      <w:bookmarkStart w:id="38" w:name="_Toc15377213"/>
      <w:bookmarkStart w:id="39" w:name="_Toc15377444"/>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460.09</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spacing w:line="600" w:lineRule="exact"/>
        <w:ind w:firstLine="640"/>
        <w:rPr>
          <w:rFonts w:hint="eastAsia" w:ascii="仿宋" w:hAnsi="仿宋" w:eastAsia="仿宋"/>
          <w:b/>
          <w:bCs/>
          <w:sz w:val="32"/>
          <w:szCs w:val="32"/>
          <w:lang w:eastAsia="zh-CN"/>
        </w:rPr>
      </w:pPr>
      <w:r>
        <w:rPr>
          <w:rFonts w:hint="eastAsia" w:ascii="仿宋" w:hAnsi="仿宋" w:eastAsia="仿宋"/>
          <w:b/>
          <w:bCs/>
          <w:sz w:val="32"/>
          <w:szCs w:val="32"/>
        </w:rPr>
        <w:t>1. 一般公共服务（类）宣传事务（款）行政运行（项）: 支出决算为</w:t>
      </w:r>
      <w:r>
        <w:rPr>
          <w:rFonts w:hint="eastAsia" w:ascii="仿宋" w:hAnsi="仿宋" w:eastAsia="仿宋"/>
          <w:b/>
          <w:bCs/>
          <w:sz w:val="32"/>
          <w:szCs w:val="32"/>
          <w:lang w:val="en-US" w:eastAsia="zh-CN"/>
        </w:rPr>
        <w:t>161.84</w:t>
      </w:r>
      <w:r>
        <w:rPr>
          <w:rFonts w:hint="eastAsia" w:ascii="仿宋" w:hAnsi="仿宋" w:eastAsia="仿宋"/>
          <w:b/>
          <w:bCs/>
          <w:sz w:val="32"/>
          <w:szCs w:val="32"/>
        </w:rPr>
        <w:t>万元，完成预算1</w:t>
      </w:r>
      <w:r>
        <w:rPr>
          <w:rFonts w:hint="eastAsia" w:ascii="仿宋" w:hAnsi="仿宋" w:eastAsia="仿宋"/>
          <w:b/>
          <w:bCs/>
          <w:sz w:val="32"/>
          <w:szCs w:val="32"/>
          <w:lang w:val="en-US" w:eastAsia="zh-CN"/>
        </w:rPr>
        <w:t>0</w:t>
      </w:r>
      <w:r>
        <w:rPr>
          <w:rFonts w:hint="eastAsia" w:ascii="仿宋" w:hAnsi="仿宋" w:eastAsia="仿宋"/>
          <w:b/>
          <w:bCs/>
          <w:sz w:val="32"/>
          <w:szCs w:val="32"/>
        </w:rPr>
        <w:t>0%</w:t>
      </w:r>
      <w:r>
        <w:rPr>
          <w:rFonts w:hint="eastAsia" w:ascii="仿宋" w:hAnsi="仿宋" w:eastAsia="仿宋"/>
          <w:b/>
          <w:bCs/>
          <w:sz w:val="32"/>
          <w:szCs w:val="32"/>
          <w:lang w:eastAsia="zh-CN"/>
        </w:rPr>
        <w:t>。</w:t>
      </w:r>
    </w:p>
    <w:p>
      <w:pPr>
        <w:spacing w:line="600" w:lineRule="exact"/>
        <w:ind w:firstLine="640"/>
        <w:rPr>
          <w:rFonts w:hint="eastAsia" w:ascii="仿宋" w:hAnsi="仿宋" w:eastAsia="仿宋"/>
          <w:sz w:val="32"/>
          <w:szCs w:val="32"/>
        </w:rPr>
      </w:pPr>
      <w:r>
        <w:rPr>
          <w:rFonts w:hint="eastAsia" w:ascii="仿宋" w:hAnsi="仿宋" w:eastAsia="仿宋"/>
          <w:b/>
          <w:bCs/>
          <w:sz w:val="32"/>
          <w:szCs w:val="32"/>
        </w:rPr>
        <w:t>2.一般公共服务（类）宣传事务（款）一般行政管理事务（项）: 支出决算为</w:t>
      </w:r>
      <w:r>
        <w:rPr>
          <w:rFonts w:hint="eastAsia" w:ascii="仿宋" w:hAnsi="仿宋" w:eastAsia="仿宋"/>
          <w:b/>
          <w:bCs/>
          <w:sz w:val="32"/>
          <w:szCs w:val="32"/>
          <w:lang w:val="en-US" w:eastAsia="zh-CN"/>
        </w:rPr>
        <w:t>29.07</w:t>
      </w:r>
      <w:r>
        <w:rPr>
          <w:rFonts w:hint="eastAsia" w:ascii="仿宋" w:hAnsi="仿宋" w:eastAsia="仿宋"/>
          <w:b/>
          <w:bCs/>
          <w:sz w:val="32"/>
          <w:szCs w:val="32"/>
        </w:rPr>
        <w:t>万元，完成预算1</w:t>
      </w:r>
      <w:r>
        <w:rPr>
          <w:rFonts w:hint="eastAsia" w:ascii="仿宋" w:hAnsi="仿宋" w:eastAsia="仿宋"/>
          <w:b/>
          <w:bCs/>
          <w:sz w:val="32"/>
          <w:szCs w:val="32"/>
          <w:lang w:val="en-US" w:eastAsia="zh-CN"/>
        </w:rPr>
        <w:t>00</w:t>
      </w:r>
      <w:r>
        <w:rPr>
          <w:rFonts w:hint="eastAsia" w:ascii="仿宋" w:hAnsi="仿宋" w:eastAsia="仿宋"/>
          <w:b/>
          <w:bCs/>
          <w:sz w:val="32"/>
          <w:szCs w:val="32"/>
        </w:rPr>
        <w:t>%。</w:t>
      </w:r>
    </w:p>
    <w:p>
      <w:pPr>
        <w:spacing w:line="600" w:lineRule="exact"/>
        <w:ind w:firstLine="640"/>
        <w:rPr>
          <w:rFonts w:hint="eastAsia" w:ascii="仿宋" w:hAnsi="仿宋" w:eastAsia="仿宋"/>
          <w:sz w:val="32"/>
          <w:szCs w:val="32"/>
        </w:rPr>
      </w:pPr>
      <w:r>
        <w:rPr>
          <w:rFonts w:hint="eastAsia" w:ascii="仿宋" w:hAnsi="仿宋" w:eastAsia="仿宋"/>
          <w:b/>
          <w:bCs/>
          <w:sz w:val="32"/>
          <w:szCs w:val="32"/>
        </w:rPr>
        <w:t>3.一般公共服务（类）宣传事务（款）事业运行（项）: 支出决算为</w:t>
      </w:r>
      <w:r>
        <w:rPr>
          <w:rFonts w:hint="eastAsia" w:ascii="仿宋" w:hAnsi="仿宋" w:eastAsia="仿宋"/>
          <w:b/>
          <w:bCs/>
          <w:sz w:val="32"/>
          <w:szCs w:val="32"/>
          <w:lang w:val="en-US" w:eastAsia="zh-CN"/>
        </w:rPr>
        <w:t>167.99</w:t>
      </w:r>
      <w:r>
        <w:rPr>
          <w:rFonts w:hint="eastAsia" w:ascii="仿宋" w:hAnsi="仿宋" w:eastAsia="仿宋"/>
          <w:b/>
          <w:bCs/>
          <w:sz w:val="32"/>
          <w:szCs w:val="32"/>
        </w:rPr>
        <w:t>万元，完成预算1</w:t>
      </w:r>
      <w:r>
        <w:rPr>
          <w:rFonts w:hint="eastAsia" w:ascii="仿宋" w:hAnsi="仿宋" w:eastAsia="仿宋"/>
          <w:b/>
          <w:bCs/>
          <w:sz w:val="32"/>
          <w:szCs w:val="32"/>
          <w:lang w:val="en-US" w:eastAsia="zh-CN"/>
        </w:rPr>
        <w:t>00</w:t>
      </w:r>
      <w:r>
        <w:rPr>
          <w:rFonts w:hint="eastAsia" w:ascii="仿宋" w:hAnsi="仿宋" w:eastAsia="仿宋"/>
          <w:b/>
          <w:bCs/>
          <w:sz w:val="32"/>
          <w:szCs w:val="32"/>
        </w:rPr>
        <w:t>%。</w:t>
      </w:r>
    </w:p>
    <w:p>
      <w:pPr>
        <w:spacing w:line="600" w:lineRule="exact"/>
        <w:ind w:firstLine="640"/>
        <w:rPr>
          <w:rFonts w:hint="eastAsia" w:ascii="仿宋" w:hAnsi="仿宋" w:eastAsia="仿宋"/>
          <w:b/>
          <w:bCs/>
          <w:sz w:val="32"/>
          <w:szCs w:val="32"/>
        </w:rPr>
      </w:pPr>
      <w:r>
        <w:rPr>
          <w:rFonts w:hint="eastAsia" w:ascii="仿宋" w:hAnsi="仿宋" w:eastAsia="仿宋"/>
          <w:b/>
          <w:bCs/>
          <w:sz w:val="32"/>
          <w:szCs w:val="32"/>
        </w:rPr>
        <w:t>4.文化旅游体育与传媒（类）其他文化体育与传媒支出（款）其他文化体育与传媒支出（项）: 支出决算为</w:t>
      </w:r>
      <w:r>
        <w:rPr>
          <w:rFonts w:hint="eastAsia" w:ascii="仿宋" w:hAnsi="仿宋" w:eastAsia="仿宋"/>
          <w:b/>
          <w:bCs/>
          <w:sz w:val="32"/>
          <w:szCs w:val="32"/>
          <w:lang w:val="en-US" w:eastAsia="zh-CN"/>
        </w:rPr>
        <w:t>5.84</w:t>
      </w:r>
      <w:r>
        <w:rPr>
          <w:rFonts w:hint="eastAsia" w:ascii="仿宋" w:hAnsi="仿宋" w:eastAsia="仿宋"/>
          <w:b/>
          <w:bCs/>
          <w:sz w:val="32"/>
          <w:szCs w:val="32"/>
        </w:rPr>
        <w:t>万元，完成预算100%。</w:t>
      </w:r>
    </w:p>
    <w:p>
      <w:pPr>
        <w:spacing w:line="600" w:lineRule="exact"/>
        <w:ind w:firstLine="640"/>
        <w:rPr>
          <w:rFonts w:hint="eastAsia" w:ascii="仿宋" w:hAnsi="仿宋" w:eastAsia="仿宋"/>
          <w:b/>
          <w:bCs/>
          <w:sz w:val="32"/>
          <w:szCs w:val="32"/>
        </w:rPr>
      </w:pPr>
      <w:r>
        <w:rPr>
          <w:rFonts w:hint="eastAsia" w:ascii="仿宋" w:hAnsi="仿宋" w:eastAsia="仿宋"/>
          <w:b/>
          <w:bCs/>
          <w:sz w:val="32"/>
          <w:szCs w:val="32"/>
        </w:rPr>
        <w:t>5.社会保障和就业（类）行政事业单位离退休（款）未归口管理的行政单位离退休（项）: 支出决算为1.63万元，完成预算100%。</w:t>
      </w:r>
    </w:p>
    <w:p>
      <w:pPr>
        <w:spacing w:line="600" w:lineRule="exact"/>
        <w:ind w:firstLine="640"/>
        <w:rPr>
          <w:rFonts w:hint="eastAsia" w:ascii="仿宋" w:hAnsi="仿宋" w:eastAsia="仿宋"/>
          <w:b/>
          <w:bCs/>
          <w:sz w:val="32"/>
          <w:szCs w:val="32"/>
          <w:lang w:eastAsia="zh-CN"/>
        </w:rPr>
      </w:pPr>
      <w:r>
        <w:rPr>
          <w:rFonts w:hint="eastAsia" w:ascii="仿宋" w:hAnsi="仿宋" w:eastAsia="仿宋"/>
          <w:b/>
          <w:bCs/>
          <w:sz w:val="32"/>
          <w:szCs w:val="32"/>
        </w:rPr>
        <w:t>6.社会保障和就业（类）行政事业单位离退休（款）机关事业单位基本养老保险缴费支出（项）: 支出决算为</w:t>
      </w:r>
      <w:r>
        <w:rPr>
          <w:rFonts w:hint="eastAsia" w:ascii="仿宋" w:hAnsi="仿宋" w:eastAsia="仿宋"/>
          <w:b/>
          <w:bCs/>
          <w:sz w:val="32"/>
          <w:szCs w:val="32"/>
          <w:lang w:val="en-US" w:eastAsia="zh-CN"/>
        </w:rPr>
        <w:t>29.48</w:t>
      </w:r>
      <w:r>
        <w:rPr>
          <w:rFonts w:hint="eastAsia" w:ascii="仿宋" w:hAnsi="仿宋" w:eastAsia="仿宋"/>
          <w:b/>
          <w:bCs/>
          <w:sz w:val="32"/>
          <w:szCs w:val="32"/>
        </w:rPr>
        <w:t>万元，完成预算</w:t>
      </w:r>
      <w:r>
        <w:rPr>
          <w:rFonts w:hint="eastAsia" w:ascii="仿宋" w:hAnsi="仿宋" w:eastAsia="仿宋"/>
          <w:b/>
          <w:bCs/>
          <w:sz w:val="32"/>
          <w:szCs w:val="32"/>
          <w:lang w:val="en-US" w:eastAsia="zh-CN"/>
        </w:rPr>
        <w:t>100</w:t>
      </w:r>
      <w:r>
        <w:rPr>
          <w:rFonts w:hint="eastAsia" w:ascii="仿宋" w:hAnsi="仿宋" w:eastAsia="仿宋"/>
          <w:b/>
          <w:bCs/>
          <w:sz w:val="32"/>
          <w:szCs w:val="32"/>
        </w:rPr>
        <w:t>%。</w:t>
      </w:r>
    </w:p>
    <w:p>
      <w:pPr>
        <w:spacing w:line="600" w:lineRule="exact"/>
        <w:ind w:firstLine="640"/>
        <w:rPr>
          <w:rFonts w:hint="eastAsia" w:ascii="仿宋" w:hAnsi="仿宋" w:eastAsia="仿宋"/>
          <w:sz w:val="32"/>
          <w:szCs w:val="32"/>
        </w:rPr>
      </w:pPr>
      <w:r>
        <w:rPr>
          <w:rFonts w:hint="eastAsia" w:ascii="仿宋" w:hAnsi="仿宋" w:eastAsia="仿宋"/>
          <w:b/>
          <w:bCs/>
          <w:sz w:val="32"/>
          <w:szCs w:val="32"/>
        </w:rPr>
        <w:t>7.卫生健康（类）行政事业单位医疗（款）行政单位医疗（项）:支出决算为</w:t>
      </w:r>
      <w:r>
        <w:rPr>
          <w:rFonts w:hint="eastAsia" w:ascii="仿宋" w:hAnsi="仿宋" w:eastAsia="仿宋"/>
          <w:b/>
          <w:bCs/>
          <w:sz w:val="32"/>
          <w:szCs w:val="32"/>
          <w:lang w:val="en-US" w:eastAsia="zh-CN"/>
        </w:rPr>
        <w:t>10.48</w:t>
      </w:r>
      <w:r>
        <w:rPr>
          <w:rFonts w:hint="eastAsia" w:ascii="仿宋" w:hAnsi="仿宋" w:eastAsia="仿宋"/>
          <w:b/>
          <w:bCs/>
          <w:sz w:val="32"/>
          <w:szCs w:val="32"/>
        </w:rPr>
        <w:t>万元，完成预算1</w:t>
      </w:r>
      <w:r>
        <w:rPr>
          <w:rFonts w:hint="eastAsia" w:ascii="仿宋" w:hAnsi="仿宋" w:eastAsia="仿宋"/>
          <w:b/>
          <w:bCs/>
          <w:sz w:val="32"/>
          <w:szCs w:val="32"/>
          <w:lang w:val="en-US" w:eastAsia="zh-CN"/>
        </w:rPr>
        <w:t>00</w:t>
      </w:r>
      <w:r>
        <w:rPr>
          <w:rFonts w:hint="eastAsia" w:ascii="仿宋" w:hAnsi="仿宋" w:eastAsia="仿宋"/>
          <w:b/>
          <w:bCs/>
          <w:sz w:val="32"/>
          <w:szCs w:val="32"/>
        </w:rPr>
        <w:t>%。</w:t>
      </w:r>
    </w:p>
    <w:p>
      <w:pPr>
        <w:spacing w:line="600" w:lineRule="exact"/>
        <w:ind w:firstLine="640"/>
        <w:rPr>
          <w:rFonts w:hint="eastAsia" w:ascii="仿宋" w:hAnsi="仿宋" w:eastAsia="仿宋"/>
          <w:sz w:val="32"/>
          <w:szCs w:val="32"/>
        </w:rPr>
      </w:pPr>
      <w:r>
        <w:rPr>
          <w:rFonts w:hint="eastAsia" w:ascii="仿宋" w:hAnsi="仿宋" w:eastAsia="仿宋"/>
          <w:b/>
          <w:bCs/>
          <w:sz w:val="32"/>
          <w:szCs w:val="32"/>
        </w:rPr>
        <w:t>8.卫生健康（类）行政事业单位医疗（款）事业单位医疗（项）:支出决算为</w:t>
      </w:r>
      <w:r>
        <w:rPr>
          <w:rFonts w:hint="eastAsia" w:ascii="仿宋" w:hAnsi="仿宋" w:eastAsia="仿宋"/>
          <w:b/>
          <w:bCs/>
          <w:sz w:val="32"/>
          <w:szCs w:val="32"/>
          <w:lang w:val="en-US" w:eastAsia="zh-CN"/>
        </w:rPr>
        <w:t>11.64</w:t>
      </w:r>
      <w:r>
        <w:rPr>
          <w:rFonts w:hint="eastAsia" w:ascii="仿宋" w:hAnsi="仿宋" w:eastAsia="仿宋"/>
          <w:b/>
          <w:bCs/>
          <w:sz w:val="32"/>
          <w:szCs w:val="32"/>
        </w:rPr>
        <w:t>万元，完成预算</w:t>
      </w:r>
      <w:r>
        <w:rPr>
          <w:rFonts w:hint="eastAsia" w:ascii="仿宋" w:hAnsi="仿宋" w:eastAsia="仿宋"/>
          <w:b/>
          <w:bCs/>
          <w:sz w:val="32"/>
          <w:szCs w:val="32"/>
          <w:lang w:val="en-US" w:eastAsia="zh-CN"/>
        </w:rPr>
        <w:t>100</w:t>
      </w:r>
      <w:r>
        <w:rPr>
          <w:rFonts w:hint="eastAsia" w:ascii="仿宋" w:hAnsi="仿宋" w:eastAsia="仿宋"/>
          <w:b/>
          <w:bCs/>
          <w:sz w:val="32"/>
          <w:szCs w:val="32"/>
        </w:rPr>
        <w:t>%。</w:t>
      </w:r>
    </w:p>
    <w:p>
      <w:pPr>
        <w:spacing w:line="600" w:lineRule="exact"/>
        <w:ind w:firstLine="640"/>
        <w:rPr>
          <w:rFonts w:hint="eastAsia" w:ascii="仿宋" w:hAnsi="仿宋" w:eastAsia="仿宋"/>
          <w:sz w:val="32"/>
          <w:szCs w:val="32"/>
        </w:rPr>
      </w:pPr>
      <w:r>
        <w:rPr>
          <w:rFonts w:hint="eastAsia" w:ascii="仿宋" w:hAnsi="仿宋" w:eastAsia="仿宋"/>
          <w:b/>
          <w:bCs/>
          <w:sz w:val="32"/>
          <w:szCs w:val="32"/>
        </w:rPr>
        <w:t>9.卫生健康（类）行政事业单位医疗（款）公务员医疗补助（项）:支出决算为2.1</w:t>
      </w:r>
      <w:r>
        <w:rPr>
          <w:rFonts w:hint="eastAsia" w:ascii="仿宋" w:hAnsi="仿宋" w:eastAsia="仿宋"/>
          <w:b/>
          <w:bCs/>
          <w:sz w:val="32"/>
          <w:szCs w:val="32"/>
          <w:lang w:val="en-US" w:eastAsia="zh-CN"/>
        </w:rPr>
        <w:t>9</w:t>
      </w:r>
      <w:r>
        <w:rPr>
          <w:rFonts w:hint="eastAsia" w:ascii="仿宋" w:hAnsi="仿宋" w:eastAsia="仿宋"/>
          <w:b/>
          <w:bCs/>
          <w:sz w:val="32"/>
          <w:szCs w:val="32"/>
        </w:rPr>
        <w:t>万元，完成预算1</w:t>
      </w:r>
      <w:r>
        <w:rPr>
          <w:rFonts w:hint="eastAsia" w:ascii="仿宋" w:hAnsi="仿宋" w:eastAsia="仿宋"/>
          <w:b/>
          <w:bCs/>
          <w:sz w:val="32"/>
          <w:szCs w:val="32"/>
          <w:lang w:val="en-US" w:eastAsia="zh-CN"/>
        </w:rPr>
        <w:t>00</w:t>
      </w:r>
      <w:r>
        <w:rPr>
          <w:rFonts w:hint="eastAsia" w:ascii="仿宋" w:hAnsi="仿宋" w:eastAsia="仿宋"/>
          <w:b/>
          <w:bCs/>
          <w:sz w:val="32"/>
          <w:szCs w:val="32"/>
        </w:rPr>
        <w:t>%。</w:t>
      </w:r>
    </w:p>
    <w:p>
      <w:pPr>
        <w:spacing w:line="600" w:lineRule="exact"/>
        <w:ind w:firstLine="643" w:firstLineChars="200"/>
        <w:rPr>
          <w:rFonts w:hint="eastAsia" w:ascii="仿宋" w:hAnsi="仿宋" w:eastAsia="仿宋" w:cs="宋体"/>
          <w:b/>
          <w:bCs/>
          <w:color w:val="000000"/>
          <w:kern w:val="0"/>
          <w:sz w:val="32"/>
        </w:rPr>
      </w:pPr>
      <w:r>
        <w:rPr>
          <w:rFonts w:hint="eastAsia" w:ascii="仿宋" w:hAnsi="仿宋" w:eastAsia="仿宋" w:cs="宋体"/>
          <w:b/>
          <w:bCs/>
          <w:color w:val="000000"/>
          <w:kern w:val="0"/>
          <w:sz w:val="32"/>
        </w:rPr>
        <w:t>10.住房保障支出（类）住房改革支出（款）住房公积金（项）:支出决算为3</w:t>
      </w:r>
      <w:r>
        <w:rPr>
          <w:rFonts w:hint="eastAsia" w:ascii="仿宋" w:hAnsi="仿宋" w:eastAsia="仿宋" w:cs="宋体"/>
          <w:b/>
          <w:bCs/>
          <w:color w:val="000000"/>
          <w:kern w:val="0"/>
          <w:sz w:val="32"/>
          <w:lang w:val="en-US" w:eastAsia="zh-CN"/>
        </w:rPr>
        <w:t>9.93</w:t>
      </w:r>
      <w:r>
        <w:rPr>
          <w:rFonts w:hint="eastAsia" w:ascii="仿宋" w:hAnsi="仿宋" w:eastAsia="仿宋" w:cs="宋体"/>
          <w:b/>
          <w:bCs/>
          <w:color w:val="000000"/>
          <w:kern w:val="0"/>
          <w:sz w:val="32"/>
        </w:rPr>
        <w:t>万元，完成预算</w:t>
      </w:r>
      <w:r>
        <w:rPr>
          <w:rFonts w:hint="eastAsia" w:ascii="仿宋" w:hAnsi="仿宋" w:eastAsia="仿宋" w:cs="宋体"/>
          <w:b/>
          <w:bCs/>
          <w:color w:val="000000"/>
          <w:kern w:val="0"/>
          <w:sz w:val="32"/>
          <w:lang w:val="en-US" w:eastAsia="zh-CN"/>
        </w:rPr>
        <w:t>100</w:t>
      </w:r>
      <w:r>
        <w:rPr>
          <w:rFonts w:hint="eastAsia" w:ascii="仿宋" w:hAnsi="仿宋" w:eastAsia="仿宋" w:cs="宋体"/>
          <w:b/>
          <w:bCs/>
          <w:color w:val="000000"/>
          <w:kern w:val="0"/>
          <w:sz w:val="32"/>
        </w:rPr>
        <w:t>%。</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460.09</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372.19</w:t>
      </w:r>
      <w:r>
        <w:rPr>
          <w:rFonts w:hint="eastAsia" w:ascii="仿宋" w:hAnsi="仿宋" w:eastAsia="仿宋"/>
          <w:sz w:val="32"/>
          <w:szCs w:val="32"/>
        </w:rPr>
        <w:t>万元，主要包括：</w:t>
      </w:r>
      <w:r>
        <w:rPr>
          <w:rFonts w:hint="eastAsia" w:ascii="仿宋" w:hAnsi="仿宋" w:eastAsia="仿宋" w:cs="宋体"/>
          <w:color w:val="000000"/>
          <w:kern w:val="0"/>
          <w:sz w:val="32"/>
          <w:szCs w:val="32"/>
        </w:rPr>
        <w:t>基本工资、津贴补贴、奖金、绩效工资、机关事业单位基本养老保险缴费、其他社会保障缴费、其他工资福利支出、离休费、退休费、生活补助、医疗费补助、住房公积金、其他对个人和家庭的补助支出等。</w:t>
      </w:r>
      <w:r>
        <w:rPr>
          <w:rFonts w:ascii="仿宋" w:hAnsi="仿宋" w:eastAsia="仿宋"/>
          <w:sz w:val="32"/>
          <w:szCs w:val="32"/>
        </w:rPr>
        <w:br w:type="textWrapping"/>
      </w:r>
      <w:r>
        <w:rPr>
          <w:rFonts w:hint="eastAsia" w:ascii="仿宋" w:hAnsi="仿宋" w:eastAsia="仿宋"/>
          <w:sz w:val="32"/>
          <w:szCs w:val="32"/>
        </w:rPr>
        <w:t>公用经费</w:t>
      </w:r>
      <w:r>
        <w:rPr>
          <w:rFonts w:hint="eastAsia" w:ascii="仿宋" w:hAnsi="仿宋" w:eastAsia="仿宋"/>
          <w:sz w:val="32"/>
          <w:szCs w:val="32"/>
          <w:lang w:val="en-US" w:eastAsia="zh-CN"/>
        </w:rPr>
        <w:t>86.27</w:t>
      </w:r>
      <w:r>
        <w:rPr>
          <w:rFonts w:hint="eastAsia" w:ascii="仿宋" w:hAnsi="仿宋" w:eastAsia="仿宋"/>
          <w:sz w:val="32"/>
          <w:szCs w:val="32"/>
        </w:rPr>
        <w:t>万元，主要包括：</w:t>
      </w:r>
      <w:r>
        <w:rPr>
          <w:rFonts w:hint="eastAsia" w:ascii="仿宋" w:hAnsi="仿宋" w:eastAsia="仿宋" w:cs="宋体"/>
          <w:color w:val="000000"/>
          <w:kern w:val="0"/>
          <w:sz w:val="32"/>
          <w:szCs w:val="32"/>
        </w:rPr>
        <w:t>办公费、差旅费、因公出国（境）费用、公务接待费、委托业务费、工会经费、公务用车运行维护费、其他交通费、其他商品和服务支出等。</w:t>
      </w:r>
    </w:p>
    <w:p>
      <w:pPr>
        <w:spacing w:line="600" w:lineRule="exact"/>
        <w:ind w:firstLine="640"/>
        <w:rPr>
          <w:rFonts w:ascii="仿宋" w:hAnsi="仿宋" w:eastAsia="仿宋"/>
          <w:b/>
          <w:sz w:val="32"/>
          <w:szCs w:val="32"/>
        </w:rPr>
      </w:pP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w:t>
      </w:r>
      <w:r>
        <w:rPr>
          <w:rFonts w:hint="eastAsia" w:ascii="仿宋" w:hAnsi="仿宋" w:eastAsia="仿宋"/>
          <w:color w:val="auto"/>
          <w:sz w:val="32"/>
          <w:szCs w:val="32"/>
        </w:rPr>
        <w:t>算为</w:t>
      </w:r>
      <w:r>
        <w:rPr>
          <w:rFonts w:hint="eastAsia" w:ascii="仿宋" w:hAnsi="仿宋" w:eastAsia="仿宋"/>
          <w:color w:val="auto"/>
          <w:sz w:val="32"/>
          <w:szCs w:val="32"/>
          <w:lang w:val="en-US" w:eastAsia="zh-CN"/>
        </w:rPr>
        <w:t>1.54</w:t>
      </w:r>
      <w:r>
        <w:rPr>
          <w:rFonts w:hint="eastAsia" w:ascii="仿宋" w:hAnsi="仿宋" w:eastAsia="仿宋"/>
          <w:color w:val="auto"/>
          <w:sz w:val="32"/>
          <w:szCs w:val="32"/>
        </w:rPr>
        <w:t>万元</w:t>
      </w:r>
      <w:r>
        <w:rPr>
          <w:rFonts w:hint="eastAsia" w:ascii="仿宋" w:hAnsi="仿宋" w:eastAsia="仿宋"/>
          <w:sz w:val="32"/>
          <w:szCs w:val="32"/>
        </w:rPr>
        <w:t>，完成预算</w:t>
      </w:r>
      <w:r>
        <w:rPr>
          <w:rFonts w:hint="eastAsia" w:ascii="仿宋" w:hAnsi="仿宋" w:eastAsia="仿宋"/>
          <w:sz w:val="32"/>
          <w:szCs w:val="32"/>
          <w:lang w:val="en-US" w:eastAsia="zh-CN"/>
        </w:rPr>
        <w:t>58.56</w:t>
      </w:r>
      <w:r>
        <w:rPr>
          <w:rFonts w:ascii="仿宋" w:hAnsi="仿宋" w:eastAsia="仿宋"/>
          <w:sz w:val="32"/>
          <w:szCs w:val="32"/>
        </w:rPr>
        <w:t>%</w:t>
      </w:r>
      <w:r>
        <w:rPr>
          <w:rFonts w:hint="eastAsia" w:ascii="仿宋" w:hAnsi="仿宋" w:eastAsia="仿宋"/>
          <w:sz w:val="32"/>
          <w:szCs w:val="32"/>
        </w:rPr>
        <w:t>，决算数小于预算数</w:t>
      </w:r>
      <w:r>
        <w:rPr>
          <w:rFonts w:hint="eastAsia" w:ascii="仿宋_GB2312" w:eastAsia="仿宋_GB2312"/>
          <w:sz w:val="32"/>
          <w:szCs w:val="32"/>
        </w:rPr>
        <w:t>公务用车运行维护费</w:t>
      </w:r>
      <w:r>
        <w:rPr>
          <w:rFonts w:hint="eastAsia" w:ascii="仿宋_GB2312" w:eastAsia="仿宋_GB2312"/>
          <w:sz w:val="32"/>
          <w:szCs w:val="32"/>
          <w:lang w:eastAsia="zh-CN"/>
        </w:rPr>
        <w:t>减少</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1.41</w:t>
      </w:r>
      <w:r>
        <w:rPr>
          <w:rFonts w:hint="eastAsia" w:ascii="仿宋" w:hAnsi="仿宋" w:eastAsia="仿宋"/>
          <w:sz w:val="32"/>
          <w:szCs w:val="32"/>
        </w:rPr>
        <w:t>万元，占</w:t>
      </w:r>
      <w:r>
        <w:rPr>
          <w:rFonts w:hint="eastAsia" w:ascii="仿宋" w:hAnsi="仿宋" w:eastAsia="仿宋"/>
          <w:sz w:val="32"/>
          <w:szCs w:val="32"/>
          <w:lang w:val="en-US" w:eastAsia="zh-CN"/>
        </w:rPr>
        <w:t>91.56</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0.13</w:t>
      </w:r>
      <w:r>
        <w:rPr>
          <w:rFonts w:hint="eastAsia" w:ascii="仿宋" w:hAnsi="仿宋" w:eastAsia="仿宋"/>
          <w:sz w:val="32"/>
          <w:szCs w:val="32"/>
        </w:rPr>
        <w:t>万元，占</w:t>
      </w:r>
      <w:r>
        <w:rPr>
          <w:rFonts w:hint="eastAsia" w:ascii="仿宋" w:hAnsi="仿宋" w:eastAsia="仿宋"/>
          <w:sz w:val="32"/>
          <w:szCs w:val="32"/>
          <w:lang w:val="en-US" w:eastAsia="zh-CN"/>
        </w:rPr>
        <w:t>8.44</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1.41</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78.33</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0.39</w:t>
      </w:r>
      <w:r>
        <w:rPr>
          <w:rFonts w:hint="eastAsia" w:ascii="仿宋_GB2312" w:eastAsia="仿宋_GB2312"/>
          <w:sz w:val="32"/>
          <w:szCs w:val="32"/>
        </w:rPr>
        <w:t>万元，下降</w:t>
      </w:r>
      <w:r>
        <w:rPr>
          <w:rFonts w:hint="eastAsia" w:ascii="仿宋_GB2312" w:eastAsia="仿宋_GB2312"/>
          <w:sz w:val="32"/>
          <w:szCs w:val="32"/>
          <w:lang w:val="en-US" w:eastAsia="zh-CN"/>
        </w:rPr>
        <w:t>21.67</w:t>
      </w:r>
      <w:r>
        <w:rPr>
          <w:rFonts w:ascii="仿宋_GB2312" w:eastAsia="仿宋_GB2312"/>
          <w:sz w:val="32"/>
          <w:szCs w:val="32"/>
        </w:rPr>
        <w:t>%</w:t>
      </w:r>
      <w:r>
        <w:rPr>
          <w:rFonts w:hint="eastAsia" w:ascii="仿宋_GB2312" w:eastAsia="仿宋_GB2312"/>
          <w:sz w:val="32"/>
          <w:szCs w:val="32"/>
        </w:rPr>
        <w:t>。主要原因是公务用车运行维护费</w:t>
      </w:r>
      <w:r>
        <w:rPr>
          <w:rFonts w:hint="eastAsia" w:ascii="仿宋_GB2312" w:eastAsia="仿宋_GB2312"/>
          <w:sz w:val="32"/>
          <w:szCs w:val="32"/>
          <w:lang w:eastAsia="zh-CN"/>
        </w:rPr>
        <w:t>减少</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1</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1.41</w:t>
      </w:r>
      <w:r>
        <w:rPr>
          <w:rFonts w:hint="eastAsia" w:ascii="仿宋_GB2312" w:eastAsia="仿宋_GB2312"/>
          <w:sz w:val="32"/>
          <w:szCs w:val="32"/>
        </w:rPr>
        <w:t>万元。主要用于</w:t>
      </w:r>
      <w:r>
        <w:rPr>
          <w:rFonts w:hint="eastAsia" w:ascii="仿宋_GB2312" w:eastAsia="仿宋_GB2312"/>
          <w:sz w:val="32"/>
          <w:szCs w:val="32"/>
          <w:lang w:eastAsia="zh-CN"/>
        </w:rPr>
        <w:t>融媒体中心外出采访</w:t>
      </w:r>
      <w:r>
        <w:rPr>
          <w:rFonts w:hint="eastAsia" w:ascii="仿宋_GB2312" w:eastAsia="仿宋_GB2312"/>
          <w:sz w:val="32"/>
          <w:szCs w:val="32"/>
        </w:rPr>
        <w:t>等所需的公务用车燃料费、维修费、过路过桥费、保险费等支出。</w:t>
      </w:r>
    </w:p>
    <w:p>
      <w:pPr>
        <w:spacing w:line="600" w:lineRule="exact"/>
        <w:ind w:firstLine="640"/>
        <w:rPr>
          <w:rFonts w:hint="eastAsia"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0.13</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0.13</w:t>
      </w:r>
      <w:r>
        <w:rPr>
          <w:rFonts w:hint="eastAsia" w:ascii="仿宋_GB2312" w:eastAsia="仿宋_GB2312"/>
          <w:sz w:val="32"/>
          <w:szCs w:val="32"/>
        </w:rPr>
        <w:t>万元，主要用于</w:t>
      </w:r>
      <w:r>
        <w:rPr>
          <w:rFonts w:hint="eastAsia" w:ascii="仿宋_GB2312" w:eastAsia="仿宋_GB2312"/>
          <w:sz w:val="32"/>
          <w:szCs w:val="32"/>
          <w:lang w:eastAsia="zh-CN"/>
        </w:rPr>
        <w:t>新闻媒体宣传业务活动开支</w:t>
      </w:r>
      <w:r>
        <w:rPr>
          <w:rFonts w:hint="eastAsia" w:ascii="仿宋_GB2312" w:eastAsia="仿宋_GB2312"/>
          <w:sz w:val="32"/>
          <w:szCs w:val="32"/>
        </w:rPr>
        <w:t>的交通费、住宿费、用餐费等。国内公务接待</w:t>
      </w:r>
      <w:r>
        <w:rPr>
          <w:rFonts w:hint="eastAsia" w:ascii="仿宋_GB2312" w:eastAsia="仿宋_GB2312"/>
          <w:sz w:val="32"/>
          <w:szCs w:val="32"/>
          <w:lang w:val="en-US" w:eastAsia="zh-CN"/>
        </w:rPr>
        <w:t>2</w:t>
      </w:r>
      <w:r>
        <w:rPr>
          <w:rFonts w:hint="eastAsia" w:ascii="仿宋_GB2312" w:eastAsia="仿宋_GB2312"/>
          <w:sz w:val="32"/>
          <w:szCs w:val="32"/>
        </w:rPr>
        <w:t>批次，</w:t>
      </w:r>
      <w:r>
        <w:rPr>
          <w:rFonts w:hint="eastAsia" w:ascii="仿宋_GB2312" w:eastAsia="仿宋_GB2312"/>
          <w:sz w:val="32"/>
          <w:szCs w:val="32"/>
          <w:lang w:val="en-US" w:eastAsia="zh-CN"/>
        </w:rPr>
        <w:t>14</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0.13</w:t>
      </w:r>
      <w:r>
        <w:rPr>
          <w:rFonts w:hint="eastAsia" w:ascii="仿宋_GB2312" w:eastAsia="仿宋_GB2312"/>
          <w:sz w:val="32"/>
          <w:szCs w:val="32"/>
        </w:rPr>
        <w:t>万元，具体内容包括</w:t>
      </w:r>
      <w:r>
        <w:rPr>
          <w:rFonts w:hint="eastAsia" w:ascii="仿宋_GB2312" w:eastAsia="仿宋_GB2312"/>
          <w:sz w:val="32"/>
          <w:szCs w:val="32"/>
          <w:lang w:eastAsia="zh-CN"/>
        </w:rPr>
        <w:t>宣传文化工作接待餐费支出</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outlineLvl w:val="1"/>
        <w:rPr>
          <w:rFonts w:ascii="黑体" w:eastAsia="黑体"/>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125.42</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5"/>
          <w:rFonts w:ascii="黑体" w:hAnsi="黑体" w:eastAsia="黑体"/>
          <w:b w:val="0"/>
        </w:rPr>
      </w:pPr>
      <w:bookmarkStart w:id="50" w:name="_Toc15396612"/>
      <w:bookmarkStart w:id="51" w:name="_Toc15377221"/>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区委宣传部</w:t>
      </w:r>
      <w:r>
        <w:rPr>
          <w:rFonts w:hint="eastAsia" w:ascii="仿宋_GB2312" w:eastAsia="仿宋_GB2312"/>
          <w:sz w:val="32"/>
          <w:szCs w:val="32"/>
        </w:rPr>
        <w:t>机关运行经费支出</w:t>
      </w:r>
      <w:r>
        <w:rPr>
          <w:rFonts w:hint="eastAsia" w:ascii="仿宋_GB2312" w:eastAsia="仿宋_GB2312"/>
          <w:sz w:val="32"/>
          <w:szCs w:val="32"/>
          <w:lang w:val="en-US" w:eastAsia="zh-CN"/>
        </w:rPr>
        <w:t>423.55</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72.86</w:t>
      </w:r>
      <w:r>
        <w:rPr>
          <w:rFonts w:hint="eastAsia" w:ascii="仿宋_GB2312" w:eastAsia="仿宋_GB2312"/>
          <w:sz w:val="32"/>
          <w:szCs w:val="32"/>
        </w:rPr>
        <w:t>万元，下降</w:t>
      </w:r>
      <w:r>
        <w:rPr>
          <w:rFonts w:hint="eastAsia" w:ascii="仿宋_GB2312" w:eastAsia="仿宋_GB2312"/>
          <w:sz w:val="32"/>
          <w:szCs w:val="32"/>
          <w:lang w:val="en-US" w:eastAsia="zh-CN"/>
        </w:rPr>
        <w:t>14.68</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lang w:eastAsia="zh-CN"/>
        </w:rPr>
        <w:t>西区新时代文明实践中心，融媒体中心建设完成。</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区委宣传部</w:t>
      </w:r>
      <w:r>
        <w:rPr>
          <w:rFonts w:hint="eastAsia" w:ascii="仿宋_GB2312" w:eastAsia="仿宋_GB2312"/>
          <w:sz w:val="32"/>
          <w:szCs w:val="32"/>
        </w:rPr>
        <w:t>政府采购支出总额</w:t>
      </w:r>
      <w:r>
        <w:rPr>
          <w:rFonts w:hint="eastAsia" w:ascii="仿宋_GB2312" w:eastAsia="仿宋_GB2312"/>
          <w:sz w:val="32"/>
          <w:szCs w:val="32"/>
          <w:lang w:eastAsia="zh-CN"/>
        </w:rPr>
        <w:t>0</w:t>
      </w:r>
      <w:r>
        <w:rPr>
          <w:rFonts w:hint="eastAsia" w:ascii="仿宋_GB2312" w:eastAsia="仿宋_GB2312"/>
          <w:sz w:val="32"/>
          <w:szCs w:val="32"/>
        </w:rPr>
        <w:t>万元，其中：政府采购货物支出</w:t>
      </w:r>
      <w:r>
        <w:rPr>
          <w:rFonts w:hint="eastAsia" w:ascii="仿宋_GB2312" w:eastAsia="仿宋_GB2312"/>
          <w:sz w:val="32"/>
          <w:szCs w:val="32"/>
          <w:lang w:eastAsia="zh-CN"/>
        </w:rPr>
        <w:t>0</w:t>
      </w:r>
      <w:r>
        <w:rPr>
          <w:rFonts w:hint="eastAsia" w:ascii="仿宋_GB2312" w:eastAsia="仿宋_GB2312"/>
          <w:sz w:val="32"/>
          <w:szCs w:val="32"/>
        </w:rPr>
        <w:t>万元、政府采购工程支出</w:t>
      </w:r>
      <w:r>
        <w:rPr>
          <w:rFonts w:hint="eastAsia" w:ascii="仿宋_GB2312" w:eastAsia="仿宋_GB2312"/>
          <w:sz w:val="32"/>
          <w:szCs w:val="32"/>
          <w:lang w:eastAsia="zh-CN"/>
        </w:rPr>
        <w:t>0</w:t>
      </w:r>
      <w:r>
        <w:rPr>
          <w:rFonts w:hint="eastAsia" w:ascii="仿宋_GB2312" w:eastAsia="仿宋_GB2312"/>
          <w:sz w:val="32"/>
          <w:szCs w:val="32"/>
        </w:rPr>
        <w:t>万元、政府采购服务支出</w:t>
      </w:r>
      <w:r>
        <w:rPr>
          <w:rFonts w:hint="eastAsia" w:ascii="仿宋_GB2312" w:eastAsia="仿宋_GB2312"/>
          <w:sz w:val="32"/>
          <w:szCs w:val="32"/>
          <w:lang w:eastAsia="zh-CN"/>
        </w:rPr>
        <w:t>0</w:t>
      </w:r>
      <w:r>
        <w:rPr>
          <w:rFonts w:hint="eastAsia" w:ascii="仿宋_GB2312" w:eastAsia="仿宋_GB2312"/>
          <w:sz w:val="32"/>
          <w:szCs w:val="32"/>
        </w:rPr>
        <w:t>万元。授予中小企业合同金额</w:t>
      </w:r>
      <w:r>
        <w:rPr>
          <w:rFonts w:hint="eastAsia" w:ascii="仿宋_GB2312" w:eastAsia="仿宋_GB2312"/>
          <w:sz w:val="32"/>
          <w:szCs w:val="32"/>
          <w:lang w:eastAsia="zh-CN"/>
        </w:rPr>
        <w:t>0</w:t>
      </w:r>
      <w:r>
        <w:rPr>
          <w:rFonts w:hint="eastAsia" w:ascii="仿宋_GB2312" w:eastAsia="仿宋_GB2312"/>
          <w:sz w:val="32"/>
          <w:szCs w:val="32"/>
        </w:rPr>
        <w:t>万元，占政府采购支出总额的</w:t>
      </w:r>
      <w:r>
        <w:rPr>
          <w:rFonts w:hint="eastAsia" w:ascii="仿宋_GB2312" w:eastAsia="仿宋_GB2312"/>
          <w:sz w:val="32"/>
          <w:szCs w:val="32"/>
          <w:lang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eastAsia="zh-CN"/>
        </w:rPr>
        <w:t>0</w:t>
      </w:r>
      <w:r>
        <w:rPr>
          <w:rFonts w:hint="eastAsia" w:ascii="仿宋_GB2312" w:eastAsia="仿宋_GB2312"/>
          <w:sz w:val="32"/>
          <w:szCs w:val="32"/>
        </w:rPr>
        <w:t>万元，占政府采购支出总额的</w:t>
      </w:r>
      <w:r>
        <w:rPr>
          <w:rFonts w:hint="eastAsia" w:ascii="仿宋_GB2312" w:eastAsia="仿宋_GB2312"/>
          <w:sz w:val="32"/>
          <w:szCs w:val="32"/>
          <w:lang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区委宣传部</w:t>
      </w:r>
      <w:r>
        <w:rPr>
          <w:rFonts w:hint="eastAsia" w:ascii="仿宋_GB2312" w:eastAsia="仿宋_GB2312"/>
          <w:sz w:val="32"/>
          <w:szCs w:val="32"/>
        </w:rPr>
        <w:t>共有车辆</w:t>
      </w:r>
      <w:r>
        <w:rPr>
          <w:rFonts w:hint="eastAsia" w:ascii="仿宋_GB2312" w:eastAsia="仿宋_GB2312"/>
          <w:sz w:val="32"/>
          <w:szCs w:val="32"/>
          <w:lang w:val="en-US" w:eastAsia="zh-CN"/>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其他用车主要是用于</w:t>
      </w:r>
      <w:r>
        <w:rPr>
          <w:rFonts w:hint="eastAsia" w:ascii="仿宋_GB2312" w:eastAsia="仿宋_GB2312"/>
          <w:sz w:val="32"/>
          <w:szCs w:val="32"/>
          <w:lang w:eastAsia="zh-CN"/>
        </w:rPr>
        <w:t>宣传事务，</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w:t>
      </w:r>
      <w:r>
        <w:rPr>
          <w:rFonts w:hint="default" w:ascii="Times New Roman" w:hAnsi="Times New Roman" w:eastAsia="方正仿宋_GBK" w:cs="Times New Roman"/>
          <w:color w:val="auto"/>
          <w:sz w:val="33"/>
          <w:szCs w:val="33"/>
          <w:lang w:eastAsia="zh-CN"/>
        </w:rPr>
        <w:t>精神文明和文化发展服务</w:t>
      </w:r>
      <w:r>
        <w:rPr>
          <w:rFonts w:hint="default" w:ascii="Times New Roman" w:hAnsi="Times New Roman" w:eastAsia="方正仿宋_GBK" w:cs="Times New Roman"/>
          <w:color w:val="auto"/>
          <w:sz w:val="33"/>
          <w:szCs w:val="33"/>
          <w:lang w:val="en-US" w:eastAsia="zh-CN"/>
        </w:rPr>
        <w:t>、媒体合作、融媒体中心运行维护、新时代文明实践中心建设及运维、意识形态工作</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个项目开展了绩效自评。同时，本部门对2021年部门整体开展绩效自评，《2021年</w:t>
      </w:r>
      <w:r>
        <w:rPr>
          <w:rFonts w:hint="eastAsia" w:ascii="仿宋_GB2312" w:hAnsi="仿宋_GB2312" w:eastAsia="仿宋_GB2312" w:cs="仿宋_GB2312"/>
          <w:sz w:val="32"/>
          <w:szCs w:val="32"/>
          <w:lang w:eastAsia="zh-CN"/>
        </w:rPr>
        <w:t>区委宣传部</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sz w:val="44"/>
          <w:szCs w:val="44"/>
        </w:rPr>
      </w:pPr>
    </w:p>
    <w:p>
      <w:pPr>
        <w:pStyle w:val="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
        <w:spacing w:line="560" w:lineRule="exact"/>
        <w:ind w:firstLine="640" w:firstLineChars="200"/>
        <w:rPr>
          <w:rFonts w:ascii="仿宋_GB2312" w:eastAsia="仿宋_GB2312"/>
          <w:color w:val="FF0000"/>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val="en-US" w:eastAsia="zh-CN"/>
        </w:rPr>
        <w:t>利息收入</w:t>
      </w:r>
      <w:r>
        <w:rPr>
          <w:rFonts w:hint="eastAsia" w:ascii="仿宋_GB2312" w:eastAsia="仿宋_GB2312"/>
          <w:color w:val="auto"/>
          <w:sz w:val="32"/>
          <w:szCs w:val="32"/>
        </w:rPr>
        <w:t>等。</w:t>
      </w:r>
      <w:r>
        <w:rPr>
          <w:rFonts w:ascii="仿宋_GB2312" w:eastAsia="仿宋_GB2312"/>
          <w:color w:val="auto"/>
          <w:sz w:val="32"/>
          <w:szCs w:val="32"/>
        </w:rPr>
        <w:t xml:space="preserve"> </w:t>
      </w:r>
    </w:p>
    <w:p>
      <w:pPr>
        <w:pStyle w:val="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pStyle w:val="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 一般公共服务（类）宣传事务（款）一般行政管理事务（项）: 指除上述项目以外的其他一般公共服务支出。</w:t>
      </w:r>
    </w:p>
    <w:p>
      <w:pPr>
        <w:pStyle w:val="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.一般公共服务（类）宣传事务（款）事业运行（项）: 指除上述项目以外的其他一般公共服务支出事业运行。</w:t>
      </w:r>
    </w:p>
    <w:p>
      <w:pPr>
        <w:pStyle w:val="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.一般公共服务（类）宣传事务（款）行政运行（项）: 指除上述项目以外的其他一般公共服务支出行政运行。</w:t>
      </w:r>
    </w:p>
    <w:p>
      <w:pPr>
        <w:pStyle w:val="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 社会保障和就业（类）行政事业单位离退休（款）未归口管理的行政单位离退休（项）:  指未实行归口管理的行政单位（包括实行公务员管理的事业单位）开支的离退休支出。</w:t>
      </w:r>
    </w:p>
    <w:p>
      <w:pPr>
        <w:pStyle w:val="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.社会保障和就业（类）行政事业单位离退休（款）机关事业单位基本养老保险缴费支出（项）: 指机关事业单位实施养老保险制度由单位缴纳的基本养老保险支出。</w:t>
      </w:r>
    </w:p>
    <w:p>
      <w:pPr>
        <w:pStyle w:val="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.医疗卫生与计划生育（类）行政事业单位医疗（款）行政单位医疗（项）: 指财政部门集中安排的行政单位基本医疗保险缴费经费，未参加医疗保险的行政单位的公费医疗经费，按国家规定享受离休人员、红军老战士待遇人员的医疗经费。</w:t>
      </w:r>
    </w:p>
    <w:p>
      <w:pPr>
        <w:pStyle w:val="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.医疗卫生与计划生育（类）行政事业单位医疗（款）事业单位医疗（项）: 指财政部门集中安排的事业单位基本医疗保险缴费经费，未参加医疗保险的事业单位的公费医疗经费，按国家规定享受离休人员待遇人员的医疗经费。</w:t>
      </w:r>
    </w:p>
    <w:p>
      <w:pPr>
        <w:pStyle w:val="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.医疗卫生与计划生育（类）行政事业单位医疗（款）公务员医疗补助（项）: 指财政部门集中安排的公务医疗补助经费。</w:t>
      </w:r>
    </w:p>
    <w:p>
      <w:pPr>
        <w:pStyle w:val="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 住房保障支出（类）住房改革支出（款）住房公积金（项）: 指行政事业单位按人力资源和社会保障部、财政部规定的基本工资和津贴补贴以及规定比例的为职工缴纳的住房公积金。</w:t>
      </w:r>
    </w:p>
    <w:p>
      <w:pPr>
        <w:pStyle w:val="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.基本支出：指为保障机构正常运转、完成日常工作任务而发生的人员支出和公用支出。</w:t>
      </w:r>
    </w:p>
    <w:p>
      <w:pPr>
        <w:pStyle w:val="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.项目支出：指在基本支出之外为完成特定行政任务和事业发展目标所发生的支出。 </w:t>
      </w:r>
    </w:p>
    <w:p>
      <w:pPr>
        <w:pStyle w:val="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rPr>
        <w:t>.经营支出：指事业单位在专业业务活动及其辅助活动之外开展非独立核算经营活动发生的支出。</w:t>
      </w:r>
    </w:p>
    <w:p>
      <w:pPr>
        <w:pStyle w:val="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4"/>
          <w:rFonts w:hint="eastAsia" w:ascii="黑体" w:hAnsi="黑体" w:eastAsia="黑体"/>
          <w:b w:val="0"/>
        </w:rPr>
        <w:t>四部分 附件</w:t>
      </w:r>
      <w:bookmarkEnd w:id="58"/>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eastAsia="zh-CN"/>
        </w:rPr>
        <w:t>区委宣传部</w:t>
      </w:r>
      <w:r>
        <w:rPr>
          <w:rFonts w:hint="eastAsia" w:ascii="方正小标宋简体" w:hAnsi="宋体" w:eastAsia="方正小标宋简体"/>
          <w:kern w:val="0"/>
          <w:sz w:val="40"/>
          <w:szCs w:val="44"/>
        </w:rPr>
        <w:t>部门整体绩效评价报告</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default" w:ascii="仿宋_GB2312" w:hAnsi="宋体" w:eastAsia="仿宋_GB2312" w:cs="宋体"/>
          <w:kern w:val="0"/>
          <w:sz w:val="32"/>
          <w:szCs w:val="32"/>
          <w:shd w:val="clear" w:color="auto" w:fill="FFFFFF"/>
          <w:lang w:val="zh-CN" w:eastAsia="zh-CN"/>
        </w:rPr>
        <w:t>中共攀枝花市西区区委宣传部（简称区委宣传部）是区委主管意识形态方面工作的职能部门，为正科级，列区委工作机关序列。加挂区精神文明建设办公室、区委对外宣传办公室（区政府新闻办公室）、区新闻出版局（区版权局）牌子。代管区融媒体中心、区文联。区委宣传部行政编制7名、工勤编制1名，区文联参公编制3名，区融媒体中心事业编制</w:t>
      </w:r>
      <w:r>
        <w:rPr>
          <w:rFonts w:hint="default" w:ascii="仿宋_GB2312" w:hAnsi="宋体" w:eastAsia="仿宋_GB2312" w:cs="宋体"/>
          <w:kern w:val="0"/>
          <w:sz w:val="32"/>
          <w:szCs w:val="32"/>
          <w:shd w:val="clear" w:color="auto" w:fill="FFFFFF"/>
          <w:lang w:val="en-US" w:eastAsia="zh-CN"/>
        </w:rPr>
        <w:t>16</w:t>
      </w:r>
      <w:r>
        <w:rPr>
          <w:rFonts w:hint="default" w:ascii="仿宋_GB2312" w:hAnsi="宋体" w:eastAsia="仿宋_GB2312" w:cs="宋体"/>
          <w:kern w:val="0"/>
          <w:sz w:val="32"/>
          <w:szCs w:val="32"/>
          <w:shd w:val="clear" w:color="auto" w:fill="FFFFFF"/>
          <w:lang w:val="zh-CN" w:eastAsia="zh-CN"/>
        </w:rPr>
        <w:t>名、临聘编制1名，目前在编在岗</w:t>
      </w:r>
      <w:r>
        <w:rPr>
          <w:rFonts w:hint="default" w:ascii="仿宋_GB2312" w:hAnsi="宋体" w:eastAsia="仿宋_GB2312" w:cs="宋体"/>
          <w:kern w:val="0"/>
          <w:sz w:val="32"/>
          <w:szCs w:val="32"/>
          <w:shd w:val="clear" w:color="auto" w:fill="FFFFFF"/>
          <w:lang w:val="en-US" w:eastAsia="zh-CN"/>
        </w:rPr>
        <w:t>26</w:t>
      </w:r>
      <w:r>
        <w:rPr>
          <w:rFonts w:hint="default" w:ascii="仿宋_GB2312" w:hAnsi="宋体" w:eastAsia="仿宋_GB2312" w:cs="宋体"/>
          <w:kern w:val="0"/>
          <w:sz w:val="32"/>
          <w:szCs w:val="32"/>
          <w:shd w:val="clear" w:color="auto" w:fill="FFFFFF"/>
          <w:lang w:val="zh-CN" w:eastAsia="zh-CN"/>
        </w:rPr>
        <w:t>人。202</w:t>
      </w:r>
      <w:r>
        <w:rPr>
          <w:rFonts w:hint="default" w:ascii="仿宋_GB2312" w:hAnsi="宋体" w:eastAsia="仿宋_GB2312" w:cs="宋体"/>
          <w:kern w:val="0"/>
          <w:sz w:val="32"/>
          <w:szCs w:val="32"/>
          <w:shd w:val="clear" w:color="auto" w:fill="FFFFFF"/>
          <w:lang w:val="en-US" w:eastAsia="zh-CN"/>
        </w:rPr>
        <w:t>1</w:t>
      </w:r>
      <w:r>
        <w:rPr>
          <w:rFonts w:hint="default" w:ascii="仿宋_GB2312" w:hAnsi="宋体" w:eastAsia="仿宋_GB2312" w:cs="宋体"/>
          <w:kern w:val="0"/>
          <w:sz w:val="32"/>
          <w:szCs w:val="32"/>
          <w:shd w:val="clear" w:color="auto" w:fill="FFFFFF"/>
          <w:lang w:val="zh-CN" w:eastAsia="zh-CN"/>
        </w:rPr>
        <w:t>年购买了一批办公设备，固定资产增加</w:t>
      </w:r>
      <w:r>
        <w:rPr>
          <w:rFonts w:hint="default" w:ascii="仿宋_GB2312" w:hAnsi="宋体" w:eastAsia="仿宋_GB2312" w:cs="宋体"/>
          <w:kern w:val="0"/>
          <w:sz w:val="32"/>
          <w:szCs w:val="32"/>
          <w:shd w:val="clear" w:color="auto" w:fill="FFFFFF"/>
          <w:lang w:val="en-US" w:eastAsia="zh-CN"/>
        </w:rPr>
        <w:t>1.13</w:t>
      </w:r>
      <w:r>
        <w:rPr>
          <w:rFonts w:hint="default" w:ascii="仿宋_GB2312" w:hAnsi="宋体" w:eastAsia="仿宋_GB2312" w:cs="宋体"/>
          <w:kern w:val="0"/>
          <w:sz w:val="32"/>
          <w:szCs w:val="32"/>
          <w:shd w:val="clear" w:color="auto" w:fill="FFFFFF"/>
          <w:lang w:val="zh-CN" w:eastAsia="zh-CN"/>
        </w:rPr>
        <w:t>万元，年末固定资产总值</w:t>
      </w:r>
      <w:r>
        <w:rPr>
          <w:rFonts w:hint="default" w:ascii="仿宋_GB2312" w:hAnsi="宋体" w:eastAsia="仿宋_GB2312" w:cs="宋体"/>
          <w:kern w:val="0"/>
          <w:sz w:val="32"/>
          <w:szCs w:val="32"/>
          <w:shd w:val="clear" w:color="auto" w:fill="FFFFFF"/>
          <w:lang w:val="en-US" w:eastAsia="zh-CN"/>
        </w:rPr>
        <w:t>200.55</w:t>
      </w:r>
      <w:r>
        <w:rPr>
          <w:rFonts w:hint="default" w:ascii="仿宋_GB2312" w:hAnsi="宋体" w:eastAsia="仿宋_GB2312" w:cs="宋体"/>
          <w:kern w:val="0"/>
          <w:sz w:val="32"/>
          <w:szCs w:val="32"/>
          <w:shd w:val="clear" w:color="auto" w:fill="FFFFFF"/>
          <w:lang w:val="zh-CN" w:eastAsia="zh-CN"/>
        </w:rPr>
        <w:t>万元。</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default" w:ascii="仿宋_GB2312" w:hAnsi="宋体" w:eastAsia="仿宋_GB2312" w:cs="宋体"/>
          <w:kern w:val="0"/>
          <w:sz w:val="32"/>
          <w:szCs w:val="32"/>
          <w:shd w:val="clear" w:color="auto" w:fill="FFFFFF"/>
          <w:lang w:val="zh-CN"/>
        </w:rPr>
        <w:t>基本支出预算安排</w:t>
      </w:r>
      <w:r>
        <w:rPr>
          <w:rFonts w:hint="eastAsia" w:ascii="仿宋_GB2312" w:hAnsi="宋体" w:eastAsia="仿宋_GB2312" w:cs="宋体"/>
          <w:kern w:val="0"/>
          <w:sz w:val="32"/>
          <w:szCs w:val="32"/>
          <w:shd w:val="clear" w:color="auto" w:fill="FFFFFF"/>
          <w:lang w:val="en-US" w:eastAsia="zh-CN"/>
        </w:rPr>
        <w:t>517.02</w:t>
      </w:r>
      <w:r>
        <w:rPr>
          <w:rFonts w:hint="default" w:ascii="仿宋_GB2312" w:hAnsi="宋体" w:eastAsia="仿宋_GB2312" w:cs="宋体"/>
          <w:kern w:val="0"/>
          <w:sz w:val="32"/>
          <w:szCs w:val="32"/>
          <w:shd w:val="clear" w:color="auto" w:fill="FFFFFF"/>
          <w:lang w:val="en-US" w:eastAsia="zh-CN"/>
        </w:rPr>
        <w:t>万</w:t>
      </w:r>
      <w:r>
        <w:rPr>
          <w:rFonts w:hint="default" w:ascii="仿宋_GB2312" w:hAnsi="宋体" w:eastAsia="仿宋_GB2312" w:cs="宋体"/>
          <w:kern w:val="0"/>
          <w:sz w:val="32"/>
          <w:szCs w:val="32"/>
          <w:shd w:val="clear" w:color="auto" w:fill="FFFFFF"/>
          <w:lang w:val="zh-CN"/>
        </w:rPr>
        <w:t>元，实际支出</w:t>
      </w:r>
      <w:r>
        <w:rPr>
          <w:rFonts w:hint="default" w:ascii="仿宋_GB2312" w:hAnsi="宋体" w:eastAsia="仿宋_GB2312" w:cs="宋体"/>
          <w:kern w:val="0"/>
          <w:sz w:val="32"/>
          <w:szCs w:val="32"/>
          <w:shd w:val="clear" w:color="auto" w:fill="FFFFFF"/>
          <w:lang w:val="en-US" w:eastAsia="zh-CN"/>
        </w:rPr>
        <w:t>425.19万</w:t>
      </w:r>
      <w:r>
        <w:rPr>
          <w:rFonts w:hint="default" w:ascii="仿宋_GB2312" w:hAnsi="宋体" w:eastAsia="仿宋_GB2312" w:cs="宋体"/>
          <w:kern w:val="0"/>
          <w:sz w:val="32"/>
          <w:szCs w:val="32"/>
          <w:shd w:val="clear" w:color="auto" w:fill="FFFFFF"/>
          <w:lang w:val="zh-CN"/>
        </w:rPr>
        <w:t>元，主要用于支出工资、保险、奖金、绩效、住房公积金、车补、差旅费、接待费、日常办公经费、公车运行维护费等。</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pStyle w:val="2"/>
        <w:ind w:firstLine="660" w:firstLineChars="200"/>
        <w:rPr>
          <w:lang w:val="zh-CN"/>
        </w:rPr>
      </w:pPr>
      <w:r>
        <w:rPr>
          <w:rFonts w:hint="default" w:ascii="Times New Roman" w:hAnsi="Times New Roman" w:eastAsia="方正仿宋_GBK" w:cs="Times New Roman"/>
          <w:color w:val="auto"/>
          <w:sz w:val="33"/>
          <w:szCs w:val="33"/>
          <w:lang w:val="en-US" w:eastAsia="zh-CN"/>
        </w:rPr>
        <w:t>2021年</w:t>
      </w:r>
      <w:r>
        <w:rPr>
          <w:rFonts w:hint="default" w:ascii="Times New Roman" w:hAnsi="Times New Roman" w:eastAsia="方正仿宋_GBK" w:cs="Times New Roman"/>
          <w:color w:val="auto"/>
          <w:sz w:val="33"/>
          <w:szCs w:val="33"/>
        </w:rPr>
        <w:t>项目预算安排</w:t>
      </w:r>
      <w:r>
        <w:rPr>
          <w:rFonts w:hint="default" w:ascii="Times New Roman" w:hAnsi="Times New Roman" w:eastAsia="方正仿宋_GBK" w:cs="Times New Roman"/>
          <w:color w:val="auto"/>
          <w:sz w:val="33"/>
          <w:szCs w:val="33"/>
          <w:lang w:val="en-US" w:eastAsia="zh-CN"/>
        </w:rPr>
        <w:t>238.63万</w:t>
      </w:r>
      <w:r>
        <w:rPr>
          <w:rFonts w:hint="default" w:ascii="Times New Roman" w:hAnsi="Times New Roman" w:eastAsia="方正仿宋_GBK" w:cs="Times New Roman"/>
          <w:color w:val="auto"/>
          <w:sz w:val="33"/>
          <w:szCs w:val="33"/>
        </w:rPr>
        <w:t>元，</w:t>
      </w:r>
      <w:r>
        <w:rPr>
          <w:rFonts w:hint="default" w:ascii="Times New Roman" w:hAnsi="Times New Roman" w:eastAsia="方正仿宋_GBK" w:cs="Times New Roman"/>
          <w:color w:val="auto"/>
          <w:sz w:val="33"/>
          <w:szCs w:val="33"/>
          <w:lang w:eastAsia="zh-CN"/>
        </w:rPr>
        <w:t>期中精神文明和文化发展服务经费</w:t>
      </w:r>
      <w:r>
        <w:rPr>
          <w:rFonts w:hint="default" w:ascii="Times New Roman" w:hAnsi="Times New Roman" w:eastAsia="方正仿宋_GBK" w:cs="Times New Roman"/>
          <w:color w:val="auto"/>
          <w:sz w:val="33"/>
          <w:szCs w:val="33"/>
          <w:lang w:val="en-US" w:eastAsia="zh-CN"/>
        </w:rPr>
        <w:t>20万元、媒体合作经费102.63万元、融媒体中心运行维护经费76万元、新时代文明实践中心建设及运维经费20万元、意识形态工作经费20万元。全年共计支出项目经费125.42万</w:t>
      </w:r>
      <w:r>
        <w:rPr>
          <w:rFonts w:hint="default" w:ascii="Times New Roman" w:hAnsi="Times New Roman" w:eastAsia="方正仿宋_GBK" w:cs="Times New Roman"/>
          <w:color w:val="auto"/>
          <w:sz w:val="33"/>
          <w:szCs w:val="33"/>
        </w:rPr>
        <w:t>元，</w:t>
      </w:r>
      <w:r>
        <w:rPr>
          <w:rFonts w:hint="default" w:ascii="Times New Roman" w:hAnsi="Times New Roman" w:eastAsia="方正仿宋_GBK" w:cs="Times New Roman"/>
          <w:color w:val="auto"/>
          <w:sz w:val="33"/>
          <w:szCs w:val="33"/>
          <w:lang w:val="en-US" w:eastAsia="zh-CN"/>
        </w:rPr>
        <w:t xml:space="preserve"> 年末财政收回2021年项目资金113.21万</w:t>
      </w:r>
      <w:r>
        <w:rPr>
          <w:rFonts w:hint="default" w:ascii="Times New Roman" w:hAnsi="Times New Roman" w:eastAsia="方正仿宋_GBK" w:cs="Times New Roman"/>
          <w:color w:val="auto"/>
          <w:sz w:val="33"/>
          <w:szCs w:val="33"/>
          <w:lang w:eastAsia="zh-CN"/>
        </w:rPr>
        <w:t>元</w:t>
      </w:r>
      <w:r>
        <w:rPr>
          <w:rFonts w:hint="default" w:ascii="Times New Roman" w:hAnsi="Times New Roman" w:eastAsia="方正仿宋_GBK" w:cs="Times New Roman"/>
          <w:color w:val="auto"/>
          <w:sz w:val="33"/>
          <w:szCs w:val="33"/>
        </w:rPr>
        <w:t>。</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pStyle w:val="2"/>
        <w:ind w:firstLine="643" w:firstLineChars="200"/>
        <w:rPr>
          <w:rFonts w:hint="eastAsia" w:ascii="仿宋_GB2312" w:hAnsi="宋体" w:eastAsia="仿宋_GB2312" w:cs="宋体"/>
          <w:b/>
          <w:bCs/>
          <w:color w:val="auto"/>
          <w:kern w:val="0"/>
          <w:sz w:val="32"/>
          <w:szCs w:val="32"/>
          <w:shd w:val="clear" w:color="auto" w:fill="FFFFFF"/>
          <w:lang w:val="zh-CN" w:eastAsia="zh-CN" w:bidi="ar-SA"/>
        </w:rPr>
      </w:pPr>
      <w:r>
        <w:rPr>
          <w:rFonts w:hint="eastAsia" w:ascii="仿宋_GB2312" w:hAnsi="宋体" w:eastAsia="仿宋_GB2312" w:cs="宋体"/>
          <w:b/>
          <w:bCs/>
          <w:color w:val="auto"/>
          <w:kern w:val="0"/>
          <w:sz w:val="32"/>
          <w:szCs w:val="32"/>
          <w:shd w:val="clear" w:color="auto" w:fill="FFFFFF"/>
          <w:lang w:val="zh-CN" w:eastAsia="zh-CN" w:bidi="ar-SA"/>
        </w:rPr>
        <w:t>1.年初部门预算绩效目标完成情况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我部按要求严格预算执行管理、节能降耗以建设节约型机关为重点，在基本经费中首先保障单位基本运转，保障人员工资、保险、奖金、绩效、住房公积金、车补等人员经费和日常公用经费。</w:t>
      </w:r>
    </w:p>
    <w:p>
      <w:pPr>
        <w:widowControl/>
        <w:adjustRightInd w:val="0"/>
        <w:snapToGrid w:val="0"/>
        <w:spacing w:line="572" w:lineRule="exact"/>
        <w:ind w:firstLine="643" w:firstLineChars="200"/>
        <w:contextualSpacing/>
        <w:jc w:val="left"/>
        <w:rPr>
          <w:rFonts w:hint="eastAsia"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2.区级专项（项目）资金绩效目标完成情况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区级专项（项目）资金主要用于支付区融媒体中心维护经费、宣传氛围营造经费、媒体合作经费、文化发展服务项目、精神文明建设及全国文明城市创建等专项支出。</w:t>
      </w:r>
    </w:p>
    <w:p>
      <w:pPr>
        <w:widowControl/>
        <w:adjustRightInd w:val="0"/>
        <w:snapToGrid w:val="0"/>
        <w:spacing w:line="572" w:lineRule="exact"/>
        <w:ind w:firstLine="643" w:firstLineChars="200"/>
        <w:contextualSpacing/>
        <w:jc w:val="left"/>
        <w:rPr>
          <w:rFonts w:hint="eastAsia"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3.上级专项（项目）资金绩效目标完成情况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上级专项（项目）资金用于支付农村电影公益放映补助、中央补助地方国家电影事业发展、县级融媒体中心建设补助、中央公共文化服务体系建设、公益电影放映补助。</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我部认真履行职责，以习近平新时代中国特色社会主义思想为指导，认真落实全国和省、市宣传思想工作会议精神，自觉承担起“举旗帜、聚民心、育新人、兴文化、展形象”的使命任务，把握正确政治导向、舆论导向和价值取向，不断压紧压实工作责任，落实落细工作措施，为全区转型发展、高质量发展提供了坚强思想保证和强大精神力量。部门上下认真贯彻落实区委区政府决策部署和区领导指示批示精神，意识形态、对外宣传、理论学习宣讲、舆论引导、文明创建、文旅融合等各项工作开展卓有成效，较好地完成了全年工作任务，得到广大群众认可和社会各界肯定。</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6" w:lineRule="exact"/>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rPr>
        <w:t xml:space="preserve">    </w:t>
      </w:r>
      <w:r>
        <w:rPr>
          <w:rFonts w:hint="default" w:ascii="仿宋_GB2312" w:hAnsi="宋体" w:eastAsia="仿宋_GB2312" w:cs="宋体"/>
          <w:kern w:val="0"/>
          <w:sz w:val="32"/>
          <w:szCs w:val="32"/>
          <w:shd w:val="clear" w:color="auto" w:fill="FFFFFF"/>
          <w:lang w:val="zh-CN"/>
        </w:rPr>
        <w:t>2021年，西区宣传思想文化战线在区委的坚强领导下，自觉肩负起“举旗帜、聚民心、育新人、兴文化、展形象”的使命任务，主动作为、开拓进取，围绕开局“十四五”、开启新征程，紧扣全市“三个圈层”、加快建设现代化区域中心城市和全区“一区一城”发展目标，突出庆祝中国共产党成立100周年主线，扎实开展党史学习教育，各项工作迈上新台阶、取得新突破，为西区经济社会发展大局提供了坚强的思想保证。</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default" w:ascii="仿宋_GB2312" w:hAnsi="宋体" w:eastAsia="仿宋_GB2312" w:cs="宋体"/>
          <w:b/>
          <w:bCs/>
          <w:kern w:val="0"/>
          <w:sz w:val="32"/>
          <w:szCs w:val="32"/>
          <w:shd w:val="clear" w:color="auto" w:fill="FFFFFF"/>
          <w:lang w:val="zh-CN"/>
        </w:rPr>
      </w:pPr>
      <w:r>
        <w:rPr>
          <w:rFonts w:hint="default" w:ascii="仿宋_GB2312" w:hAnsi="宋体" w:eastAsia="仿宋_GB2312" w:cs="宋体"/>
          <w:b/>
          <w:bCs/>
          <w:kern w:val="0"/>
          <w:sz w:val="32"/>
          <w:szCs w:val="32"/>
          <w:shd w:val="clear" w:color="auto" w:fill="FFFFFF"/>
          <w:lang w:val="zh-CN"/>
        </w:rPr>
        <w:t>（一）偏离绩效目标的原因</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eastAsia="zh-CN"/>
        </w:rPr>
        <w:t>我部有</w:t>
      </w:r>
      <w:r>
        <w:rPr>
          <w:rFonts w:hint="eastAsia" w:ascii="仿宋_GB2312" w:hAnsi="宋体" w:eastAsia="仿宋_GB2312" w:cs="宋体"/>
          <w:kern w:val="0"/>
          <w:sz w:val="32"/>
          <w:szCs w:val="32"/>
          <w:shd w:val="clear" w:color="auto" w:fill="FFFFFF"/>
          <w:lang w:val="en-US" w:eastAsia="zh-CN"/>
        </w:rPr>
        <w:t>6个项目未完成费用支付，项目为西区第十一次代表大会经费5万元、2020年第三季度抓项目促投资竟进拉练活动经费22.73万元、宣传合作经费57元、2020年省级公共文化服务体系建设专项经费5万元、下达2020年中央和省级国家电影事业发展装信封资金3.18万元、县级融媒体中心建设补助1.05万元，资金结转余2022年完成项目费用支付</w:t>
      </w:r>
      <w:r>
        <w:rPr>
          <w:rFonts w:hint="default" w:ascii="仿宋_GB2312" w:hAnsi="宋体" w:eastAsia="仿宋_GB2312" w:cs="宋体"/>
          <w:kern w:val="0"/>
          <w:sz w:val="32"/>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default" w:ascii="仿宋_GB2312" w:hAnsi="宋体" w:eastAsia="仿宋_GB2312" w:cs="宋体"/>
          <w:b/>
          <w:bCs/>
          <w:kern w:val="0"/>
          <w:sz w:val="32"/>
          <w:szCs w:val="32"/>
          <w:shd w:val="clear" w:color="auto" w:fill="FFFFFF"/>
          <w:lang w:val="zh-CN"/>
        </w:rPr>
      </w:pPr>
      <w:r>
        <w:rPr>
          <w:rFonts w:hint="default" w:ascii="仿宋_GB2312" w:hAnsi="宋体" w:eastAsia="仿宋_GB2312" w:cs="宋体"/>
          <w:b/>
          <w:bCs/>
          <w:kern w:val="0"/>
          <w:sz w:val="32"/>
          <w:szCs w:val="32"/>
          <w:shd w:val="clear" w:color="auto" w:fill="FFFFFF"/>
          <w:lang w:val="zh-CN"/>
        </w:rPr>
        <w:t>（</w:t>
      </w:r>
      <w:r>
        <w:rPr>
          <w:rFonts w:hint="default" w:ascii="仿宋_GB2312" w:hAnsi="宋体" w:eastAsia="仿宋_GB2312" w:cs="宋体"/>
          <w:b/>
          <w:bCs/>
          <w:kern w:val="0"/>
          <w:sz w:val="32"/>
          <w:szCs w:val="32"/>
          <w:shd w:val="clear" w:color="auto" w:fill="FFFFFF"/>
          <w:lang w:val="zh-CN" w:eastAsia="zh-CN"/>
        </w:rPr>
        <w:t>二</w:t>
      </w:r>
      <w:r>
        <w:rPr>
          <w:rFonts w:hint="default" w:ascii="仿宋_GB2312" w:hAnsi="宋体" w:eastAsia="仿宋_GB2312" w:cs="宋体"/>
          <w:b/>
          <w:bCs/>
          <w:kern w:val="0"/>
          <w:sz w:val="32"/>
          <w:szCs w:val="32"/>
          <w:shd w:val="clear" w:color="auto" w:fill="FFFFFF"/>
          <w:lang w:val="zh-CN"/>
        </w:rPr>
        <w:t>）下一步改进措施</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default" w:ascii="仿宋_GB2312" w:hAnsi="宋体" w:eastAsia="仿宋_GB2312" w:cs="宋体"/>
          <w:kern w:val="0"/>
          <w:sz w:val="32"/>
          <w:szCs w:val="32"/>
          <w:shd w:val="clear" w:color="auto" w:fill="FFFFFF"/>
          <w:lang w:val="zh-CN"/>
        </w:rPr>
      </w:pPr>
      <w:r>
        <w:rPr>
          <w:rFonts w:hint="default" w:ascii="仿宋_GB2312" w:hAnsi="宋体" w:eastAsia="仿宋_GB2312" w:cs="宋体"/>
          <w:b/>
          <w:bCs/>
          <w:kern w:val="0"/>
          <w:sz w:val="32"/>
          <w:szCs w:val="32"/>
          <w:shd w:val="clear" w:color="auto" w:fill="FFFFFF"/>
          <w:lang w:val="zh-CN"/>
        </w:rPr>
        <w:t>一是加强政策学习，提高思想认识。</w:t>
      </w:r>
      <w:r>
        <w:rPr>
          <w:rFonts w:hint="default" w:ascii="仿宋_GB2312" w:hAnsi="宋体" w:eastAsia="仿宋_GB2312" w:cs="宋体"/>
          <w:kern w:val="0"/>
          <w:sz w:val="32"/>
          <w:szCs w:val="32"/>
          <w:shd w:val="clear" w:color="auto" w:fill="FFFFFF"/>
          <w:lang w:val="zh-CN"/>
        </w:rPr>
        <w:t>加强对《预算法》《行政事业单位会计制度》等学习培训，进一步提高预算管理意识，规范部门预算收支核算，切实提高部门预算收支管理水平。</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default" w:ascii="仿宋_GB2312" w:hAnsi="宋体" w:eastAsia="仿宋_GB2312" w:cs="宋体"/>
          <w:kern w:val="0"/>
          <w:sz w:val="32"/>
          <w:szCs w:val="32"/>
          <w:shd w:val="clear" w:color="auto" w:fill="FFFFFF"/>
          <w:lang w:val="zh-CN"/>
        </w:rPr>
      </w:pPr>
      <w:r>
        <w:rPr>
          <w:rFonts w:hint="default" w:ascii="仿宋_GB2312" w:hAnsi="宋体" w:eastAsia="仿宋_GB2312" w:cs="宋体"/>
          <w:b/>
          <w:bCs/>
          <w:kern w:val="0"/>
          <w:sz w:val="32"/>
          <w:szCs w:val="32"/>
          <w:shd w:val="clear" w:color="auto" w:fill="FFFFFF"/>
          <w:lang w:val="zh-CN"/>
        </w:rPr>
        <w:t>二是细化预算编制，提高预算准度。</w:t>
      </w:r>
      <w:r>
        <w:rPr>
          <w:rFonts w:hint="default" w:ascii="仿宋_GB2312" w:hAnsi="宋体" w:eastAsia="仿宋_GB2312" w:cs="宋体"/>
          <w:kern w:val="0"/>
          <w:sz w:val="32"/>
          <w:szCs w:val="32"/>
          <w:shd w:val="clear" w:color="auto" w:fill="FFFFFF"/>
          <w:lang w:val="zh-CN"/>
        </w:rPr>
        <w:t>按照《预算法》及其实施条例的相关规定，参考上一年度的预算执行情况科学编制预算，早计划、早安排，避免年中大幅追加预算情况的发生。同时严格预算执行，提高资金使用效率。</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default" w:ascii="仿宋_GB2312" w:hAnsi="宋体" w:eastAsia="仿宋_GB2312" w:cs="宋体"/>
          <w:kern w:val="0"/>
          <w:sz w:val="32"/>
          <w:szCs w:val="32"/>
          <w:shd w:val="clear" w:color="auto" w:fill="FFFFFF"/>
          <w:lang w:val="zh-CN"/>
        </w:rPr>
      </w:pPr>
      <w:r>
        <w:rPr>
          <w:rFonts w:hint="default" w:ascii="仿宋_GB2312" w:hAnsi="宋体" w:eastAsia="仿宋_GB2312" w:cs="宋体"/>
          <w:b/>
          <w:bCs/>
          <w:kern w:val="0"/>
          <w:sz w:val="32"/>
          <w:szCs w:val="32"/>
          <w:shd w:val="clear" w:color="auto" w:fill="FFFFFF"/>
          <w:lang w:val="zh-CN"/>
        </w:rPr>
        <w:t>三是加强沟通协调，提高执行效率。</w:t>
      </w:r>
      <w:r>
        <w:rPr>
          <w:rFonts w:hint="default" w:ascii="仿宋_GB2312" w:hAnsi="宋体" w:eastAsia="仿宋_GB2312" w:cs="宋体"/>
          <w:kern w:val="0"/>
          <w:sz w:val="32"/>
          <w:szCs w:val="32"/>
          <w:shd w:val="clear" w:color="auto" w:fill="FFFFFF"/>
          <w:lang w:val="zh-CN"/>
        </w:rPr>
        <w:t>加大资金保障力度，加快资金执行进度，及时跟踪问效，实现全程可查询、可追溯、可控制。</w:t>
      </w: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390"/>
        <w:gridCol w:w="2243"/>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中共攀枝花市西区区委宣传部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943.65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612.39</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943.65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612.39</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保障宣传部各项工作有序推进</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高质量完成全年各项工作</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理论武装</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中心组学习不少于6次</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auto"/>
                <w:sz w:val="28"/>
                <w:szCs w:val="28"/>
              </w:rPr>
            </w:pPr>
            <w:r>
              <w:rPr>
                <w:rFonts w:hint="eastAsia" w:ascii="宋体" w:hAnsi="宋体" w:eastAsia="宋体" w:cs="宋体"/>
                <w:i w:val="0"/>
                <w:iCs w:val="0"/>
                <w:color w:val="auto"/>
                <w:kern w:val="0"/>
                <w:sz w:val="24"/>
                <w:szCs w:val="24"/>
                <w:u w:val="none"/>
                <w:lang w:val="en-US" w:eastAsia="zh-CN" w:bidi="ar"/>
              </w:rPr>
              <w:t>14次</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lang w:bidi="ar"/>
              </w:rPr>
            </w:pPr>
          </w:p>
        </w:tc>
        <w:tc>
          <w:tcPr>
            <w:tcW w:w="1635"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lang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保障工作人员经费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26人</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auto"/>
                <w:sz w:val="28"/>
                <w:szCs w:val="28"/>
              </w:rPr>
            </w:pPr>
            <w:r>
              <w:rPr>
                <w:rFonts w:hint="eastAsia" w:ascii="宋体" w:hAnsi="宋体" w:eastAsia="宋体" w:cs="宋体"/>
                <w:i w:val="0"/>
                <w:iCs w:val="0"/>
                <w:color w:val="auto"/>
                <w:kern w:val="0"/>
                <w:sz w:val="24"/>
                <w:szCs w:val="24"/>
                <w:u w:val="none"/>
                <w:lang w:val="en-US" w:eastAsia="zh-CN" w:bidi="ar"/>
              </w:rPr>
              <w:t>27人</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lang w:bidi="ar"/>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lang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加强宣传</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合作媒体不少于4家</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auto"/>
                <w:sz w:val="28"/>
                <w:szCs w:val="28"/>
              </w:rPr>
            </w:pPr>
            <w:r>
              <w:rPr>
                <w:rFonts w:hint="eastAsia" w:ascii="宋体" w:hAnsi="宋体" w:eastAsia="宋体" w:cs="宋体"/>
                <w:i w:val="0"/>
                <w:iCs w:val="0"/>
                <w:color w:val="auto"/>
                <w:kern w:val="0"/>
                <w:sz w:val="24"/>
                <w:szCs w:val="24"/>
                <w:u w:val="none"/>
                <w:lang w:val="en-US" w:eastAsia="zh-CN" w:bidi="ar"/>
              </w:rPr>
              <w:t>4家</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color w:val="auto"/>
                <w:sz w:val="28"/>
                <w:szCs w:val="28"/>
              </w:rPr>
            </w:pPr>
            <w:r>
              <w:rPr>
                <w:rFonts w:hint="eastAsia" w:ascii="宋体" w:hAnsi="宋体" w:eastAsia="宋体" w:cs="宋体"/>
                <w:i w:val="0"/>
                <w:iCs w:val="0"/>
                <w:color w:val="auto"/>
                <w:kern w:val="0"/>
                <w:sz w:val="24"/>
                <w:szCs w:val="24"/>
                <w:u w:val="none"/>
                <w:lang w:val="en-US" w:eastAsia="zh-CN" w:bidi="ar"/>
              </w:rPr>
              <w:t>提升意识形态工作能力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color w:val="auto"/>
                <w:sz w:val="28"/>
                <w:szCs w:val="28"/>
              </w:rPr>
            </w:pPr>
            <w:r>
              <w:rPr>
                <w:rFonts w:hint="eastAsia" w:ascii="宋体" w:hAnsi="宋体" w:eastAsia="宋体" w:cs="宋体"/>
                <w:i w:val="0"/>
                <w:iCs w:val="0"/>
                <w:color w:val="auto"/>
                <w:kern w:val="0"/>
                <w:sz w:val="24"/>
                <w:szCs w:val="24"/>
                <w:u w:val="none"/>
                <w:lang w:val="en-US" w:eastAsia="zh-CN" w:bidi="ar"/>
              </w:rPr>
              <w:t>落实责任，夯实阵地</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color w:val="auto"/>
                <w:sz w:val="28"/>
                <w:szCs w:val="28"/>
              </w:rPr>
            </w:pPr>
            <w:r>
              <w:rPr>
                <w:rFonts w:hint="eastAsia" w:ascii="宋体" w:hAnsi="宋体" w:eastAsia="宋体" w:cs="宋体"/>
                <w:i w:val="0"/>
                <w:iCs w:val="0"/>
                <w:color w:val="auto"/>
                <w:kern w:val="0"/>
                <w:sz w:val="24"/>
                <w:szCs w:val="24"/>
                <w:u w:val="none"/>
                <w:lang w:val="en-US" w:eastAsia="zh-CN" w:bidi="ar"/>
              </w:rPr>
              <w:t>意识形态领域总体平稳，党管意识形态坚决有力</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lang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color w:val="auto"/>
                <w:sz w:val="28"/>
                <w:szCs w:val="28"/>
              </w:rPr>
            </w:pPr>
            <w:r>
              <w:rPr>
                <w:rFonts w:hint="eastAsia" w:ascii="宋体" w:hAnsi="宋体" w:eastAsia="宋体" w:cs="宋体"/>
                <w:i w:val="0"/>
                <w:iCs w:val="0"/>
                <w:color w:val="auto"/>
                <w:kern w:val="0"/>
                <w:sz w:val="24"/>
                <w:szCs w:val="24"/>
                <w:u w:val="none"/>
                <w:lang w:val="en-US" w:eastAsia="zh-CN" w:bidi="ar"/>
              </w:rPr>
              <w:t>做大主流思想舆论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color w:val="auto"/>
                <w:sz w:val="28"/>
                <w:szCs w:val="28"/>
              </w:rPr>
            </w:pPr>
            <w:r>
              <w:rPr>
                <w:rFonts w:hint="eastAsia" w:ascii="宋体" w:hAnsi="宋体" w:eastAsia="宋体" w:cs="宋体"/>
                <w:i w:val="0"/>
                <w:iCs w:val="0"/>
                <w:color w:val="auto"/>
                <w:kern w:val="0"/>
                <w:sz w:val="24"/>
                <w:szCs w:val="24"/>
                <w:u w:val="none"/>
                <w:lang w:val="en-US" w:eastAsia="zh-CN" w:bidi="ar"/>
              </w:rPr>
              <w:t>加强正面宣传引导，主流思想舆论不断壮大</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color w:val="auto"/>
                <w:sz w:val="28"/>
                <w:szCs w:val="28"/>
              </w:rPr>
            </w:pPr>
            <w:r>
              <w:rPr>
                <w:rFonts w:hint="eastAsia" w:ascii="宋体" w:hAnsi="宋体" w:eastAsia="宋体" w:cs="宋体"/>
                <w:i w:val="0"/>
                <w:iCs w:val="0"/>
                <w:color w:val="auto"/>
                <w:kern w:val="0"/>
                <w:sz w:val="24"/>
                <w:szCs w:val="24"/>
                <w:u w:val="none"/>
                <w:lang w:val="en-US" w:eastAsia="zh-CN" w:bidi="ar"/>
              </w:rPr>
              <w:t>生产推送稿件6348条，中央省级643条，学习强国上稿122条、新华社上稿128条</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lang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color w:val="auto"/>
                <w:sz w:val="28"/>
                <w:szCs w:val="28"/>
              </w:rPr>
            </w:pPr>
            <w:r>
              <w:rPr>
                <w:rFonts w:hint="eastAsia" w:ascii="宋体" w:hAnsi="宋体" w:eastAsia="宋体" w:cs="宋体"/>
                <w:i w:val="0"/>
                <w:iCs w:val="0"/>
                <w:color w:val="auto"/>
                <w:kern w:val="0"/>
                <w:sz w:val="24"/>
                <w:szCs w:val="24"/>
                <w:u w:val="none"/>
                <w:lang w:val="en-US" w:eastAsia="zh-CN" w:bidi="ar"/>
              </w:rPr>
              <w:t>对外宣传成效显著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color w:val="auto"/>
                <w:sz w:val="28"/>
                <w:szCs w:val="28"/>
              </w:rPr>
            </w:pPr>
            <w:r>
              <w:rPr>
                <w:rFonts w:hint="eastAsia" w:ascii="宋体" w:hAnsi="宋体" w:eastAsia="宋体" w:cs="宋体"/>
                <w:i w:val="0"/>
                <w:iCs w:val="0"/>
                <w:color w:val="auto"/>
                <w:kern w:val="0"/>
                <w:sz w:val="24"/>
                <w:szCs w:val="24"/>
                <w:u w:val="none"/>
                <w:lang w:val="en-US" w:eastAsia="zh-CN" w:bidi="ar"/>
              </w:rPr>
              <w:t>宣传稿件质量提升</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color w:val="auto"/>
                <w:sz w:val="28"/>
                <w:szCs w:val="28"/>
              </w:rPr>
            </w:pPr>
            <w:r>
              <w:rPr>
                <w:rFonts w:hint="eastAsia" w:ascii="宋体" w:hAnsi="宋体" w:eastAsia="宋体" w:cs="宋体"/>
                <w:i w:val="0"/>
                <w:iCs w:val="0"/>
                <w:color w:val="auto"/>
                <w:kern w:val="0"/>
                <w:sz w:val="24"/>
                <w:szCs w:val="24"/>
                <w:u w:val="none"/>
                <w:lang w:val="en-US" w:eastAsia="zh-CN" w:bidi="ar"/>
              </w:rPr>
              <w:t>2篇新闻稿被央视采用。在攀枝花新闻奖评选中，西区选送的稿件获报纸类三等奖1个，媒体融合类一等奖、二等奖、三等奖各1个。</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按计划开展工作</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2021年底完成</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按时间节点完成各项工作任务，牵头市级两项考核指标未被扣分，其中精神文明建设和创建全国文明城市全市各区县排名第2</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基本经费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517.02</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425.19</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lang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专项经费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426.63</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187.2</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效益</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加强对外宣传</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吸引投资</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一批项目落地</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推动公共文化事业发展</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推进现代公共文化服务体系建设</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积极推进城市文化示范点建设，“初心园”三线微博物馆荣获四川省首批社区博物馆示范项目，西区文化馆被评为四川省百家全民艺术普及示范基地。深入推进城市书房打造，完成西城中央商务、言予书舍等5个城市书房建设。</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加强环境保护宣传</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营造保护生态环境良好氛围</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辖区群众生态环保意识显著增强</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常态推进文明西区建设</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提升居民文明素质</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礼让斑马线、自觉遵守公共秩序等文明行为习惯不断加强</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满意</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公众满意度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≥95%</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仿宋_GB2312" w:eastAsia="仿宋_GB2312" w:cs="仿宋_GB2312"/>
                <w:sz w:val="28"/>
                <w:szCs w:val="28"/>
              </w:rPr>
            </w:pPr>
            <w:r>
              <w:rPr>
                <w:rFonts w:hint="eastAsia" w:ascii="宋体" w:hAnsi="宋体" w:eastAsia="宋体" w:cs="宋体"/>
                <w:i w:val="0"/>
                <w:iCs w:val="0"/>
                <w:color w:val="000000"/>
                <w:kern w:val="0"/>
                <w:sz w:val="24"/>
                <w:szCs w:val="24"/>
                <w:u w:val="none"/>
                <w:lang w:val="en-US" w:eastAsia="zh-CN" w:bidi="ar"/>
              </w:rPr>
              <w:t>100%</w:t>
            </w:r>
          </w:p>
        </w:tc>
      </w:tr>
    </w:tbl>
    <w:p>
      <w:pPr>
        <w:rPr>
          <w:rStyle w:val="24"/>
          <w:rFonts w:ascii="黑体" w:hAnsi="黑体" w:eastAsia="黑体"/>
          <w:b w:val="0"/>
        </w:rPr>
      </w:pPr>
      <w:r>
        <w:rPr>
          <w:rFonts w:hint="eastAsia" w:ascii="仿宋_GB2312" w:hAnsi="宋体" w:eastAsia="仿宋_GB2312" w:cs="宋体"/>
          <w:kern w:val="0"/>
          <w:sz w:val="32"/>
          <w:szCs w:val="32"/>
          <w:shd w:val="clear" w:color="auto" w:fill="FFFFFF"/>
          <w:lang w:val="zh-CN"/>
        </w:rPr>
        <w:br w:type="page"/>
      </w:r>
    </w:p>
    <w:p>
      <w:pPr>
        <w:widowControl/>
        <w:jc w:val="left"/>
        <w:rPr>
          <w:rStyle w:val="24"/>
          <w:rFonts w:ascii="黑体" w:hAnsi="黑体" w:eastAsia="黑体"/>
          <w:b w:val="0"/>
        </w:rPr>
      </w:pPr>
    </w:p>
    <w:p>
      <w:pPr>
        <w:spacing w:line="600" w:lineRule="exact"/>
        <w:jc w:val="center"/>
        <w:outlineLvl w:val="0"/>
        <w:rPr>
          <w:rFonts w:ascii="仿宋" w:hAnsi="仿宋" w:eastAsia="仿宋"/>
        </w:rPr>
      </w:pPr>
      <w:bookmarkStart w:id="59" w:name="_Toc15396618"/>
      <w:r>
        <w:rPr>
          <w:rFonts w:hint="eastAsia" w:ascii="黑体" w:hAnsi="黑体" w:eastAsia="黑体"/>
          <w:sz w:val="44"/>
          <w:szCs w:val="44"/>
        </w:rPr>
        <w:t>第</w:t>
      </w:r>
      <w:r>
        <w:rPr>
          <w:rStyle w:val="24"/>
          <w:rFonts w:hint="eastAsia" w:ascii="黑体" w:hAnsi="黑体" w:eastAsia="黑体"/>
          <w:b w:val="0"/>
        </w:rPr>
        <w:t>五部分 附表</w:t>
      </w:r>
      <w:bookmarkEnd w:id="57"/>
      <w:bookmarkEnd w:id="59"/>
      <w:bookmarkStart w:id="60"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25"/>
          <w:rFonts w:hint="eastAsia" w:ascii="仿宋" w:hAnsi="仿宋" w:eastAsia="仿宋"/>
          <w:b w:val="0"/>
          <w:bCs w:val="0"/>
        </w:rPr>
        <w:t>入决算表</w:t>
      </w:r>
      <w:bookmarkEnd w:id="61"/>
    </w:p>
    <w:p>
      <w:pPr>
        <w:pStyle w:val="4"/>
        <w:rPr>
          <w:rFonts w:ascii="仿宋" w:hAnsi="仿宋" w:eastAsia="仿宋"/>
        </w:rPr>
      </w:pPr>
      <w:bookmarkStart w:id="62"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63"/>
    </w:p>
    <w:p>
      <w:pPr>
        <w:pStyle w:val="4"/>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69"/>
    </w:p>
    <w:p>
      <w:pPr>
        <w:pStyle w:val="4"/>
        <w:rPr>
          <w:rFonts w:ascii="仿宋" w:hAnsi="仿宋" w:eastAsia="仿宋"/>
        </w:rPr>
      </w:pPr>
      <w:bookmarkStart w:id="70"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70"/>
    </w:p>
    <w:p>
      <w:pPr>
        <w:pStyle w:val="4"/>
        <w:rPr>
          <w:rFonts w:ascii="仿宋" w:hAnsi="仿宋" w:eastAsia="仿宋"/>
        </w:rPr>
      </w:pPr>
      <w:bookmarkStart w:id="71"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71"/>
    </w:p>
    <w:p>
      <w:pPr>
        <w:pStyle w:val="4"/>
        <w:rPr>
          <w:rStyle w:val="25"/>
          <w:rFonts w:ascii="仿宋" w:hAnsi="仿宋" w:eastAsia="仿宋"/>
          <w:b w:val="0"/>
          <w:bCs w:val="0"/>
        </w:rPr>
      </w:pPr>
      <w:bookmarkStart w:id="72"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72"/>
    </w:p>
    <w:p>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2098" w:right="1474" w:bottom="1984"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ODA4MDljY2M4MDVjNGU0YTdiNzI2MjRjODhjMT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3933"/>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56C75"/>
    <w:rsid w:val="03CC48BF"/>
    <w:rsid w:val="052A79F3"/>
    <w:rsid w:val="066E0107"/>
    <w:rsid w:val="067C6FD8"/>
    <w:rsid w:val="07414C7E"/>
    <w:rsid w:val="07996F6E"/>
    <w:rsid w:val="0A2032A3"/>
    <w:rsid w:val="101860EC"/>
    <w:rsid w:val="10C055FF"/>
    <w:rsid w:val="118107EC"/>
    <w:rsid w:val="130019C5"/>
    <w:rsid w:val="13D50BC4"/>
    <w:rsid w:val="141C6857"/>
    <w:rsid w:val="16BB723D"/>
    <w:rsid w:val="19FC6FCB"/>
    <w:rsid w:val="1BE8440E"/>
    <w:rsid w:val="1D155CEE"/>
    <w:rsid w:val="20EC5803"/>
    <w:rsid w:val="224E34CB"/>
    <w:rsid w:val="23860B96"/>
    <w:rsid w:val="240371BF"/>
    <w:rsid w:val="2658458F"/>
    <w:rsid w:val="269B5515"/>
    <w:rsid w:val="289C7B0E"/>
    <w:rsid w:val="29FD04D3"/>
    <w:rsid w:val="2C220E70"/>
    <w:rsid w:val="2C8A61B5"/>
    <w:rsid w:val="2DF04E50"/>
    <w:rsid w:val="2EA46B70"/>
    <w:rsid w:val="319F7F4E"/>
    <w:rsid w:val="36AA5135"/>
    <w:rsid w:val="37E16F03"/>
    <w:rsid w:val="3AE87E06"/>
    <w:rsid w:val="3BC14A5C"/>
    <w:rsid w:val="3D98207C"/>
    <w:rsid w:val="402870E5"/>
    <w:rsid w:val="420748E1"/>
    <w:rsid w:val="44C50A3E"/>
    <w:rsid w:val="44E268DA"/>
    <w:rsid w:val="49C823A3"/>
    <w:rsid w:val="4A627F82"/>
    <w:rsid w:val="4B4F25DA"/>
    <w:rsid w:val="4BE068DB"/>
    <w:rsid w:val="4C786019"/>
    <w:rsid w:val="4D577224"/>
    <w:rsid w:val="4EAB630A"/>
    <w:rsid w:val="4ECE2238"/>
    <w:rsid w:val="5608547E"/>
    <w:rsid w:val="5AF92295"/>
    <w:rsid w:val="5CD71FC4"/>
    <w:rsid w:val="61F671BF"/>
    <w:rsid w:val="64D52148"/>
    <w:rsid w:val="6AA803E7"/>
    <w:rsid w:val="6C4A05C8"/>
    <w:rsid w:val="6E2713B8"/>
    <w:rsid w:val="6E2B4E0B"/>
    <w:rsid w:val="6E7E3605"/>
    <w:rsid w:val="6FF5CC65"/>
    <w:rsid w:val="715C0E4B"/>
    <w:rsid w:val="71696A7C"/>
    <w:rsid w:val="71901C72"/>
    <w:rsid w:val="72734D90"/>
    <w:rsid w:val="73AD73D5"/>
    <w:rsid w:val="73B6EB34"/>
    <w:rsid w:val="74AE1BAF"/>
    <w:rsid w:val="79EE5BA4"/>
    <w:rsid w:val="7A894339"/>
    <w:rsid w:val="7BA718C0"/>
    <w:rsid w:val="7BEF3DD1"/>
    <w:rsid w:val="7EEF11D3"/>
    <w:rsid w:val="7FA30C79"/>
    <w:rsid w:val="7FC96657"/>
    <w:rsid w:val="7FE16FFD"/>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styleId="23">
    <w:name w:val="List Paragraph"/>
    <w:basedOn w:val="1"/>
    <w:qFormat/>
    <w:uiPriority w:val="34"/>
    <w:pPr>
      <w:ind w:firstLine="420" w:firstLineChars="200"/>
    </w:pPr>
  </w:style>
  <w:style w:type="character" w:customStyle="1" w:styleId="24">
    <w:name w:val="标题 1 Char"/>
    <w:basedOn w:val="14"/>
    <w:link w:val="3"/>
    <w:qFormat/>
    <w:uiPriority w:val="9"/>
    <w:rPr>
      <w:rFonts w:ascii="Times New Roman" w:hAnsi="Times New Roman"/>
      <w:b/>
      <w:bCs/>
      <w:kern w:val="44"/>
      <w:sz w:val="44"/>
      <w:szCs w:val="44"/>
    </w:rPr>
  </w:style>
  <w:style w:type="character" w:customStyle="1" w:styleId="25">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4"/>
    <w:link w:val="8"/>
    <w:semiHidden/>
    <w:qFormat/>
    <w:uiPriority w:val="99"/>
    <w:rPr>
      <w:rFonts w:ascii="Times New Roman" w:hAnsi="Times New Roman"/>
      <w:kern w:val="2"/>
      <w:sz w:val="18"/>
      <w:szCs w:val="18"/>
    </w:rPr>
  </w:style>
  <w:style w:type="character" w:customStyle="1" w:styleId="28">
    <w:name w:val="标题 3 Char"/>
    <w:basedOn w:val="14"/>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2"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2"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2"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72777777777778"/>
          <c:y val="0.0305555555555556"/>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[工作簿2]Sheet1!$B$3:$C$3</c:f>
              <c:strCache>
                <c:ptCount val="2"/>
                <c:pt idx="0">
                  <c:v>2020年</c:v>
                </c:pt>
                <c:pt idx="1">
                  <c:v>2021年</c:v>
                </c:pt>
              </c:strCache>
            </c:strRef>
          </c:cat>
          <c:val>
            <c:numRef>
              <c:f>[工作簿2]Sheet1!$B$4:$C$4</c:f>
              <c:numCache>
                <c:formatCode>General</c:formatCode>
                <c:ptCount val="2"/>
                <c:pt idx="0">
                  <c:v>881.82</c:v>
                </c:pt>
                <c:pt idx="1">
                  <c:v>612.39</c:v>
                </c:pt>
              </c:numCache>
            </c:numRef>
          </c:val>
        </c:ser>
        <c:dLbls>
          <c:showLegendKey val="0"/>
          <c:showVal val="1"/>
          <c:showCatName val="0"/>
          <c:showSerName val="0"/>
          <c:showPercent val="0"/>
          <c:showBubbleSize val="0"/>
        </c:dLbls>
        <c:gapWidth val="150"/>
        <c:overlap val="100"/>
        <c:axId val="892987272"/>
        <c:axId val="173560302"/>
      </c:barChart>
      <c:catAx>
        <c:axId val="8929872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560302"/>
        <c:crosses val="autoZero"/>
        <c:auto val="1"/>
        <c:lblAlgn val="ctr"/>
        <c:lblOffset val="100"/>
        <c:noMultiLvlLbl val="0"/>
      </c:catAx>
      <c:valAx>
        <c:axId val="1735603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2987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[工作簿2]Sheet1!$L$4:$M$4</c:f>
              <c:strCache>
                <c:ptCount val="2"/>
                <c:pt idx="0">
                  <c:v>一般公共预算财政拨款收入</c:v>
                </c:pt>
                <c:pt idx="1">
                  <c:v>政府性基金预算财政拨款收入</c:v>
                </c:pt>
              </c:strCache>
            </c:strRef>
          </c:cat>
          <c:val>
            <c:numRef>
              <c:f>[工作簿2]Sheet1!$L$5:$M$5</c:f>
              <c:numCache>
                <c:formatCode>General</c:formatCode>
                <c:ptCount val="2"/>
                <c:pt idx="0">
                  <c:v>450.74</c:v>
                </c:pt>
                <c:pt idx="1">
                  <c:v>125.42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[工作簿2]Sheet1!$L$4:$M$4</c:f>
              <c:strCache>
                <c:ptCount val="2"/>
                <c:pt idx="0">
                  <c:v>基本支出</c:v>
                </c:pt>
                <c:pt idx="1">
                  <c:v>项目支出</c:v>
                </c:pt>
              </c:strCache>
            </c:strRef>
          </c:cat>
          <c:val>
            <c:numRef>
              <c:f>[工作簿2]Sheet1!$L$5:$M$5</c:f>
              <c:numCache>
                <c:formatCode>General</c:formatCode>
                <c:ptCount val="2"/>
                <c:pt idx="0">
                  <c:v>425.19</c:v>
                </c:pt>
                <c:pt idx="1">
                  <c:v>34.91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manualLayout>
          <c:xMode val="edge"/>
          <c:yMode val="edge"/>
          <c:x val="0.179444444444444"/>
          <c:y val="0.0305555555555556"/>
        </c:manualLayout>
      </c:layout>
      <c:overlay val="0"/>
      <c:spPr>
        <a:noFill/>
        <a:ln>
          <a:noFill/>
        </a:ln>
        <a:effectLst/>
      </c:spPr>
    </c:title>
    <c:autoTitleDeleted val="0"/>
    <c:plotArea>
      <c:layout>
        <c:manualLayout>
          <c:layoutTarget val="inner"/>
          <c:xMode val="edge"/>
          <c:yMode val="edge"/>
          <c:x val="0.0484166666666667"/>
          <c:y val="0.176388888888889"/>
          <c:w val="0.894638888888889"/>
          <c:h val="0.711666666666667"/>
        </c:manualLayout>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[工作簿2]Sheet1!$B$3:$C$3</c:f>
              <c:strCache>
                <c:ptCount val="2"/>
                <c:pt idx="0">
                  <c:v>2020年</c:v>
                </c:pt>
                <c:pt idx="1">
                  <c:v>2021年</c:v>
                </c:pt>
              </c:strCache>
            </c:strRef>
          </c:cat>
          <c:val>
            <c:numRef>
              <c:f>[工作簿2]Sheet1!$B$4:$C$4</c:f>
              <c:numCache>
                <c:formatCode>General</c:formatCode>
                <c:ptCount val="2"/>
                <c:pt idx="0">
                  <c:v>881.82</c:v>
                </c:pt>
                <c:pt idx="1">
                  <c:v>612.39</c:v>
                </c:pt>
              </c:numCache>
            </c:numRef>
          </c:val>
        </c:ser>
        <c:dLbls>
          <c:showLegendKey val="0"/>
          <c:showVal val="1"/>
          <c:showCatName val="0"/>
          <c:showSerName val="0"/>
          <c:showPercent val="0"/>
          <c:showBubbleSize val="0"/>
        </c:dLbls>
        <c:gapWidth val="150"/>
        <c:overlap val="100"/>
        <c:axId val="892987272"/>
        <c:axId val="173560302"/>
      </c:barChart>
      <c:catAx>
        <c:axId val="8929872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560302"/>
        <c:crosses val="autoZero"/>
        <c:auto val="1"/>
        <c:lblAlgn val="ctr"/>
        <c:lblOffset val="100"/>
        <c:noMultiLvlLbl val="0"/>
      </c:catAx>
      <c:valAx>
        <c:axId val="1735603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2987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42777777777778"/>
          <c:y val="0.0444444444444444"/>
        </c:manualLayout>
      </c:layout>
      <c:overlay val="0"/>
      <c:spPr>
        <a:noFill/>
        <a:ln>
          <a:noFill/>
        </a:ln>
        <a:effectLst/>
      </c:spPr>
    </c:title>
    <c:autoTitleDeleted val="0"/>
    <c:plotArea>
      <c:layout>
        <c:manualLayout>
          <c:layoutTarget val="inner"/>
          <c:xMode val="edge"/>
          <c:yMode val="edge"/>
          <c:x val="0.0650833333333333"/>
          <c:y val="0.192592592592592"/>
          <c:w val="0.894638888888889"/>
          <c:h val="0.711666666666667"/>
        </c:manualLayout>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[工作簿2]Sheet1!$B$3:$C$3</c:f>
              <c:strCache>
                <c:ptCount val="2"/>
                <c:pt idx="0">
                  <c:v>2020年</c:v>
                </c:pt>
                <c:pt idx="1">
                  <c:v>2021年</c:v>
                </c:pt>
              </c:strCache>
            </c:strRef>
          </c:cat>
          <c:val>
            <c:numRef>
              <c:f>[工作簿2]Sheet1!$B$4:$C$4</c:f>
              <c:numCache>
                <c:formatCode>General</c:formatCode>
                <c:ptCount val="2"/>
                <c:pt idx="0">
                  <c:v>597.01</c:v>
                </c:pt>
                <c:pt idx="1">
                  <c:v>460.09</c:v>
                </c:pt>
              </c:numCache>
            </c:numRef>
          </c:val>
        </c:ser>
        <c:dLbls>
          <c:showLegendKey val="0"/>
          <c:showVal val="1"/>
          <c:showCatName val="0"/>
          <c:showSerName val="0"/>
          <c:showPercent val="0"/>
          <c:showBubbleSize val="0"/>
        </c:dLbls>
        <c:gapWidth val="150"/>
        <c:overlap val="100"/>
        <c:axId val="892987272"/>
        <c:axId val="173560302"/>
      </c:barChart>
      <c:catAx>
        <c:axId val="8929872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560302"/>
        <c:crosses val="autoZero"/>
        <c:auto val="1"/>
        <c:lblAlgn val="ctr"/>
        <c:lblOffset val="100"/>
        <c:noMultiLvlLbl val="0"/>
      </c:catAx>
      <c:valAx>
        <c:axId val="1735603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2987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sz="1600"/>
              <a:t>一般公共预算财政拨款支出决算结构</a:t>
            </a:r>
            <a:endParaRPr sz="1600"/>
          </a:p>
        </c:rich>
      </c:tx>
      <c:layout>
        <c:manualLayout>
          <c:xMode val="edge"/>
          <c:yMode val="edge"/>
          <c:x val="0.158472222222222"/>
          <c:y val="0.0388888888888889"/>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[工作簿2]Sheet1!$P$4:$T$4</c:f>
              <c:strCache>
                <c:ptCount val="5"/>
                <c:pt idx="0">
                  <c:v>一般公共服务</c:v>
                </c:pt>
                <c:pt idx="1">
                  <c:v>文化旅游体育与传媒</c:v>
                </c:pt>
                <c:pt idx="2">
                  <c:v>社会保障和就业</c:v>
                </c:pt>
                <c:pt idx="3">
                  <c:v>卫生健康</c:v>
                </c:pt>
                <c:pt idx="4">
                  <c:v>住房保障</c:v>
                </c:pt>
              </c:strCache>
            </c:strRef>
          </c:cat>
          <c:val>
            <c:numRef>
              <c:f>[工作簿2]Sheet1!$P$5:$T$5</c:f>
              <c:numCache>
                <c:formatCode>General</c:formatCode>
                <c:ptCount val="5"/>
                <c:pt idx="0">
                  <c:v>358.89</c:v>
                </c:pt>
                <c:pt idx="1">
                  <c:v>5.84</c:v>
                </c:pt>
                <c:pt idx="2">
                  <c:v>31.11</c:v>
                </c:pt>
                <c:pt idx="3">
                  <c:v>24.32</c:v>
                </c:pt>
                <c:pt idx="4">
                  <c:v>39.93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7709</Words>
  <Characters>9568</Characters>
  <Lines>57</Lines>
  <Paragraphs>16</Paragraphs>
  <TotalTime>16</TotalTime>
  <ScaleCrop>false</ScaleCrop>
  <LinksUpToDate>false</LinksUpToDate>
  <CharactersWithSpaces>9618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2023-10-08T09:58:02Z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393F1DF46DA940D1B452980493467A50_13</vt:lpwstr>
  </property>
</Properties>
</file>