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96475"/>
      <w:bookmarkStart w:id="3" w:name="_Toc15378441"/>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77426"/>
      <w:bookmarkStart w:id="9" w:name="_Toc15378442"/>
      <w:bookmarkStart w:id="10" w:name="_Toc1539647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_GBK" w:hAnsi="方正小标宋_GBK" w:eastAsia="方正小标宋_GBK" w:cs="方正小标宋_GBK"/>
          <w:color w:val="000000"/>
          <w:sz w:val="72"/>
          <w:szCs w:val="72"/>
        </w:rPr>
        <w:t>中国共产主义青年团攀枝花市西区委员会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5"/>
      </w:pPr>
      <w:r>
        <w:rPr>
          <w:rFonts w:hint="eastAsia"/>
        </w:rPr>
        <w:t>公开时间：2022年10月8日</w:t>
      </w:r>
    </w:p>
    <w:p/>
    <w:p>
      <w:pPr>
        <w:pStyle w:val="15"/>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Pr>
          <w:sz w:val="24"/>
          <w:szCs w:val="24"/>
        </w:rPr>
        <w:t>................................</w:t>
      </w:r>
      <w:r>
        <w:rPr>
          <w:rFonts w:hint="eastAsia"/>
          <w:sz w:val="24"/>
          <w:szCs w:val="24"/>
          <w:lang w:val="en-US" w:eastAsia="zh-CN"/>
        </w:rPr>
        <w:t>.........</w:t>
      </w:r>
      <w:r>
        <w:rPr>
          <w:sz w:val="24"/>
          <w:szCs w:val="24"/>
        </w:rPr>
        <w:t>..........4</w:t>
      </w:r>
    </w:p>
    <w:p>
      <w:pPr>
        <w:pStyle w:val="16"/>
        <w:adjustRightInd w:val="0"/>
        <w:snapToGrid w:val="0"/>
        <w:spacing w:line="440" w:lineRule="exact"/>
        <w:jc w:val="left"/>
        <w:rPr>
          <w:rFonts w:ascii="仿宋" w:hAnsi="仿宋" w:eastAsia="仿宋"/>
          <w:sz w:val="24"/>
        </w:rPr>
      </w:pPr>
      <w:r>
        <w:rPr>
          <w:rFonts w:hint="eastAsia"/>
          <w:sz w:val="24"/>
        </w:rPr>
        <w:t>一、基本职能及主要工作</w:t>
      </w:r>
      <w:r>
        <w:rPr>
          <w:sz w:val="24"/>
        </w:rPr>
        <w:t>.............................................</w:t>
      </w:r>
      <w:r>
        <w:rPr>
          <w:rFonts w:hint="eastAsia"/>
          <w:sz w:val="24"/>
          <w:lang w:val="en-US" w:eastAsia="zh-CN"/>
        </w:rPr>
        <w:t>..................</w:t>
      </w:r>
      <w:r>
        <w:rPr>
          <w:sz w:val="24"/>
        </w:rPr>
        <w:t>......................4</w:t>
      </w:r>
    </w:p>
    <w:p>
      <w:pPr>
        <w:pStyle w:val="16"/>
        <w:adjustRightInd w:val="0"/>
        <w:snapToGrid w:val="0"/>
        <w:spacing w:before="93" w:line="440" w:lineRule="exact"/>
        <w:jc w:val="left"/>
        <w:rPr>
          <w:rFonts w:ascii="仿宋" w:hAnsi="仿宋" w:eastAsia="仿宋"/>
          <w:sz w:val="24"/>
        </w:rPr>
      </w:pPr>
      <w:r>
        <w:rPr>
          <w:rFonts w:hint="eastAsia"/>
          <w:sz w:val="24"/>
        </w:rPr>
        <w:t>二、机构设置</w:t>
      </w:r>
      <w:r>
        <w:rPr>
          <w:sz w:val="24"/>
        </w:rPr>
        <w:t>……………………………………………</w:t>
      </w:r>
      <w:r>
        <w:rPr>
          <w:rFonts w:hint="eastAsia"/>
          <w:sz w:val="24"/>
          <w:lang w:val="en-US" w:eastAsia="zh-CN"/>
        </w:rPr>
        <w:t>..................</w:t>
      </w:r>
      <w:r>
        <w:rPr>
          <w:sz w:val="24"/>
        </w:rPr>
        <w:t>………….</w:t>
      </w:r>
      <w:r>
        <w:rPr>
          <w:rFonts w:hint="eastAsia"/>
          <w:sz w:val="24"/>
        </w:rPr>
        <w:t>11</w:t>
      </w:r>
    </w:p>
    <w:p>
      <w:pPr>
        <w:pStyle w:val="15"/>
        <w:adjustRightInd w:val="0"/>
        <w:snapToGrid w:val="0"/>
        <w:spacing w:before="0" w:line="440" w:lineRule="exact"/>
        <w:jc w:val="left"/>
        <w:rPr>
          <w:sz w:val="24"/>
          <w:szCs w:val="24"/>
        </w:rPr>
      </w:pPr>
      <w:r>
        <w:rPr>
          <w:rFonts w:hint="eastAsia"/>
          <w:sz w:val="24"/>
        </w:rPr>
        <w:t>第二部分 2021年度部门决算情况说明</w:t>
      </w:r>
      <w:r>
        <w:rPr>
          <w:sz w:val="24"/>
          <w:szCs w:val="24"/>
        </w:rPr>
        <w:t>...............</w:t>
      </w:r>
      <w:r>
        <w:rPr>
          <w:rFonts w:hint="eastAsia"/>
          <w:sz w:val="24"/>
          <w:szCs w:val="24"/>
          <w:lang w:val="en-US" w:eastAsia="zh-CN"/>
        </w:rPr>
        <w:t>........</w:t>
      </w:r>
      <w:r>
        <w:rPr>
          <w:sz w:val="24"/>
          <w:szCs w:val="24"/>
        </w:rPr>
        <w:t>..........</w:t>
      </w:r>
      <w:r>
        <w:rPr>
          <w:rFonts w:hint="eastAsia"/>
          <w:sz w:val="24"/>
          <w:szCs w:val="24"/>
        </w:rPr>
        <w:t>12</w:t>
      </w:r>
    </w:p>
    <w:p>
      <w:pPr>
        <w:pStyle w:val="16"/>
        <w:adjustRightInd w:val="0"/>
        <w:snapToGrid w:val="0"/>
        <w:spacing w:line="440" w:lineRule="exact"/>
        <w:jc w:val="left"/>
        <w:rPr>
          <w:rFonts w:ascii="仿宋" w:hAnsi="仿宋" w:eastAsia="仿宋"/>
          <w:sz w:val="24"/>
        </w:rPr>
      </w:pPr>
      <w:r>
        <w:rPr>
          <w:rFonts w:hint="eastAsia"/>
          <w:sz w:val="24"/>
        </w:rPr>
        <w:t>一、收入支出决算总体情况说明</w:t>
      </w:r>
      <w:r>
        <w:rPr>
          <w:sz w:val="24"/>
        </w:rPr>
        <w:t>....................................</w:t>
      </w:r>
      <w:r>
        <w:rPr>
          <w:rFonts w:hint="eastAsia"/>
          <w:sz w:val="24"/>
          <w:lang w:val="en-US" w:eastAsia="zh-CN"/>
        </w:rPr>
        <w:t>..............</w:t>
      </w:r>
      <w:r>
        <w:rPr>
          <w:sz w:val="24"/>
        </w:rPr>
        <w:t>....................</w:t>
      </w:r>
      <w:r>
        <w:rPr>
          <w:rFonts w:hint="eastAsia"/>
          <w:sz w:val="24"/>
        </w:rPr>
        <w:t>12</w:t>
      </w:r>
    </w:p>
    <w:p>
      <w:pPr>
        <w:pStyle w:val="16"/>
        <w:adjustRightInd w:val="0"/>
        <w:snapToGrid w:val="0"/>
        <w:spacing w:line="440" w:lineRule="exact"/>
        <w:jc w:val="left"/>
        <w:rPr>
          <w:rFonts w:ascii="仿宋" w:hAnsi="仿宋" w:eastAsia="仿宋"/>
          <w:sz w:val="24"/>
        </w:rPr>
      </w:pPr>
      <w:r>
        <w:rPr>
          <w:rFonts w:hint="eastAsia"/>
          <w:sz w:val="24"/>
        </w:rPr>
        <w:t>二、收入决算情况说明</w:t>
      </w:r>
      <w:r>
        <w:rPr>
          <w:sz w:val="24"/>
        </w:rPr>
        <w:t>....................................................</w:t>
      </w:r>
      <w:r>
        <w:rPr>
          <w:rFonts w:hint="eastAsia"/>
          <w:sz w:val="24"/>
          <w:lang w:val="en-US" w:eastAsia="zh-CN"/>
        </w:rPr>
        <w:t>.............</w:t>
      </w:r>
      <w:r>
        <w:rPr>
          <w:sz w:val="24"/>
        </w:rPr>
        <w:t>.....................</w:t>
      </w:r>
      <w:r>
        <w:rPr>
          <w:rFonts w:hint="eastAsia"/>
          <w:sz w:val="24"/>
        </w:rPr>
        <w:t>12</w:t>
      </w:r>
    </w:p>
    <w:p>
      <w:pPr>
        <w:pStyle w:val="16"/>
        <w:adjustRightInd w:val="0"/>
        <w:snapToGrid w:val="0"/>
        <w:spacing w:line="440" w:lineRule="exact"/>
        <w:jc w:val="left"/>
        <w:rPr>
          <w:rFonts w:ascii="仿宋" w:hAnsi="仿宋" w:eastAsia="仿宋"/>
          <w:sz w:val="24"/>
        </w:rPr>
      </w:pPr>
      <w:r>
        <w:rPr>
          <w:rFonts w:hint="eastAsia"/>
          <w:sz w:val="24"/>
        </w:rPr>
        <w:t>三、支出决算情况说明</w:t>
      </w:r>
      <w:r>
        <w:rPr>
          <w:sz w:val="24"/>
        </w:rPr>
        <w:t>........................................................</w:t>
      </w:r>
      <w:r>
        <w:rPr>
          <w:rFonts w:hint="eastAsia"/>
          <w:sz w:val="24"/>
          <w:lang w:val="en-US" w:eastAsia="zh-CN"/>
        </w:rPr>
        <w:t>.............</w:t>
      </w:r>
      <w:r>
        <w:rPr>
          <w:sz w:val="24"/>
        </w:rPr>
        <w:t>.................</w:t>
      </w:r>
      <w:r>
        <w:rPr>
          <w:rFonts w:hint="eastAsia"/>
          <w:sz w:val="24"/>
        </w:rPr>
        <w:t>13</w:t>
      </w:r>
    </w:p>
    <w:p>
      <w:pPr>
        <w:pStyle w:val="16"/>
        <w:adjustRightInd w:val="0"/>
        <w:snapToGrid w:val="0"/>
        <w:spacing w:line="440" w:lineRule="exact"/>
        <w:jc w:val="left"/>
        <w:rPr>
          <w:rFonts w:ascii="仿宋" w:hAnsi="仿宋" w:eastAsia="仿宋"/>
          <w:sz w:val="24"/>
        </w:rPr>
      </w:pPr>
      <w:r>
        <w:rPr>
          <w:rFonts w:hint="eastAsia"/>
          <w:sz w:val="24"/>
        </w:rPr>
        <w:t>四、财政拨款收入支出决算总体情况说明</w:t>
      </w:r>
      <w:r>
        <w:rPr>
          <w:sz w:val="24"/>
        </w:rPr>
        <w:t>........................</w:t>
      </w:r>
      <w:r>
        <w:rPr>
          <w:rFonts w:hint="eastAsia"/>
          <w:sz w:val="24"/>
          <w:lang w:val="en-US" w:eastAsia="zh-CN"/>
        </w:rPr>
        <w:t>............</w:t>
      </w:r>
      <w:r>
        <w:rPr>
          <w:sz w:val="24"/>
        </w:rPr>
        <w:t>..................</w:t>
      </w:r>
      <w:r>
        <w:rPr>
          <w:rFonts w:hint="eastAsia"/>
          <w:sz w:val="24"/>
        </w:rPr>
        <w:t>13</w:t>
      </w:r>
    </w:p>
    <w:p>
      <w:pPr>
        <w:pStyle w:val="16"/>
        <w:adjustRightInd w:val="0"/>
        <w:snapToGrid w:val="0"/>
        <w:spacing w:line="440" w:lineRule="exact"/>
        <w:jc w:val="left"/>
        <w:rPr>
          <w:rFonts w:ascii="仿宋" w:hAnsi="仿宋" w:eastAsia="仿宋"/>
          <w:sz w:val="24"/>
        </w:rPr>
      </w:pPr>
      <w:r>
        <w:rPr>
          <w:rFonts w:hint="eastAsia"/>
          <w:sz w:val="24"/>
        </w:rPr>
        <w:t>五、一般公共预算财政拨款支出决算情况说明</w:t>
      </w:r>
      <w:r>
        <w:rPr>
          <w:sz w:val="24"/>
        </w:rPr>
        <w:t>.....................</w:t>
      </w:r>
      <w:r>
        <w:rPr>
          <w:rFonts w:hint="eastAsia"/>
          <w:sz w:val="24"/>
          <w:lang w:val="en-US" w:eastAsia="zh-CN"/>
        </w:rPr>
        <w:t>...........</w:t>
      </w:r>
      <w:r>
        <w:rPr>
          <w:sz w:val="24"/>
        </w:rPr>
        <w:t>..............</w:t>
      </w:r>
      <w:r>
        <w:rPr>
          <w:rFonts w:hint="eastAsia"/>
          <w:sz w:val="24"/>
        </w:rPr>
        <w:t>14</w:t>
      </w:r>
    </w:p>
    <w:p>
      <w:pPr>
        <w:pStyle w:val="16"/>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r>
        <w:rPr>
          <w:sz w:val="24"/>
        </w:rPr>
        <w:t>.........</w:t>
      </w:r>
      <w:r>
        <w:rPr>
          <w:rFonts w:hint="eastAsia"/>
          <w:sz w:val="24"/>
          <w:lang w:val="en-US" w:eastAsia="zh-CN"/>
        </w:rPr>
        <w:t>..........</w:t>
      </w:r>
      <w:r>
        <w:rPr>
          <w:sz w:val="24"/>
        </w:rPr>
        <w:t>...................</w:t>
      </w:r>
      <w:r>
        <w:rPr>
          <w:rFonts w:hint="eastAsia"/>
          <w:sz w:val="24"/>
        </w:rPr>
        <w:t>16</w:t>
      </w:r>
    </w:p>
    <w:p>
      <w:pPr>
        <w:pStyle w:val="16"/>
        <w:adjustRightInd w:val="0"/>
        <w:snapToGrid w:val="0"/>
        <w:spacing w:line="440" w:lineRule="exact"/>
        <w:jc w:val="left"/>
        <w:rPr>
          <w:rFonts w:ascii="仿宋" w:hAnsi="仿宋" w:eastAsia="仿宋"/>
          <w:sz w:val="24"/>
        </w:rPr>
      </w:pPr>
      <w:r>
        <w:rPr>
          <w:rFonts w:hint="eastAsia"/>
          <w:sz w:val="24"/>
        </w:rPr>
        <w:t>七、“三公”经费财政拨款支出决算情况说明</w:t>
      </w:r>
      <w:r>
        <w:rPr>
          <w:sz w:val="24"/>
        </w:rPr>
        <w:t>...............</w:t>
      </w:r>
      <w:r>
        <w:rPr>
          <w:rFonts w:hint="eastAsia"/>
          <w:sz w:val="24"/>
          <w:lang w:val="en-US" w:eastAsia="zh-CN"/>
        </w:rPr>
        <w:t>..........</w:t>
      </w:r>
      <w:r>
        <w:rPr>
          <w:sz w:val="24"/>
        </w:rPr>
        <w:t>.....................</w:t>
      </w:r>
      <w:r>
        <w:rPr>
          <w:rFonts w:hint="eastAsia"/>
          <w:sz w:val="24"/>
        </w:rPr>
        <w:t>17</w:t>
      </w:r>
    </w:p>
    <w:p>
      <w:pPr>
        <w:pStyle w:val="16"/>
        <w:adjustRightInd w:val="0"/>
        <w:snapToGrid w:val="0"/>
        <w:spacing w:line="440" w:lineRule="exact"/>
        <w:jc w:val="left"/>
        <w:rPr>
          <w:rFonts w:ascii="仿宋" w:hAnsi="仿宋" w:eastAsia="仿宋"/>
          <w:sz w:val="24"/>
        </w:rPr>
      </w:pPr>
      <w:r>
        <w:rPr>
          <w:rFonts w:hint="eastAsia"/>
          <w:sz w:val="24"/>
        </w:rPr>
        <w:t>八、政府性基金预算支出决算情况说明</w:t>
      </w:r>
      <w:r>
        <w:rPr>
          <w:sz w:val="24"/>
        </w:rPr>
        <w:t>.........................</w:t>
      </w:r>
      <w:r>
        <w:rPr>
          <w:rFonts w:hint="eastAsia"/>
          <w:sz w:val="24"/>
          <w:lang w:val="en-US" w:eastAsia="zh-CN"/>
        </w:rPr>
        <w:t>.........</w:t>
      </w:r>
      <w:r>
        <w:rPr>
          <w:sz w:val="24"/>
        </w:rPr>
        <w:t>........................</w:t>
      </w:r>
      <w:r>
        <w:rPr>
          <w:rFonts w:hint="eastAsia"/>
          <w:sz w:val="24"/>
        </w:rPr>
        <w:t>18</w:t>
      </w:r>
      <w:bookmarkStart w:id="77" w:name="_GoBack"/>
      <w:bookmarkEnd w:id="77"/>
    </w:p>
    <w:p>
      <w:pPr>
        <w:pStyle w:val="16"/>
        <w:adjustRightInd w:val="0"/>
        <w:snapToGrid w:val="0"/>
        <w:spacing w:line="440" w:lineRule="exact"/>
        <w:jc w:val="left"/>
        <w:rPr>
          <w:rFonts w:ascii="仿宋" w:hAnsi="仿宋" w:eastAsia="仿宋"/>
          <w:sz w:val="24"/>
        </w:rPr>
      </w:pPr>
      <w:r>
        <w:rPr>
          <w:rFonts w:hint="eastAsia" w:asciiTheme="minorEastAsia" w:hAnsiTheme="minorEastAsia" w:eastAsiaTheme="minorEastAsia" w:cstheme="minorEastAsia"/>
          <w:sz w:val="24"/>
        </w:rPr>
        <w:t>九、国有资本经营预算支出决算情况说明</w:t>
      </w:r>
      <w:r>
        <w:rPr>
          <w:sz w:val="24"/>
        </w:rPr>
        <w:t>...................</w:t>
      </w:r>
      <w:r>
        <w:rPr>
          <w:rFonts w:hint="eastAsia"/>
          <w:sz w:val="24"/>
          <w:lang w:val="en-US" w:eastAsia="zh-CN"/>
        </w:rPr>
        <w:t>........</w:t>
      </w:r>
      <w:r>
        <w:rPr>
          <w:sz w:val="24"/>
        </w:rPr>
        <w:t>..........................</w:t>
      </w:r>
      <w:r>
        <w:rPr>
          <w:rFonts w:hint="eastAsia"/>
          <w:sz w:val="24"/>
        </w:rPr>
        <w:t xml:space="preserve"> 18</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0"/>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sz w:val="24"/>
        </w:rPr>
        <w:t>............................................</w:t>
      </w:r>
      <w:r>
        <w:rPr>
          <w:rFonts w:hint="eastAsia"/>
          <w:sz w:val="24"/>
          <w:lang w:val="en-US" w:eastAsia="zh-CN"/>
        </w:rPr>
        <w:t>........</w:t>
      </w:r>
      <w:r>
        <w:rPr>
          <w:sz w:val="24"/>
        </w:rPr>
        <w:t>......................</w:t>
      </w:r>
      <w:r>
        <w:rPr>
          <w:rFonts w:hint="eastAsia"/>
          <w:sz w:val="24"/>
        </w:rPr>
        <w:t>18</w:t>
      </w:r>
    </w:p>
    <w:p>
      <w:pPr>
        <w:pStyle w:val="15"/>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szCs w:val="24"/>
        </w:rPr>
        <w:t>....................................</w:t>
      </w:r>
      <w:r>
        <w:rPr>
          <w:rFonts w:hint="eastAsia"/>
          <w:sz w:val="24"/>
          <w:szCs w:val="24"/>
          <w:lang w:val="en-US" w:eastAsia="zh-CN"/>
        </w:rPr>
        <w:t>.....</w:t>
      </w:r>
      <w:r>
        <w:rPr>
          <w:sz w:val="24"/>
          <w:szCs w:val="24"/>
        </w:rPr>
        <w:t>.........</w:t>
      </w:r>
      <w:r>
        <w:rPr>
          <w:rFonts w:hint="eastAsia"/>
          <w:sz w:val="24"/>
          <w:szCs w:val="24"/>
        </w:rPr>
        <w:t>20</w:t>
      </w:r>
    </w:p>
    <w:p>
      <w:pPr>
        <w:pStyle w:val="15"/>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szCs w:val="24"/>
        </w:rPr>
        <w:t>......................................</w:t>
      </w:r>
      <w:r>
        <w:rPr>
          <w:rFonts w:hint="eastAsia"/>
          <w:sz w:val="24"/>
          <w:szCs w:val="24"/>
          <w:lang w:val="en-US" w:eastAsia="zh-CN"/>
        </w:rPr>
        <w:t>....</w:t>
      </w:r>
      <w:r>
        <w:rPr>
          <w:sz w:val="24"/>
          <w:szCs w:val="24"/>
        </w:rPr>
        <w:t>............</w:t>
      </w:r>
      <w:r>
        <w:rPr>
          <w:rFonts w:hint="eastAsia"/>
          <w:sz w:val="24"/>
          <w:szCs w:val="24"/>
        </w:rPr>
        <w:t>23</w:t>
      </w:r>
    </w:p>
    <w:p>
      <w:pPr>
        <w:pStyle w:val="15"/>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szCs w:val="24"/>
        </w:rPr>
        <w:t>......................................</w:t>
      </w:r>
      <w:r>
        <w:rPr>
          <w:rFonts w:hint="eastAsia"/>
          <w:sz w:val="24"/>
          <w:szCs w:val="24"/>
          <w:lang w:val="en-US" w:eastAsia="zh-CN"/>
        </w:rPr>
        <w:t>....</w:t>
      </w:r>
      <w:r>
        <w:rPr>
          <w:sz w:val="24"/>
          <w:szCs w:val="24"/>
        </w:rPr>
        <w:t>............</w:t>
      </w:r>
      <w:r>
        <w:rPr>
          <w:rFonts w:hint="eastAsia"/>
          <w:sz w:val="24"/>
          <w:szCs w:val="24"/>
        </w:rPr>
        <w:t>39</w:t>
      </w:r>
    </w:p>
    <w:p>
      <w:pPr>
        <w:pStyle w:val="16"/>
        <w:adjustRightInd w:val="0"/>
        <w:snapToGrid w:val="0"/>
        <w:spacing w:line="440" w:lineRule="exact"/>
        <w:jc w:val="left"/>
        <w:rPr>
          <w:rFonts w:ascii="仿宋" w:hAnsi="仿宋" w:eastAsia="仿宋"/>
          <w:sz w:val="24"/>
        </w:rPr>
      </w:pPr>
      <w:r>
        <w:rPr>
          <w:rFonts w:hint="eastAsia"/>
          <w:sz w:val="24"/>
        </w:rPr>
        <w:t>一、收入支出决算总表</w:t>
      </w:r>
      <w:r>
        <w:rPr>
          <w:rFonts w:hint="eastAsia"/>
          <w:sz w:val="24"/>
          <w:lang w:val="en-US" w:eastAsia="zh-CN"/>
        </w:rPr>
        <w:t>.......................................................................................39</w:t>
      </w:r>
    </w:p>
    <w:p>
      <w:pPr>
        <w:pStyle w:val="16"/>
        <w:adjustRightInd w:val="0"/>
        <w:snapToGrid w:val="0"/>
        <w:spacing w:line="440" w:lineRule="exact"/>
        <w:jc w:val="left"/>
        <w:rPr>
          <w:rFonts w:ascii="仿宋" w:hAnsi="仿宋" w:eastAsia="仿宋"/>
          <w:sz w:val="24"/>
        </w:rPr>
      </w:pPr>
      <w:r>
        <w:rPr>
          <w:rFonts w:hint="eastAsia"/>
          <w:sz w:val="24"/>
        </w:rPr>
        <w:t>二、收入决算表</w:t>
      </w:r>
      <w:r>
        <w:rPr>
          <w:rFonts w:hint="eastAsia"/>
          <w:sz w:val="24"/>
          <w:lang w:val="en-US" w:eastAsia="zh-CN"/>
        </w:rPr>
        <w:t>...................................................................................................39</w:t>
      </w:r>
    </w:p>
    <w:p>
      <w:pPr>
        <w:pStyle w:val="16"/>
        <w:adjustRightInd w:val="0"/>
        <w:snapToGrid w:val="0"/>
        <w:spacing w:line="440" w:lineRule="exact"/>
        <w:jc w:val="left"/>
        <w:rPr>
          <w:rFonts w:ascii="仿宋" w:hAnsi="仿宋" w:eastAsia="仿宋"/>
          <w:sz w:val="24"/>
        </w:rPr>
      </w:pPr>
      <w:r>
        <w:rPr>
          <w:rFonts w:hint="eastAsia" w:asciiTheme="minorEastAsia" w:hAnsiTheme="minorEastAsia" w:eastAsiaTheme="minorEastAsia" w:cstheme="minorEastAsia"/>
          <w:sz w:val="24"/>
        </w:rPr>
        <w:t>三、支出决算表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sz w:val="24"/>
        </w:rPr>
      </w:pPr>
      <w:r>
        <w:rPr>
          <w:rFonts w:hint="eastAsia" w:asciiTheme="minorEastAsia" w:hAnsiTheme="minorEastAsia" w:eastAsiaTheme="minorEastAsia" w:cstheme="minorEastAsia"/>
          <w:sz w:val="24"/>
        </w:rPr>
        <w:t>四、财政拨款收入支出决算总表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sz w:val="24"/>
        </w:rPr>
      </w:pPr>
      <w:r>
        <w:rPr>
          <w:rFonts w:hint="eastAsia" w:asciiTheme="minorEastAsia" w:hAnsiTheme="minorEastAsia" w:eastAsiaTheme="minorEastAsia" w:cstheme="minorEastAsia"/>
          <w:sz w:val="24"/>
        </w:rPr>
        <w:t>五、财政拨款支出决算明细表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仿宋" w:hAnsi="仿宋" w:eastAsia="仿宋"/>
          <w:sz w:val="24"/>
        </w:rPr>
      </w:pPr>
      <w:r>
        <w:rPr>
          <w:rFonts w:hint="eastAsia" w:asciiTheme="minorEastAsia" w:hAnsiTheme="minorEastAsia" w:eastAsiaTheme="minorEastAsia" w:cstheme="minorEastAsia"/>
          <w:sz w:val="24"/>
        </w:rPr>
        <w:t>六、一般公共预算财政拨款支出决算表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sz w:val="24"/>
        </w:rPr>
      </w:pPr>
      <w:r>
        <w:rPr>
          <w:rFonts w:hint="eastAsia" w:asciiTheme="minorEastAsia" w:hAnsiTheme="minorEastAsia" w:eastAsiaTheme="minorEastAsia" w:cstheme="minorEastAsia"/>
          <w:sz w:val="24"/>
        </w:rPr>
        <w:t>七、一般公共预算财政拨款支出决算明细表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仿宋" w:hAnsi="仿宋" w:eastAsia="仿宋"/>
          <w:sz w:val="24"/>
        </w:rPr>
      </w:pPr>
      <w:r>
        <w:rPr>
          <w:rFonts w:hint="eastAsia" w:asciiTheme="minorEastAsia" w:hAnsiTheme="minorEastAsia" w:eastAsiaTheme="minorEastAsia" w:cstheme="minorEastAsia"/>
          <w:sz w:val="24"/>
        </w:rPr>
        <w:t>八、一般公共预算财政拨款基本支出决算表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hint="eastAsia" w:asciiTheme="minorEastAsia" w:hAnsiTheme="minorEastAsia" w:eastAsiaTheme="minorEastAsia" w:cstheme="minorEastAsia"/>
          <w:sz w:val="24"/>
          <w:lang w:val="en-US" w:eastAsia="zh-CN"/>
        </w:rPr>
        <w:t>...................39</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hint="eastAsia" w:asciiTheme="minorEastAsia" w:hAnsiTheme="minorEastAsia" w:eastAsiaTheme="minorEastAsia" w:cstheme="minorEastAsia"/>
          <w:sz w:val="24"/>
          <w:lang w:val="en-US" w:eastAsia="zh-CN"/>
        </w:rPr>
        <w:t>.......................39</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6"/>
        <w:jc w:val="center"/>
        <w:rPr>
          <w:rStyle w:val="31"/>
          <w:rFonts w:ascii="黑体" w:hAnsi="黑体" w:eastAsia="黑体"/>
          <w:b/>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7"/>
        <w:rPr>
          <w:rStyle w:val="32"/>
          <w:rFonts w:ascii="仿宋" w:hAnsi="仿宋" w:eastAsia="仿宋"/>
          <w:b w:val="0"/>
          <w:bCs w:val="0"/>
        </w:rPr>
      </w:pPr>
      <w:bookmarkStart w:id="14" w:name="_Toc15396600"/>
      <w:bookmarkStart w:id="15" w:name="_Toc15377197"/>
      <w:r>
        <w:rPr>
          <w:rFonts w:hint="eastAsia" w:ascii="黑体" w:hAnsi="黑体" w:eastAsia="黑体"/>
          <w:b w:val="0"/>
        </w:rPr>
        <w:t>一、基</w:t>
      </w:r>
      <w:r>
        <w:rPr>
          <w:rStyle w:val="32"/>
          <w:rFonts w:hint="eastAsia" w:ascii="黑体" w:hAnsi="黑体" w:eastAsia="黑体"/>
          <w:b w:val="0"/>
          <w:bCs w:val="0"/>
        </w:rPr>
        <w:t>本职能及主要工作</w:t>
      </w:r>
      <w:bookmarkEnd w:id="14"/>
      <w:bookmarkEnd w:id="15"/>
    </w:p>
    <w:p>
      <w:pPr>
        <w:pStyle w:val="3"/>
        <w:adjustRightInd w:val="0"/>
        <w:snapToGrid w:val="0"/>
        <w:spacing w:before="93" w:line="60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p>
    <w:bookmarkEnd w:id="16"/>
    <w:bookmarkEnd w:id="17"/>
    <w:p>
      <w:pPr>
        <w:spacing w:line="353" w:lineRule="auto"/>
        <w:ind w:firstLine="640" w:firstLineChars="200"/>
        <w:rPr>
          <w:rFonts w:ascii="仿宋" w:hAnsi="仿宋" w:eastAsia="仿宋"/>
          <w:sz w:val="32"/>
          <w:szCs w:val="32"/>
        </w:rPr>
      </w:pPr>
      <w:bookmarkStart w:id="18" w:name="_Toc15377199"/>
      <w:bookmarkStart w:id="19" w:name="_Toc15378446"/>
      <w:r>
        <w:rPr>
          <w:rFonts w:hint="eastAsia" w:ascii="仿宋" w:hAnsi="仿宋" w:eastAsia="仿宋"/>
          <w:sz w:val="32"/>
          <w:szCs w:val="32"/>
        </w:rPr>
        <w:t>1.认真贯彻区委、团市委和有关决议和方针、政策、领导全区共青团、青联、学联和少先队工作，抓好青少年教育工作。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2.认真贯彻有关青少年事业的法律、法规、制定我区青少年工作方针和青少年事业发展规划，协助区委、区政府处理、协调与青少年利益相关的事务，维护青少年合法权益。</w:t>
      </w:r>
    </w:p>
    <w:p>
      <w:pPr>
        <w:spacing w:line="353" w:lineRule="auto"/>
        <w:ind w:firstLine="640" w:firstLineChars="200"/>
        <w:rPr>
          <w:rFonts w:ascii="仿宋" w:hAnsi="仿宋" w:eastAsia="仿宋"/>
          <w:sz w:val="32"/>
          <w:szCs w:val="32"/>
        </w:rPr>
      </w:pPr>
      <w:r>
        <w:rPr>
          <w:rFonts w:hint="eastAsia" w:ascii="仿宋" w:hAnsi="仿宋" w:eastAsia="仿宋"/>
          <w:sz w:val="32"/>
          <w:szCs w:val="32"/>
        </w:rPr>
        <w:t>3.负责对全区青少年活动阵地、青少年服务机构的建设进行规划和管理；指导和管理全区性青年社团组织。</w:t>
      </w:r>
    </w:p>
    <w:p>
      <w:pPr>
        <w:spacing w:line="353" w:lineRule="auto"/>
        <w:ind w:firstLine="640" w:firstLineChars="200"/>
        <w:rPr>
          <w:rFonts w:ascii="仿宋" w:hAnsi="仿宋" w:eastAsia="仿宋"/>
          <w:sz w:val="32"/>
          <w:szCs w:val="32"/>
        </w:rPr>
      </w:pPr>
      <w:r>
        <w:rPr>
          <w:rFonts w:hint="eastAsia" w:ascii="仿宋" w:hAnsi="仿宋" w:eastAsia="仿宋"/>
          <w:sz w:val="32"/>
          <w:szCs w:val="32"/>
        </w:rPr>
        <w:t>4.调查青年思想动态和青年工作状况，研究青少年工作理论和新形势下青少年思想教育中出现的新问题，提出相应对策，开展好各种寓教于乐的活动。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5.协助教育主管部门做好全区中、小学校学生的教育管理工作，开展好假期社会实践活动，优化青少年成长环境，维护学校稳定和社会安定团结。</w:t>
      </w:r>
    </w:p>
    <w:p>
      <w:pPr>
        <w:spacing w:line="353" w:lineRule="auto"/>
        <w:ind w:firstLine="640" w:firstLineChars="200"/>
        <w:rPr>
          <w:rFonts w:ascii="仿宋" w:hAnsi="仿宋" w:eastAsia="仿宋"/>
          <w:sz w:val="32"/>
          <w:szCs w:val="32"/>
        </w:rPr>
      </w:pPr>
      <w:r>
        <w:rPr>
          <w:rFonts w:hint="eastAsia" w:ascii="仿宋" w:hAnsi="仿宋" w:eastAsia="仿宋"/>
          <w:sz w:val="32"/>
          <w:szCs w:val="32"/>
        </w:rPr>
        <w:t>6.坚持“党建带团建”的基本原则，切实加强共青团的基层组织建设，特别是农村、社区新经济组织团的组织建设，逐步建立与社会主义市场经济相适应的团的工作运行机制。</w:t>
      </w:r>
    </w:p>
    <w:p>
      <w:pPr>
        <w:spacing w:line="353" w:lineRule="auto"/>
        <w:ind w:firstLine="640" w:firstLineChars="200"/>
        <w:rPr>
          <w:rFonts w:ascii="仿宋" w:hAnsi="仿宋" w:eastAsia="仿宋"/>
          <w:sz w:val="32"/>
          <w:szCs w:val="32"/>
        </w:rPr>
      </w:pPr>
      <w:r>
        <w:rPr>
          <w:rFonts w:hint="eastAsia" w:ascii="仿宋" w:hAnsi="仿宋" w:eastAsia="仿宋"/>
          <w:sz w:val="32"/>
          <w:szCs w:val="32"/>
        </w:rPr>
        <w:t>7.在全区青年中继续推进新世纪读书计划、“保护母亲河”行动和青年科技创新行动，深化争得“青年岗位能手”、争创“青年文明号”、“争当青年致富能手”、“争创青年文明户”和创新创效活动，动员和组织青年在推动先进生产力的发展中发挥积极作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8.认真贯彻实施青年统战工作政策，做好我去青年统战对象的团结教育工作，维护祖国统一和民族团结；协同有关部门抓好全区青少年对外交流、交往工作。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9.积极协调配合有关部门做好青少年的教育工作。</w:t>
      </w:r>
    </w:p>
    <w:p>
      <w:pPr>
        <w:pStyle w:val="3"/>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10.承办区委、区政府交办的其他事项。</w:t>
      </w:r>
    </w:p>
    <w:p>
      <w:pPr>
        <w:pStyle w:val="3"/>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1.思想政治引领方面。一是抓牢“党史教育”这个板块。制发《西区关于开展“学党史、强信念、跟党走”学习教育的通知》《西区青少年“永远跟党走”主题宣传教育活动方案》，组建“青年讲师团”36人、“红领巾宣讲团”18人、“五老宣讲团”25人，召开全区共青团系统、关工系统党史学习教育推进会3次、主题示范宣讲3场，在“五四”“六一”等节点开展“主题团日活动”“集中入团仪式”“集中入队仪式”“成人礼仪式”等开展各类宣讲活动59场次覆盖6000余人次，并充分发挥新媒体作用，组织团员、队员拍摄制作了“微团课”2讲、“云队课”1讲，得到国家、省市媒体展播。二是抓住“建党百年”这个节点。西区牵头组织开展了中小学生“党史我来讲 红色照我心”主题演讲比赛，机关团员青年“我有话想向党说”主题演讲比赛，老少牵手“学党史·听党话·颂党恩·跟党走”书法、诗歌、散文征集活动，镇街道团员青年“森林草原防灭火”主题知识竞赛，全区企事业单位团员青年“庆祝建党100周年学党史”主题知识竞赛等专题活动，进一步营造了全区团员青年、青少年学党史、强信念、跟党走的浓厚氛围。三是选树“先进青年”这个典型。在“五四”前后，西区积极选树表扬各类先进集体和个人，传播青春正能量，引导青年成长成才。共推报省级“优秀团干部”1人，市级“优秀团干部”2人、市级“优秀团员”1人、市级“五四红旗团委”1个、市级“五四红旗团支部”1个、市级“青年志愿之星”1人、市级“农村致富带头人联盟”11人、市级优秀少先队集体6个、市级优秀少先队员20个。表扬区级“优秀团干部”10人、“优秀团员”10人、“五四红旗团委”5个、“五四红旗团支部”5个、区级“优秀少先队员”40人、“优秀少先队辅导员”35名、“优秀少先队集体”25个。</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青春建功行动方面。一是建好“创青春”这个“平台”。持续实施“青鹏计划”，推报市级“青鹏人才”1人、评选区级“青鹏人才”3人。持续建好用好“青年人才驿站”，大力开展“逐梦计划”项目，面向社会发布暑期实习岗位61个，稳步实施岗位发布、人员招募、实习管理、考核鉴定等工作。深化“青创计划”品牌工作，推荐2个创业项目参加市级第六届创新创业大赛，重点推动“蜀青振兴贷”的推广和宣传，帮助青年已解决融资需求3笔、发放贷款85万。西区持续提升就业援助力度，发布12家企业45个岗位200余个用工信息，帮助辖区青年实现线上求职。二是树好“青志愿”这个“品牌”。深化青年志愿服务制度改革，持续完善青志协组织架构，于5月13日召开换届选举大会，组建21人的理事会，其中会长1人、副会长3人、秘书长1人、副秘书长2人，并研究确定了2个重点关爱项目进行项目募捐、项目策划和持续推动中。召开了《西区青年志愿服务制度改革工作推进会》，开展重点任务分解、新建站点挂牌、业务培训分享等工作。2021年，共组织发布了141次活动，参与人数达691余人次、服务时长4282小时。三是抓好“青助力”这个“根基”。1-2月对未能过年返回家乡的团员青年组织举行“团团邀您就地过年”“@返乡大学生 邀请你来打造攀枝花的‘网红村’”等特色主题活动。3月至5月集中力量参与“森林草原防灭火卡点值守”“新冠疫苗接种现场秩序维护”“高速路口爱在旅途”等志愿服务活动。6月专题安排“安全生产月”各项工作，开设了“禁毒宣传”“防疫知识宣传”“法律知识宣传”等微讲堂，覆盖团员青年600余人次。7月至8月，镇（街道）、村（社区）团组织联合返乡大学生团员青年在辖区青少年活动阵地开展了青春社区专项行动“青少年亲近自然活动”“青少年防溺水知识讲座”“青少年橙色安全课堂”“红色经典诵读活动”等，全区累计暑期开展各类专项行动6次，参与人数200余人次。9月至12月，集中开展了“守护母亲河”“共创文明城”“敬老送真情”等主题志愿服务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青年健康成长方面。一是推好“青年工作联席会”这个机制。6月10日召开了西区贯彻落实《四川青年规划》联席会议第三次全体会议，审议通过了2021年工作要点和联席会议工作细则，部分成员单位进行了交流发言，会议指出了2021年工作重点和目标。制定下发了《西区青年工作联席会议成员单位工作细则》，学习研究了《&lt;四川青年发展规划&gt;统计报表制度》。11月，针对全年任务完成情况，迎接了全市《四川青年规划》专项督导调研工作，全面总结了一年工作开展情况和下一步打算。二是抓好“青马工程”这个试点。2021年与攀枝花学院“青马工程”班开展了结对共建工作，选派了33期攀大青马学员到西区村（社区）团组织挂职锻炼，择选了5个重点课题深入西区实地开展调查研究17批次213人次，开展了“读书沙龙”“送关爱进校园”等4场主题活动，召开了“结对共建调研成果展示汇报会”线上观看量超50万+、点赞量超20万+，相关做法被“四川青年网”点赞转发。三是做好“青年互助成长”这个平台。继续依托学习社、兴趣组、婚恋交友、业务培训等，2021年制定“党史学习教育”“我为青年办实事”“兴趣沙龙活动”三个板块工作计划，由区级19个机关团支部、4个行业团指委和辖区11个企事业单位联合开展“青聚西城·青创未来”企事业单位党团支部青年联建共建品牌活动，联系服务团员青年近800余人次。10月，团区委组织开展了“传承三线精神 争做时代新人”的主题团日活动，全区各级团干部、联建共建单位负责人共计50余人参加了共建活动，对全年工作进行了总结，也对下一步工作进行了规划和部署。</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青少年关爱帮扶方面。一是抓实“少先队”这个组织。强化全团带队工作职能，第一时间调整了西区少工委组成人员，推动学校领域全面完成少工委换届工作，推动活动中心和11个社区建立校外少工委。组织开展了少先队辅导员业务培训、少先队活动课说课展示评选活动、“10·13”少先队建队日主题队日活动等，多方位、多角度推动了少先队工作向前迈进。二是瞄准“青关爱”这个“重点”。持续深化“阳光小梦想”“暖冬行动”等品牌工作，寒假期间开展慰问农民工子女关爱工作，为15名农民工子女送上了慰问品；加大力度关爱青少年心理健康成长，组建“校外心理健康辅导员”队伍5人，与辖区9所学校3个社区开展结对工作，已累计开展专题讲座4场600余人次，团辅活动8场70余人次。暑假，联合相关部门开办“公益夏令营”“圆满蒲公英公益课”“快乐暑假·文艺相伴”等主题活动，累积覆盖近2000人次，丰富了青少年暑期生活、解决了职工家庭照看难题。三是维护青少年合法权益。把握禁毒日、艾滋病日等宣传重要节点，联合机关团支部在星瑞广场开展“健康人生，绿色无毒” 主题宣传活动，现场通过文化展板、图书展台、毒品模型、现场讲解、绘制画作等方式开展集中宣传活动。在各中小学校团组织、少先队组织开展“远离毒品，关爱未来”宣传月活动，切实提高了青少年拒毒、防毒能力，目前西区已建立了两处禁毒防艾宣传阵地。四是建好“青年成长需求”这个阵地。进一步加强青少年教育实践基地建设工作，全民国防教育基地被市关工委授予“攀枝花市青少年国防教育实践体验点”、被市少工委授予“攀枝花市少先队校外实践教育基地”，“初心园”“习风园”也被授予“攀枝花市少先队校外实践教育基地”。目前已编撰本地教材1本、青年讲解员13个、小讲解员8个，制作“云队课”1个。</w:t>
      </w:r>
    </w:p>
    <w:p>
      <w:pPr>
        <w:spacing w:line="600" w:lineRule="exact"/>
        <w:ind w:firstLine="640" w:firstLineChars="200"/>
        <w:rPr>
          <w:rFonts w:ascii="仿宋" w:hAnsi="仿宋" w:eastAsia="仿宋"/>
          <w:bCs/>
          <w:sz w:val="32"/>
          <w:szCs w:val="32"/>
        </w:rPr>
      </w:pPr>
      <w:r>
        <w:rPr>
          <w:rFonts w:hint="eastAsia" w:ascii="仿宋" w:hAnsi="仿宋" w:eastAsia="仿宋"/>
          <w:sz w:val="32"/>
          <w:szCs w:val="32"/>
        </w:rPr>
        <w:t>5.基层组织建设方面。一是抓好“党建带团建”这个核心。持续推进《村（社区）建制调整后半篇文章中加强团建工作》《对标党建抓团建百日攻坚行动》，2月以来联合区委组织部持续推动，6月2日再次召开推进会。目前，西区已完成6个乡镇（街道）、26个村（社区）团组织换届工作，完成新建农业园区团工委1个、农村合作社团支部4个、小区团支部12个、非公领域团支部4个、机关事业单位团支部3个。二是搭好“青年之家”这个新平台。进一步引导和鼓励辖区青年开展互助学习、联谊交友、文体活动等，线下依托党群服务中心、孵化园、社会场所等建设的“青年之家”有7个（区级新巢聚能创新创业孵化园、区青少年活动中心、清香坪街道杨家坪社区、河门口街道初心园、玉泉街道动力站社区、格里坪镇新型职业农民创新创业孵化园、陶家渡街道全民国防教育基地），全部入驻全国青年之家线上云平台，今年以来，累积开展线上线下活动73场次覆盖1430人次，在思想政治教育、助力基层治理、帮扶创业就业等方面持续做好了青年工作的落地落实。三是建好“青学联”这个新组织。组建在校大学生成立西区籍青年学子联合会，制作并发放调查问卷，收集整理有效问卷423份，其中省外涵盖18个省份26个州市，省内涵盖14个市州。设置联合会办公室、宣传部、组织部、社会联络部、引智引才部，选聘了执行主席5名，部长5名，副部长12名，干事37名。进行“城市寻访”活动，通过脚步丈量、采风采样、调查了解、成果展示等环节，各青年学子深入攀枝花大街小巷，感受三线文化、领略阳光魅力、探访产业发展，对城市交通、路线布局、旅游设施等提出了意见建议28条。</w:t>
      </w:r>
    </w:p>
    <w:p>
      <w:pPr>
        <w:pStyle w:val="7"/>
        <w:rPr>
          <w:rStyle w:val="32"/>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西区团委下属二级单位1个，其中行政单位1个，参照公务员法管理的事业单位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pStyle w:val="3"/>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西区团委</w:t>
      </w:r>
      <w:r>
        <w:rPr>
          <w:rFonts w:ascii="仿宋" w:hAnsi="仿宋" w:eastAsia="仿宋"/>
          <w:color w:val="000000"/>
          <w:sz w:val="32"/>
          <w:szCs w:val="32"/>
        </w:rPr>
        <w:t>202</w:t>
      </w:r>
      <w:r>
        <w:rPr>
          <w:rFonts w:hint="eastAsia" w:ascii="仿宋" w:hAnsi="仿宋" w:eastAsia="仿宋"/>
          <w:color w:val="000000"/>
          <w:sz w:val="32"/>
          <w:szCs w:val="32"/>
        </w:rPr>
        <w:t>1年度部门决算编制范围的二级预算单位包括：</w:t>
      </w:r>
    </w:p>
    <w:p>
      <w:pPr>
        <w:pStyle w:val="3"/>
        <w:adjustRightInd w:val="0"/>
        <w:snapToGrid w:val="0"/>
        <w:spacing w:before="93" w:line="600" w:lineRule="exact"/>
        <w:ind w:firstLine="1120" w:firstLineChars="350"/>
        <w:rPr>
          <w:rFonts w:ascii="仿宋" w:hAnsi="仿宋" w:eastAsia="仿宋"/>
          <w:sz w:val="32"/>
          <w:szCs w:val="32"/>
        </w:rPr>
      </w:pPr>
      <w:bookmarkStart w:id="22" w:name="_Toc15377433"/>
      <w:bookmarkStart w:id="23" w:name="_Toc15377202"/>
      <w:bookmarkStart w:id="24" w:name="_Toc15306276"/>
      <w:bookmarkStart w:id="25" w:name="_Toc15378449"/>
      <w:r>
        <w:rPr>
          <w:rFonts w:hint="eastAsia" w:ascii="仿宋" w:hAnsi="仿宋" w:eastAsia="仿宋"/>
          <w:color w:val="000000"/>
          <w:sz w:val="32"/>
          <w:szCs w:val="32"/>
        </w:rPr>
        <w:t>1.攀枝花市西区青少年活动中</w:t>
      </w:r>
      <w:bookmarkEnd w:id="22"/>
      <w:bookmarkEnd w:id="23"/>
      <w:bookmarkEnd w:id="24"/>
      <w:bookmarkEnd w:id="25"/>
      <w:r>
        <w:rPr>
          <w:rFonts w:hint="eastAsia" w:ascii="仿宋" w:hAnsi="仿宋" w:eastAsia="仿宋"/>
          <w:color w:val="000000"/>
          <w:sz w:val="32"/>
          <w:szCs w:val="32"/>
        </w:rPr>
        <w:t>心</w:t>
      </w:r>
    </w:p>
    <w:p>
      <w:pPr>
        <w:widowControl/>
        <w:jc w:val="left"/>
        <w:rPr>
          <w:rFonts w:ascii="仿宋" w:hAnsi="仿宋" w:eastAsia="仿宋"/>
          <w:kern w:val="0"/>
          <w:sz w:val="32"/>
          <w:szCs w:val="32"/>
        </w:rPr>
      </w:pPr>
      <w:r>
        <w:rPr>
          <w:rFonts w:ascii="仿宋" w:hAnsi="仿宋" w:eastAsia="仿宋"/>
          <w:sz w:val="32"/>
          <w:szCs w:val="32"/>
        </w:rPr>
        <w:br w:type="page"/>
      </w:r>
    </w:p>
    <w:p>
      <w:pPr>
        <w:pStyle w:val="6"/>
        <w:ind w:right="440"/>
        <w:jc w:val="center"/>
        <w:rPr>
          <w:rStyle w:val="31"/>
          <w:rFonts w:ascii="黑体" w:hAnsi="黑体" w:eastAsia="黑体"/>
          <w:b w:val="0"/>
          <w:bCs/>
        </w:rPr>
      </w:pPr>
      <w:bookmarkStart w:id="26" w:name="_Toc15377204"/>
      <w:bookmarkStart w:id="27" w:name="_Toc15396602"/>
      <w:r>
        <w:rPr>
          <w:rFonts w:hint="eastAsia" w:ascii="黑体" w:hAnsi="黑体" w:eastAsia="黑体"/>
          <w:b w:val="0"/>
        </w:rPr>
        <w:t>第二部分 2021年度</w:t>
      </w:r>
      <w:r>
        <w:rPr>
          <w:rStyle w:val="31"/>
          <w:rFonts w:hint="eastAsia" w:ascii="黑体" w:hAnsi="黑体" w:eastAsia="黑体"/>
          <w:b w:val="0"/>
          <w:bCs/>
        </w:rPr>
        <w:t>部门决算情况说明</w:t>
      </w:r>
      <w:bookmarkEnd w:id="26"/>
      <w:bookmarkEnd w:id="27"/>
    </w:p>
    <w:p/>
    <w:p>
      <w:pPr>
        <w:pStyle w:val="30"/>
        <w:numPr>
          <w:ilvl w:val="0"/>
          <w:numId w:val="1"/>
        </w:numPr>
        <w:spacing w:line="600" w:lineRule="exact"/>
        <w:ind w:firstLineChars="0"/>
        <w:outlineLvl w:val="1"/>
        <w:rPr>
          <w:rStyle w:val="32"/>
          <w:rFonts w:ascii="黑体" w:hAnsi="黑体" w:eastAsia="黑体"/>
          <w:b w:val="0"/>
        </w:rPr>
      </w:pPr>
      <w:bookmarkStart w:id="28" w:name="_Toc15396603"/>
      <w:bookmarkStart w:id="29" w:name="_Toc15377205"/>
      <w:r>
        <w:rPr>
          <w:rFonts w:hint="eastAsia" w:ascii="黑体" w:hAnsi="黑体" w:eastAsia="黑体"/>
          <w:sz w:val="32"/>
          <w:szCs w:val="32"/>
        </w:rPr>
        <w:t>收</w:t>
      </w:r>
      <w:r>
        <w:rPr>
          <w:rStyle w:val="32"/>
          <w:rFonts w:hint="eastAsia" w:ascii="黑体" w:hAnsi="黑体" w:eastAsia="黑体"/>
          <w:b w:val="0"/>
        </w:rPr>
        <w:t>入支出决算总体情况说明</w:t>
      </w:r>
      <w:bookmarkEnd w:id="28"/>
      <w:bookmarkEnd w:id="2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2021年度收、支总计75.52万元。与2020年相比，收、支总计各增加1.59万元，增长2.15</w:t>
      </w:r>
      <w:r>
        <w:rPr>
          <w:rFonts w:ascii="仿宋" w:hAnsi="仿宋" w:eastAsia="仿宋"/>
          <w:sz w:val="32"/>
          <w:szCs w:val="32"/>
        </w:rPr>
        <w:t>%</w:t>
      </w:r>
      <w:r>
        <w:rPr>
          <w:rFonts w:hint="eastAsia" w:ascii="仿宋" w:hAnsi="仿宋" w:eastAsia="仿宋"/>
          <w:sz w:val="32"/>
          <w:szCs w:val="32"/>
        </w:rPr>
        <w:t>。主要变动原因是增加了项目经费。</w:t>
      </w:r>
    </w:p>
    <w:p>
      <w:pPr>
        <w:widowControl/>
        <w:jc w:val="left"/>
        <w:rPr>
          <w:rFonts w:ascii="仿宋_GB2312" w:eastAsia="仿宋_GB2312"/>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"C:\\Users\\w\\AppData\\Roaming\\Tencent\\Users\\248301485\\QQ\\WinTemp\\RichOle\\WGJR0N1_]_UA$8TAW0IR475.png"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876675" cy="26955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876675" cy="2695575"/>
                    </a:xfrm>
                    <a:prstGeom prst="rect">
                      <a:avLst/>
                    </a:prstGeom>
                    <a:noFill/>
                    <a:ln w="9525">
                      <a:noFill/>
                    </a:ln>
                  </pic:spPr>
                </pic:pic>
              </a:graphicData>
            </a:graphic>
          </wp:inline>
        </w:drawing>
      </w:r>
      <w:r>
        <w:rPr>
          <w:rFonts w:ascii="宋体" w:hAnsi="宋体" w:cs="宋体"/>
          <w:kern w:val="0"/>
          <w:sz w:val="24"/>
        </w:rPr>
        <w:fldChar w:fldCharType="end"/>
      </w:r>
    </w:p>
    <w:p>
      <w:pPr>
        <w:pStyle w:val="30"/>
        <w:numPr>
          <w:ilvl w:val="0"/>
          <w:numId w:val="1"/>
        </w:numPr>
        <w:spacing w:line="600" w:lineRule="exact"/>
        <w:ind w:firstLineChars="0"/>
        <w:outlineLvl w:val="1"/>
        <w:rPr>
          <w:rStyle w:val="32"/>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32"/>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21年本年收入合计73.79万元，其中：一般公共预算财政拨款收入41.63万元，占56.42</w:t>
      </w:r>
      <w:r>
        <w:rPr>
          <w:rFonts w:ascii="仿宋" w:hAnsi="仿宋" w:eastAsia="仿宋"/>
          <w:sz w:val="32"/>
          <w:szCs w:val="32"/>
        </w:rPr>
        <w:t>%</w:t>
      </w:r>
      <w:r>
        <w:rPr>
          <w:rFonts w:hint="eastAsia" w:ascii="仿宋" w:hAnsi="仿宋" w:eastAsia="仿宋"/>
          <w:sz w:val="32"/>
          <w:szCs w:val="32"/>
        </w:rPr>
        <w:t>；政府性基金预算财政拨款收入32.16万元，占43.58</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"C:\\Users\\w\\AppData\\Roaming\\Tencent\\Users\\248301485\\QQ\\WinTemp\\RichOle\\Q{VIL({%{3CR{1SMERWF7CK.png"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148330" cy="2091690"/>
            <wp:effectExtent l="0" t="0" r="13970"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148330" cy="209169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p>
    <w:p>
      <w:pPr>
        <w:pStyle w:val="30"/>
        <w:numPr>
          <w:ilvl w:val="0"/>
          <w:numId w:val="1"/>
        </w:numPr>
        <w:spacing w:line="600" w:lineRule="exact"/>
        <w:ind w:firstLineChars="0"/>
        <w:outlineLvl w:val="1"/>
        <w:rPr>
          <w:rStyle w:val="32"/>
          <w:rFonts w:ascii="黑体" w:hAnsi="黑体" w:eastAsia="黑体"/>
          <w:b w:val="0"/>
        </w:rPr>
      </w:pPr>
      <w:bookmarkStart w:id="32" w:name="_Toc15396605"/>
      <w:bookmarkStart w:id="33" w:name="_Toc15377207"/>
      <w:r>
        <w:rPr>
          <w:rFonts w:hint="eastAsia" w:ascii="黑体" w:hAnsi="黑体" w:eastAsia="黑体"/>
          <w:sz w:val="32"/>
          <w:szCs w:val="32"/>
        </w:rPr>
        <w:t>支</w:t>
      </w:r>
      <w:r>
        <w:rPr>
          <w:rStyle w:val="32"/>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21年本年支出合计75.52万元，其中：基本支出35.33万元，占46.78</w:t>
      </w:r>
      <w:r>
        <w:rPr>
          <w:rFonts w:ascii="仿宋" w:hAnsi="仿宋" w:eastAsia="仿宋"/>
          <w:sz w:val="32"/>
          <w:szCs w:val="32"/>
        </w:rPr>
        <w:t>%</w:t>
      </w:r>
      <w:r>
        <w:rPr>
          <w:rFonts w:hint="eastAsia" w:ascii="仿宋" w:hAnsi="仿宋" w:eastAsia="仿宋"/>
          <w:sz w:val="32"/>
          <w:szCs w:val="32"/>
        </w:rPr>
        <w:t>；项目支出40.19万元，占53.22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_GB2312" w:eastAsia="仿宋_GB2312"/>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"C:\\Users\\w\\AppData\\Roaming\\Tencent\\Users\\248301485\\QQ\\WinTemp\\RichOle\\HD7759%}REXBEQ509BFSPI2.png"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162425" cy="273367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4162425" cy="273367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outlineLvl w:val="1"/>
        <w:rPr>
          <w:rStyle w:val="32"/>
          <w:rFonts w:ascii="黑体" w:hAnsi="黑体" w:eastAsia="黑体"/>
          <w:b w:val="0"/>
        </w:rPr>
      </w:pPr>
      <w:bookmarkStart w:id="34" w:name="_Toc15396606"/>
      <w:bookmarkStart w:id="35" w:name="_Toc15377208"/>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34"/>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21年财政拨款收、支总计75.52万元。与</w:t>
      </w:r>
      <w:r>
        <w:rPr>
          <w:rFonts w:ascii="仿宋" w:hAnsi="仿宋" w:eastAsia="仿宋"/>
          <w:sz w:val="32"/>
          <w:szCs w:val="32"/>
        </w:rPr>
        <w:t>20</w:t>
      </w:r>
      <w:r>
        <w:rPr>
          <w:rFonts w:hint="eastAsia" w:ascii="仿宋" w:hAnsi="仿宋" w:eastAsia="仿宋"/>
          <w:sz w:val="32"/>
          <w:szCs w:val="32"/>
        </w:rPr>
        <w:t>20年相比，财政拨款收、支总计各增加5.68万元，增长8.13</w:t>
      </w:r>
      <w:r>
        <w:rPr>
          <w:rFonts w:ascii="仿宋" w:hAnsi="仿宋" w:eastAsia="仿宋"/>
          <w:sz w:val="32"/>
          <w:szCs w:val="32"/>
        </w:rPr>
        <w:t>%</w:t>
      </w:r>
      <w:r>
        <w:rPr>
          <w:rFonts w:hint="eastAsia" w:ascii="仿宋" w:hAnsi="仿宋" w:eastAsia="仿宋"/>
          <w:sz w:val="32"/>
          <w:szCs w:val="32"/>
        </w:rPr>
        <w:t>。主要变动原因是项目经费增加。</w:t>
      </w:r>
    </w:p>
    <w:p>
      <w:pPr>
        <w:widowControl/>
        <w:jc w:val="left"/>
        <w:rPr>
          <w:rFonts w:ascii="仿宋" w:hAnsi="仿宋" w:eastAsia="仿宋"/>
          <w:b/>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"C:\\Users\\w\\AppData\\Roaming\\Tencent\\Users\\248301485\\QQ\\WinTemp\\RichOle\\R@E~O36G~C`C`MT~KI(P}@A.png"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076700" cy="27336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4076700" cy="273367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outlineLvl w:val="1"/>
        <w:rPr>
          <w:rStyle w:val="32"/>
          <w:rFonts w:ascii="黑体" w:hAnsi="黑体" w:eastAsia="黑体"/>
          <w:b w:val="0"/>
        </w:rPr>
      </w:pPr>
      <w:bookmarkStart w:id="36" w:name="_Toc15396607"/>
      <w:bookmarkStart w:id="37"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21年一般公共预算财政拨款支出41.63万元，占本年支出合计的55.12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20年相比，一般公共预算财政拨款支出减少6.16万元，下降12.89</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"C:\\Users\\w\\AppData\\Roaming\\Tencent\\Users\\248301485\\QQ\\WinTemp\\RichOle\\22)6E4248}Q$(Q$]5BWOW[Q.png"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981450" cy="2752725"/>
            <wp:effectExtent l="0" t="0" r="0"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tretch>
                      <a:fillRect/>
                    </a:stretch>
                  </pic:blipFill>
                  <pic:spPr>
                    <a:xfrm>
                      <a:off x="0" y="0"/>
                      <a:ext cx="3981450" cy="27527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21年一般公共预算财政拨款支出41.63万元，主要用于以下方面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支出33.63万元，占80.78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支出2.49万元，占5.98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2.21万元，占5.31</w:t>
      </w:r>
      <w:r>
        <w:rPr>
          <w:rFonts w:ascii="仿宋" w:hAnsi="仿宋" w:eastAsia="仿宋"/>
          <w:sz w:val="32"/>
          <w:szCs w:val="32"/>
        </w:rPr>
        <w:t>%</w:t>
      </w:r>
      <w:r>
        <w:rPr>
          <w:rFonts w:hint="eastAsia" w:ascii="仿宋" w:hAnsi="仿宋" w:eastAsia="仿宋"/>
          <w:sz w:val="32"/>
          <w:szCs w:val="32"/>
        </w:rPr>
        <w:t>；住房保障支出3.3万元，占7.93</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"C:\\Users\\w\\AppData\\Roaming\\Tencent\\Users\\248301485\\QQ\\WinTemp\\RichOle\\M_X60L8@QXSK9ZS[`](]G_7.png"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286250" cy="266700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4286250" cy="26670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pPr>
        <w:spacing w:line="600" w:lineRule="exact"/>
        <w:ind w:firstLine="643" w:firstLineChars="200"/>
        <w:outlineLvl w:val="2"/>
        <w:rPr>
          <w:rFonts w:ascii="仿宋" w:hAnsi="仿宋" w:eastAsia="仿宋"/>
          <w:sz w:val="32"/>
          <w:szCs w:val="32"/>
        </w:rPr>
      </w:pPr>
      <w:bookmarkStart w:id="41" w:name="_Toc15377444"/>
      <w:bookmarkStart w:id="42" w:name="_Toc15378460"/>
      <w:bookmarkStart w:id="43" w:name="_Toc15377213"/>
      <w:r>
        <w:rPr>
          <w:rFonts w:hint="eastAsia" w:ascii="仿宋" w:hAnsi="仿宋" w:eastAsia="仿宋"/>
          <w:b/>
          <w:sz w:val="32"/>
          <w:szCs w:val="32"/>
        </w:rPr>
        <w:t>2021年一般公共预算支出决算数为41.63</w:t>
      </w:r>
      <w:r>
        <w:rPr>
          <w:rFonts w:hint="eastAsia" w:ascii="仿宋" w:hAnsi="仿宋" w:eastAsia="仿宋"/>
          <w:sz w:val="32"/>
          <w:szCs w:val="32"/>
        </w:rPr>
        <w:t>，</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9"/>
          <w:rFonts w:ascii="仿宋" w:hAnsi="仿宋" w:eastAsia="仿宋"/>
          <w:bCs/>
          <w:color w:val="000000"/>
          <w:sz w:val="32"/>
          <w:szCs w:val="32"/>
        </w:rPr>
        <w:t>1.</w:t>
      </w:r>
      <w:r>
        <w:rPr>
          <w:rStyle w:val="19"/>
          <w:rFonts w:hint="eastAsia" w:ascii="仿宋" w:hAnsi="仿宋" w:eastAsia="仿宋"/>
          <w:bCs/>
          <w:color w:val="000000"/>
          <w:sz w:val="32"/>
          <w:szCs w:val="32"/>
        </w:rPr>
        <w:t>一般公共服务支出（类）群众团体事务（款）行政运行（项）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支出决算为27.4万元，完成预算100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ascii="仿宋" w:hAnsi="仿宋" w:eastAsia="仿宋"/>
          <w:bCs/>
          <w:color w:val="000000"/>
          <w:sz w:val="32"/>
          <w:szCs w:val="32"/>
        </w:rPr>
        <w:t>2.</w:t>
      </w:r>
      <w:r>
        <w:rPr>
          <w:rStyle w:val="19"/>
          <w:rFonts w:hint="eastAsia" w:ascii="仿宋" w:hAnsi="仿宋" w:eastAsia="仿宋"/>
          <w:bCs/>
          <w:color w:val="000000"/>
          <w:sz w:val="32"/>
          <w:szCs w:val="32"/>
        </w:rPr>
        <w:t>一般公共服务支出（类）群众团体事务（款）其他群众团体事务支出（项）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支出决算为4.79万元，完成预算100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Style w:val="19"/>
          <w:rFonts w:ascii="仿宋" w:hAnsi="仿宋" w:eastAsia="仿宋"/>
          <w:b w:val="0"/>
          <w:bCs/>
          <w:color w:val="000000"/>
          <w:sz w:val="32"/>
          <w:szCs w:val="32"/>
        </w:rPr>
      </w:pPr>
      <w:r>
        <w:rPr>
          <w:rStyle w:val="19"/>
          <w:rFonts w:hint="eastAsia" w:ascii="仿宋" w:hAnsi="仿宋" w:eastAsia="仿宋"/>
          <w:bCs/>
          <w:color w:val="000000"/>
          <w:sz w:val="32"/>
          <w:szCs w:val="32"/>
        </w:rPr>
        <w:t>3</w:t>
      </w:r>
      <w:r>
        <w:rPr>
          <w:rStyle w:val="19"/>
          <w:rFonts w:ascii="仿宋" w:hAnsi="仿宋" w:eastAsia="仿宋"/>
          <w:bCs/>
          <w:color w:val="000000"/>
          <w:sz w:val="32"/>
          <w:szCs w:val="32"/>
        </w:rPr>
        <w:t>.</w:t>
      </w:r>
      <w:r>
        <w:rPr>
          <w:rStyle w:val="19"/>
          <w:rFonts w:hint="eastAsia" w:ascii="仿宋" w:hAnsi="仿宋" w:eastAsia="仿宋"/>
          <w:bCs/>
          <w:color w:val="000000"/>
          <w:sz w:val="32"/>
          <w:szCs w:val="32"/>
        </w:rPr>
        <w:t>一般公共服务支出（类）其他共产党事务支出（款）一般行政管理事务（项）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支出决算为1.44万元，完成预算100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hint="eastAsia" w:ascii="仿宋" w:hAnsi="仿宋" w:eastAsia="仿宋"/>
          <w:bCs/>
          <w:color w:val="000000"/>
          <w:sz w:val="32"/>
          <w:szCs w:val="32"/>
        </w:rPr>
        <w:t>4</w:t>
      </w:r>
      <w:r>
        <w:rPr>
          <w:rStyle w:val="19"/>
          <w:rFonts w:ascii="仿宋" w:hAnsi="仿宋" w:eastAsia="仿宋"/>
          <w:bCs/>
          <w:color w:val="000000"/>
          <w:sz w:val="32"/>
          <w:szCs w:val="32"/>
        </w:rPr>
        <w:t>.</w:t>
      </w:r>
      <w:r>
        <w:rPr>
          <w:rStyle w:val="19"/>
          <w:rFonts w:hint="eastAsia" w:ascii="仿宋" w:hAnsi="仿宋" w:eastAsia="仿宋"/>
          <w:bCs/>
          <w:color w:val="000000"/>
          <w:sz w:val="32"/>
          <w:szCs w:val="32"/>
        </w:rPr>
        <w:t>社会保障和就业支出（类）行政事业单位养老支出（款）机关事业单位基本养老保险缴费支出（项）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支出决算为2.49万元，完成预算100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hint="eastAsia" w:ascii="仿宋" w:hAnsi="仿宋" w:eastAsia="仿宋"/>
          <w:bCs/>
          <w:color w:val="000000"/>
          <w:sz w:val="32"/>
          <w:szCs w:val="32"/>
        </w:rPr>
        <w:t>5</w:t>
      </w:r>
      <w:r>
        <w:rPr>
          <w:rStyle w:val="19"/>
          <w:rFonts w:ascii="仿宋" w:hAnsi="仿宋" w:eastAsia="仿宋"/>
          <w:bCs/>
          <w:color w:val="000000"/>
          <w:sz w:val="32"/>
          <w:szCs w:val="32"/>
        </w:rPr>
        <w:t>.</w:t>
      </w:r>
      <w:r>
        <w:rPr>
          <w:rStyle w:val="19"/>
          <w:rFonts w:hint="eastAsia" w:ascii="仿宋" w:hAnsi="仿宋" w:eastAsia="仿宋"/>
          <w:bCs/>
          <w:color w:val="000000"/>
          <w:sz w:val="32"/>
          <w:szCs w:val="32"/>
        </w:rPr>
        <w:t>卫生健康支出（类）行政事业单位医疗（款）行政单位医疗（项）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支出决算为2.05万元，完成预算100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hint="eastAsia" w:ascii="仿宋" w:hAnsi="仿宋" w:eastAsia="仿宋"/>
          <w:bCs/>
          <w:color w:val="000000"/>
          <w:sz w:val="32"/>
          <w:szCs w:val="32"/>
        </w:rPr>
        <w:t>6</w:t>
      </w:r>
      <w:r>
        <w:rPr>
          <w:rStyle w:val="19"/>
          <w:rFonts w:ascii="仿宋" w:hAnsi="仿宋" w:eastAsia="仿宋"/>
          <w:bCs/>
          <w:color w:val="000000"/>
          <w:sz w:val="32"/>
          <w:szCs w:val="32"/>
        </w:rPr>
        <w:t>.</w:t>
      </w:r>
      <w:r>
        <w:rPr>
          <w:rStyle w:val="19"/>
          <w:rFonts w:hint="eastAsia" w:ascii="仿宋" w:hAnsi="仿宋" w:eastAsia="仿宋"/>
          <w:bCs/>
          <w:color w:val="000000"/>
          <w:sz w:val="32"/>
          <w:szCs w:val="32"/>
        </w:rPr>
        <w:t>卫生健康支出（类）行政事业单位医疗（款）公务员医疗补助（项）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支出决算为0.16万元，完成预算100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Style w:val="19"/>
          <w:rFonts w:ascii="仿宋" w:hAnsi="仿宋" w:eastAsia="仿宋"/>
          <w:b w:val="0"/>
          <w:bCs/>
          <w:color w:val="000000"/>
          <w:sz w:val="32"/>
          <w:szCs w:val="32"/>
        </w:rPr>
      </w:pPr>
      <w:r>
        <w:rPr>
          <w:rStyle w:val="19"/>
          <w:rFonts w:hint="eastAsia" w:ascii="仿宋" w:hAnsi="仿宋" w:eastAsia="仿宋"/>
          <w:bCs/>
          <w:color w:val="000000"/>
          <w:sz w:val="32"/>
          <w:szCs w:val="32"/>
        </w:rPr>
        <w:t>7</w:t>
      </w:r>
      <w:r>
        <w:rPr>
          <w:rStyle w:val="19"/>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9"/>
          <w:rFonts w:hint="eastAsia" w:ascii="仿宋" w:hAnsi="仿宋" w:eastAsia="仿宋"/>
          <w:bCs/>
          <w:color w:val="000000"/>
          <w:sz w:val="32"/>
          <w:szCs w:val="32"/>
        </w:rPr>
        <w:t>（类）住房改革支出（款）住房公积金（项）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支出决算为3.3万元，完成预算100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32"/>
        </w:rPr>
      </w:pPr>
      <w:bookmarkStart w:id="44" w:name="_Toc15377214"/>
      <w:bookmarkStart w:id="4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44"/>
      <w:bookmarkEnd w:id="45"/>
      <w:r>
        <w:rPr>
          <w:rStyle w:val="32"/>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21年一般公共预算财政拨款基本支出40.19万元，其中：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36.45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3.74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2"/>
          <w:rFonts w:ascii="黑体" w:hAnsi="黑体" w:eastAsia="黑体"/>
          <w:b w:val="0"/>
        </w:rPr>
      </w:pPr>
      <w:bookmarkStart w:id="46" w:name="_Toc15377215"/>
      <w:bookmarkStart w:id="47" w:name="_Toc15396609"/>
      <w:r>
        <w:rPr>
          <w:rFonts w:hint="eastAsia" w:ascii="黑体" w:eastAsia="黑体"/>
          <w:sz w:val="32"/>
          <w:szCs w:val="32"/>
        </w:rPr>
        <w:t>七、</w:t>
      </w:r>
      <w:r>
        <w:rPr>
          <w:rStyle w:val="32"/>
          <w:rFonts w:hint="eastAsia" w:ascii="黑体" w:hAnsi="黑体" w:eastAsia="黑体"/>
        </w:rPr>
        <w:t>“</w:t>
      </w:r>
      <w:r>
        <w:rPr>
          <w:rStyle w:val="32"/>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21年“三公”经费财政拨款支出决算为0万元，完成预算100%。</w:t>
      </w:r>
    </w:p>
    <w:p>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21年“三公”经费财政拨款支出决算中，因公出国（境）费支出决算0万元，占0%；公务用车购置及运行维护费支出决算0万元，占0%；公务接待费支出决算0万元，占0%。具体情况如下：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0万元，完成预算0%</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全年安排因公出国（境）团组0次，出国（境）0人。因公出国（境）支出决算比2020年增加0万元，增长0%。</w:t>
      </w:r>
    </w:p>
    <w:p>
      <w:pPr>
        <w:spacing w:line="600" w:lineRule="exact"/>
        <w:ind w:firstLine="640"/>
        <w:rPr>
          <w:rFonts w:ascii="仿宋_GB2312" w:eastAsia="仿宋_GB2312"/>
          <w:b/>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cs="仿宋_GB2312"/>
          <w:sz w:val="32"/>
          <w:szCs w:val="32"/>
        </w:rPr>
        <w:t>公务用车购置及运行维护费支出决算比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0</w:t>
      </w:r>
      <w:r>
        <w:rPr>
          <w:rFonts w:hint="eastAsia" w:ascii="仿宋_GB2312" w:eastAsia="仿宋_GB2312" w:cs="仿宋_GB2312"/>
          <w:sz w:val="32"/>
          <w:szCs w:val="32"/>
        </w:rPr>
        <w:t>万元，增长</w:t>
      </w:r>
      <w:r>
        <w:rPr>
          <w:rFonts w:ascii="仿宋_GB2312" w:eastAsia="仿宋_GB2312" w:cs="仿宋_GB2312"/>
          <w:sz w:val="32"/>
          <w:szCs w:val="32"/>
        </w:rPr>
        <w:t>0%</w:t>
      </w:r>
      <w:r>
        <w:rPr>
          <w:rFonts w:hint="eastAsia" w:ascii="仿宋_GB2312" w:eastAsia="仿宋_GB2312" w:cs="仿宋_GB2312"/>
          <w:sz w:val="32"/>
          <w:szCs w:val="32"/>
        </w:rPr>
        <w:t>。</w:t>
      </w:r>
    </w:p>
    <w:p>
      <w:pPr>
        <w:spacing w:line="600" w:lineRule="exact"/>
        <w:ind w:firstLine="64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r>
        <w:rPr>
          <w:rFonts w:hint="eastAsia" w:ascii="仿宋_GB2312" w:eastAsia="仿宋_GB2312" w:cs="仿宋_GB2312"/>
          <w:sz w:val="32"/>
          <w:szCs w:val="32"/>
        </w:rPr>
        <w:t>主要用于（具体工作）等所需的公务用车燃料费、维修费、过路过桥费、保险费等支出。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cs="仿宋_GB2312"/>
          <w:sz w:val="32"/>
          <w:szCs w:val="32"/>
        </w:rPr>
        <w:t>公务接待费支出决算比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0</w:t>
      </w:r>
      <w:r>
        <w:rPr>
          <w:rFonts w:hint="eastAsia" w:ascii="仿宋_GB2312" w:eastAsia="仿宋_GB2312" w:cs="仿宋_GB2312"/>
          <w:sz w:val="32"/>
          <w:szCs w:val="32"/>
        </w:rPr>
        <w:t>万元，增长</w:t>
      </w:r>
      <w:r>
        <w:rPr>
          <w:rFonts w:ascii="仿宋_GB2312" w:eastAsia="仿宋_GB2312" w:cs="仿宋_GB2312"/>
          <w:sz w:val="32"/>
          <w:szCs w:val="32"/>
        </w:rPr>
        <w:t>0%</w:t>
      </w:r>
      <w:r>
        <w:rPr>
          <w:rFonts w:hint="eastAsia" w:ascii="仿宋_GB2312" w:eastAsia="仿宋_GB2312" w:cs="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其中：</w:t>
      </w: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Fonts w:hint="eastAsia" w:ascii="仿宋_GB2312" w:eastAsia="仿宋_GB2312" w:cs="仿宋_GB2312"/>
          <w:sz w:val="32"/>
          <w:szCs w:val="32"/>
        </w:rPr>
        <w:t>主要用于</w:t>
      </w:r>
      <w:r>
        <w:rPr>
          <w:rFonts w:ascii="仿宋_GB2312" w:eastAsia="仿宋_GB2312" w:cs="仿宋_GB2312"/>
          <w:sz w:val="32"/>
          <w:szCs w:val="32"/>
        </w:rPr>
        <w:t xml:space="preserve"> (</w:t>
      </w:r>
      <w:r>
        <w:rPr>
          <w:rFonts w:hint="eastAsia" w:ascii="仿宋_GB2312" w:eastAsia="仿宋_GB2312" w:cs="仿宋_GB2312"/>
          <w:sz w:val="32"/>
          <w:szCs w:val="32"/>
        </w:rPr>
        <w:t>执行公务、开展业务活动开支的交通费、住宿费、用餐费等</w:t>
      </w:r>
      <w:r>
        <w:rPr>
          <w:rFonts w:ascii="仿宋_GB2312" w:eastAsia="仿宋_GB2312" w:cs="仿宋_GB2312"/>
          <w:sz w:val="32"/>
          <w:szCs w:val="32"/>
        </w:rPr>
        <w:t>)</w:t>
      </w:r>
      <w:r>
        <w:rPr>
          <w:rFonts w:hint="eastAsia" w:ascii="仿宋_GB2312" w:eastAsia="仿宋_GB2312" w:cs="仿宋_GB2312"/>
          <w:sz w:val="32"/>
          <w:szCs w:val="32"/>
        </w:rPr>
        <w:t>。国内公务接待</w:t>
      </w:r>
      <w:r>
        <w:rPr>
          <w:rFonts w:ascii="仿宋_GB2312" w:eastAsia="仿宋_GB2312" w:cs="仿宋_GB2312"/>
          <w:sz w:val="32"/>
          <w:szCs w:val="32"/>
        </w:rPr>
        <w:t>0</w:t>
      </w:r>
      <w:r>
        <w:rPr>
          <w:rFonts w:hint="eastAsia" w:ascii="仿宋_GB2312" w:eastAsia="仿宋_GB2312" w:cs="仿宋_GB2312"/>
          <w:sz w:val="32"/>
          <w:szCs w:val="32"/>
        </w:rPr>
        <w:t>批次，</w:t>
      </w:r>
      <w:r>
        <w:rPr>
          <w:rFonts w:ascii="仿宋_GB2312" w:eastAsia="仿宋_GB2312" w:cs="仿宋_GB2312"/>
          <w:sz w:val="32"/>
          <w:szCs w:val="32"/>
        </w:rPr>
        <w:t>0</w:t>
      </w:r>
      <w:r>
        <w:rPr>
          <w:rFonts w:hint="eastAsia" w:ascii="仿宋_GB2312" w:eastAsia="仿宋_GB2312" w:cs="仿宋_GB2312"/>
          <w:sz w:val="32"/>
          <w:szCs w:val="32"/>
        </w:rPr>
        <w:t>人次（不包括陪同人员），共计支出</w:t>
      </w:r>
      <w:r>
        <w:rPr>
          <w:rFonts w:ascii="仿宋_GB2312" w:eastAsia="仿宋_GB2312" w:cs="仿宋_GB2312"/>
          <w:sz w:val="32"/>
          <w:szCs w:val="32"/>
        </w:rPr>
        <w:t>0</w:t>
      </w:r>
      <w:r>
        <w:rPr>
          <w:rFonts w:hint="eastAsia" w:ascii="仿宋_GB2312" w:eastAsia="仿宋_GB2312" w:cs="仿宋_GB2312"/>
          <w:sz w:val="32"/>
          <w:szCs w:val="32"/>
        </w:rPr>
        <w:t>万元（接待具体项目、金额）。</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50" w:name="_Toc15377218"/>
      <w:bookmarkStart w:id="51" w:name="_Toc15396610"/>
    </w:p>
    <w:p>
      <w:pPr>
        <w:spacing w:line="600" w:lineRule="exact"/>
        <w:ind w:firstLine="64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21年政府性基金预算财政拨款支出33.89万元。</w:t>
      </w:r>
    </w:p>
    <w:p>
      <w:pPr>
        <w:numPr>
          <w:ilvl w:val="0"/>
          <w:numId w:val="2"/>
        </w:numPr>
        <w:spacing w:line="600" w:lineRule="exact"/>
        <w:ind w:firstLine="640"/>
        <w:outlineLvl w:val="1"/>
        <w:rPr>
          <w:rStyle w:val="32"/>
          <w:rFonts w:ascii="黑体" w:hAnsi="黑体" w:eastAsia="黑体"/>
          <w:b w:val="0"/>
        </w:rPr>
      </w:pPr>
      <w:bookmarkStart w:id="52" w:name="_Toc15377219"/>
      <w:bookmarkStart w:id="53" w:name="_Toc15396611"/>
      <w:r>
        <w:rPr>
          <w:rStyle w:val="32"/>
          <w:rFonts w:hint="eastAsia" w:ascii="黑体" w:hAnsi="黑体" w:eastAsia="黑体"/>
          <w:b w:val="0"/>
        </w:rPr>
        <w:t>国有资本经营预算支出决算情况说明</w:t>
      </w:r>
      <w:bookmarkEnd w:id="52"/>
      <w:bookmarkEnd w:id="5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32"/>
          <w:rFonts w:ascii="黑体" w:hAnsi="黑体" w:eastAsia="黑体"/>
          <w:b w:val="0"/>
        </w:rPr>
      </w:pPr>
      <w:bookmarkStart w:id="54" w:name="_Toc15377221"/>
      <w:bookmarkStart w:id="55" w:name="_Toc15396612"/>
      <w:r>
        <w:rPr>
          <w:rStyle w:val="32"/>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21年，西区团委机关运行经费支出3.74万元，比</w:t>
      </w:r>
      <w:r>
        <w:rPr>
          <w:rFonts w:ascii="仿宋_GB2312" w:eastAsia="仿宋_GB2312"/>
          <w:sz w:val="32"/>
          <w:szCs w:val="32"/>
        </w:rPr>
        <w:t>20</w:t>
      </w:r>
      <w:r>
        <w:rPr>
          <w:rFonts w:hint="eastAsia" w:ascii="仿宋_GB2312" w:eastAsia="仿宋_GB2312"/>
          <w:sz w:val="32"/>
          <w:szCs w:val="32"/>
        </w:rPr>
        <w:t>20年减少0.32万元，下降7.88</w:t>
      </w:r>
      <w:r>
        <w:rPr>
          <w:rFonts w:ascii="仿宋_GB2312" w:eastAsia="仿宋_GB2312"/>
          <w:sz w:val="32"/>
          <w:szCs w:val="32"/>
        </w:rPr>
        <w:t>%</w:t>
      </w:r>
      <w:r>
        <w:rPr>
          <w:rFonts w:hint="eastAsia" w:ascii="仿宋_GB2312" w:eastAsia="仿宋_GB2312"/>
          <w:sz w:val="32"/>
          <w:szCs w:val="32"/>
        </w:rPr>
        <w:t>。主要原因是厉行节约。</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21年，西区团委政府采购支出总额1.06万元，其中：政府采购货物支出1.06万元、政府采购工程支出0万元、政府采购服务支出0万元。授予中小企业合同金额0万元，占政府采购支出总额的0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日，西区团委共有车辆0辆，其中：主要领导干部用车0辆、机要通信用车0辆、应急保障用车0辆、其他用车0辆。单价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志愿服务事业发展经费、关工委经费、团委工作活动经费等7个项目开展了预算事前绩效评估，对7个项目编制了绩效目标，预算执行过程中，选取7个项目开展绩效监控，年终执行完毕后，对7个项目开展了绩效自评。同时，本部门对2021年部门整体开展绩效自评，《2021年西区团委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1"/>
          <w:rFonts w:ascii="黑体" w:hAnsi="黑体" w:eastAsia="黑体"/>
          <w:b w:val="0"/>
        </w:rPr>
      </w:pPr>
      <w:bookmarkStart w:id="59" w:name="_Toc15377225"/>
      <w:bookmarkStart w:id="60" w:name="_Toc15396613"/>
      <w:r>
        <w:rPr>
          <w:rFonts w:hint="eastAsia" w:ascii="黑体" w:hAnsi="黑体" w:eastAsia="黑体"/>
          <w:sz w:val="44"/>
          <w:szCs w:val="44"/>
        </w:rPr>
        <w:t>名</w:t>
      </w:r>
      <w:r>
        <w:rPr>
          <w:rStyle w:val="31"/>
          <w:rFonts w:hint="eastAsia" w:ascii="黑体" w:hAnsi="黑体" w:eastAsia="黑体"/>
          <w:b w:val="0"/>
        </w:rPr>
        <w:t>词解释</w:t>
      </w:r>
      <w:bookmarkEnd w:id="59"/>
      <w:bookmarkEnd w:id="60"/>
    </w:p>
    <w:p>
      <w:pPr>
        <w:spacing w:line="600" w:lineRule="exact"/>
        <w:jc w:val="left"/>
        <w:rPr>
          <w:rFonts w:ascii="宋体"/>
          <w:b/>
          <w:sz w:val="44"/>
          <w:szCs w:val="44"/>
        </w:rPr>
      </w:pPr>
    </w:p>
    <w:p>
      <w:pPr>
        <w:autoSpaceDE w:val="0"/>
        <w:autoSpaceDN w:val="0"/>
        <w:adjustRightInd w:val="0"/>
        <w:spacing w:line="353" w:lineRule="auto"/>
        <w:ind w:firstLine="640" w:firstLineChars="200"/>
        <w:jc w:val="left"/>
        <w:rPr>
          <w:rFonts w:eastAsia="仿宋_GB2312"/>
          <w:sz w:val="32"/>
          <w:szCs w:val="32"/>
        </w:rPr>
      </w:pPr>
      <w:r>
        <w:rPr>
          <w:rFonts w:hint="eastAsia" w:eastAsia="仿宋_GB2312"/>
          <w:sz w:val="32"/>
          <w:szCs w:val="32"/>
        </w:rPr>
        <w:t>1.财政拨款收入：指单位从同级财政部门取得的财政预算资金。</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2.年初结转和结余：指以前年度尚未完成、结转到本年按有关规定继续使用的资金。 </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3.年末结转和结余：指本年度或以前年度预算安排、因客观条件发生变化无法按原计划实施，需延迟到以后年度按有关规定继续使用的资金。</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4.基本支出：指为保障机构正常运转、完成日常工作任务而发生的人员支出和公用支出。</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5.项目支出：指在基本支出之外为完成特定行政任务和事业发展目标所发生的支出。 </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6.“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353" w:lineRule="auto"/>
        <w:ind w:firstLine="640"/>
        <w:jc w:val="left"/>
        <w:rPr>
          <w:rFonts w:hint="eastAsia" w:eastAsia="仿宋_GB2312"/>
          <w:sz w:val="32"/>
          <w:szCs w:val="32"/>
        </w:rPr>
      </w:pPr>
      <w:r>
        <w:rPr>
          <w:rFonts w:hint="eastAsia" w:eastAsia="仿宋_GB2312"/>
          <w:sz w:val="32"/>
          <w:szCs w:val="32"/>
        </w:rPr>
        <w:t>8.一般公共服务支出（类）群众团体事务（款）行政运行（项）：反映行政单位（包括实行公务员管理的事业单位）的基本支出</w:t>
      </w:r>
      <w:r>
        <w:rPr>
          <w:rFonts w:hint="eastAsia" w:eastAsia="仿宋_GB2312"/>
          <w:sz w:val="32"/>
          <w:szCs w:val="32"/>
          <w:lang w:eastAsia="zh-CN"/>
        </w:rPr>
        <w:t>。</w:t>
      </w:r>
    </w:p>
    <w:p>
      <w:pPr>
        <w:autoSpaceDE w:val="0"/>
        <w:autoSpaceDN w:val="0"/>
        <w:adjustRightInd w:val="0"/>
        <w:spacing w:line="353" w:lineRule="auto"/>
        <w:ind w:firstLine="640"/>
        <w:jc w:val="left"/>
        <w:rPr>
          <w:rFonts w:hint="eastAsia" w:eastAsia="仿宋_GB2312"/>
          <w:sz w:val="32"/>
          <w:szCs w:val="32"/>
          <w:lang w:val="en-US" w:eastAsia="zh-CN"/>
        </w:rPr>
      </w:pPr>
      <w:r>
        <w:rPr>
          <w:rFonts w:hint="eastAsia" w:eastAsia="仿宋_GB2312"/>
          <w:sz w:val="32"/>
          <w:szCs w:val="32"/>
          <w:lang w:val="en-US" w:eastAsia="zh-CN"/>
        </w:rPr>
        <w:t>9.</w:t>
      </w:r>
      <w:r>
        <w:rPr>
          <w:rFonts w:hint="eastAsia" w:eastAsia="仿宋_GB2312"/>
          <w:sz w:val="32"/>
          <w:szCs w:val="32"/>
        </w:rPr>
        <w:t>一般公共服务支出（类）群众团体事务（款）</w:t>
      </w:r>
      <w:r>
        <w:rPr>
          <w:rFonts w:hint="eastAsia" w:eastAsia="仿宋_GB2312"/>
          <w:sz w:val="32"/>
          <w:szCs w:val="32"/>
          <w:lang w:eastAsia="zh-CN"/>
        </w:rPr>
        <w:t>其他群众团体事务支出</w:t>
      </w:r>
      <w:r>
        <w:rPr>
          <w:rFonts w:hint="eastAsia" w:eastAsia="仿宋_GB2312"/>
          <w:sz w:val="32"/>
          <w:szCs w:val="32"/>
        </w:rPr>
        <w:t>（项）：反映</w:t>
      </w:r>
      <w:r>
        <w:rPr>
          <w:rFonts w:hint="eastAsia" w:eastAsia="仿宋_GB2312"/>
          <w:sz w:val="32"/>
          <w:szCs w:val="32"/>
          <w:lang w:eastAsia="zh-CN"/>
        </w:rPr>
        <w:t>除上述项目以外其他用于群众团体事务方面的支出。</w:t>
      </w:r>
    </w:p>
    <w:p>
      <w:pPr>
        <w:autoSpaceDE w:val="0"/>
        <w:autoSpaceDN w:val="0"/>
        <w:adjustRightInd w:val="0"/>
        <w:spacing w:line="353" w:lineRule="auto"/>
        <w:ind w:firstLine="640"/>
        <w:jc w:val="left"/>
        <w:rPr>
          <w:rFonts w:hint="eastAsia" w:eastAsia="仿宋_GB2312"/>
          <w:sz w:val="32"/>
          <w:szCs w:val="32"/>
          <w:lang w:val="en-US" w:eastAsia="zh-CN"/>
        </w:rPr>
      </w:pPr>
      <w:r>
        <w:rPr>
          <w:rFonts w:hint="eastAsia" w:eastAsia="仿宋_GB2312"/>
          <w:sz w:val="32"/>
          <w:szCs w:val="32"/>
          <w:lang w:val="en-US" w:eastAsia="zh-CN"/>
        </w:rPr>
        <w:t>10.</w:t>
      </w:r>
      <w:r>
        <w:rPr>
          <w:rFonts w:hint="eastAsia" w:eastAsia="仿宋_GB2312"/>
          <w:sz w:val="32"/>
          <w:szCs w:val="32"/>
        </w:rPr>
        <w:t>一般公共服务支出（类）</w:t>
      </w:r>
      <w:r>
        <w:rPr>
          <w:rFonts w:hint="eastAsia" w:eastAsia="仿宋_GB2312"/>
          <w:sz w:val="32"/>
          <w:szCs w:val="32"/>
          <w:lang w:eastAsia="zh-CN"/>
        </w:rPr>
        <w:t>其他共产党事务支出（款）一般行政管理事务（项）：反映行政单位（包括实行公务员管理的事业单位）未单独设置项级科目的其他项目支出。</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11.</w:t>
      </w:r>
      <w:r>
        <w:rPr>
          <w:rFonts w:hint="eastAsia" w:eastAsia="仿宋_GB2312"/>
          <w:sz w:val="32"/>
          <w:szCs w:val="32"/>
        </w:rPr>
        <w:t>社会保障和就业支出（类）行政事业单位养老支出（款</w:t>
      </w:r>
      <w:r>
        <w:rPr>
          <w:rFonts w:hint="eastAsia" w:eastAsia="仿宋_GB2312"/>
          <w:sz w:val="32"/>
          <w:szCs w:val="32"/>
          <w:lang w:eastAsia="zh-CN"/>
        </w:rPr>
        <w:t>）</w:t>
      </w:r>
      <w:r>
        <w:rPr>
          <w:rFonts w:hint="eastAsia" w:eastAsia="仿宋_GB2312"/>
          <w:sz w:val="32"/>
          <w:szCs w:val="32"/>
        </w:rPr>
        <w:t>机关事业单位基本养老保险缴费支出</w:t>
      </w:r>
      <w:r>
        <w:rPr>
          <w:rFonts w:hint="eastAsia" w:eastAsia="仿宋_GB2312"/>
          <w:sz w:val="32"/>
          <w:szCs w:val="32"/>
          <w:lang w:eastAsia="zh-CN"/>
        </w:rPr>
        <w:t>（项）</w:t>
      </w:r>
      <w:r>
        <w:rPr>
          <w:rFonts w:hint="eastAsia" w:eastAsia="仿宋_GB2312"/>
          <w:sz w:val="32"/>
          <w:szCs w:val="32"/>
        </w:rPr>
        <w:t>：指机关事业单位实施养老保险制度有单位缴纳的基本养老保险费支出。</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12.</w:t>
      </w:r>
      <w:r>
        <w:rPr>
          <w:rFonts w:hint="eastAsia" w:eastAsia="仿宋_GB2312"/>
          <w:sz w:val="32"/>
          <w:szCs w:val="32"/>
        </w:rPr>
        <w:t>卫生健康支出支出（类） 行政事业单位医疗支出（款） 行政单位医疗</w:t>
      </w:r>
      <w:r>
        <w:rPr>
          <w:rFonts w:hint="eastAsia" w:eastAsia="仿宋_GB2312"/>
          <w:sz w:val="32"/>
          <w:szCs w:val="32"/>
          <w:lang w:eastAsia="zh-CN"/>
        </w:rPr>
        <w:t>（项）</w:t>
      </w:r>
      <w:r>
        <w:rPr>
          <w:rFonts w:hint="eastAsia"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autoSpaceDE w:val="0"/>
        <w:autoSpaceDN w:val="0"/>
        <w:adjustRightInd w:val="0"/>
        <w:spacing w:line="353" w:lineRule="auto"/>
        <w:jc w:val="left"/>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1</w:t>
      </w:r>
      <w:r>
        <w:rPr>
          <w:rFonts w:hint="eastAsia" w:eastAsia="仿宋_GB2312"/>
          <w:sz w:val="32"/>
          <w:szCs w:val="32"/>
          <w:lang w:val="en-US" w:eastAsia="zh-CN"/>
        </w:rPr>
        <w:t>3.</w:t>
      </w:r>
      <w:r>
        <w:rPr>
          <w:rFonts w:hint="eastAsia" w:eastAsia="仿宋_GB2312"/>
          <w:sz w:val="32"/>
          <w:szCs w:val="32"/>
        </w:rPr>
        <w:t>卫生健康支出支出（类） 行政事业单位医疗支出（款</w:t>
      </w:r>
      <w:r>
        <w:rPr>
          <w:rFonts w:hint="eastAsia" w:eastAsia="仿宋_GB2312"/>
          <w:sz w:val="32"/>
          <w:szCs w:val="32"/>
          <w:lang w:eastAsia="zh-CN"/>
        </w:rPr>
        <w:t>）</w:t>
      </w:r>
      <w:r>
        <w:rPr>
          <w:rFonts w:hint="eastAsia" w:eastAsia="仿宋_GB2312"/>
          <w:sz w:val="32"/>
          <w:szCs w:val="32"/>
        </w:rPr>
        <w:t>公务员医疗补助</w:t>
      </w:r>
      <w:r>
        <w:rPr>
          <w:rFonts w:hint="eastAsia" w:eastAsia="仿宋_GB2312"/>
          <w:sz w:val="32"/>
          <w:szCs w:val="32"/>
          <w:lang w:eastAsia="zh-CN"/>
        </w:rPr>
        <w:t>（项）</w:t>
      </w:r>
      <w:r>
        <w:rPr>
          <w:rFonts w:hint="eastAsia" w:eastAsia="仿宋_GB2312"/>
          <w:sz w:val="32"/>
          <w:szCs w:val="32"/>
        </w:rPr>
        <w:t>：反映财政部门安排的公务员医疗补助经费。</w:t>
      </w:r>
    </w:p>
    <w:p>
      <w:pPr>
        <w:pageBreakBefore w:val="0"/>
        <w:kinsoku/>
        <w:wordWrap/>
        <w:overflowPunct/>
        <w:topLinePunct w:val="0"/>
        <w:autoSpaceDE/>
        <w:autoSpaceDN/>
        <w:bidi w:val="0"/>
        <w:adjustRightInd w:val="0"/>
        <w:snapToGrid w:val="0"/>
        <w:spacing w:line="353" w:lineRule="auto"/>
        <w:ind w:left="0" w:firstLine="640" w:firstLineChars="200"/>
        <w:textAlignment w:val="auto"/>
        <w:rPr>
          <w:rFonts w:eastAsia="仿宋_GB2312"/>
          <w:sz w:val="32"/>
          <w:szCs w:val="32"/>
        </w:rPr>
      </w:pPr>
      <w:r>
        <w:rPr>
          <w:rFonts w:hint="eastAsia" w:eastAsia="仿宋_GB2312"/>
          <w:sz w:val="32"/>
          <w:szCs w:val="32"/>
          <w:lang w:val="en-US" w:eastAsia="zh-CN"/>
        </w:rPr>
        <w:t>14.</w:t>
      </w:r>
      <w:r>
        <w:rPr>
          <w:rFonts w:hint="eastAsia" w:ascii="Times New Roman" w:hAnsi="Times New Roman" w:eastAsia="仿宋_GB2312" w:cs="Times New Roman"/>
          <w:sz w:val="32"/>
          <w:szCs w:val="32"/>
          <w:lang w:val="en-US" w:eastAsia="zh-CN"/>
        </w:rPr>
        <w:t>城乡社区支出（类）国有土地使用权出让收入安排的支出（款）土地开发支出（项）：反映新疆生产建设兵团和地方政府用于前期土地开发性支出以及前期土地开发相关的费用支出</w:t>
      </w:r>
      <w:r>
        <w:rPr>
          <w:rFonts w:hint="eastAsia" w:eastAsia="仿宋_GB2312"/>
          <w:sz w:val="32"/>
          <w:szCs w:val="32"/>
        </w:rPr>
        <w:t>。</w:t>
      </w:r>
    </w:p>
    <w:p>
      <w:pPr>
        <w:autoSpaceDE w:val="0"/>
        <w:autoSpaceDN w:val="0"/>
        <w:adjustRightInd w:val="0"/>
        <w:spacing w:line="353" w:lineRule="auto"/>
        <w:ind w:firstLine="640"/>
        <w:jc w:val="left"/>
        <w:rPr>
          <w:rFonts w:eastAsia="仿宋_GB2312"/>
          <w:sz w:val="32"/>
          <w:szCs w:val="32"/>
        </w:rPr>
      </w:pPr>
      <w:r>
        <w:rPr>
          <w:rFonts w:hint="eastAsia" w:eastAsia="仿宋_GB2312"/>
          <w:sz w:val="32"/>
          <w:szCs w:val="32"/>
        </w:rPr>
        <w:t>1</w:t>
      </w:r>
      <w:r>
        <w:rPr>
          <w:rFonts w:hint="eastAsia" w:eastAsia="仿宋_GB2312"/>
          <w:sz w:val="32"/>
          <w:szCs w:val="32"/>
          <w:lang w:val="en-US" w:eastAsia="zh-CN"/>
        </w:rPr>
        <w:t>5</w:t>
      </w:r>
      <w:r>
        <w:rPr>
          <w:rFonts w:hint="eastAsia" w:eastAsia="仿宋_GB2312"/>
          <w:sz w:val="32"/>
          <w:szCs w:val="32"/>
        </w:rPr>
        <w:t>.住房保障支出（类）住房改革支出（款）住房公积金（项）：指行政事业单位按人力资源和社会保障部、财政部规定的基本工资和津贴补贴以及规定比例为职工缴纳的住房公积金。</w:t>
      </w:r>
    </w:p>
    <w:p>
      <w:pPr>
        <w:spacing w:line="600" w:lineRule="exact"/>
        <w:jc w:val="center"/>
        <w:outlineLvl w:val="0"/>
        <w:rPr>
          <w:rStyle w:val="31"/>
          <w:rFonts w:ascii="黑体" w:hAnsi="黑体" w:eastAsia="黑体"/>
          <w:b w:val="0"/>
        </w:rPr>
      </w:pPr>
      <w:bookmarkStart w:id="61" w:name="_Toc15377226"/>
      <w:r>
        <w:rPr>
          <w:rFonts w:ascii="宋体"/>
          <w:b/>
          <w:sz w:val="44"/>
          <w:szCs w:val="44"/>
        </w:rPr>
        <w:br w:type="page"/>
      </w:r>
      <w:bookmarkStart w:id="62" w:name="_Toc15396614"/>
      <w:r>
        <w:rPr>
          <w:rFonts w:hint="eastAsia" w:ascii="黑体" w:hAnsi="黑体" w:eastAsia="黑体"/>
          <w:sz w:val="44"/>
          <w:szCs w:val="44"/>
        </w:rPr>
        <w:t>第</w:t>
      </w:r>
      <w:r>
        <w:rPr>
          <w:rStyle w:val="31"/>
          <w:rFonts w:hint="eastAsia" w:ascii="黑体" w:hAnsi="黑体" w:eastAsia="黑体"/>
          <w:b w:val="0"/>
        </w:rPr>
        <w:t>四部分 附件</w:t>
      </w:r>
      <w:bookmarkEnd w:id="6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2021年攀枝花市西区团委部门</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3"/>
        <w:spacing w:before="93"/>
      </w:pPr>
      <w:r>
        <w:rPr>
          <w:rFonts w:hint="eastAsia"/>
        </w:rPr>
        <w:t xml:space="preserve">    </w:t>
      </w:r>
      <w:r>
        <w:rPr>
          <w:rFonts w:hint="eastAsia" w:ascii="仿宋" w:hAnsi="仿宋" w:eastAsia="仿宋"/>
          <w:sz w:val="32"/>
          <w:szCs w:val="32"/>
        </w:rPr>
        <w:t>西区团委下属二级单位1个，其中行政单位1个，参照公务员法管理的事业单位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kern w:val="0"/>
          <w:sz w:val="32"/>
          <w:szCs w:val="32"/>
          <w:shd w:val="clear" w:color="auto" w:fill="FFFFFF"/>
          <w:lang w:val="zh-CN"/>
        </w:rPr>
        <w:t>（二）机构职能。</w:t>
      </w:r>
    </w:p>
    <w:p>
      <w:pPr>
        <w:spacing w:line="353" w:lineRule="auto"/>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1.认真贯彻区委、团市委和有关决议和方针、政策、领导全区共青团、青联、学联和少先队工作，抓好青少年教育工作。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2.认真贯彻有关青少年事业的法律、法规、制定我区青少年工作方针和青少年事业发展规划，协助区委、区政府处理、协调与青少年利益相关的事务，维护青少年合法权益。</w:t>
      </w:r>
    </w:p>
    <w:p>
      <w:pPr>
        <w:spacing w:line="353" w:lineRule="auto"/>
        <w:ind w:firstLine="640" w:firstLineChars="200"/>
        <w:rPr>
          <w:rFonts w:ascii="仿宋" w:hAnsi="仿宋" w:eastAsia="仿宋"/>
          <w:sz w:val="32"/>
          <w:szCs w:val="32"/>
        </w:rPr>
      </w:pPr>
      <w:r>
        <w:rPr>
          <w:rFonts w:hint="eastAsia" w:ascii="仿宋" w:hAnsi="仿宋" w:eastAsia="仿宋"/>
          <w:sz w:val="32"/>
          <w:szCs w:val="32"/>
        </w:rPr>
        <w:t>3.负责对全区青少年活动阵地、青少年服务机构的建设进行规划和管理；指导和管理全区性青年社团组织。</w:t>
      </w:r>
    </w:p>
    <w:p>
      <w:pPr>
        <w:spacing w:line="353" w:lineRule="auto"/>
        <w:ind w:firstLine="640" w:firstLineChars="200"/>
        <w:rPr>
          <w:rFonts w:ascii="仿宋" w:hAnsi="仿宋" w:eastAsia="仿宋"/>
          <w:sz w:val="32"/>
          <w:szCs w:val="32"/>
        </w:rPr>
      </w:pPr>
      <w:r>
        <w:rPr>
          <w:rFonts w:hint="eastAsia" w:ascii="仿宋" w:hAnsi="仿宋" w:eastAsia="仿宋"/>
          <w:sz w:val="32"/>
          <w:szCs w:val="32"/>
        </w:rPr>
        <w:t>4.调查青年思想动态和青年工作状况，研究青少年工作理论和新形势下青少年思想教育中出现的新问题，提出相应对策，开展好各种寓教于乐的活动。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5.协助教育主管部门做好全区中、小学校学生的教育管理工作，开展好假期社会实践活动，优化青少年成长环境，维护学校稳定和社会安定团结。</w:t>
      </w:r>
    </w:p>
    <w:p>
      <w:pPr>
        <w:spacing w:line="353" w:lineRule="auto"/>
        <w:ind w:firstLine="640" w:firstLineChars="200"/>
        <w:rPr>
          <w:rFonts w:ascii="仿宋" w:hAnsi="仿宋" w:eastAsia="仿宋"/>
          <w:sz w:val="32"/>
          <w:szCs w:val="32"/>
        </w:rPr>
      </w:pPr>
      <w:r>
        <w:rPr>
          <w:rFonts w:hint="eastAsia" w:ascii="仿宋" w:hAnsi="仿宋" w:eastAsia="仿宋"/>
          <w:sz w:val="32"/>
          <w:szCs w:val="32"/>
        </w:rPr>
        <w:t>6.坚持“党建带团建”的基本原则，切实加强共青团的基层组织建设，特别是农村、社区新经济组织团的组织建设，逐步建立与社会主义市场经济相适应的团的工作运行机制。</w:t>
      </w:r>
    </w:p>
    <w:p>
      <w:pPr>
        <w:spacing w:line="353" w:lineRule="auto"/>
        <w:ind w:firstLine="640" w:firstLineChars="200"/>
        <w:rPr>
          <w:rFonts w:ascii="仿宋" w:hAnsi="仿宋" w:eastAsia="仿宋"/>
          <w:sz w:val="32"/>
          <w:szCs w:val="32"/>
        </w:rPr>
      </w:pPr>
      <w:r>
        <w:rPr>
          <w:rFonts w:hint="eastAsia" w:ascii="仿宋" w:hAnsi="仿宋" w:eastAsia="仿宋"/>
          <w:sz w:val="32"/>
          <w:szCs w:val="32"/>
        </w:rPr>
        <w:t>7.在全区青年中继续推进新世纪读书计划、“保护母亲河”行动和青年科技创新行动，深化争得“青年岗位能手”、争创“青年文明号”、“争当青年致富能手”、“争创青年文明户”和创新创效活动，动员和组织青年在推动先进生产力的发展中发挥积极作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8.认真贯彻实施青年统战工作政策，做好我去青年统战对象的团结教育工作，维护祖国统一和民族团结；协同有关部门抓好全区青少年对外交流、交往工作。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9.积极协调配合有关部门做好青少年的教育工作。</w:t>
      </w:r>
    </w:p>
    <w:p>
      <w:pPr>
        <w:pStyle w:val="3"/>
        <w:spacing w:before="93"/>
      </w:pPr>
      <w:r>
        <w:rPr>
          <w:rFonts w:hint="eastAsia" w:ascii="仿宋" w:hAnsi="仿宋" w:eastAsia="仿宋"/>
          <w:sz w:val="32"/>
          <w:szCs w:val="32"/>
        </w:rPr>
        <w:t xml:space="preserve">    10.承办区委、区政府交办的其他事项。</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kern w:val="0"/>
          <w:sz w:val="32"/>
          <w:szCs w:val="32"/>
          <w:shd w:val="clear" w:color="auto" w:fill="FFFFFF"/>
          <w:lang w:val="zh-CN"/>
        </w:rPr>
        <w:t>（三）人员概况。</w:t>
      </w:r>
    </w:p>
    <w:p>
      <w:pPr>
        <w:pStyle w:val="11"/>
        <w:spacing w:line="600" w:lineRule="exact"/>
        <w:ind w:firstLine="420" w:firstLineChars="200"/>
        <w:jc w:val="left"/>
        <w:rPr>
          <w:rFonts w:eastAsia="仿宋_GB2312"/>
        </w:rPr>
      </w:pPr>
      <w:r>
        <w:rPr>
          <w:rFonts w:hint="eastAsia"/>
        </w:rPr>
        <w:t xml:space="preserve">     </w:t>
      </w:r>
      <w:r>
        <w:rPr>
          <w:rFonts w:hint="eastAsia" w:ascii="Times New Roman" w:hAnsi="Times New Roman" w:eastAsia="仿宋_GB2312"/>
          <w:sz w:val="32"/>
          <w:szCs w:val="32"/>
        </w:rPr>
        <w:t>西区团委行政编制2名，临聘编制1名。实有人员3人，其中在编人员2人，聘用人员1人</w:t>
      </w:r>
      <w:r>
        <w:rPr>
          <w:rStyle w:val="37"/>
          <w:rFonts w:hint="default" w:ascii="Times New Roman" w:hAnsi="Times New Roman" w:eastAsia="仿宋_GB231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napToGrid w:val="0"/>
        <w:spacing w:line="353" w:lineRule="auto"/>
        <w:ind w:firstLine="640" w:firstLineChars="200"/>
        <w:rPr>
          <w:rFonts w:eastAsia="仿宋_GB2312"/>
        </w:rPr>
      </w:pPr>
      <w:r>
        <w:rPr>
          <w:rFonts w:hint="eastAsia" w:hAnsi="宋体" w:cs="宋体"/>
          <w:kern w:val="0"/>
          <w:sz w:val="32"/>
          <w:szCs w:val="32"/>
          <w:shd w:val="clear" w:color="auto" w:fill="FFFFFF"/>
        </w:rPr>
        <w:t xml:space="preserve"> </w:t>
      </w:r>
      <w:r>
        <w:rPr>
          <w:rFonts w:hint="eastAsia" w:eastAsia="仿宋_GB2312"/>
          <w:sz w:val="32"/>
          <w:szCs w:val="32"/>
        </w:rPr>
        <w:t>2021年全年预算数75.52万元，其中：基本支出40.19万元、项目支出35.33万元。1-12月财政拨款收入75.52万元，其中：基本支出拨款40.19万元，占全年预算数的53.21%；项目支出拨款35.33万元，占全年预算数的46.79%。</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kern w:val="0"/>
          <w:sz w:val="32"/>
          <w:szCs w:val="32"/>
          <w:shd w:val="clear" w:color="auto" w:fill="FFFFFF"/>
          <w:lang w:val="zh-CN"/>
        </w:rPr>
        <w:t>（二）部门财政资金支出情况。</w:t>
      </w:r>
    </w:p>
    <w:p>
      <w:pPr>
        <w:snapToGrid w:val="0"/>
        <w:spacing w:line="353" w:lineRule="auto"/>
        <w:ind w:firstLine="420" w:firstLineChars="200"/>
        <w:rPr>
          <w:rFonts w:eastAsia="仿宋_GB2312"/>
        </w:rPr>
      </w:pPr>
      <w:r>
        <w:rPr>
          <w:rFonts w:hint="eastAsia"/>
        </w:rPr>
        <w:t xml:space="preserve">    </w:t>
      </w:r>
      <w:r>
        <w:rPr>
          <w:rFonts w:hint="eastAsia" w:ascii="仿宋_GB2312" w:hAnsi="仿宋" w:eastAsia="仿宋_GB2312"/>
          <w:sz w:val="32"/>
          <w:szCs w:val="32"/>
        </w:rPr>
        <w:t>2021年1-12月财政拨款支出总计75.52万元，占全年预算数的100%。其中：</w:t>
      </w:r>
      <w:r>
        <w:rPr>
          <w:rFonts w:hint="eastAsia" w:eastAsia="仿宋_GB2312"/>
          <w:sz w:val="32"/>
          <w:szCs w:val="32"/>
        </w:rPr>
        <w:t>基本支出拨款40.19万元，占全年预算数的53.21%；项目支出拨款35.33万元，占全年预算数的46.79%。</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从整体上看，202</w:t>
      </w: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zh-CN"/>
        </w:rPr>
        <w:t>年我委资金运行维护决策正确，资金管理规范，项目管理到位，政策执行有力，有效发挥了财政资金的使用效率。我委各项资金其主要用途是保障该部门机构正常运转、完成日常工作任务以及本单位承担的其他具体工作。在人员经费支出、公共支出严格执行区委区政府的各项制度；在项目经费的使用上，在保证各项任务顺利完成的同时，严格落实厉行节约的原则；三公经费的使用严格控制在预算申报的范围内。</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3"/>
        <w:spacing w:before="93"/>
      </w:pPr>
      <w:r>
        <w:rPr>
          <w:rFonts w:hint="eastAsia" w:hAnsi="宋体" w:cs="宋体"/>
          <w:sz w:val="32"/>
          <w:szCs w:val="32"/>
          <w:shd w:val="clear" w:color="auto" w:fill="FFFFFF"/>
        </w:rPr>
        <w:t xml:space="preserve">    通过对我单位收支情况、预决算编制、预算执行管理、支出绩效及财政管理等方面的综合评价，我单位支出绩效总体较好，对财政资金的使用能够严格执行行政单位会计制度及财政相关规定。</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3"/>
        <w:spacing w:before="93"/>
        <w:rPr>
          <w:rFonts w:hAnsi="宋体" w:cs="宋体"/>
          <w:sz w:val="32"/>
          <w:szCs w:val="32"/>
          <w:shd w:val="clear" w:color="auto" w:fill="FFFFFF"/>
          <w:lang w:val="zh-CN"/>
        </w:rPr>
      </w:pPr>
      <w:r>
        <w:rPr>
          <w:rFonts w:hint="eastAsia" w:hAnsi="宋体" w:cs="宋体"/>
          <w:sz w:val="32"/>
          <w:szCs w:val="32"/>
          <w:shd w:val="clear" w:color="auto" w:fill="FFFFFF"/>
        </w:rPr>
        <w:t xml:space="preserve">    </w:t>
      </w:r>
      <w:r>
        <w:rPr>
          <w:rFonts w:hint="eastAsia" w:hAnsi="宋体" w:cs="宋体"/>
          <w:sz w:val="32"/>
          <w:szCs w:val="32"/>
          <w:shd w:val="clear" w:color="auto" w:fill="FFFFFF"/>
          <w:lang w:val="zh-CN"/>
        </w:rPr>
        <w:t>及时做好各项目资金的预算绩效监控工作，即要确保各项工作顺利的开展，又要做好厉行节约，力争把成本降低。</w:t>
      </w: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r>
        <w:rPr>
          <w:rFonts w:hint="eastAsia" w:ascii="宋体" w:hAnsi="宋体"/>
          <w:sz w:val="32"/>
          <w:szCs w:val="32"/>
          <w:lang w:val="zh-CN"/>
        </w:rPr>
        <w:t>（</w:t>
      </w:r>
      <w:r>
        <w:rPr>
          <w:rFonts w:hint="eastAsia" w:ascii="方正小标宋简体" w:hAnsi="宋体" w:eastAsia="方正小标宋简体"/>
          <w:color w:val="000000"/>
          <w:kern w:val="0"/>
          <w:sz w:val="44"/>
          <w:szCs w:val="44"/>
        </w:rPr>
        <w:t>志愿服务事业发展经费</w:t>
      </w:r>
      <w:r>
        <w:rPr>
          <w:rFonts w:hint="eastAsia" w:ascii="方正小标宋简体" w:hAnsi="宋体" w:eastAsia="方正小标宋简体"/>
          <w:color w:val="000000"/>
          <w:kern w:val="0"/>
          <w:sz w:val="44"/>
          <w:szCs w:val="44"/>
          <w:lang w:val="zh-CN"/>
        </w:rPr>
        <w:t>项目</w:t>
      </w:r>
      <w:r>
        <w:rPr>
          <w:rFonts w:hint="eastAsia" w:ascii="宋体" w:hAnsi="宋体"/>
          <w:sz w:val="32"/>
          <w:szCs w:val="32"/>
          <w:lang w:val="zh-CN"/>
        </w:rPr>
        <w:t>）</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Style w:val="38"/>
          <w:rFonts w:hint="default" w:ascii="楷体_GB2312" w:eastAsia="楷体_GB2312"/>
          <w:sz w:val="32"/>
          <w:szCs w:val="32"/>
        </w:rPr>
        <w:t>中国共产主义青年团攀枝花市西区委员会</w:t>
      </w:r>
      <w:r>
        <w:rPr>
          <w:rFonts w:hint="eastAsia" w:ascii="仿宋_GB2312" w:hAnsi="宋体" w:eastAsia="仿宋_GB2312"/>
          <w:sz w:val="32"/>
          <w:szCs w:val="32"/>
          <w:lang w:val="zh-CN"/>
        </w:rPr>
        <w:t>是该项目的具体实施主体。</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．项目立项、资金申报的依据：本项目资金用于加强我区青年志愿者工作制度化、规范化、长效化建设。</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．资金管理办法制定情况，资金支持具体项目的条件、范围与支持方式概况：此项目资金用于加强我区青年志愿者工作制度化、规范化、长效化建设。</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．资金分配的原则及考虑因素：资金分配资金用于加强我区青年志愿者工作制度化、规范化、长效化建设。</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color w:val="FF0000"/>
          <w:sz w:val="32"/>
          <w:szCs w:val="32"/>
          <w:lang w:val="zh-CN"/>
        </w:rPr>
      </w:pPr>
      <w:r>
        <w:rPr>
          <w:rFonts w:hint="eastAsia" w:ascii="仿宋_GB2312" w:hAnsi="宋体" w:eastAsia="仿宋_GB2312"/>
          <w:sz w:val="32"/>
          <w:szCs w:val="32"/>
          <w:lang w:val="zh-CN"/>
        </w:rPr>
        <w:t>1．项目主要内容。资金用于加强我区青年志愿者工作制度化、规范化、长效化建设。</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2．项目应实现的具体绩效目标。抓好“青助力”这个“根基”。</w:t>
      </w:r>
      <w:r>
        <w:rPr>
          <w:rFonts w:hint="eastAsia" w:ascii="仿宋_GB2312" w:hAnsi="宋体" w:eastAsia="仿宋_GB2312"/>
          <w:sz w:val="32"/>
          <w:szCs w:val="32"/>
        </w:rPr>
        <w:t>1-2月</w:t>
      </w:r>
      <w:r>
        <w:rPr>
          <w:rFonts w:hint="eastAsia" w:ascii="仿宋_GB2312" w:hAnsi="宋体" w:eastAsia="仿宋_GB2312"/>
          <w:sz w:val="32"/>
          <w:szCs w:val="32"/>
          <w:lang w:val="zh-CN"/>
        </w:rPr>
        <w:t>对未能过年返回家乡的团员青年组织举行“团团邀您就地过年”“@返乡大学生 邀请你来打造攀枝花的‘网红村’”等特色主题活动。</w:t>
      </w:r>
      <w:r>
        <w:rPr>
          <w:rFonts w:hint="eastAsia" w:ascii="仿宋_GB2312" w:hAnsi="宋体" w:eastAsia="仿宋_GB2312"/>
          <w:sz w:val="32"/>
          <w:szCs w:val="32"/>
        </w:rPr>
        <w:t>3月至5月集中力量</w:t>
      </w:r>
      <w:r>
        <w:rPr>
          <w:rFonts w:hint="eastAsia" w:ascii="仿宋_GB2312" w:hAnsi="宋体" w:eastAsia="仿宋_GB2312"/>
          <w:sz w:val="32"/>
          <w:szCs w:val="32"/>
          <w:lang w:val="zh-CN"/>
        </w:rPr>
        <w:t>参与“森林草原防灭火卡点值守”“新冠疫苗接种现场秩序维护”“高速路口爱在旅途”等志愿服务活动。</w:t>
      </w:r>
      <w:r>
        <w:rPr>
          <w:rFonts w:hint="eastAsia" w:ascii="仿宋_GB2312" w:hAnsi="宋体" w:eastAsia="仿宋_GB2312"/>
          <w:sz w:val="32"/>
          <w:szCs w:val="32"/>
        </w:rPr>
        <w:t>6月</w:t>
      </w:r>
      <w:r>
        <w:rPr>
          <w:rFonts w:hint="eastAsia" w:ascii="仿宋_GB2312" w:hAnsi="宋体" w:eastAsia="仿宋_GB2312"/>
          <w:sz w:val="32"/>
          <w:szCs w:val="32"/>
          <w:lang w:val="zh-CN"/>
        </w:rPr>
        <w:t>专题安排“安全生产月”各项工作，开设了“禁毒宣传”“防疫知识宣传”“法律知识宣传”等微讲堂，覆盖团员青年600余人次。7月至</w:t>
      </w:r>
      <w:r>
        <w:rPr>
          <w:rFonts w:hint="eastAsia" w:ascii="仿宋_GB2312" w:hAnsi="宋体" w:eastAsia="仿宋_GB2312"/>
          <w:sz w:val="32"/>
          <w:szCs w:val="32"/>
        </w:rPr>
        <w:t>8</w:t>
      </w:r>
      <w:r>
        <w:rPr>
          <w:rFonts w:hint="eastAsia" w:ascii="仿宋_GB2312" w:hAnsi="宋体" w:eastAsia="仿宋_GB2312"/>
          <w:sz w:val="32"/>
          <w:szCs w:val="32"/>
          <w:lang w:val="zh-CN"/>
        </w:rPr>
        <w:t>月，镇（街道）、村（社区）团组织联合返乡大学生团员青年在辖区青少年活动阵地开展了青春社区专项行动“青少年亲近自然活动”“青少年防溺水知识讲座”“青少年橙色安全课堂”“红色经典诵读活动”等，全区累计暑期开展各类专项行动6次，参与人数</w:t>
      </w:r>
      <w:r>
        <w:rPr>
          <w:rFonts w:hint="eastAsia" w:ascii="仿宋_GB2312" w:hAnsi="宋体" w:eastAsia="仿宋_GB2312"/>
          <w:sz w:val="32"/>
          <w:szCs w:val="32"/>
        </w:rPr>
        <w:t>2</w:t>
      </w:r>
      <w:r>
        <w:rPr>
          <w:rFonts w:hint="eastAsia" w:ascii="仿宋_GB2312" w:hAnsi="宋体" w:eastAsia="仿宋_GB2312"/>
          <w:sz w:val="32"/>
          <w:szCs w:val="32"/>
          <w:lang w:val="zh-CN"/>
        </w:rPr>
        <w:t>00余人次。</w:t>
      </w:r>
      <w:r>
        <w:rPr>
          <w:rFonts w:hint="eastAsia" w:ascii="仿宋_GB2312" w:hAnsi="宋体" w:eastAsia="仿宋_GB2312"/>
          <w:sz w:val="32"/>
          <w:szCs w:val="32"/>
        </w:rPr>
        <w:t>9月至12月，集中开展了“守护母亲河”“共创文明城”“敬老送真情”等主题志愿服务活动</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按照区财政局下达的项目支出绩效评价指标体系，针对 申报内容、实施情况、资金兑现、财务管理、社会效益等做 出自我评价</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sz w:val="32"/>
          <w:szCs w:val="32"/>
        </w:rPr>
        <w:t>该项目为财政资金，2021年到位8.78万元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eastAsia="仿宋_GB2312"/>
          <w:sz w:val="32"/>
          <w:szCs w:val="32"/>
        </w:rPr>
        <w:t>2021年申报年初预算8.78万元，年底据实结算</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eastAsia="仿宋_GB2312"/>
          <w:sz w:val="32"/>
          <w:szCs w:val="32"/>
        </w:rPr>
        <w:t>2021年共支出8.78万元，当年全部支付到位。资金开支范围、标准及支付进度等符合规定，按实际发生额进行支付，并严格按照财务管理制度审核支付，支付依据合规合法</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7"/>
        <w:widowControl/>
        <w:shd w:val="clear" w:color="auto" w:fill="FFFFFF"/>
        <w:spacing w:beforeAutospacing="0" w:after="150" w:afterAutospacing="0" w:line="450" w:lineRule="atLeast"/>
        <w:ind w:firstLine="480"/>
        <w:rPr>
          <w:rFonts w:ascii="仿宋_GB2312" w:hAnsi="仿宋_GB2312" w:eastAsia="仿宋_GB2312" w:cs="仿宋_GB2312"/>
          <w:color w:val="333333"/>
          <w:sz w:val="32"/>
          <w:szCs w:val="32"/>
          <w:shd w:val="clear" w:color="auto" w:fill="FFFFFF"/>
        </w:rPr>
      </w:pPr>
      <w:r>
        <w:rPr>
          <w:rFonts w:hint="eastAsia" w:eastAsia="微软雅黑"/>
          <w:color w:val="333333"/>
          <w:sz w:val="32"/>
          <w:szCs w:val="32"/>
          <w:shd w:val="clear" w:color="auto" w:fill="FFFFFF"/>
        </w:rPr>
        <w:t xml:space="preserve">  </w:t>
      </w:r>
      <w:r>
        <w:rPr>
          <w:rFonts w:eastAsia="微软雅黑"/>
          <w:color w:val="333333"/>
          <w:sz w:val="32"/>
          <w:szCs w:val="32"/>
          <w:shd w:val="clear" w:color="auto" w:fill="FFFFFF"/>
        </w:rPr>
        <w:t>1.</w:t>
      </w:r>
      <w:r>
        <w:rPr>
          <w:rFonts w:ascii="仿宋_GB2312" w:hAnsi="仿宋_GB2312" w:eastAsia="仿宋_GB2312" w:cs="仿宋_GB2312"/>
          <w:color w:val="333333"/>
          <w:sz w:val="32"/>
          <w:szCs w:val="32"/>
          <w:shd w:val="clear" w:color="auto" w:fill="FFFFFF"/>
        </w:rPr>
        <w:t>根据预算项目批复，下达项目经费，预算单位进行项目实施计划。</w:t>
      </w:r>
    </w:p>
    <w:p>
      <w:pPr>
        <w:pStyle w:val="17"/>
        <w:widowControl/>
        <w:shd w:val="clear" w:color="auto" w:fill="FFFFFF"/>
        <w:spacing w:beforeAutospacing="0" w:after="150"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3.</w:t>
      </w:r>
      <w:r>
        <w:rPr>
          <w:rFonts w:ascii="仿宋_GB2312" w:hAnsi="仿宋_GB2312" w:eastAsia="仿宋_GB2312" w:cs="仿宋_GB2312"/>
          <w:color w:val="333333"/>
          <w:sz w:val="32"/>
          <w:szCs w:val="32"/>
          <w:shd w:val="clear" w:color="auto" w:fill="FFFFFF"/>
        </w:rPr>
        <w:t>拨付时根据工作完成情况，报分管领导审核同意，呈报单位主要负责人审批同意后支付</w:t>
      </w:r>
      <w:r>
        <w:rPr>
          <w:rFonts w:hint="eastAsia" w:ascii="仿宋_GB2312" w:hAnsi="仿宋_GB2312" w:eastAsia="仿宋_GB2312" w:cs="仿宋_GB2312"/>
          <w:color w:val="333333"/>
          <w:sz w:val="32"/>
          <w:szCs w:val="32"/>
          <w:shd w:val="clear" w:color="auto" w:fill="FFFFFF"/>
        </w:rPr>
        <w:t>。</w:t>
      </w:r>
    </w:p>
    <w:p>
      <w:pPr>
        <w:pStyle w:val="17"/>
        <w:widowControl/>
        <w:shd w:val="clear" w:color="auto" w:fill="FFFFFF"/>
        <w:spacing w:beforeAutospacing="0" w:after="150" w:afterAutospacing="0" w:line="450" w:lineRule="atLeast"/>
        <w:rPr>
          <w:rFonts w:ascii="楷体_GB2312" w:hAnsi="宋体" w:eastAsia="楷体_GB2312"/>
          <w:b/>
          <w:sz w:val="32"/>
          <w:szCs w:val="32"/>
          <w:lang w:val="zh-CN"/>
        </w:rPr>
      </w:pPr>
      <w:r>
        <w:rPr>
          <w:rFonts w:hint="eastAsia" w:ascii="楷体_GB2312" w:hAnsi="宋体" w:eastAsia="楷体_GB2312"/>
          <w:b/>
          <w:sz w:val="32"/>
          <w:szCs w:val="32"/>
        </w:rPr>
        <w:t xml:space="preserve">    </w:t>
      </w:r>
      <w:r>
        <w:rPr>
          <w:rFonts w:hint="eastAsia" w:ascii="楷体_GB2312" w:hAnsi="宋体" w:eastAsia="楷体_GB2312"/>
          <w:b/>
          <w:sz w:val="32"/>
          <w:szCs w:val="32"/>
          <w:lang w:val="zh-CN"/>
        </w:rPr>
        <w:t>（二）项目管理情况。</w:t>
      </w:r>
    </w:p>
    <w:p>
      <w:pPr>
        <w:pStyle w:val="17"/>
        <w:widowControl/>
        <w:shd w:val="clear" w:color="auto" w:fill="FFFFFF"/>
        <w:spacing w:beforeAutospacing="0" w:after="150" w:afterAutospacing="0" w:line="450" w:lineRule="atLeast"/>
        <w:rPr>
          <w:rFonts w:ascii="仿宋_GB2312" w:hAnsi="宋体" w:eastAsia="仿宋_GB2312"/>
          <w:sz w:val="32"/>
          <w:szCs w:val="32"/>
          <w:lang w:val="zh-CN"/>
        </w:rPr>
      </w:pPr>
      <w:r>
        <w:rPr>
          <w:rFonts w:hint="eastAsia" w:ascii="仿宋_GB2312" w:hAnsi="宋体" w:eastAsia="仿宋_GB2312"/>
          <w:kern w:val="2"/>
          <w:sz w:val="32"/>
          <w:szCs w:val="32"/>
        </w:rPr>
        <w:t xml:space="preserve">     </w:t>
      </w:r>
      <w:r>
        <w:rPr>
          <w:rFonts w:hint="eastAsia" w:ascii="仿宋_GB2312" w:hAnsi="宋体" w:eastAsia="仿宋_GB2312"/>
          <w:kern w:val="2"/>
          <w:sz w:val="32"/>
          <w:szCs w:val="32"/>
          <w:lang w:val="zh-CN"/>
        </w:rPr>
        <w:t>项目是区财政纳入年度预算，严格安照项目要求及财经法律法规等要求落实的</w:t>
      </w:r>
      <w:r>
        <w:rPr>
          <w:rFonts w:hint="eastAsia" w:ascii="仿宋_GB2312" w:hAnsi="宋体" w:eastAsia="仿宋_GB2312"/>
          <w:sz w:val="32"/>
          <w:szCs w:val="32"/>
          <w:lang w:val="zh-CN"/>
        </w:rPr>
        <w:t>。</w:t>
      </w:r>
    </w:p>
    <w:p>
      <w:pPr>
        <w:adjustRightInd w:val="0"/>
        <w:snapToGrid w:val="0"/>
        <w:spacing w:line="600" w:lineRule="exact"/>
        <w:rPr>
          <w:rFonts w:ascii="楷体_GB2312" w:hAnsi="宋体" w:eastAsia="楷体_GB2312"/>
          <w:b/>
          <w:sz w:val="32"/>
          <w:szCs w:val="32"/>
          <w:lang w:val="zh-CN"/>
        </w:rPr>
      </w:pPr>
      <w:r>
        <w:rPr>
          <w:rFonts w:hint="eastAsia" w:ascii="仿宋_GB2312" w:hAnsi="宋体" w:eastAsia="仿宋_GB2312"/>
          <w:sz w:val="32"/>
          <w:szCs w:val="32"/>
        </w:rPr>
        <w:t xml:space="preserve">    </w:t>
      </w: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ascii="微软雅黑" w:hAnsi="微软雅黑" w:eastAsia="微软雅黑" w:cs="微软雅黑"/>
          <w:color w:val="333333"/>
          <w:sz w:val="32"/>
          <w:szCs w:val="32"/>
          <w:shd w:val="clear" w:color="auto" w:fill="FFFFFF"/>
        </w:rPr>
        <w:t> </w:t>
      </w:r>
      <w:r>
        <w:rPr>
          <w:rFonts w:hint="eastAsia" w:ascii="仿宋_GB2312" w:hAnsi="宋体" w:eastAsia="仿宋_GB2312"/>
          <w:sz w:val="32"/>
          <w:szCs w:val="32"/>
          <w:lang w:val="zh-CN"/>
        </w:rPr>
        <w:t>项目完成情况每年都要向上级财政部门填写相关的绩效分析评价，并上报相关对口管理部门检查。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color w:val="FF0000"/>
        </w:rPr>
      </w:pPr>
      <w:r>
        <w:rPr>
          <w:rFonts w:hint="eastAsia" w:ascii="仿宋_GB2312" w:hAnsi="宋体" w:eastAsia="仿宋_GB2312"/>
          <w:sz w:val="32"/>
          <w:szCs w:val="32"/>
          <w:lang w:val="zh-CN"/>
        </w:rPr>
        <w:t>抓好“青助力”这个“根基”。</w:t>
      </w:r>
      <w:r>
        <w:rPr>
          <w:rFonts w:hint="eastAsia" w:ascii="仿宋_GB2312" w:hAnsi="宋体" w:eastAsia="仿宋_GB2312"/>
          <w:sz w:val="32"/>
          <w:szCs w:val="32"/>
        </w:rPr>
        <w:t>1-2月</w:t>
      </w:r>
      <w:r>
        <w:rPr>
          <w:rFonts w:hint="eastAsia" w:ascii="仿宋_GB2312" w:hAnsi="宋体" w:eastAsia="仿宋_GB2312"/>
          <w:sz w:val="32"/>
          <w:szCs w:val="32"/>
          <w:lang w:val="zh-CN"/>
        </w:rPr>
        <w:t>对未能过年返回家乡的团员青年组织举行“团团邀您就地过年”“@返乡大学生 邀请你来打造攀枝花的‘网红村’”等特色主题活动。</w:t>
      </w:r>
      <w:r>
        <w:rPr>
          <w:rFonts w:hint="eastAsia" w:ascii="仿宋_GB2312" w:hAnsi="宋体" w:eastAsia="仿宋_GB2312"/>
          <w:sz w:val="32"/>
          <w:szCs w:val="32"/>
        </w:rPr>
        <w:t>3月至5月集中力量</w:t>
      </w:r>
      <w:r>
        <w:rPr>
          <w:rFonts w:hint="eastAsia" w:ascii="仿宋_GB2312" w:hAnsi="宋体" w:eastAsia="仿宋_GB2312"/>
          <w:sz w:val="32"/>
          <w:szCs w:val="32"/>
          <w:lang w:val="zh-CN"/>
        </w:rPr>
        <w:t>参与“森林草原防灭火卡点值守”“新冠疫苗接种现场秩序维护”“高速路口爱在旅途”等志愿服务活动。</w:t>
      </w:r>
      <w:r>
        <w:rPr>
          <w:rFonts w:hint="eastAsia" w:ascii="仿宋_GB2312" w:hAnsi="宋体" w:eastAsia="仿宋_GB2312"/>
          <w:sz w:val="32"/>
          <w:szCs w:val="32"/>
        </w:rPr>
        <w:t>6月</w:t>
      </w:r>
      <w:r>
        <w:rPr>
          <w:rFonts w:hint="eastAsia" w:ascii="仿宋_GB2312" w:hAnsi="宋体" w:eastAsia="仿宋_GB2312"/>
          <w:sz w:val="32"/>
          <w:szCs w:val="32"/>
          <w:lang w:val="zh-CN"/>
        </w:rPr>
        <w:t>专题安排“安全生产月”各项工作，开设了“禁毒宣传”“防疫知识宣传”“法律知识宣传”等微讲堂，覆盖团员青年600余人次。7月至</w:t>
      </w:r>
      <w:r>
        <w:rPr>
          <w:rFonts w:hint="eastAsia" w:ascii="仿宋_GB2312" w:hAnsi="宋体" w:eastAsia="仿宋_GB2312"/>
          <w:sz w:val="32"/>
          <w:szCs w:val="32"/>
        </w:rPr>
        <w:t>8</w:t>
      </w:r>
      <w:r>
        <w:rPr>
          <w:rFonts w:hint="eastAsia" w:ascii="仿宋_GB2312" w:hAnsi="宋体" w:eastAsia="仿宋_GB2312"/>
          <w:sz w:val="32"/>
          <w:szCs w:val="32"/>
          <w:lang w:val="zh-CN"/>
        </w:rPr>
        <w:t>月，镇（街道）、村（社区）团组织联合返乡大学生团员青年在辖区青少年活动阵地开展了青春社区专项行动“青少年亲近自然活动”“青少年防溺水知识讲座”“青少年橙色安全课堂”“红色经典诵读活动”等，全区累计暑期开展各类专项行动6次，参与人数</w:t>
      </w:r>
      <w:r>
        <w:rPr>
          <w:rFonts w:hint="eastAsia" w:ascii="仿宋_GB2312" w:hAnsi="宋体" w:eastAsia="仿宋_GB2312"/>
          <w:sz w:val="32"/>
          <w:szCs w:val="32"/>
        </w:rPr>
        <w:t>2</w:t>
      </w:r>
      <w:r>
        <w:rPr>
          <w:rFonts w:hint="eastAsia" w:ascii="仿宋_GB2312" w:hAnsi="宋体" w:eastAsia="仿宋_GB2312"/>
          <w:sz w:val="32"/>
          <w:szCs w:val="32"/>
          <w:lang w:val="zh-CN"/>
        </w:rPr>
        <w:t>00余人次。</w:t>
      </w:r>
      <w:r>
        <w:rPr>
          <w:rFonts w:hint="eastAsia" w:ascii="仿宋_GB2312" w:hAnsi="宋体" w:eastAsia="仿宋_GB2312"/>
          <w:sz w:val="32"/>
          <w:szCs w:val="32"/>
        </w:rPr>
        <w:t>9月至12月，集中开展了“守护母亲河”“共创文明城”“敬老送真情”等主题志愿服务活动</w:t>
      </w:r>
      <w:r>
        <w:rPr>
          <w:rFonts w:hint="eastAsia" w:eastAsia="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从项目社会效益方面来看，培养一批青年思想政治骨干后备力量踏出坚实步伐；从服务对象满意度来看， 服务对象满意度提升。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"C:\\Users\\w\\AppData\\Roaming\\Tencent\\Users\\248301485\\QQ\\WinTemp\\RichOle\\C2(]9374H4ZUFMODU99)]8M.png"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318250" cy="6425565"/>
            <wp:effectExtent l="0" t="0" r="6350" b="1333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2"/>
                    <a:stretch>
                      <a:fillRect/>
                    </a:stretch>
                  </pic:blipFill>
                  <pic:spPr>
                    <a:xfrm>
                      <a:off x="0" y="0"/>
                      <a:ext cx="6318250" cy="6425565"/>
                    </a:xfrm>
                    <a:prstGeom prst="rect">
                      <a:avLst/>
                    </a:prstGeom>
                    <a:noFill/>
                    <a:ln w="9525">
                      <a:noFill/>
                    </a:ln>
                  </pic:spPr>
                </pic:pic>
              </a:graphicData>
            </a:graphic>
          </wp:inline>
        </w:drawing>
      </w:r>
      <w:r>
        <w:rPr>
          <w:rFonts w:ascii="宋体" w:hAnsi="宋体" w:cs="宋体"/>
          <w:kern w:val="0"/>
          <w:sz w:val="24"/>
        </w:rPr>
        <w:fldChar w:fldCharType="end"/>
      </w:r>
    </w:p>
    <w:p>
      <w:pPr>
        <w:widowControl/>
        <w:adjustRightInd w:val="0"/>
        <w:snapToGrid w:val="0"/>
        <w:spacing w:line="580" w:lineRule="exact"/>
        <w:ind w:firstLine="880" w:firstLineChars="200"/>
        <w:contextualSpacing/>
        <w:jc w:val="left"/>
        <w:rPr>
          <w:rStyle w:val="31"/>
          <w:rFonts w:ascii="黑体" w:hAnsi="黑体" w:eastAsia="黑体"/>
          <w:b w:val="0"/>
        </w:rPr>
      </w:pPr>
    </w:p>
    <w:p>
      <w:pPr>
        <w:widowControl/>
        <w:adjustRightInd w:val="0"/>
        <w:snapToGrid w:val="0"/>
        <w:spacing w:line="580" w:lineRule="exact"/>
        <w:ind w:firstLine="880" w:firstLineChars="200"/>
        <w:contextualSpacing/>
        <w:jc w:val="left"/>
        <w:rPr>
          <w:rStyle w:val="31"/>
          <w:rFonts w:ascii="黑体" w:hAnsi="黑体" w:eastAsia="黑体"/>
          <w:b w:val="0"/>
        </w:rPr>
      </w:pPr>
    </w:p>
    <w:p>
      <w:pPr>
        <w:widowControl/>
        <w:adjustRightInd w:val="0"/>
        <w:snapToGrid w:val="0"/>
        <w:spacing w:line="580" w:lineRule="exact"/>
        <w:ind w:firstLine="880" w:firstLineChars="200"/>
        <w:contextualSpacing/>
        <w:jc w:val="left"/>
        <w:rPr>
          <w:rStyle w:val="31"/>
          <w:rFonts w:ascii="黑体" w:hAnsi="黑体" w:eastAsia="黑体"/>
          <w:b w:val="0"/>
        </w:rPr>
      </w:pPr>
    </w:p>
    <w:p>
      <w:pPr>
        <w:widowControl/>
        <w:adjustRightInd w:val="0"/>
        <w:snapToGrid w:val="0"/>
        <w:spacing w:line="580" w:lineRule="exact"/>
        <w:ind w:firstLine="880" w:firstLineChars="200"/>
        <w:contextualSpacing/>
        <w:jc w:val="left"/>
        <w:rPr>
          <w:rStyle w:val="31"/>
          <w:rFonts w:ascii="黑体" w:hAnsi="黑体" w:eastAsia="黑体"/>
          <w:b w:val="0"/>
        </w:rPr>
      </w:pPr>
    </w:p>
    <w:p>
      <w:pPr>
        <w:widowControl/>
        <w:adjustRightInd w:val="0"/>
        <w:snapToGrid w:val="0"/>
        <w:spacing w:line="580" w:lineRule="exact"/>
        <w:contextualSpacing/>
        <w:jc w:val="left"/>
        <w:rPr>
          <w:rStyle w:val="31"/>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"C:\\Users\\w\\AppData\\Roaming\\Tencent\\Users\\248301485\\QQ\\WinTemp\\RichOle\\S)2%5MBAV)5RP72`[KM7K(I.png"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283960" cy="4986655"/>
            <wp:effectExtent l="0" t="0" r="2540" b="444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3"/>
                    <a:stretch>
                      <a:fillRect/>
                    </a:stretch>
                  </pic:blipFill>
                  <pic:spPr>
                    <a:xfrm>
                      <a:off x="0" y="0"/>
                      <a:ext cx="6283960" cy="4986655"/>
                    </a:xfrm>
                    <a:prstGeom prst="rect">
                      <a:avLst/>
                    </a:prstGeom>
                    <a:noFill/>
                    <a:ln w="9525">
                      <a:noFill/>
                    </a:ln>
                  </pic:spPr>
                </pic:pic>
              </a:graphicData>
            </a:graphic>
          </wp:inline>
        </w:drawing>
      </w:r>
      <w:r>
        <w:rPr>
          <w:rFonts w:ascii="宋体" w:hAnsi="宋体" w:cs="宋体"/>
          <w:kern w:val="0"/>
          <w:sz w:val="24"/>
        </w:rPr>
        <w:fldChar w:fldCharType="end"/>
      </w: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"C:\\Users\\w\\AppData\\Roaming\\Tencent\\Users\\248301485\\QQ\\WinTemp\\RichOle\\HVNP{1H{2B)V1ESOIZYH628.png"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958205" cy="4445000"/>
            <wp:effectExtent l="0" t="0" r="4445" b="1270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4"/>
                    <a:stretch>
                      <a:fillRect/>
                    </a:stretch>
                  </pic:blipFill>
                  <pic:spPr>
                    <a:xfrm>
                      <a:off x="0" y="0"/>
                      <a:ext cx="5958205" cy="4445000"/>
                    </a:xfrm>
                    <a:prstGeom prst="rect">
                      <a:avLst/>
                    </a:prstGeom>
                    <a:noFill/>
                    <a:ln w="9525">
                      <a:noFill/>
                    </a:ln>
                  </pic:spPr>
                </pic:pic>
              </a:graphicData>
            </a:graphic>
          </wp:inline>
        </w:drawing>
      </w:r>
      <w:r>
        <w:rPr>
          <w:rFonts w:ascii="宋体" w:hAnsi="宋体" w:cs="宋体"/>
          <w:kern w:val="0"/>
          <w:sz w:val="24"/>
        </w:rPr>
        <w:fldChar w:fldCharType="end"/>
      </w: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"C:\\Users\\w\\AppData\\Roaming\\Tencent\\Users\\248301485\\QQ\\WinTemp\\RichOle\\GD@BVKTT2]R(NU~UAR)_IWF.png"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318885" cy="5643880"/>
            <wp:effectExtent l="0" t="0" r="5715" b="1397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5"/>
                    <a:stretch>
                      <a:fillRect/>
                    </a:stretch>
                  </pic:blipFill>
                  <pic:spPr>
                    <a:xfrm>
                      <a:off x="0" y="0"/>
                      <a:ext cx="6318885" cy="5643880"/>
                    </a:xfrm>
                    <a:prstGeom prst="rect">
                      <a:avLst/>
                    </a:prstGeom>
                    <a:noFill/>
                    <a:ln w="9525">
                      <a:noFill/>
                    </a:ln>
                  </pic:spPr>
                </pic:pic>
              </a:graphicData>
            </a:graphic>
          </wp:inline>
        </w:drawing>
      </w:r>
      <w:r>
        <w:rPr>
          <w:rFonts w:ascii="宋体" w:hAnsi="宋体" w:cs="宋体"/>
          <w:kern w:val="0"/>
          <w:sz w:val="24"/>
        </w:rPr>
        <w:fldChar w:fldCharType="end"/>
      </w: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"C:\\Users\\w\\AppData\\Roaming\\Tencent\\Users\\248301485\\QQ\\WinTemp\\RichOle\\{7`D0VW2PJ]7Q06K}NLS53R.png"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155690" cy="5163185"/>
            <wp:effectExtent l="0" t="0" r="16510" b="1841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6"/>
                    <a:stretch>
                      <a:fillRect/>
                    </a:stretch>
                  </pic:blipFill>
                  <pic:spPr>
                    <a:xfrm>
                      <a:off x="0" y="0"/>
                      <a:ext cx="6155690" cy="5163185"/>
                    </a:xfrm>
                    <a:prstGeom prst="rect">
                      <a:avLst/>
                    </a:prstGeom>
                    <a:noFill/>
                    <a:ln w="9525">
                      <a:noFill/>
                    </a:ln>
                  </pic:spPr>
                </pic:pic>
              </a:graphicData>
            </a:graphic>
          </wp:inline>
        </w:drawing>
      </w:r>
      <w:r>
        <w:rPr>
          <w:rFonts w:ascii="宋体" w:hAnsi="宋体" w:cs="宋体"/>
          <w:kern w:val="0"/>
          <w:sz w:val="24"/>
        </w:rPr>
        <w:fldChar w:fldCharType="end"/>
      </w: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"C:\\Users\\w\\AppData\\Roaming\\Tencent\\Users\\248301485\\QQ\\WinTemp\\RichOle\\@[8`07MBQAW7U_2X%SK`2YX.png"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355080" cy="5244465"/>
            <wp:effectExtent l="0" t="0" r="7620" b="1333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7"/>
                    <a:stretch>
                      <a:fillRect/>
                    </a:stretch>
                  </pic:blipFill>
                  <pic:spPr>
                    <a:xfrm>
                      <a:off x="0" y="0"/>
                      <a:ext cx="6355080" cy="5244465"/>
                    </a:xfrm>
                    <a:prstGeom prst="rect">
                      <a:avLst/>
                    </a:prstGeom>
                    <a:noFill/>
                    <a:ln w="9525">
                      <a:noFill/>
                    </a:ln>
                  </pic:spPr>
                </pic:pic>
              </a:graphicData>
            </a:graphic>
          </wp:inline>
        </w:drawing>
      </w:r>
      <w:r>
        <w:rPr>
          <w:rFonts w:ascii="宋体" w:hAnsi="宋体" w:cs="宋体"/>
          <w:kern w:val="0"/>
          <w:sz w:val="24"/>
        </w:rPr>
        <w:fldChar w:fldCharType="end"/>
      </w: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"C:\\Users\\w\\AppData\\Roaming\\Tencent\\Users\\248301485\\QQ\\WinTemp\\RichOle\\KP)SB1)DN8RQ)]RW6Y1[N3V.png"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444615" cy="5725160"/>
            <wp:effectExtent l="0" t="0" r="13335" b="889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8"/>
                    <a:stretch>
                      <a:fillRect/>
                    </a:stretch>
                  </pic:blipFill>
                  <pic:spPr>
                    <a:xfrm>
                      <a:off x="0" y="0"/>
                      <a:ext cx="6444615" cy="5725160"/>
                    </a:xfrm>
                    <a:prstGeom prst="rect">
                      <a:avLst/>
                    </a:prstGeom>
                    <a:noFill/>
                    <a:ln w="9525">
                      <a:noFill/>
                    </a:ln>
                  </pic:spPr>
                </pic:pic>
              </a:graphicData>
            </a:graphic>
          </wp:inline>
        </w:drawing>
      </w:r>
      <w:r>
        <w:rPr>
          <w:rFonts w:ascii="宋体" w:hAnsi="宋体" w:cs="宋体"/>
          <w:kern w:val="0"/>
          <w:sz w:val="24"/>
        </w:rPr>
        <w:fldChar w:fldCharType="end"/>
      </w:r>
    </w:p>
    <w:p>
      <w:pPr>
        <w:pStyle w:val="22"/>
        <w:rPr>
          <w:rStyle w:val="31"/>
          <w:rFonts w:ascii="黑体" w:hAnsi="黑体" w:eastAsia="黑体"/>
          <w:b w:val="0"/>
        </w:rPr>
      </w:pPr>
    </w:p>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Pr>
        <w:rPr>
          <w:rStyle w:val="31"/>
          <w:rFonts w:ascii="黑体" w:hAnsi="黑体" w:eastAsia="黑体"/>
          <w:b w:val="0"/>
        </w:rPr>
      </w:pPr>
    </w:p>
    <w:p>
      <w:pPr>
        <w:pStyle w:val="22"/>
        <w:rPr>
          <w:rStyle w:val="31"/>
          <w:rFonts w:ascii="黑体" w:hAnsi="黑体" w:eastAsia="黑体"/>
          <w:b w:val="0"/>
        </w:rPr>
      </w:pPr>
    </w:p>
    <w:p/>
    <w:p>
      <w:pPr>
        <w:spacing w:line="600" w:lineRule="exact"/>
        <w:jc w:val="center"/>
        <w:outlineLvl w:val="0"/>
        <w:rPr>
          <w:rFonts w:ascii="仿宋" w:hAnsi="仿宋" w:eastAsia="仿宋"/>
        </w:rPr>
      </w:pPr>
      <w:bookmarkStart w:id="63" w:name="_Toc15396618"/>
      <w:r>
        <w:rPr>
          <w:rFonts w:hint="eastAsia" w:ascii="黑体" w:hAnsi="黑体" w:eastAsia="黑体"/>
          <w:sz w:val="44"/>
          <w:szCs w:val="44"/>
        </w:rPr>
        <w:t>第</w:t>
      </w:r>
      <w:r>
        <w:rPr>
          <w:rStyle w:val="31"/>
          <w:rFonts w:hint="eastAsia" w:ascii="黑体" w:hAnsi="黑体" w:eastAsia="黑体"/>
          <w:b w:val="0"/>
        </w:rPr>
        <w:t>五部分 附表</w:t>
      </w:r>
      <w:bookmarkEnd w:id="61"/>
      <w:bookmarkEnd w:id="63"/>
      <w:bookmarkStart w:id="64" w:name="_Toc15396619"/>
    </w:p>
    <w:p>
      <w:pPr>
        <w:pStyle w:val="7"/>
        <w:rPr>
          <w:rFonts w:ascii="仿宋" w:hAnsi="仿宋" w:eastAsia="仿宋"/>
        </w:rPr>
      </w:pPr>
      <w:r>
        <w:rPr>
          <w:rFonts w:hint="eastAsia" w:ascii="仿宋" w:hAnsi="仿宋" w:eastAsia="仿宋"/>
          <w:b w:val="0"/>
        </w:rPr>
        <w:t>一、收</w:t>
      </w:r>
      <w:r>
        <w:rPr>
          <w:rStyle w:val="32"/>
          <w:rFonts w:hint="eastAsia" w:ascii="仿宋" w:hAnsi="仿宋" w:eastAsia="仿宋"/>
          <w:b w:val="0"/>
          <w:bCs w:val="0"/>
        </w:rPr>
        <w:t>入支出决算总表</w:t>
      </w:r>
      <w:bookmarkEnd w:id="64"/>
    </w:p>
    <w:p>
      <w:pPr>
        <w:pStyle w:val="7"/>
        <w:rPr>
          <w:rFonts w:ascii="仿宋" w:hAnsi="仿宋" w:eastAsia="仿宋"/>
        </w:rPr>
      </w:pPr>
      <w:bookmarkStart w:id="65" w:name="_Toc15396620"/>
      <w:r>
        <w:rPr>
          <w:rFonts w:hint="eastAsia" w:ascii="仿宋" w:hAnsi="仿宋" w:eastAsia="仿宋"/>
          <w:b w:val="0"/>
        </w:rPr>
        <w:t>二、收</w:t>
      </w:r>
      <w:r>
        <w:rPr>
          <w:rStyle w:val="32"/>
          <w:rFonts w:hint="eastAsia" w:ascii="仿宋" w:hAnsi="仿宋" w:eastAsia="仿宋"/>
          <w:b w:val="0"/>
          <w:bCs w:val="0"/>
        </w:rPr>
        <w:t>入决算表</w:t>
      </w:r>
      <w:bookmarkEnd w:id="65"/>
    </w:p>
    <w:p>
      <w:pPr>
        <w:pStyle w:val="7"/>
        <w:rPr>
          <w:rFonts w:ascii="仿宋" w:hAnsi="仿宋" w:eastAsia="仿宋"/>
        </w:rPr>
      </w:pPr>
      <w:bookmarkStart w:id="66"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66"/>
    </w:p>
    <w:p>
      <w:pPr>
        <w:pStyle w:val="7"/>
        <w:rPr>
          <w:rFonts w:ascii="仿宋" w:hAnsi="仿宋" w:eastAsia="仿宋"/>
          <w:b w:val="0"/>
        </w:rPr>
      </w:pPr>
      <w:bookmarkStart w:id="67"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67"/>
    </w:p>
    <w:p>
      <w:pPr>
        <w:pStyle w:val="7"/>
        <w:rPr>
          <w:rStyle w:val="32"/>
          <w:rFonts w:ascii="仿宋" w:hAnsi="仿宋" w:eastAsia="仿宋"/>
          <w:b w:val="0"/>
          <w:bCs w:val="0"/>
        </w:rPr>
      </w:pPr>
      <w:bookmarkStart w:id="68"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68"/>
      <w:bookmarkStart w:id="69" w:name="_Toc15396624"/>
    </w:p>
    <w:p>
      <w:pPr>
        <w:pStyle w:val="7"/>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69"/>
    </w:p>
    <w:p>
      <w:pPr>
        <w:pStyle w:val="7"/>
        <w:rPr>
          <w:rFonts w:ascii="仿宋" w:hAnsi="仿宋" w:eastAsia="仿宋"/>
        </w:rPr>
      </w:pPr>
      <w:bookmarkStart w:id="70"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70"/>
    </w:p>
    <w:p>
      <w:pPr>
        <w:pStyle w:val="7"/>
        <w:rPr>
          <w:rFonts w:ascii="仿宋" w:hAnsi="仿宋" w:eastAsia="仿宋"/>
        </w:rPr>
      </w:pPr>
      <w:bookmarkStart w:id="71"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71"/>
    </w:p>
    <w:p>
      <w:pPr>
        <w:pStyle w:val="7"/>
        <w:rPr>
          <w:rFonts w:ascii="仿宋" w:hAnsi="仿宋" w:eastAsia="仿宋"/>
        </w:rPr>
      </w:pPr>
      <w:bookmarkStart w:id="72"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72"/>
    </w:p>
    <w:p>
      <w:pPr>
        <w:pStyle w:val="7"/>
        <w:rPr>
          <w:rFonts w:ascii="仿宋" w:hAnsi="仿宋" w:eastAsia="仿宋"/>
        </w:rPr>
      </w:pPr>
      <w:bookmarkStart w:id="73" w:name="_Toc15396628"/>
      <w:r>
        <w:rPr>
          <w:rStyle w:val="32"/>
          <w:rFonts w:hint="eastAsia" w:ascii="仿宋" w:hAnsi="仿宋" w:eastAsia="仿宋"/>
          <w:b w:val="0"/>
          <w:bCs w:val="0"/>
        </w:rPr>
        <w:t>十、</w:t>
      </w:r>
      <w:r>
        <w:rPr>
          <w:rFonts w:hint="eastAsia" w:ascii="仿宋" w:hAnsi="仿宋" w:eastAsia="仿宋"/>
          <w:b w:val="0"/>
        </w:rPr>
        <w:t>一</w:t>
      </w:r>
      <w:r>
        <w:rPr>
          <w:rStyle w:val="32"/>
          <w:rFonts w:hint="eastAsia" w:ascii="仿宋" w:hAnsi="仿宋" w:eastAsia="仿宋"/>
          <w:b w:val="0"/>
          <w:bCs w:val="0"/>
        </w:rPr>
        <w:t>般公共预算财政拨款“三公”经费支出决算表</w:t>
      </w:r>
      <w:bookmarkEnd w:id="73"/>
    </w:p>
    <w:p>
      <w:pPr>
        <w:pStyle w:val="7"/>
        <w:rPr>
          <w:rFonts w:ascii="仿宋" w:hAnsi="仿宋" w:eastAsia="仿宋"/>
        </w:rPr>
      </w:pPr>
      <w:bookmarkStart w:id="74" w:name="_Toc15396629"/>
      <w:r>
        <w:rPr>
          <w:rStyle w:val="32"/>
          <w:rFonts w:hint="eastAsia" w:ascii="仿宋" w:hAnsi="仿宋" w:eastAsia="仿宋"/>
          <w:b w:val="0"/>
          <w:bCs w:val="0"/>
        </w:rPr>
        <w:t>十一、</w:t>
      </w:r>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74"/>
    </w:p>
    <w:p>
      <w:pPr>
        <w:pStyle w:val="7"/>
        <w:rPr>
          <w:rFonts w:ascii="仿宋" w:hAnsi="仿宋" w:eastAsia="仿宋"/>
        </w:rPr>
      </w:pPr>
      <w:bookmarkStart w:id="75" w:name="_Toc15396630"/>
      <w:r>
        <w:rPr>
          <w:rStyle w:val="32"/>
          <w:rFonts w:hint="eastAsia" w:ascii="仿宋" w:hAnsi="仿宋" w:eastAsia="仿宋"/>
          <w:b w:val="0"/>
          <w:bCs w:val="0"/>
        </w:rPr>
        <w:t>十二、</w:t>
      </w:r>
      <w:r>
        <w:rPr>
          <w:rFonts w:hint="eastAsia" w:ascii="仿宋" w:hAnsi="仿宋" w:eastAsia="仿宋"/>
          <w:b w:val="0"/>
        </w:rPr>
        <w:t>政</w:t>
      </w:r>
      <w:r>
        <w:rPr>
          <w:rStyle w:val="32"/>
          <w:rFonts w:hint="eastAsia" w:ascii="仿宋" w:hAnsi="仿宋" w:eastAsia="仿宋"/>
          <w:b w:val="0"/>
          <w:bCs w:val="0"/>
        </w:rPr>
        <w:t>府性基金预算财政拨款“三公”经费支出决算表</w:t>
      </w:r>
      <w:bookmarkEnd w:id="75"/>
    </w:p>
    <w:p>
      <w:pPr>
        <w:pStyle w:val="7"/>
        <w:rPr>
          <w:rStyle w:val="32"/>
          <w:rFonts w:ascii="仿宋" w:hAnsi="仿宋" w:eastAsia="仿宋"/>
          <w:b w:val="0"/>
          <w:bCs w:val="0"/>
        </w:rPr>
      </w:pPr>
      <w:bookmarkStart w:id="76" w:name="_Toc15396631"/>
      <w:r>
        <w:rPr>
          <w:rStyle w:val="32"/>
          <w:rFonts w:hint="eastAsia" w:ascii="仿宋" w:hAnsi="仿宋" w:eastAsia="仿宋"/>
          <w:b w:val="0"/>
          <w:bCs w:val="0"/>
        </w:rPr>
        <w:t>十三、</w:t>
      </w:r>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76"/>
    </w:p>
    <w:p>
      <w:pPr>
        <w:rPr>
          <w:rFonts w:eastAsia="仿宋"/>
        </w:rPr>
      </w:pPr>
      <w:r>
        <w:rPr>
          <w:rStyle w:val="32"/>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3"/>
          <w:jc w:val="center"/>
        </w:pPr>
        <w:r>
          <w:fldChar w:fldCharType="begin"/>
        </w:r>
        <w:r>
          <w:instrText xml:space="preserve">PAGE   \* MERGEFORMAT</w:instrText>
        </w:r>
        <w:r>
          <w:fldChar w:fldCharType="separate"/>
        </w:r>
        <w:r>
          <w:rPr>
            <w:lang w:val="zh-CN"/>
          </w:rPr>
          <w:t>12</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mMzgyNDU0MjE1YmRhOGRhNjg5NGM3YTkxYjVjOWMifQ=="/>
  </w:docVars>
  <w:rsids>
    <w:rsidRoot w:val="00F1361C"/>
    <w:rsid w:val="00000D48"/>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FD1"/>
    <w:rsid w:val="000D5782"/>
    <w:rsid w:val="000E6613"/>
    <w:rsid w:val="000E7119"/>
    <w:rsid w:val="00114E9B"/>
    <w:rsid w:val="001179EE"/>
    <w:rsid w:val="00142216"/>
    <w:rsid w:val="00144D6A"/>
    <w:rsid w:val="00146EB5"/>
    <w:rsid w:val="0014729F"/>
    <w:rsid w:val="00157BAB"/>
    <w:rsid w:val="001654D1"/>
    <w:rsid w:val="00174518"/>
    <w:rsid w:val="0018106D"/>
    <w:rsid w:val="001877A7"/>
    <w:rsid w:val="00191536"/>
    <w:rsid w:val="00196687"/>
    <w:rsid w:val="001A2CC3"/>
    <w:rsid w:val="001A78E8"/>
    <w:rsid w:val="001B3717"/>
    <w:rsid w:val="001C0962"/>
    <w:rsid w:val="001D079F"/>
    <w:rsid w:val="001D5AB3"/>
    <w:rsid w:val="001D7531"/>
    <w:rsid w:val="001E737D"/>
    <w:rsid w:val="001F0592"/>
    <w:rsid w:val="001F7506"/>
    <w:rsid w:val="002006CD"/>
    <w:rsid w:val="00202B36"/>
    <w:rsid w:val="00204B7A"/>
    <w:rsid w:val="00204CDE"/>
    <w:rsid w:val="0021101A"/>
    <w:rsid w:val="00216E0D"/>
    <w:rsid w:val="00220536"/>
    <w:rsid w:val="0023417F"/>
    <w:rsid w:val="00235629"/>
    <w:rsid w:val="00260C38"/>
    <w:rsid w:val="002616C0"/>
    <w:rsid w:val="00265372"/>
    <w:rsid w:val="002662AA"/>
    <w:rsid w:val="00280496"/>
    <w:rsid w:val="00294DC9"/>
    <w:rsid w:val="00295495"/>
    <w:rsid w:val="002A31DE"/>
    <w:rsid w:val="002B243B"/>
    <w:rsid w:val="002B2613"/>
    <w:rsid w:val="002D6D05"/>
    <w:rsid w:val="002F1118"/>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4A13"/>
    <w:rsid w:val="00427E55"/>
    <w:rsid w:val="00434489"/>
    <w:rsid w:val="00437085"/>
    <w:rsid w:val="00443880"/>
    <w:rsid w:val="004464F4"/>
    <w:rsid w:val="00461709"/>
    <w:rsid w:val="00471401"/>
    <w:rsid w:val="00472FBD"/>
    <w:rsid w:val="00473F31"/>
    <w:rsid w:val="0048263A"/>
    <w:rsid w:val="00487E5D"/>
    <w:rsid w:val="004A711F"/>
    <w:rsid w:val="004B199D"/>
    <w:rsid w:val="004B4690"/>
    <w:rsid w:val="004E0A2D"/>
    <w:rsid w:val="004E206B"/>
    <w:rsid w:val="004E6DF7"/>
    <w:rsid w:val="004F0FBD"/>
    <w:rsid w:val="004F6B29"/>
    <w:rsid w:val="00505A47"/>
    <w:rsid w:val="00512FDA"/>
    <w:rsid w:val="00517869"/>
    <w:rsid w:val="00520DA0"/>
    <w:rsid w:val="00543461"/>
    <w:rsid w:val="00560650"/>
    <w:rsid w:val="005664BB"/>
    <w:rsid w:val="00566FFA"/>
    <w:rsid w:val="0057481D"/>
    <w:rsid w:val="0058486E"/>
    <w:rsid w:val="00585B33"/>
    <w:rsid w:val="0059014D"/>
    <w:rsid w:val="005B5C64"/>
    <w:rsid w:val="005C5337"/>
    <w:rsid w:val="005C6BD0"/>
    <w:rsid w:val="005D1C8B"/>
    <w:rsid w:val="005D468D"/>
    <w:rsid w:val="005D5CED"/>
    <w:rsid w:val="005F1A4C"/>
    <w:rsid w:val="0060437F"/>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0822"/>
    <w:rsid w:val="006C1937"/>
    <w:rsid w:val="006D4282"/>
    <w:rsid w:val="006F020C"/>
    <w:rsid w:val="006F3AB1"/>
    <w:rsid w:val="007120E2"/>
    <w:rsid w:val="007127B7"/>
    <w:rsid w:val="0071798E"/>
    <w:rsid w:val="007416B6"/>
    <w:rsid w:val="00743545"/>
    <w:rsid w:val="00746F48"/>
    <w:rsid w:val="0075404D"/>
    <w:rsid w:val="0076182A"/>
    <w:rsid w:val="00767B7E"/>
    <w:rsid w:val="007770C3"/>
    <w:rsid w:val="00784D24"/>
    <w:rsid w:val="00785FBA"/>
    <w:rsid w:val="00786E4A"/>
    <w:rsid w:val="007875EB"/>
    <w:rsid w:val="0079426B"/>
    <w:rsid w:val="007D1682"/>
    <w:rsid w:val="007D1F30"/>
    <w:rsid w:val="007D312A"/>
    <w:rsid w:val="007D3F19"/>
    <w:rsid w:val="007D42DF"/>
    <w:rsid w:val="007E23B0"/>
    <w:rsid w:val="007E23E5"/>
    <w:rsid w:val="007E2FD7"/>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5DB0"/>
    <w:rsid w:val="00885AF4"/>
    <w:rsid w:val="008939CD"/>
    <w:rsid w:val="008A5FC1"/>
    <w:rsid w:val="008B6428"/>
    <w:rsid w:val="008B768C"/>
    <w:rsid w:val="008C4DB1"/>
    <w:rsid w:val="008C4EAF"/>
    <w:rsid w:val="008C5176"/>
    <w:rsid w:val="008C7FD0"/>
    <w:rsid w:val="008E1DE7"/>
    <w:rsid w:val="008E707C"/>
    <w:rsid w:val="00900B08"/>
    <w:rsid w:val="00902155"/>
    <w:rsid w:val="00902FA3"/>
    <w:rsid w:val="00916B4C"/>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5A19"/>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6D09"/>
    <w:rsid w:val="00B539E4"/>
    <w:rsid w:val="00B53C56"/>
    <w:rsid w:val="00B57DAF"/>
    <w:rsid w:val="00B7740E"/>
    <w:rsid w:val="00B77EA6"/>
    <w:rsid w:val="00B81598"/>
    <w:rsid w:val="00B841F1"/>
    <w:rsid w:val="00B944D6"/>
    <w:rsid w:val="00B945C3"/>
    <w:rsid w:val="00BA60E4"/>
    <w:rsid w:val="00BB4DF0"/>
    <w:rsid w:val="00BC289F"/>
    <w:rsid w:val="00BC2D50"/>
    <w:rsid w:val="00BC5361"/>
    <w:rsid w:val="00BC5460"/>
    <w:rsid w:val="00BC6B50"/>
    <w:rsid w:val="00BD0E25"/>
    <w:rsid w:val="00BF474B"/>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3009"/>
    <w:rsid w:val="00CB4E70"/>
    <w:rsid w:val="00CC09B6"/>
    <w:rsid w:val="00CC666F"/>
    <w:rsid w:val="00CD1E3F"/>
    <w:rsid w:val="00CE44F6"/>
    <w:rsid w:val="00CE49DA"/>
    <w:rsid w:val="00CE7B61"/>
    <w:rsid w:val="00D00095"/>
    <w:rsid w:val="00D114F0"/>
    <w:rsid w:val="00D20620"/>
    <w:rsid w:val="00D24E87"/>
    <w:rsid w:val="00D254F7"/>
    <w:rsid w:val="00D26091"/>
    <w:rsid w:val="00D2685C"/>
    <w:rsid w:val="00D34E7C"/>
    <w:rsid w:val="00D35489"/>
    <w:rsid w:val="00D36AFE"/>
    <w:rsid w:val="00D51276"/>
    <w:rsid w:val="00D7035F"/>
    <w:rsid w:val="00DA634F"/>
    <w:rsid w:val="00DA65AC"/>
    <w:rsid w:val="00DB067B"/>
    <w:rsid w:val="00DB1913"/>
    <w:rsid w:val="00DC410D"/>
    <w:rsid w:val="00DC5A81"/>
    <w:rsid w:val="00DC68CA"/>
    <w:rsid w:val="00DC7CBA"/>
    <w:rsid w:val="00DD73B7"/>
    <w:rsid w:val="00DE0367"/>
    <w:rsid w:val="00DE7502"/>
    <w:rsid w:val="00DF28BC"/>
    <w:rsid w:val="00DF34B9"/>
    <w:rsid w:val="00E01053"/>
    <w:rsid w:val="00E07ACF"/>
    <w:rsid w:val="00E331A1"/>
    <w:rsid w:val="00E33202"/>
    <w:rsid w:val="00E336A9"/>
    <w:rsid w:val="00E472B1"/>
    <w:rsid w:val="00E50624"/>
    <w:rsid w:val="00E50B19"/>
    <w:rsid w:val="00E568DF"/>
    <w:rsid w:val="00E64269"/>
    <w:rsid w:val="00E7338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35AE"/>
    <w:rsid w:val="00F2408F"/>
    <w:rsid w:val="00F240E9"/>
    <w:rsid w:val="00F36D8F"/>
    <w:rsid w:val="00F417B1"/>
    <w:rsid w:val="00F45853"/>
    <w:rsid w:val="00F4598F"/>
    <w:rsid w:val="00F602DF"/>
    <w:rsid w:val="00F605B7"/>
    <w:rsid w:val="00F754A1"/>
    <w:rsid w:val="00F81FD9"/>
    <w:rsid w:val="00F841AA"/>
    <w:rsid w:val="00F84A94"/>
    <w:rsid w:val="00F87E96"/>
    <w:rsid w:val="00FA23E8"/>
    <w:rsid w:val="00FD3CC1"/>
    <w:rsid w:val="00FF1E02"/>
    <w:rsid w:val="00FF30B4"/>
    <w:rsid w:val="066E0107"/>
    <w:rsid w:val="067C6FD8"/>
    <w:rsid w:val="07996F6E"/>
    <w:rsid w:val="0A2032A3"/>
    <w:rsid w:val="101860EC"/>
    <w:rsid w:val="10C055FF"/>
    <w:rsid w:val="115A7A74"/>
    <w:rsid w:val="118107EC"/>
    <w:rsid w:val="13D50BC4"/>
    <w:rsid w:val="155E1926"/>
    <w:rsid w:val="15815DA1"/>
    <w:rsid w:val="16BB723D"/>
    <w:rsid w:val="1BE8440E"/>
    <w:rsid w:val="1D155CEE"/>
    <w:rsid w:val="223131B1"/>
    <w:rsid w:val="23860B96"/>
    <w:rsid w:val="240371BF"/>
    <w:rsid w:val="29FD04D3"/>
    <w:rsid w:val="2C8A61B5"/>
    <w:rsid w:val="2DF04E50"/>
    <w:rsid w:val="319F7F4E"/>
    <w:rsid w:val="36AA5135"/>
    <w:rsid w:val="37E16F03"/>
    <w:rsid w:val="3D98207C"/>
    <w:rsid w:val="41DB5108"/>
    <w:rsid w:val="44E268DA"/>
    <w:rsid w:val="48E70D8E"/>
    <w:rsid w:val="49696857"/>
    <w:rsid w:val="4A627F82"/>
    <w:rsid w:val="4A91628C"/>
    <w:rsid w:val="4B4F25DA"/>
    <w:rsid w:val="4BDB440D"/>
    <w:rsid w:val="4BE068DB"/>
    <w:rsid w:val="4D577224"/>
    <w:rsid w:val="4EAB630A"/>
    <w:rsid w:val="4ECE2238"/>
    <w:rsid w:val="54455564"/>
    <w:rsid w:val="5AF92295"/>
    <w:rsid w:val="5CD71FC4"/>
    <w:rsid w:val="5E7A65F7"/>
    <w:rsid w:val="6A3E7A8A"/>
    <w:rsid w:val="6C4A05C8"/>
    <w:rsid w:val="6E7E3605"/>
    <w:rsid w:val="6FF5CC65"/>
    <w:rsid w:val="715C0E4B"/>
    <w:rsid w:val="72734D90"/>
    <w:rsid w:val="7300675E"/>
    <w:rsid w:val="73AD73D5"/>
    <w:rsid w:val="73B6EB34"/>
    <w:rsid w:val="79EE5BA4"/>
    <w:rsid w:val="7A894339"/>
    <w:rsid w:val="7EEF11D3"/>
    <w:rsid w:val="7FA30C79"/>
    <w:rsid w:val="7FC96657"/>
    <w:rsid w:val="D8D6DB89"/>
    <w:rsid w:val="DB6F4CAB"/>
    <w:rsid w:val="DF6F978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Calibri" w:hAnsi="Calibri" w:eastAsia="宋体"/>
      <w:sz w:val="21"/>
    </w:rPr>
  </w:style>
  <w:style w:type="paragraph" w:styleId="3">
    <w:name w:val="Body Text"/>
    <w:basedOn w:val="1"/>
    <w:link w:val="28"/>
    <w:qFormat/>
    <w:uiPriority w:val="99"/>
    <w:pPr>
      <w:spacing w:beforeLines="30"/>
    </w:pPr>
    <w:rPr>
      <w:rFonts w:ascii="仿宋_GB2312" w:eastAsia="仿宋_GB2312"/>
      <w:kern w:val="0"/>
      <w:sz w:val="30"/>
    </w:rPr>
  </w:style>
  <w:style w:type="paragraph" w:styleId="4">
    <w:name w:val="Body Text First Indent 2"/>
    <w:basedOn w:val="5"/>
    <w:unhideWhenUsed/>
    <w:uiPriority w:val="99"/>
    <w:pPr>
      <w:ind w:firstLine="420" w:firstLineChars="200"/>
    </w:pPr>
  </w:style>
  <w:style w:type="paragraph" w:styleId="5">
    <w:name w:val="Body Text Indent"/>
    <w:basedOn w:val="1"/>
    <w:unhideWhenUsed/>
    <w:uiPriority w:val="99"/>
    <w:pPr>
      <w:adjustRightInd w:val="0"/>
      <w:snapToGrid w:val="0"/>
      <w:spacing w:line="400" w:lineRule="exact"/>
      <w:ind w:firstLine="480" w:firstLineChars="200"/>
    </w:pPr>
    <w:rPr>
      <w:rFonts w:ascii="宋体" w:hAnsi="宋体" w:cs="宋体"/>
    </w:rPr>
  </w:style>
  <w:style w:type="paragraph" w:styleId="9">
    <w:name w:val="Salutation"/>
    <w:basedOn w:val="1"/>
    <w:next w:val="1"/>
    <w:unhideWhenUsed/>
    <w:qFormat/>
    <w:uiPriority w:val="99"/>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unhideWhenUsed/>
    <w:qFormat/>
    <w:uiPriority w:val="99"/>
    <w:rPr>
      <w:rFonts w:ascii="宋体" w:hAnsi="Courier New"/>
    </w:rPr>
  </w:style>
  <w:style w:type="paragraph" w:styleId="12">
    <w:name w:val="Balloon Text"/>
    <w:basedOn w:val="1"/>
    <w:link w:val="34"/>
    <w:unhideWhenUsed/>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unhideWhenUsed/>
    <w:qFormat/>
    <w:uiPriority w:val="99"/>
    <w:pPr>
      <w:spacing w:beforeAutospacing="1" w:afterAutospacing="1"/>
      <w:jc w:val="left"/>
    </w:pPr>
    <w:rPr>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rPr>
  </w:style>
  <w:style w:type="paragraph" w:customStyle="1" w:styleId="22">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4"/>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3"/>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3"/>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列出段落1"/>
    <w:basedOn w:val="1"/>
    <w:qFormat/>
    <w:uiPriority w:val="34"/>
    <w:pPr>
      <w:ind w:firstLine="420" w:firstLineChars="200"/>
    </w:pPr>
  </w:style>
  <w:style w:type="character" w:customStyle="1" w:styleId="31">
    <w:name w:val="标题 1 Char"/>
    <w:basedOn w:val="18"/>
    <w:link w:val="6"/>
    <w:qFormat/>
    <w:uiPriority w:val="9"/>
    <w:rPr>
      <w:rFonts w:ascii="Times New Roman" w:hAnsi="Times New Roman"/>
      <w:b/>
      <w:bCs/>
      <w:kern w:val="44"/>
      <w:sz w:val="44"/>
      <w:szCs w:val="44"/>
    </w:rPr>
  </w:style>
  <w:style w:type="character" w:customStyle="1" w:styleId="32">
    <w:name w:val="标题 2 Char"/>
    <w:basedOn w:val="18"/>
    <w:link w:val="7"/>
    <w:qFormat/>
    <w:uiPriority w:val="9"/>
    <w:rPr>
      <w:rFonts w:asciiTheme="majorHAnsi" w:hAnsiTheme="majorHAnsi" w:eastAsiaTheme="majorEastAsia" w:cstheme="majorBidi"/>
      <w:b/>
      <w:bCs/>
      <w:kern w:val="2"/>
      <w:sz w:val="32"/>
      <w:szCs w:val="32"/>
    </w:rPr>
  </w:style>
  <w:style w:type="paragraph" w:customStyle="1" w:styleId="33">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12"/>
    <w:semiHidden/>
    <w:qFormat/>
    <w:uiPriority w:val="99"/>
    <w:rPr>
      <w:rFonts w:ascii="Times New Roman" w:hAnsi="Times New Roman"/>
      <w:kern w:val="2"/>
      <w:sz w:val="18"/>
      <w:szCs w:val="18"/>
    </w:rPr>
  </w:style>
  <w:style w:type="character" w:customStyle="1" w:styleId="35">
    <w:name w:val="标题 3 Char"/>
    <w:basedOn w:val="18"/>
    <w:link w:val="8"/>
    <w:qFormat/>
    <w:uiPriority w:val="9"/>
    <w:rPr>
      <w:rFonts w:ascii="Times New Roman" w:hAnsi="Times New Roman"/>
      <w:b/>
      <w:bCs/>
      <w:kern w:val="2"/>
      <w:sz w:val="32"/>
      <w:szCs w:val="32"/>
    </w:rPr>
  </w:style>
  <w:style w:type="paragraph" w:customStyle="1" w:styleId="36">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fontstyle61"/>
    <w:qFormat/>
    <w:uiPriority w:val="0"/>
    <w:rPr>
      <w:rFonts w:hint="eastAsia" w:ascii="楷体_GB2312" w:eastAsia="楷体_GB2312"/>
      <w:color w:val="000000"/>
      <w:sz w:val="32"/>
      <w:szCs w:val="32"/>
    </w:rPr>
  </w:style>
  <w:style w:type="character" w:customStyle="1" w:styleId="38">
    <w:name w:val="fontstyle01"/>
    <w:qFormat/>
    <w:uiPriority w:val="0"/>
    <w:rPr>
      <w:rFonts w:hint="eastAsia" w:ascii="方正小标宋_GBK" w:eastAsia="方正小标宋_GBK"/>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12213</Words>
  <Characters>3900</Characters>
  <Lines>32</Lines>
  <Paragraphs>32</Paragraphs>
  <TotalTime>0</TotalTime>
  <ScaleCrop>false</ScaleCrop>
  <LinksUpToDate>false</LinksUpToDate>
  <CharactersWithSpaces>16081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2022-08-08T09:11:00Z</cp:lastPrinted>
  <dcterms:modified xsi:type="dcterms:W3CDTF">2023-10-07T03:11:04Z</dcterms:modified>
  <dc:title>四川省***</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4E7D7BB643864D41AFE6DF6AD5EF7F79</vt:lpwstr>
  </property>
</Properties>
</file>