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425"/>
      <w:bookmarkStart w:id="5" w:name="_Toc86156552"/>
      <w:bookmarkStart w:id="6" w:name="_Toc15377193"/>
      <w:r>
        <w:rPr>
          <w:rFonts w:ascii="黑体" w:hAnsi="黑体" w:eastAsia="黑体"/>
          <w:color w:val="000000"/>
          <w:sz w:val="72"/>
          <w:szCs w:val="72"/>
        </w:rPr>
        <w:t>20</w:t>
      </w:r>
      <w:r>
        <w:rPr>
          <w:rFonts w:hint="eastAsia" w:ascii="黑体" w:hAnsi="黑体" w:eastAsia="黑体"/>
          <w:color w:val="000000"/>
          <w:sz w:val="72"/>
          <w:szCs w:val="72"/>
        </w:rPr>
        <w:t>21</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194"/>
      <w:bookmarkStart w:id="8" w:name="_Toc15396476"/>
      <w:bookmarkStart w:id="9" w:name="_Toc86156553"/>
      <w:bookmarkStart w:id="10" w:name="_Toc15396598"/>
      <w:bookmarkStart w:id="11" w:name="_Toc15378442"/>
      <w:bookmarkStart w:id="12" w:name="_Toc15377426"/>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攀枝花市西区住房和城乡建设局部门决算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hint="eastAsia" w:eastAsia="方正小标宋_GBK" w:cs="方正小标宋_GBK"/>
          <w:b/>
          <w:bCs/>
          <w:color w:val="000000"/>
          <w:sz w:val="48"/>
          <w:szCs w:val="48"/>
        </w:rPr>
      </w:pPr>
      <w:r>
        <w:rPr>
          <w:rFonts w:ascii="方正小标宋简体" w:hAnsi="宋体" w:eastAsia="方正小标宋简体"/>
          <w:color w:val="000000"/>
          <w:sz w:val="36"/>
          <w:szCs w:val="36"/>
        </w:rPr>
        <w:br w:type="page"/>
      </w:r>
      <w:r>
        <w:rPr>
          <w:rFonts w:hint="eastAsia" w:ascii="仿宋_GB2312" w:hAnsi="仿宋_GB2312" w:eastAsia="仿宋_GB2312" w:cs="仿宋_GB2312"/>
          <w:b/>
          <w:bCs/>
          <w:color w:val="000000"/>
          <w:sz w:val="48"/>
          <w:szCs w:val="48"/>
        </w:rPr>
        <w:t>目录</w:t>
      </w:r>
    </w:p>
    <w:p>
      <w:pPr>
        <w:widowControl/>
        <w:jc w:val="center"/>
        <w:rPr>
          <w:rFonts w:ascii="黑体" w:hAnsi="黑体" w:eastAsia="黑体" w:cstheme="minorBidi"/>
          <w:sz w:val="28"/>
          <w:szCs w:val="28"/>
        </w:rPr>
      </w:pPr>
    </w:p>
    <w:p>
      <w:pPr>
        <w:pStyle w:val="11"/>
        <w:rPr>
          <w:rFonts w:hint="eastAsia" w:ascii="Times New Roman" w:hAnsi="Times New Roman" w:eastAsia="方正仿宋_GBK" w:cs="方正仿宋_GBK"/>
        </w:rPr>
      </w:pPr>
      <w:r>
        <w:rPr>
          <w:rFonts w:hint="eastAsia" w:ascii="仿宋_GB2312" w:hAnsi="仿宋_GB2312" w:eastAsia="仿宋_GB2312" w:cs="仿宋_GB2312"/>
        </w:rPr>
        <w:t>公开时间：2022年10月8日</w:t>
      </w:r>
    </w:p>
    <w:p>
      <w:pPr>
        <w:ind w:firstLine="420" w:firstLineChars="200"/>
        <w:rPr>
          <w:rFonts w:ascii="宋体" w:hAnsi="宋体"/>
        </w:rPr>
      </w:pP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第一部分  部门概况</w:t>
      </w:r>
      <w:r>
        <w:rPr>
          <w:rFonts w:ascii="Times New Roman" w:hAnsi="Times New Roman" w:eastAsia="方正仿宋_GBK" w:cs="Times New Roman"/>
          <w:sz w:val="24"/>
          <w:szCs w:val="24"/>
        </w:rPr>
        <w:t>………………………………………………………………</w:t>
      </w:r>
      <w:r>
        <w:rPr>
          <w:rFonts w:eastAsia="方正仿宋_GBK"/>
          <w:sz w:val="24"/>
          <w:szCs w:val="24"/>
        </w:rPr>
        <w:t>…</w:t>
      </w:r>
      <w:r>
        <w:rPr>
          <w:rFonts w:hint="eastAsia" w:ascii="Times New Roman" w:hAnsi="Times New Roman" w:eastAsia="方正仿宋_GBK" w:cs="Times New Roman"/>
          <w:sz w:val="24"/>
          <w:szCs w:val="24"/>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一、基本职能及主要工作</w:t>
      </w:r>
      <w:r>
        <w:rPr>
          <w:rFonts w:eastAsia="方正仿宋_GBK"/>
          <w:sz w:val="24"/>
          <w:szCs w:val="24"/>
        </w:rPr>
        <w:t>………………………………………………………</w:t>
      </w:r>
      <w:r>
        <w:rPr>
          <w:rFonts w:hint="eastAsia" w:eastAsia="方正仿宋_GBK"/>
          <w:sz w:val="24"/>
          <w:szCs w:val="24"/>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二、机构设置</w:t>
      </w:r>
      <w:r>
        <w:rPr>
          <w:rFonts w:eastAsia="方正仿宋_GBK"/>
          <w:sz w:val="24"/>
          <w:szCs w:val="24"/>
        </w:rPr>
        <w:t>………………………………………………………..……………</w:t>
      </w:r>
      <w:r>
        <w:rPr>
          <w:rFonts w:hint="eastAsia" w:eastAsia="方正仿宋_GBK"/>
          <w:sz w:val="24"/>
          <w:szCs w:val="24"/>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第二部分　2021年度部门决算情况说</w:t>
      </w:r>
      <w:r>
        <w:rPr>
          <w:rFonts w:hint="eastAsia" w:ascii="仿宋_GB2312" w:hAnsi="仿宋_GB2312" w:eastAsia="仿宋_GB2312" w:cs="仿宋_GB2312"/>
          <w:sz w:val="24"/>
          <w:szCs w:val="24"/>
          <w:lang w:val="en-US" w:eastAsia="zh-CN"/>
        </w:rPr>
        <w:t xml:space="preserve">  </w:t>
      </w:r>
      <w:bookmarkStart w:id="132" w:name="_GoBack"/>
      <w:bookmarkEnd w:id="132"/>
      <w:r>
        <w:rPr>
          <w:rFonts w:ascii="Times New Roman" w:hAnsi="Times New Roman" w:eastAsia="方正仿宋_GBK" w:cs="Times New Roman"/>
          <w:sz w:val="24"/>
          <w:szCs w:val="24"/>
        </w:rPr>
        <w:t>…………………………</w:t>
      </w:r>
      <w:r>
        <w:rPr>
          <w:rFonts w:eastAsia="方正仿宋_GBK"/>
          <w:sz w:val="24"/>
          <w:szCs w:val="24"/>
        </w:rPr>
        <w:t>..</w:t>
      </w:r>
      <w:r>
        <w:rPr>
          <w:rFonts w:ascii="Times New Roman" w:hAnsi="Times New Roman" w:eastAsia="方正仿宋_GBK" w:cs="Times New Roman"/>
          <w:sz w:val="24"/>
          <w:szCs w:val="24"/>
        </w:rPr>
        <w:t>……</w:t>
      </w:r>
      <w:r>
        <w:rPr>
          <w:rFonts w:eastAsia="方正仿宋_GBK"/>
          <w:sz w:val="24"/>
          <w:szCs w:val="24"/>
        </w:rPr>
        <w:t>..</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一、收入支出决算总体情况说明</w:t>
      </w:r>
      <w:r>
        <w:rPr>
          <w:rFonts w:eastAsia="方正仿宋_GBK"/>
          <w:sz w:val="24"/>
          <w:szCs w:val="24"/>
        </w:rPr>
        <w:t>……………………………………....………</w:t>
      </w:r>
      <w:r>
        <w:rPr>
          <w:rFonts w:hint="eastAsia" w:eastAsia="方正仿宋_GBK"/>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二、收入决算情况说明</w:t>
      </w:r>
      <w:r>
        <w:rPr>
          <w:rFonts w:eastAsia="方正仿宋_GBK"/>
          <w:sz w:val="24"/>
          <w:szCs w:val="24"/>
        </w:rPr>
        <w:t>………………………………………………..……....…</w:t>
      </w:r>
      <w:r>
        <w:rPr>
          <w:rFonts w:hint="eastAsia" w:eastAsia="方正仿宋_GBK"/>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三、支出决算情况说明</w:t>
      </w:r>
      <w:r>
        <w:rPr>
          <w:rFonts w:eastAsia="方正仿宋_GBK"/>
          <w:sz w:val="24"/>
          <w:szCs w:val="24"/>
        </w:rPr>
        <w:t>…………………………………………………..…..…</w:t>
      </w:r>
      <w:r>
        <w:rPr>
          <w:rFonts w:hint="eastAsia" w:eastAsia="方正仿宋_GBK"/>
          <w:sz w:val="24"/>
          <w:szCs w:val="24"/>
          <w:lang w:val="en-US" w:eastAsia="zh-CN"/>
        </w:rPr>
        <w:t>7</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四、财政拨款收入支出决算总体情况说明</w:t>
      </w:r>
      <w:r>
        <w:rPr>
          <w:rFonts w:eastAsia="方正仿宋_GBK"/>
          <w:sz w:val="24"/>
          <w:szCs w:val="24"/>
        </w:rPr>
        <w:t>……………………………..…..…</w:t>
      </w:r>
      <w:r>
        <w:rPr>
          <w:rFonts w:hint="eastAsia" w:eastAsia="方正仿宋_GBK"/>
          <w:sz w:val="24"/>
          <w:szCs w:val="24"/>
          <w:lang w:val="en-US" w:eastAsia="zh-CN"/>
        </w:rPr>
        <w:t>8</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五、一般公共预算财政拨款支出决算情况说明</w:t>
      </w:r>
      <w:r>
        <w:rPr>
          <w:rFonts w:eastAsia="方正仿宋_GBK"/>
          <w:sz w:val="24"/>
          <w:szCs w:val="24"/>
        </w:rPr>
        <w:t>………………………....……</w:t>
      </w:r>
      <w:r>
        <w:rPr>
          <w:rFonts w:hint="eastAsia" w:eastAsia="方正仿宋_GBK"/>
          <w:sz w:val="24"/>
          <w:szCs w:val="24"/>
          <w:lang w:val="en-US" w:eastAsia="zh-CN"/>
        </w:rPr>
        <w:t>9</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六、一般公共预算财政拨款基本支出决算情况说明</w:t>
      </w:r>
      <w:r>
        <w:rPr>
          <w:rFonts w:eastAsia="方正仿宋_GBK"/>
          <w:sz w:val="24"/>
          <w:szCs w:val="24"/>
        </w:rPr>
        <w:t>…………………..……1</w:t>
      </w:r>
      <w:r>
        <w:rPr>
          <w:rFonts w:hint="eastAsia" w:eastAsia="方正仿宋_GBK"/>
          <w:sz w:val="24"/>
          <w:szCs w:val="24"/>
          <w:lang w:val="en-US" w:eastAsia="zh-CN"/>
        </w:rPr>
        <w:t>3</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七、“三公”经费财政拨款支出决算情况说明</w:t>
      </w:r>
      <w:r>
        <w:rPr>
          <w:rFonts w:eastAsia="方正仿宋_GBK"/>
          <w:sz w:val="24"/>
          <w:szCs w:val="24"/>
        </w:rPr>
        <w:t>……………………………..…1</w:t>
      </w:r>
      <w:r>
        <w:rPr>
          <w:rFonts w:hint="eastAsia" w:eastAsia="方正仿宋_GBK"/>
          <w:sz w:val="24"/>
          <w:szCs w:val="24"/>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八、政府性基金预算支出决算情况说明</w:t>
      </w:r>
      <w:r>
        <w:rPr>
          <w:rFonts w:eastAsia="方正仿宋_GBK"/>
          <w:sz w:val="24"/>
          <w:szCs w:val="24"/>
        </w:rPr>
        <w:t>……………………………..………1</w:t>
      </w:r>
      <w:r>
        <w:rPr>
          <w:rFonts w:hint="eastAsia" w:eastAsia="方正仿宋_GBK"/>
          <w:sz w:val="24"/>
          <w:szCs w:val="24"/>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九、国有资本经营预算支出决算情况说明</w:t>
      </w:r>
      <w:r>
        <w:rPr>
          <w:rFonts w:eastAsia="方正仿宋_GBK"/>
          <w:sz w:val="24"/>
          <w:szCs w:val="24"/>
        </w:rPr>
        <w:t>…………………………………..1</w:t>
      </w:r>
      <w:r>
        <w:rPr>
          <w:rFonts w:hint="eastAsia" w:eastAsia="方正仿宋_GBK"/>
          <w:sz w:val="24"/>
          <w:szCs w:val="24"/>
          <w:lang w:val="en-US" w:eastAsia="zh-CN"/>
        </w:rPr>
        <w:t>6</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eastAsia="方正仿宋_GBK"/>
          <w:sz w:val="24"/>
          <w:szCs w:val="24"/>
          <w:lang w:eastAsia="zh-CN"/>
        </w:rPr>
      </w:pPr>
      <w:r>
        <w:rPr>
          <w:rFonts w:hint="eastAsia" w:ascii="仿宋_GB2312" w:hAnsi="仿宋_GB2312" w:eastAsia="仿宋_GB2312" w:cs="仿宋_GB2312"/>
          <w:kern w:val="2"/>
          <w:sz w:val="24"/>
          <w:szCs w:val="24"/>
          <w:lang w:val="en-US" w:eastAsia="zh-CN" w:bidi="ar-SA"/>
        </w:rPr>
        <w:t>十、其他重要事项的情况说明</w:t>
      </w:r>
      <w:r>
        <w:rPr>
          <w:rFonts w:eastAsia="方正仿宋_GBK"/>
          <w:sz w:val="24"/>
          <w:szCs w:val="24"/>
        </w:rPr>
        <w:t>…………………………………………….…..1</w:t>
      </w:r>
      <w:r>
        <w:rPr>
          <w:rFonts w:hint="eastAsia" w:eastAsia="方正仿宋_GBK"/>
          <w:sz w:val="24"/>
          <w:szCs w:val="24"/>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eastAsia" w:ascii="Times New Roman" w:hAnsi="Times New Roman" w:eastAsia="方正仿宋_GBK" w:cs="Times New Roman"/>
          <w:sz w:val="24"/>
          <w:szCs w:val="24"/>
          <w:lang w:eastAsia="zh-CN"/>
        </w:rPr>
      </w:pPr>
      <w:r>
        <w:rPr>
          <w:rFonts w:hint="eastAsia" w:ascii="仿宋_GB2312" w:hAnsi="仿宋_GB2312" w:eastAsia="仿宋_GB2312" w:cs="仿宋_GB2312"/>
          <w:sz w:val="24"/>
          <w:szCs w:val="24"/>
        </w:rPr>
        <w:t>第三部分　名词解释</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rPr>
        <w:t>第四部分　附件</w:t>
      </w:r>
      <w:r>
        <w:rPr>
          <w:rFonts w:ascii="Times New Roman" w:hAnsi="Times New Roman" w:eastAsia="方正仿宋_GBK" w:cs="Times New Roman"/>
          <w:sz w:val="24"/>
          <w:szCs w:val="24"/>
        </w:rPr>
        <w:t>…………………………………………………………………</w:t>
      </w:r>
      <w:r>
        <w:rPr>
          <w:rFonts w:eastAsia="方正仿宋_GBK"/>
          <w:sz w:val="24"/>
          <w:szCs w:val="24"/>
        </w:rPr>
        <w:t>.</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31</w:t>
      </w:r>
    </w:p>
    <w:p>
      <w:pPr>
        <w:pStyle w:val="11"/>
        <w:keepNext w:val="0"/>
        <w:keepLines w:val="0"/>
        <w:pageBreakBefore w:val="0"/>
        <w:widowControl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仿宋_GBK" w:cs="Times New Roman"/>
          <w:sz w:val="24"/>
          <w:szCs w:val="24"/>
          <w:lang w:val="en-US" w:eastAsia="zh-CN"/>
        </w:rPr>
      </w:pPr>
      <w:r>
        <w:rPr>
          <w:rFonts w:hint="eastAsia" w:ascii="仿宋_GB2312" w:hAnsi="仿宋_GB2312" w:eastAsia="仿宋_GB2312" w:cs="仿宋_GB2312"/>
          <w:sz w:val="24"/>
          <w:szCs w:val="24"/>
        </w:rPr>
        <w:t>第五部分　附表</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40</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一、收入支出决算总表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二、收入决算表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四、财政拨款收入支出决算总表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六、一般公共预算财政拨款支出决算表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七、一般公共预算财政拨款支出决算明细表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八、一般公共预算财政拨款基本支出决算表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九、一般公共预算财政拨款项目支出决算表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十、一般公共预算财政拨款“三公”经费支出决算表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十一、政府性基金预算财政拨款收入支出决算表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十二、政府性基金预算财政拨款“三公”经费支出决算表</w:t>
      </w:r>
    </w:p>
    <w:p>
      <w:pPr>
        <w:pStyle w:val="1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十三、国有资本经营预算财政拨款收入支出决算表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十四、国有资本经营预算财政拨款支出决算表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p>
    <w:p>
      <w:pPr>
        <w:pStyle w:val="2"/>
        <w:rPr>
          <w:rFonts w:hint="eastAsia"/>
        </w:rPr>
      </w:pPr>
    </w:p>
    <w:p>
      <w:pPr>
        <w:pStyle w:val="12"/>
        <w:adjustRightInd w:val="0"/>
        <w:snapToGrid w:val="0"/>
        <w:spacing w:line="440" w:lineRule="exact"/>
        <w:ind w:left="0" w:leftChars="0" w:firstLine="420" w:firstLineChars="200"/>
        <w:jc w:val="left"/>
        <w:rPr>
          <w:rFonts w:hint="eastAsia" w:ascii="仿宋_GB2312" w:hAnsi="仿宋_GB2312" w:eastAsia="仿宋_GB2312" w:cs="仿宋_GB2312"/>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sdt>
      <w:sdtPr>
        <w:rPr>
          <w:rFonts w:ascii="宋体" w:hAnsi="宋体"/>
        </w:rPr>
        <w:id w:val="147474680"/>
        <w:showingPlcHdr/>
        <w:docPartObj>
          <w:docPartGallery w:val="Table of Contents"/>
          <w:docPartUnique/>
        </w:docPartObj>
      </w:sdtPr>
      <w:sdtEndPr>
        <w:rPr>
          <w:rFonts w:ascii="Times New Roman" w:hAnsi="Times New Roman"/>
        </w:rPr>
      </w:sdtEndPr>
      <w:sdtContent>
        <w:p>
          <w:pPr>
            <w:ind w:firstLine="420" w:firstLineChars="200"/>
          </w:pPr>
        </w:p>
      </w:sdtContent>
    </w:sdt>
    <w:p>
      <w:pPr>
        <w:widowControl/>
        <w:spacing w:line="440" w:lineRule="exact"/>
        <w:jc w:val="center"/>
        <w:rPr>
          <w:rStyle w:val="26"/>
          <w:rFonts w:ascii="仿宋" w:hAnsi="仿宋" w:eastAsia="仿宋"/>
          <w:b w:val="0"/>
          <w:sz w:val="24"/>
          <w:szCs w:val="24"/>
        </w:rPr>
      </w:pPr>
      <w:r>
        <w:rPr>
          <w:rFonts w:hint="eastAsia" w:ascii="黑体" w:hAnsi="黑体" w:eastAsia="黑体"/>
          <w:sz w:val="44"/>
          <w:szCs w:val="44"/>
        </w:rPr>
        <w:t>第一部分</w:t>
      </w:r>
      <w:r>
        <w:rPr>
          <w:rStyle w:val="26"/>
          <w:rFonts w:hint="eastAsia" w:ascii="黑体" w:hAnsi="黑体" w:eastAsia="黑体"/>
        </w:rPr>
        <w:t>部门概况</w:t>
      </w:r>
    </w:p>
    <w:p>
      <w:pPr>
        <w:widowControl/>
        <w:jc w:val="center"/>
        <w:rPr>
          <w:rFonts w:ascii="黑体" w:eastAsia="黑体"/>
          <w:color w:val="000000"/>
          <w:sz w:val="32"/>
          <w:szCs w:val="32"/>
        </w:rPr>
      </w:pP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Style w:val="27"/>
          <w:rFonts w:ascii="仿宋" w:hAnsi="仿宋" w:eastAsia="仿宋"/>
          <w:b w:val="0"/>
          <w:bCs w:val="0"/>
        </w:rPr>
      </w:pPr>
      <w:bookmarkStart w:id="14" w:name="_Toc86156555"/>
      <w:bookmarkStart w:id="15" w:name="_Toc15377197"/>
      <w:bookmarkStart w:id="16"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bookmarkEnd w:id="16"/>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bCs/>
          <w:color w:val="000000"/>
          <w:sz w:val="32"/>
          <w:szCs w:val="32"/>
        </w:rPr>
      </w:pPr>
      <w:bookmarkStart w:id="17" w:name="_Toc15378445"/>
      <w:bookmarkStart w:id="18" w:name="_Toc15377198"/>
      <w:r>
        <w:rPr>
          <w:rFonts w:hint="eastAsia" w:ascii="仿宋" w:hAnsi="仿宋" w:eastAsia="仿宋"/>
          <w:bCs/>
          <w:color w:val="000000"/>
          <w:sz w:val="32"/>
          <w:szCs w:val="32"/>
        </w:rPr>
        <w:t>（一）主要职能</w:t>
      </w:r>
    </w:p>
    <w:bookmarkEnd w:id="17"/>
    <w:bookmarkEnd w:id="18"/>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bookmarkStart w:id="19" w:name="_Toc15378446"/>
      <w:bookmarkStart w:id="20" w:name="_Toc15377199"/>
      <w:r>
        <w:rPr>
          <w:rFonts w:hint="eastAsia" w:eastAsia="仿宋_GB2312"/>
          <w:spacing w:val="-4"/>
          <w:sz w:val="32"/>
          <w:szCs w:val="32"/>
        </w:rPr>
        <w:t xml:space="preserve">    （1）</w:t>
      </w:r>
      <w:r>
        <w:rPr>
          <w:rFonts w:eastAsia="仿宋_GB2312"/>
          <w:spacing w:val="-4"/>
          <w:sz w:val="32"/>
          <w:szCs w:val="32"/>
        </w:rPr>
        <w:t>贯彻国家、省、市住房与城乡建设的法律、法规和方针、政策，参与全区国民经济和社会发展规划编制相关工作，研究制定建设系统经济发展战略、中长期规划、年度计划和相关政策并组织实施。</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（2）</w:t>
      </w:r>
      <w:r>
        <w:rPr>
          <w:rFonts w:eastAsia="仿宋_GB2312"/>
          <w:spacing w:val="-4"/>
          <w:sz w:val="32"/>
          <w:szCs w:val="32"/>
        </w:rPr>
        <w:t>贯彻执行全市住房改革及住房保障政策；负责制定辖区住房保障实施方案并组织实施；负责辖区保障性住房建设的组织、协调、指导工作；负责辖区廉租住房分配、管理和补贴发放。</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（3）</w:t>
      </w:r>
      <w:r>
        <w:rPr>
          <w:rFonts w:eastAsia="仿宋_GB2312"/>
          <w:spacing w:val="-4"/>
          <w:sz w:val="32"/>
          <w:szCs w:val="32"/>
        </w:rPr>
        <w:t>承担权限范围内城乡建设管理职责。指导全区城乡建设，指导制定村镇中长期规划、年度计划及建设方案，并组织实施。负责建筑节能的监督管理工作。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w:t>
      </w:r>
      <w:r>
        <w:rPr>
          <w:rFonts w:eastAsia="仿宋_GB2312"/>
          <w:spacing w:val="-4"/>
          <w:sz w:val="32"/>
          <w:szCs w:val="32"/>
        </w:rPr>
        <w:t>4</w:t>
      </w:r>
      <w:r>
        <w:rPr>
          <w:rFonts w:hint="eastAsia" w:eastAsia="仿宋_GB2312"/>
          <w:spacing w:val="-4"/>
          <w:sz w:val="32"/>
          <w:szCs w:val="32"/>
        </w:rPr>
        <w:t>）</w:t>
      </w:r>
      <w:r>
        <w:rPr>
          <w:rFonts w:eastAsia="仿宋_GB2312"/>
          <w:spacing w:val="-4"/>
          <w:sz w:val="32"/>
          <w:szCs w:val="32"/>
        </w:rPr>
        <w:t>根据有关法规和政策研究拟定我区新区开发和旧城改造政策，按照城市规划拟定编制新区开发和旧城改造计划，经批准后抓好相关改造的落实；负责综合协调管理全区新区开发和旧城改造工作，并组织实施辖区国有土地上房屋征收与补偿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（5）</w:t>
      </w:r>
      <w:r>
        <w:rPr>
          <w:rFonts w:eastAsia="仿宋_GB2312"/>
          <w:spacing w:val="-4"/>
          <w:sz w:val="32"/>
          <w:szCs w:val="32"/>
        </w:rPr>
        <w:t>负责辖区建筑市场监督管理、规范市场行为。参与辖区各类工程项目招投标监督工作；参与建筑工地拖欠工程款和农民工工资清理工作。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（6）</w:t>
      </w:r>
      <w:r>
        <w:rPr>
          <w:rFonts w:eastAsia="仿宋_GB2312"/>
          <w:spacing w:val="-4"/>
          <w:sz w:val="32"/>
          <w:szCs w:val="32"/>
        </w:rPr>
        <w:t>承担权限范围内规范房地产市场秩序、监督管理房地产市场的责任。</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（7）</w:t>
      </w:r>
      <w:r>
        <w:rPr>
          <w:rFonts w:eastAsia="仿宋_GB2312"/>
          <w:spacing w:val="-4"/>
          <w:sz w:val="32"/>
          <w:szCs w:val="32"/>
        </w:rPr>
        <w:t>贯彻执行国家、省、市有关人民防空的方针、政策和法律、法规，负责组织实施全区人民防空工作。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（8）</w:t>
      </w:r>
      <w:r>
        <w:rPr>
          <w:rFonts w:eastAsia="仿宋_GB2312"/>
          <w:spacing w:val="-4"/>
          <w:sz w:val="32"/>
          <w:szCs w:val="32"/>
        </w:rPr>
        <w:t>负责建设工程消防设计备案抽查事项，负责建设工程消防竣工验收和验收备案抽查职责。</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（9）</w:t>
      </w:r>
      <w:r>
        <w:rPr>
          <w:rFonts w:eastAsia="仿宋_GB2312"/>
          <w:spacing w:val="-4"/>
          <w:sz w:val="32"/>
          <w:szCs w:val="32"/>
        </w:rPr>
        <w:t>承担采煤沉陷区居民搬迁安置职责。</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0</w:t>
      </w:r>
      <w:r>
        <w:rPr>
          <w:rFonts w:hint="eastAsia" w:eastAsia="仿宋_GB2312"/>
          <w:spacing w:val="-4"/>
          <w:sz w:val="32"/>
          <w:szCs w:val="32"/>
        </w:rPr>
        <w:t>）</w:t>
      </w:r>
      <w:r>
        <w:rPr>
          <w:rFonts w:eastAsia="仿宋_GB2312"/>
          <w:spacing w:val="-4"/>
          <w:sz w:val="32"/>
          <w:szCs w:val="32"/>
        </w:rPr>
        <w:t>负责职责范围内的安全生产和职业健康、生态环境保护、审批服务便民化等工作。</w:t>
      </w:r>
    </w:p>
    <w:p>
      <w:pPr>
        <w:pageBreakBefore w:val="0"/>
        <w:widowControl w:val="0"/>
        <w:kinsoku/>
        <w:wordWrap/>
        <w:overflowPunct/>
        <w:topLinePunct w:val="0"/>
        <w:autoSpaceDE/>
        <w:autoSpaceDN/>
        <w:bidi w:val="0"/>
        <w:spacing w:line="560" w:lineRule="exact"/>
        <w:textAlignment w:val="auto"/>
        <w:rPr>
          <w:rFonts w:eastAsia="仿宋_GB2312"/>
          <w:spacing w:val="-4"/>
          <w:sz w:val="32"/>
          <w:szCs w:val="32"/>
          <w:lang w:val="en-GB"/>
        </w:rPr>
      </w:pPr>
      <w:r>
        <w:rPr>
          <w:rFonts w:hint="eastAsia" w:eastAsia="仿宋_GB2312"/>
          <w:spacing w:val="-4"/>
          <w:sz w:val="32"/>
          <w:szCs w:val="32"/>
        </w:rPr>
        <w:t xml:space="preserve">    （1</w:t>
      </w:r>
      <w:r>
        <w:rPr>
          <w:rFonts w:eastAsia="仿宋_GB2312"/>
          <w:spacing w:val="-4"/>
          <w:sz w:val="32"/>
          <w:szCs w:val="32"/>
        </w:rPr>
        <w:t>1</w:t>
      </w:r>
      <w:r>
        <w:rPr>
          <w:rFonts w:hint="eastAsia" w:eastAsia="仿宋_GB2312"/>
          <w:spacing w:val="-4"/>
          <w:sz w:val="32"/>
          <w:szCs w:val="32"/>
        </w:rPr>
        <w:t>）</w:t>
      </w:r>
      <w:r>
        <w:rPr>
          <w:rFonts w:eastAsia="仿宋_GB2312"/>
          <w:spacing w:val="-4"/>
          <w:sz w:val="32"/>
          <w:szCs w:val="32"/>
        </w:rPr>
        <w:t>完成区委和区政府交办的其他任务。</w:t>
      </w:r>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21年重点工作完成情况</w:t>
      </w:r>
      <w:bookmarkEnd w:id="19"/>
      <w:bookmarkEnd w:id="20"/>
    </w:p>
    <w:p>
      <w:pPr>
        <w:pageBreakBefore w:val="0"/>
        <w:widowControl w:val="0"/>
        <w:kinsoku/>
        <w:wordWrap/>
        <w:overflowPunct/>
        <w:topLinePunct w:val="0"/>
        <w:autoSpaceDE/>
        <w:autoSpaceDN/>
        <w:bidi w:val="0"/>
        <w:spacing w:line="560" w:lineRule="exact"/>
        <w:ind w:firstLine="630"/>
        <w:textAlignment w:val="auto"/>
        <w:rPr>
          <w:rFonts w:eastAsia="仿宋_GB2312"/>
          <w:spacing w:val="-4"/>
          <w:sz w:val="32"/>
          <w:szCs w:val="32"/>
        </w:rPr>
      </w:pPr>
      <w:r>
        <w:rPr>
          <w:rFonts w:hint="eastAsia" w:eastAsia="楷体_GB2312"/>
          <w:sz w:val="32"/>
          <w:szCs w:val="32"/>
        </w:rPr>
        <w:t>（1）加</w:t>
      </w:r>
      <w:r>
        <w:rPr>
          <w:rFonts w:eastAsia="仿宋_GB2312"/>
          <w:spacing w:val="-4"/>
          <w:sz w:val="32"/>
          <w:szCs w:val="32"/>
        </w:rPr>
        <w:t>快推进良泓西郡、新·都汇项目、兴想·江山名筑、华恒中央公园5个在建商品房项目</w:t>
      </w:r>
      <w:r>
        <w:rPr>
          <w:rFonts w:hint="eastAsia" w:eastAsia="仿宋_GB2312"/>
          <w:spacing w:val="-4"/>
          <w:sz w:val="32"/>
          <w:szCs w:val="32"/>
        </w:rPr>
        <w:t>建设</w:t>
      </w:r>
      <w:r>
        <w:rPr>
          <w:rFonts w:eastAsia="仿宋_GB2312"/>
          <w:spacing w:val="-4"/>
          <w:sz w:val="32"/>
          <w:szCs w:val="32"/>
        </w:rPr>
        <w:t>。</w:t>
      </w:r>
    </w:p>
    <w:p>
      <w:pPr>
        <w:pageBreakBefore w:val="0"/>
        <w:widowControl w:val="0"/>
        <w:kinsoku/>
        <w:wordWrap/>
        <w:overflowPunct/>
        <w:topLinePunct w:val="0"/>
        <w:autoSpaceDE/>
        <w:autoSpaceDN/>
        <w:bidi w:val="0"/>
        <w:spacing w:line="560" w:lineRule="exact"/>
        <w:ind w:firstLine="630"/>
        <w:textAlignment w:val="auto"/>
        <w:rPr>
          <w:rFonts w:eastAsia="仿宋_GB2312"/>
          <w:spacing w:val="-4"/>
          <w:sz w:val="32"/>
          <w:szCs w:val="32"/>
        </w:rPr>
      </w:pPr>
      <w:r>
        <w:rPr>
          <w:rFonts w:hint="eastAsia" w:eastAsia="仿宋_GB2312"/>
          <w:spacing w:val="-4"/>
          <w:sz w:val="32"/>
          <w:szCs w:val="32"/>
        </w:rPr>
        <w:t>（2）</w:t>
      </w:r>
      <w:r>
        <w:rPr>
          <w:rFonts w:hint="eastAsia" w:ascii="仿宋_GB2312" w:eastAsia="仿宋_GB2312"/>
          <w:spacing w:val="-4"/>
          <w:sz w:val="32"/>
          <w:szCs w:val="32"/>
        </w:rPr>
        <w:t>加快城市基础设施建设，</w:t>
      </w:r>
      <w:r>
        <w:rPr>
          <w:rFonts w:hint="eastAsia" w:eastAsia="仿宋_GB2312"/>
          <w:spacing w:val="-4"/>
          <w:sz w:val="32"/>
          <w:szCs w:val="32"/>
        </w:rPr>
        <w:t>完成</w:t>
      </w:r>
      <w:r>
        <w:rPr>
          <w:rFonts w:eastAsia="仿宋_GB2312"/>
          <w:spacing w:val="-4"/>
          <w:sz w:val="32"/>
          <w:szCs w:val="32"/>
        </w:rPr>
        <w:t>格里坪小区环线道路工程</w:t>
      </w:r>
      <w:r>
        <w:rPr>
          <w:rFonts w:hint="eastAsia" w:eastAsia="仿宋_GB2312"/>
          <w:spacing w:val="-4"/>
          <w:sz w:val="32"/>
          <w:szCs w:val="32"/>
        </w:rPr>
        <w:t>；完成</w:t>
      </w:r>
      <w:r>
        <w:rPr>
          <w:rFonts w:eastAsia="仿宋_GB2312"/>
          <w:spacing w:val="-4"/>
          <w:sz w:val="32"/>
          <w:szCs w:val="32"/>
        </w:rPr>
        <w:t>河门口配套基础设施项目</w:t>
      </w:r>
      <w:r>
        <w:rPr>
          <w:rFonts w:hint="eastAsia" w:eastAsia="仿宋_GB2312"/>
          <w:spacing w:val="-4"/>
          <w:sz w:val="32"/>
          <w:szCs w:val="32"/>
        </w:rPr>
        <w:t>、</w:t>
      </w:r>
      <w:r>
        <w:rPr>
          <w:rFonts w:eastAsia="仿宋_GB2312"/>
          <w:spacing w:val="-4"/>
          <w:sz w:val="32"/>
          <w:szCs w:val="32"/>
        </w:rPr>
        <w:t>格里坪镇镇街环境打造项目</w:t>
      </w:r>
      <w:r>
        <w:rPr>
          <w:rFonts w:hint="eastAsia" w:eastAsia="仿宋_GB2312"/>
          <w:spacing w:val="-4"/>
          <w:sz w:val="32"/>
          <w:szCs w:val="32"/>
        </w:rPr>
        <w:t>、</w:t>
      </w:r>
      <w:r>
        <w:rPr>
          <w:rFonts w:eastAsia="仿宋_GB2312"/>
          <w:spacing w:val="-4"/>
          <w:sz w:val="32"/>
          <w:szCs w:val="32"/>
        </w:rPr>
        <w:t>金家村弹石路改造工程</w:t>
      </w:r>
      <w:r>
        <w:rPr>
          <w:rFonts w:hint="eastAsia" w:eastAsia="仿宋_GB2312"/>
          <w:spacing w:val="-4"/>
          <w:sz w:val="32"/>
          <w:szCs w:val="32"/>
        </w:rPr>
        <w:t>、</w:t>
      </w:r>
      <w:r>
        <w:rPr>
          <w:rFonts w:eastAsia="仿宋_GB2312"/>
          <w:spacing w:val="-4"/>
          <w:sz w:val="32"/>
          <w:szCs w:val="32"/>
        </w:rPr>
        <w:t>路南社区小广场</w:t>
      </w:r>
      <w:r>
        <w:rPr>
          <w:rFonts w:hint="eastAsia" w:eastAsia="仿宋_GB2312"/>
          <w:spacing w:val="-4"/>
          <w:sz w:val="32"/>
          <w:szCs w:val="32"/>
        </w:rPr>
        <w:t>的验收等基础设施建设。</w:t>
      </w:r>
    </w:p>
    <w:p>
      <w:pPr>
        <w:pageBreakBefore w:val="0"/>
        <w:widowControl w:val="0"/>
        <w:kinsoku/>
        <w:wordWrap/>
        <w:overflowPunct/>
        <w:topLinePunct w:val="0"/>
        <w:autoSpaceDE/>
        <w:autoSpaceDN/>
        <w:bidi w:val="0"/>
        <w:spacing w:line="560" w:lineRule="exact"/>
        <w:ind w:firstLine="630"/>
        <w:textAlignment w:val="auto"/>
        <w:rPr>
          <w:rFonts w:eastAsia="仿宋_GB2312"/>
          <w:spacing w:val="-4"/>
          <w:sz w:val="32"/>
          <w:szCs w:val="32"/>
        </w:rPr>
      </w:pPr>
      <w:r>
        <w:rPr>
          <w:rFonts w:hint="eastAsia" w:eastAsia="仿宋_GB2312"/>
          <w:spacing w:val="-4"/>
          <w:sz w:val="32"/>
          <w:szCs w:val="32"/>
        </w:rPr>
        <w:t>（3）</w:t>
      </w:r>
      <w:r>
        <w:rPr>
          <w:rFonts w:eastAsia="仿宋_GB2312"/>
          <w:spacing w:val="-4"/>
          <w:sz w:val="32"/>
          <w:szCs w:val="32"/>
        </w:rPr>
        <w:t>加快推进保障性住房项目建设</w:t>
      </w:r>
      <w:r>
        <w:rPr>
          <w:rFonts w:hint="eastAsia" w:eastAsia="仿宋_GB2312"/>
          <w:spacing w:val="-4"/>
          <w:sz w:val="32"/>
          <w:szCs w:val="32"/>
        </w:rPr>
        <w:t>，完成2021年公共租赁住房分配工作。</w:t>
      </w:r>
    </w:p>
    <w:p>
      <w:pPr>
        <w:pageBreakBefore w:val="0"/>
        <w:widowControl w:val="0"/>
        <w:kinsoku/>
        <w:wordWrap/>
        <w:overflowPunct/>
        <w:topLinePunct w:val="0"/>
        <w:autoSpaceDE/>
        <w:autoSpaceDN/>
        <w:bidi w:val="0"/>
        <w:spacing w:line="560" w:lineRule="exact"/>
        <w:ind w:firstLine="630"/>
        <w:textAlignment w:val="auto"/>
        <w:rPr>
          <w:rFonts w:hint="eastAsia" w:eastAsia="仿宋_GB2312"/>
          <w:spacing w:val="-4"/>
          <w:sz w:val="32"/>
          <w:szCs w:val="32"/>
        </w:rPr>
      </w:pPr>
      <w:r>
        <w:rPr>
          <w:rFonts w:hint="eastAsia" w:eastAsia="仿宋_GB2312"/>
          <w:spacing w:val="-4"/>
          <w:sz w:val="32"/>
          <w:szCs w:val="32"/>
        </w:rPr>
        <w:t>（</w:t>
      </w:r>
      <w:r>
        <w:rPr>
          <w:rFonts w:hint="eastAsia" w:eastAsia="仿宋_GB2312"/>
          <w:spacing w:val="-4"/>
          <w:sz w:val="32"/>
          <w:szCs w:val="32"/>
          <w:lang w:val="en-US" w:eastAsia="zh-CN"/>
        </w:rPr>
        <w:t>4</w:t>
      </w:r>
      <w:r>
        <w:rPr>
          <w:rFonts w:hint="eastAsia" w:eastAsia="仿宋_GB2312"/>
          <w:spacing w:val="-4"/>
          <w:sz w:val="32"/>
          <w:szCs w:val="32"/>
        </w:rPr>
        <w:t>）</w:t>
      </w:r>
      <w:r>
        <w:rPr>
          <w:rFonts w:hint="eastAsia" w:ascii="仿宋_GB2312" w:eastAsia="仿宋_GB2312"/>
          <w:spacing w:val="-4"/>
          <w:sz w:val="32"/>
          <w:szCs w:val="32"/>
        </w:rPr>
        <w:t>加快推进棚改工作</w:t>
      </w:r>
      <w:r>
        <w:rPr>
          <w:rFonts w:hint="eastAsia" w:eastAsia="仿宋_GB2312"/>
          <w:spacing w:val="-4"/>
          <w:sz w:val="32"/>
          <w:szCs w:val="32"/>
        </w:rPr>
        <w:t>，</w:t>
      </w:r>
      <w:r>
        <w:rPr>
          <w:rFonts w:eastAsia="仿宋_GB2312"/>
          <w:spacing w:val="-4"/>
          <w:sz w:val="32"/>
          <w:szCs w:val="32"/>
        </w:rPr>
        <w:t>加快棚改报账</w:t>
      </w:r>
      <w:r>
        <w:rPr>
          <w:rFonts w:hint="eastAsia" w:eastAsia="仿宋_GB2312"/>
          <w:spacing w:val="-4"/>
          <w:sz w:val="32"/>
          <w:szCs w:val="32"/>
        </w:rPr>
        <w:t>，</w:t>
      </w:r>
      <w:r>
        <w:rPr>
          <w:rFonts w:eastAsia="仿宋_GB2312"/>
          <w:spacing w:val="-4"/>
          <w:sz w:val="32"/>
          <w:szCs w:val="32"/>
        </w:rPr>
        <w:t>实施棚改腾空区房屋拆除</w:t>
      </w:r>
      <w:r>
        <w:rPr>
          <w:rFonts w:hint="eastAsia" w:eastAsia="仿宋_GB2312"/>
          <w:spacing w:val="-4"/>
          <w:sz w:val="32"/>
          <w:szCs w:val="32"/>
        </w:rPr>
        <w:t>工作。</w:t>
      </w:r>
    </w:p>
    <w:p>
      <w:pPr>
        <w:pageBreakBefore w:val="0"/>
        <w:widowControl w:val="0"/>
        <w:kinsoku/>
        <w:wordWrap/>
        <w:overflowPunct/>
        <w:topLinePunct w:val="0"/>
        <w:autoSpaceDE/>
        <w:autoSpaceDN/>
        <w:bidi w:val="0"/>
        <w:spacing w:line="560" w:lineRule="exact"/>
        <w:ind w:firstLine="630"/>
        <w:textAlignment w:val="auto"/>
        <w:rPr>
          <w:rFonts w:hint="eastAsia" w:eastAsia="仿宋_GB2312"/>
          <w:spacing w:val="-4"/>
          <w:sz w:val="32"/>
          <w:szCs w:val="32"/>
        </w:rPr>
      </w:pPr>
      <w:r>
        <w:rPr>
          <w:rFonts w:hint="eastAsia" w:eastAsia="仿宋_GB2312"/>
          <w:spacing w:val="-4"/>
          <w:sz w:val="32"/>
          <w:szCs w:val="32"/>
        </w:rPr>
        <w:t>（</w:t>
      </w:r>
      <w:r>
        <w:rPr>
          <w:rFonts w:hint="eastAsia" w:eastAsia="仿宋_GB2312"/>
          <w:spacing w:val="-4"/>
          <w:sz w:val="32"/>
          <w:szCs w:val="32"/>
          <w:lang w:val="en-US" w:eastAsia="zh-CN"/>
        </w:rPr>
        <w:t>5</w:t>
      </w:r>
      <w:r>
        <w:rPr>
          <w:rFonts w:hint="eastAsia" w:eastAsia="仿宋_GB2312"/>
          <w:spacing w:val="-4"/>
          <w:sz w:val="32"/>
          <w:szCs w:val="32"/>
        </w:rPr>
        <w:t>）</w:t>
      </w:r>
      <w:r>
        <w:rPr>
          <w:rFonts w:eastAsia="仿宋_GB2312"/>
          <w:spacing w:val="-4"/>
          <w:sz w:val="32"/>
          <w:szCs w:val="32"/>
        </w:rPr>
        <w:t>加快推进“三供一业”改造</w:t>
      </w:r>
      <w:r>
        <w:rPr>
          <w:rFonts w:hint="eastAsia" w:eastAsia="仿宋_GB2312"/>
          <w:spacing w:val="-4"/>
          <w:sz w:val="32"/>
          <w:szCs w:val="32"/>
        </w:rPr>
        <w:t>分离移交工作。</w:t>
      </w:r>
    </w:p>
    <w:p>
      <w:pPr>
        <w:pageBreakBefore w:val="0"/>
        <w:widowControl w:val="0"/>
        <w:kinsoku/>
        <w:wordWrap/>
        <w:overflowPunct/>
        <w:topLinePunct w:val="0"/>
        <w:autoSpaceDE/>
        <w:autoSpaceDN/>
        <w:bidi w:val="0"/>
        <w:spacing w:line="560" w:lineRule="exact"/>
        <w:ind w:firstLine="630"/>
        <w:textAlignment w:val="auto"/>
        <w:rPr>
          <w:rFonts w:eastAsia="仿宋_GB2312"/>
          <w:sz w:val="32"/>
          <w:szCs w:val="32"/>
        </w:rPr>
      </w:pPr>
      <w:r>
        <w:rPr>
          <w:rFonts w:hint="eastAsia" w:eastAsia="仿宋_GB2312"/>
          <w:spacing w:val="-4"/>
          <w:sz w:val="32"/>
          <w:szCs w:val="32"/>
        </w:rPr>
        <w:t>（</w:t>
      </w:r>
      <w:r>
        <w:rPr>
          <w:rFonts w:hint="eastAsia" w:eastAsia="仿宋_GB2312"/>
          <w:spacing w:val="-4"/>
          <w:sz w:val="32"/>
          <w:szCs w:val="32"/>
          <w:lang w:val="en-US" w:eastAsia="zh-CN"/>
        </w:rPr>
        <w:t>6</w:t>
      </w:r>
      <w:r>
        <w:rPr>
          <w:rFonts w:hint="eastAsia" w:eastAsia="仿宋_GB2312"/>
          <w:spacing w:val="-4"/>
          <w:sz w:val="32"/>
          <w:szCs w:val="32"/>
        </w:rPr>
        <w:t>）</w:t>
      </w:r>
      <w:r>
        <w:rPr>
          <w:rFonts w:hint="eastAsia" w:ascii="仿宋_GB2312" w:eastAsia="仿宋_GB2312"/>
          <w:spacing w:val="-4"/>
          <w:sz w:val="32"/>
          <w:szCs w:val="32"/>
        </w:rPr>
        <w:t>加快推进大水井新区项目</w:t>
      </w:r>
      <w:r>
        <w:rPr>
          <w:rFonts w:ascii="楷体_GB2312" w:eastAsia="楷体_GB2312"/>
          <w:spacing w:val="-4"/>
          <w:sz w:val="32"/>
          <w:szCs w:val="32"/>
        </w:rPr>
        <w:t>。</w:t>
      </w:r>
      <w:r>
        <w:rPr>
          <w:rFonts w:eastAsia="仿宋_GB2312"/>
          <w:spacing w:val="-4"/>
          <w:sz w:val="32"/>
          <w:szCs w:val="32"/>
        </w:rPr>
        <w:t>一是完成大水井</w:t>
      </w:r>
      <w:r>
        <w:rPr>
          <w:rFonts w:hint="eastAsia" w:eastAsia="仿宋_GB2312"/>
          <w:spacing w:val="-4"/>
          <w:sz w:val="32"/>
          <w:szCs w:val="32"/>
        </w:rPr>
        <w:t>片区征地拆迁工作</w:t>
      </w:r>
      <w:r>
        <w:rPr>
          <w:rFonts w:eastAsia="仿宋_GB2312"/>
          <w:spacing w:val="-4"/>
          <w:sz w:val="32"/>
          <w:szCs w:val="32"/>
        </w:rPr>
        <w:t>，并完成大水井片区部分地块出让。二是大水井新区内部道路系统项目</w:t>
      </w:r>
      <w:r>
        <w:rPr>
          <w:rFonts w:hint="eastAsia" w:eastAsia="仿宋_GB2312"/>
          <w:spacing w:val="-4"/>
          <w:sz w:val="32"/>
          <w:szCs w:val="32"/>
        </w:rPr>
        <w:t>一标段、二标段进场施工</w:t>
      </w:r>
      <w:r>
        <w:rPr>
          <w:rFonts w:eastAsia="仿宋_GB2312"/>
          <w:spacing w:val="-4"/>
          <w:sz w:val="32"/>
          <w:szCs w:val="32"/>
        </w:rPr>
        <w:t>。</w:t>
      </w:r>
      <w:r>
        <w:rPr>
          <w:rFonts w:hint="eastAsia" w:eastAsia="仿宋_GB2312"/>
          <w:spacing w:val="-4"/>
          <w:sz w:val="32"/>
          <w:szCs w:val="32"/>
        </w:rPr>
        <w:t>三是攀枝花市金沙湖片区基础设施项目进场施工。</w:t>
      </w:r>
    </w:p>
    <w:p>
      <w:pPr>
        <w:pStyle w:val="4"/>
        <w:pageBreakBefore w:val="0"/>
        <w:widowControl w:val="0"/>
        <w:kinsoku/>
        <w:wordWrap/>
        <w:overflowPunct/>
        <w:topLinePunct w:val="0"/>
        <w:autoSpaceDE/>
        <w:autoSpaceDN/>
        <w:bidi w:val="0"/>
        <w:spacing w:before="0" w:after="0" w:line="560" w:lineRule="exact"/>
        <w:ind w:firstLine="640" w:firstLineChars="200"/>
        <w:textAlignment w:val="auto"/>
        <w:rPr>
          <w:rStyle w:val="27"/>
          <w:b w:val="0"/>
          <w:bCs w:val="0"/>
        </w:rPr>
      </w:pPr>
      <w:bookmarkStart w:id="21" w:name="_Toc15396601"/>
      <w:bookmarkStart w:id="22" w:name="_Toc86156556"/>
      <w:bookmarkStart w:id="23"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1"/>
      <w:bookmarkEnd w:id="22"/>
      <w:bookmarkEnd w:id="23"/>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西区住房和城乡建设局下属二级单位2个，其中行政单位0个，参照公务员法管理的事业单位</w:t>
      </w:r>
      <w:r>
        <w:rPr>
          <w:rFonts w:hint="eastAsia" w:ascii="仿宋_GB2312" w:hAnsi="仿宋" w:eastAsia="仿宋_GB2312"/>
          <w:bCs/>
          <w:sz w:val="32"/>
          <w:szCs w:val="32"/>
        </w:rPr>
        <w:t>0</w:t>
      </w:r>
      <w:r>
        <w:rPr>
          <w:rFonts w:hint="eastAsia" w:ascii="仿宋_GB2312" w:hAnsi="仿宋" w:eastAsia="仿宋_GB2312"/>
          <w:sz w:val="32"/>
          <w:szCs w:val="32"/>
        </w:rPr>
        <w:t>个，其他事业单位2个。</w:t>
      </w:r>
    </w:p>
    <w:p>
      <w:pPr>
        <w:pStyle w:val="2"/>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rPr>
          <w:rFonts w:ascii="仿宋" w:hAnsi="仿宋" w:eastAsia="仿宋"/>
          <w:color w:val="000000"/>
          <w:sz w:val="32"/>
          <w:szCs w:val="32"/>
        </w:rPr>
      </w:pPr>
      <w:r>
        <w:rPr>
          <w:rFonts w:hint="eastAsia" w:hAnsi="仿宋"/>
          <w:color w:val="000000"/>
          <w:sz w:val="32"/>
          <w:szCs w:val="32"/>
        </w:rPr>
        <w:t>纳入</w:t>
      </w:r>
      <w:r>
        <w:rPr>
          <w:rFonts w:hint="eastAsia" w:hAnsi="仿宋"/>
          <w:sz w:val="32"/>
          <w:szCs w:val="32"/>
        </w:rPr>
        <w:t>西区住房和城乡建设局</w:t>
      </w:r>
      <w:r>
        <w:rPr>
          <w:rFonts w:hint="eastAsia" w:hAnsi="仿宋"/>
          <w:color w:val="000000"/>
          <w:sz w:val="32"/>
          <w:szCs w:val="32"/>
        </w:rPr>
        <w:t>2021年度部门决算编制范围的二级预算单位包括：攀枝花市西区城市建设服务中心。</w:t>
      </w:r>
    </w:p>
    <w:p>
      <w:pPr>
        <w:widowControl/>
        <w:jc w:val="left"/>
        <w:rPr>
          <w:rFonts w:ascii="仿宋" w:hAnsi="仿宋" w:eastAsia="仿宋"/>
          <w:color w:val="000000"/>
          <w:kern w:val="0"/>
          <w:sz w:val="32"/>
          <w:szCs w:val="32"/>
        </w:rPr>
      </w:pPr>
    </w:p>
    <w:p>
      <w:pPr>
        <w:pStyle w:val="3"/>
        <w:ind w:right="880"/>
        <w:jc w:val="center"/>
        <w:rPr>
          <w:rStyle w:val="26"/>
          <w:rFonts w:ascii="黑体" w:hAnsi="黑体" w:eastAsia="黑体"/>
          <w:b w:val="0"/>
          <w:bCs w:val="0"/>
        </w:rPr>
      </w:pPr>
      <w:bookmarkStart w:id="24" w:name="_Toc15396602"/>
      <w:bookmarkStart w:id="25" w:name="_Toc15377204"/>
      <w:bookmarkStart w:id="26" w:name="_Toc86156557"/>
      <w:r>
        <w:rPr>
          <w:rFonts w:hint="eastAsia" w:ascii="黑体" w:hAnsi="黑体" w:eastAsia="黑体"/>
          <w:b w:val="0"/>
          <w:color w:val="000000"/>
        </w:rPr>
        <w:t>第二部分</w:t>
      </w:r>
      <w:r>
        <w:rPr>
          <w:rStyle w:val="26"/>
          <w:rFonts w:hint="eastAsia" w:ascii="黑体" w:hAnsi="黑体" w:eastAsia="黑体"/>
          <w:b w:val="0"/>
          <w:bCs w:val="0"/>
        </w:rPr>
        <w:t>2021年度部门决算情况说明</w:t>
      </w:r>
      <w:bookmarkEnd w:id="24"/>
      <w:bookmarkEnd w:id="25"/>
      <w:bookmarkEnd w:id="26"/>
    </w:p>
    <w:p>
      <w:pPr>
        <w:pStyle w:val="25"/>
        <w:numPr>
          <w:ilvl w:val="0"/>
          <w:numId w:val="1"/>
        </w:numPr>
        <w:spacing w:line="600" w:lineRule="exact"/>
        <w:ind w:firstLineChars="0"/>
        <w:outlineLvl w:val="1"/>
        <w:rPr>
          <w:rStyle w:val="27"/>
          <w:rFonts w:ascii="黑体" w:hAnsi="黑体" w:eastAsia="黑体"/>
          <w:b w:val="0"/>
        </w:rPr>
      </w:pPr>
      <w:bookmarkStart w:id="27" w:name="_Toc15396603"/>
      <w:bookmarkStart w:id="28" w:name="_Toc15377205"/>
      <w:bookmarkStart w:id="29" w:name="_Toc86156558"/>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7"/>
      <w:bookmarkEnd w:id="28"/>
      <w:bookmarkEnd w:id="29"/>
    </w:p>
    <w:p>
      <w:pPr>
        <w:spacing w:line="600" w:lineRule="exact"/>
        <w:ind w:firstLine="640" w:firstLineChars="200"/>
        <w:rPr>
          <w:rFonts w:ascii="仿宋" w:hAnsi="仿宋" w:eastAsia="仿宋"/>
          <w:color w:val="000000"/>
          <w:sz w:val="32"/>
          <w:szCs w:val="32"/>
        </w:rPr>
      </w:pPr>
      <w:r>
        <w:rPr>
          <w:rFonts w:hint="eastAsia" w:ascii="仿宋_GB2312" w:hAnsi="仿宋" w:eastAsia="仿宋_GB2312"/>
          <w:color w:val="000000"/>
          <w:sz w:val="32"/>
          <w:szCs w:val="32"/>
        </w:rPr>
        <w:t>2021年度收、支总计37241.83万元，与2020年相比，收、支总计各减少31039.05万元，下降45.46%。主要变动原因是项目资金减少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rPr>
          <w:rFonts w:ascii="仿宋" w:hAnsi="仿宋" w:eastAsia="仿宋"/>
          <w:color w:val="000000" w:themeColor="text1"/>
          <w:sz w:val="32"/>
          <w:szCs w:val="32"/>
        </w:rPr>
      </w:pPr>
      <w:r>
        <w:drawing>
          <wp:inline distT="0" distB="0" distL="114300" distR="114300">
            <wp:extent cx="4572000" cy="2743200"/>
            <wp:effectExtent l="4445" t="4445" r="10795" b="1079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30" w:name="_Toc86156559"/>
      <w:bookmarkStart w:id="31" w:name="_Toc15396604"/>
      <w:bookmarkStart w:id="32"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30"/>
      <w:bookmarkEnd w:id="31"/>
      <w:bookmarkEnd w:id="32"/>
    </w:p>
    <w:p>
      <w:pPr>
        <w:spacing w:line="600" w:lineRule="exact"/>
        <w:ind w:firstLine="640" w:firstLineChars="200"/>
        <w:outlineLvl w:val="1"/>
        <w:rPr>
          <w:rFonts w:ascii="仿宋_GB2312" w:hAnsi="仿宋" w:eastAsia="仿宋_GB2312"/>
          <w:color w:val="000000"/>
          <w:sz w:val="32"/>
          <w:szCs w:val="32"/>
        </w:rPr>
      </w:pPr>
      <w:bookmarkStart w:id="33" w:name="_Toc86156560"/>
      <w:bookmarkStart w:id="34" w:name="_Toc18196"/>
      <w:bookmarkStart w:id="35" w:name="_Toc21045"/>
      <w:r>
        <w:rPr>
          <w:rFonts w:hint="eastAsia" w:ascii="仿宋_GB2312" w:hAnsi="仿宋" w:eastAsia="仿宋_GB2312"/>
          <w:color w:val="000000"/>
          <w:sz w:val="32"/>
          <w:szCs w:val="32"/>
        </w:rPr>
        <w:t>2021年本年收入合计17164.5万元，其中：一般公共预算财政拨款收入7611.38万元，占44.34%，政府性基金预算财政拨款收入9546.88万元，占55.62%；</w:t>
      </w:r>
      <w:r>
        <w:rPr>
          <w:rFonts w:hint="eastAsia" w:ascii="仿宋_GB2312" w:hAnsi="仿宋" w:eastAsia="仿宋_GB2312"/>
          <w:color w:val="000000" w:themeColor="text1"/>
          <w:sz w:val="32"/>
          <w:szCs w:val="32"/>
        </w:rPr>
        <w:t>上级补助收入0</w:t>
      </w:r>
      <w:r>
        <w:rPr>
          <w:rFonts w:hint="eastAsia" w:ascii="仿宋_GB2312" w:hAnsi="仿宋" w:eastAsia="仿宋_GB2312"/>
          <w:color w:val="000000"/>
          <w:sz w:val="32"/>
          <w:szCs w:val="32"/>
        </w:rPr>
        <w:t>万元，占0%；事业收入0万元，占0%；经营收入0万元，占0%；附属单位上缴收入0万元，占0%；其他收入5.79万元，占0.03%。</w:t>
      </w:r>
      <w:bookmarkEnd w:id="33"/>
      <w:bookmarkEnd w:id="34"/>
      <w:bookmarkEnd w:id="35"/>
    </w:p>
    <w:p>
      <w:pPr>
        <w:spacing w:line="600" w:lineRule="exact"/>
        <w:ind w:firstLine="640" w:firstLineChars="200"/>
        <w:outlineLvl w:val="1"/>
        <w:rPr>
          <w:rFonts w:ascii="仿宋" w:hAnsi="仿宋" w:eastAsia="仿宋"/>
          <w:color w:val="000000"/>
          <w:sz w:val="32"/>
          <w:szCs w:val="32"/>
        </w:rPr>
      </w:pPr>
    </w:p>
    <w:p>
      <w:pPr>
        <w:spacing w:line="600" w:lineRule="exact"/>
        <w:ind w:firstLine="1280" w:firstLineChars="400"/>
        <w:rPr>
          <w:rFonts w:ascii="仿宋_GB2312" w:eastAsia="仿宋_GB2312"/>
          <w:color w:val="FF0000"/>
          <w:sz w:val="32"/>
          <w:szCs w:val="32"/>
        </w:rPr>
      </w:pPr>
      <w:r>
        <w:rPr>
          <w:rFonts w:hint="eastAsia" w:ascii="仿宋" w:hAnsi="仿宋" w:eastAsia="仿宋"/>
          <w:color w:val="000000" w:themeColor="text1"/>
          <w:sz w:val="32"/>
          <w:szCs w:val="32"/>
        </w:rPr>
        <w:t>（图2：收入决算结构图）（饼状图）</w:t>
      </w:r>
    </w:p>
    <w:p>
      <w:pPr>
        <w:rPr>
          <w:rFonts w:ascii="仿宋_GB2312" w:eastAsia="仿宋_GB2312"/>
          <w:color w:val="FF0000"/>
          <w:sz w:val="32"/>
          <w:szCs w:val="32"/>
        </w:rPr>
      </w:pPr>
      <w:r>
        <w:drawing>
          <wp:inline distT="0" distB="0" distL="114300" distR="114300">
            <wp:extent cx="5074285" cy="3496945"/>
            <wp:effectExtent l="4445" t="4445" r="11430" b="19050"/>
            <wp:docPr id="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36" w:name="_Toc86156561"/>
      <w:bookmarkStart w:id="37" w:name="_Toc15396605"/>
      <w:bookmarkStart w:id="38" w:name="_Toc15377207"/>
      <w:bookmarkStart w:id="39" w:name="_Toc18957"/>
      <w:r>
        <w:rPr>
          <w:rFonts w:hint="eastAsia" w:ascii="黑体" w:hAnsi="黑体" w:eastAsia="黑体"/>
          <w:color w:val="000000"/>
          <w:sz w:val="32"/>
          <w:szCs w:val="32"/>
        </w:rPr>
        <w:t>支</w:t>
      </w:r>
      <w:r>
        <w:rPr>
          <w:rStyle w:val="27"/>
          <w:rFonts w:hint="eastAsia" w:ascii="黑体" w:hAnsi="黑体" w:eastAsia="黑体"/>
          <w:b w:val="0"/>
        </w:rPr>
        <w:t>出决算情况说明</w:t>
      </w:r>
      <w:bookmarkEnd w:id="36"/>
      <w:bookmarkEnd w:id="37"/>
      <w:bookmarkEnd w:id="38"/>
      <w:bookmarkEnd w:id="39"/>
    </w:p>
    <w:p>
      <w:pPr>
        <w:spacing w:line="600" w:lineRule="exact"/>
        <w:ind w:firstLine="640" w:firstLineChars="200"/>
        <w:outlineLvl w:val="1"/>
        <w:rPr>
          <w:rFonts w:ascii="仿宋_GB2312" w:hAnsi="仿宋" w:eastAsia="仿宋_GB2312"/>
          <w:color w:val="000000"/>
          <w:sz w:val="32"/>
          <w:szCs w:val="32"/>
        </w:rPr>
      </w:pPr>
      <w:bookmarkStart w:id="40" w:name="_Toc26231"/>
      <w:bookmarkStart w:id="41" w:name="_Toc86156562"/>
      <w:bookmarkStart w:id="42" w:name="_Toc26090"/>
      <w:r>
        <w:rPr>
          <w:rFonts w:hint="eastAsia" w:ascii="仿宋_GB2312" w:hAnsi="仿宋" w:eastAsia="仿宋_GB2312"/>
          <w:color w:val="000000"/>
          <w:sz w:val="32"/>
          <w:szCs w:val="32"/>
        </w:rPr>
        <w:t>2021年本年支出合计37241.79万元，其中：基本支出684.91万元，占1.84%；项目支出36556.87万元，占98.16%；上缴上级支出0万元，占0%；经营支出0万元，占0%；对附属单位补助支出0万元，占0%。</w:t>
      </w:r>
      <w:bookmarkEnd w:id="40"/>
      <w:bookmarkEnd w:id="41"/>
      <w:bookmarkEnd w:id="42"/>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rPr>
          <w:rFonts w:ascii="仿宋_GB2312" w:eastAsia="仿宋_GB2312"/>
          <w:color w:val="FF0000"/>
          <w:sz w:val="32"/>
          <w:szCs w:val="32"/>
        </w:rPr>
      </w:pPr>
      <w:r>
        <w:drawing>
          <wp:inline distT="0" distB="0" distL="114300" distR="114300">
            <wp:extent cx="5074285" cy="3405505"/>
            <wp:effectExtent l="4445" t="4445" r="11430" b="19050"/>
            <wp:docPr id="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黑体" w:hAnsi="黑体" w:eastAsia="黑体"/>
          <w:b w:val="0"/>
        </w:rPr>
      </w:pPr>
      <w:bookmarkStart w:id="43" w:name="_Toc15396606"/>
      <w:bookmarkStart w:id="44" w:name="_Toc86156563"/>
      <w:bookmarkStart w:id="45"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43"/>
      <w:bookmarkEnd w:id="44"/>
      <w:bookmarkEnd w:id="45"/>
    </w:p>
    <w:p>
      <w:pPr>
        <w:spacing w:line="600" w:lineRule="exact"/>
        <w:ind w:firstLine="640"/>
        <w:rPr>
          <w:rFonts w:ascii="仿宋" w:hAnsi="仿宋" w:eastAsia="仿宋"/>
          <w:color w:val="000000"/>
          <w:sz w:val="32"/>
          <w:szCs w:val="32"/>
        </w:rPr>
      </w:pPr>
      <w:r>
        <w:rPr>
          <w:rFonts w:hint="eastAsia" w:ascii="仿宋_GB2312" w:hAnsi="仿宋" w:eastAsia="仿宋_GB2312"/>
          <w:color w:val="000000"/>
          <w:sz w:val="32"/>
          <w:szCs w:val="32"/>
        </w:rPr>
        <w:t>2021年财政拨款收、支总计37236.04万元，与2020年相比，财政拨款收、支总计各减少31029.11万元，下降45.45%。主要变动原因是项目资金减少</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rPr>
          <w:rFonts w:ascii="仿宋" w:hAnsi="仿宋" w:eastAsia="仿宋"/>
          <w:b/>
          <w:color w:val="00B050"/>
          <w:sz w:val="32"/>
          <w:szCs w:val="32"/>
        </w:rPr>
      </w:pPr>
      <w:r>
        <w:drawing>
          <wp:inline distT="0" distB="0" distL="114300" distR="114300">
            <wp:extent cx="5020945" cy="3146425"/>
            <wp:effectExtent l="4445" t="4445" r="19050" b="190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rPr>
      </w:pPr>
      <w:bookmarkStart w:id="46" w:name="_Toc15396607"/>
      <w:bookmarkStart w:id="47" w:name="_Toc86156564"/>
      <w:bookmarkStart w:id="4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000000"/>
          <w:sz w:val="32"/>
          <w:szCs w:val="32"/>
        </w:rPr>
      </w:pPr>
      <w:bookmarkStart w:id="49" w:name="_Toc15377210"/>
      <w:bookmarkStart w:id="50" w:name="_Toc86156565"/>
      <w:bookmarkStart w:id="51" w:name="_Toc24914"/>
      <w:r>
        <w:rPr>
          <w:rFonts w:hint="eastAsia" w:ascii="仿宋" w:hAnsi="仿宋" w:eastAsia="仿宋"/>
          <w:b/>
          <w:color w:val="000000"/>
          <w:sz w:val="32"/>
          <w:szCs w:val="32"/>
        </w:rPr>
        <w:t>（一）一般公共预算财政拨款支出决算总体情况</w:t>
      </w:r>
      <w:bookmarkEnd w:id="49"/>
      <w:bookmarkEnd w:id="50"/>
      <w:bookmarkEnd w:id="51"/>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2021年一般公共预算财政拨款支出18727.93万元，占本年支出合计的50.3%，与2020年相比，一般公共预算财政拨款增加4891.78万元，上升35.36%。主要变动原因是项目资金增加。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rPr>
          <w:rFonts w:ascii="仿宋" w:hAnsi="仿宋" w:eastAsia="仿宋"/>
          <w:color w:val="000000" w:themeColor="text1"/>
          <w:sz w:val="32"/>
          <w:szCs w:val="32"/>
        </w:rPr>
      </w:pPr>
      <w:r>
        <w:drawing>
          <wp:inline distT="0" distB="0" distL="114300" distR="114300">
            <wp:extent cx="4572000" cy="2743200"/>
            <wp:effectExtent l="4445" t="4445" r="1079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52" w:name="_Toc15377211"/>
      <w:bookmarkStart w:id="53" w:name="_Toc86156566"/>
      <w:bookmarkStart w:id="54" w:name="_Toc4250"/>
      <w:r>
        <w:rPr>
          <w:rFonts w:hint="eastAsia" w:ascii="仿宋" w:hAnsi="仿宋" w:eastAsia="仿宋"/>
          <w:b/>
          <w:color w:val="000000"/>
          <w:sz w:val="32"/>
          <w:szCs w:val="32"/>
        </w:rPr>
        <w:t>（二）一般公共预算财政拨款支出决算结构情况</w:t>
      </w:r>
      <w:bookmarkEnd w:id="52"/>
      <w:bookmarkEnd w:id="53"/>
      <w:bookmarkEnd w:id="54"/>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2021年一般公共预算财</w:t>
      </w:r>
      <w:r>
        <w:rPr>
          <w:rFonts w:hint="eastAsia" w:ascii="仿宋_GB2312" w:hAnsi="仿宋" w:eastAsia="仿宋_GB2312"/>
          <w:color w:val="000000" w:themeColor="text1"/>
          <w:sz w:val="32"/>
          <w:szCs w:val="32"/>
        </w:rPr>
        <w:t>政拨款支出18727.93万元，主要用于以下方面:</w:t>
      </w:r>
      <w:r>
        <w:rPr>
          <w:rFonts w:hint="eastAsia" w:ascii="仿宋_GB2312" w:hAnsi="仿宋" w:eastAsia="仿宋_GB2312"/>
          <w:color w:val="000000"/>
          <w:sz w:val="32"/>
          <w:szCs w:val="32"/>
        </w:rPr>
        <w:t>社会保障和就业（类）支出175.34万元，占0.94%；卫生健康（类）支出35.76万元，占0.19%；住房保障（类）支出3927.84万元，占20.97%；城乡社区（类）支出1364.02万元，占7.28%；节能环保（类）支出5025万元，占26.83%；农林水支出2700万元，占14.42%；其他（类）支出5500万元，占29.37%。</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ind w:firstLine="420" w:firstLineChars="200"/>
        <w:rPr>
          <w:rFonts w:ascii="仿宋" w:hAnsi="仿宋" w:eastAsia="仿宋"/>
          <w:color w:val="000000"/>
          <w:sz w:val="32"/>
          <w:szCs w:val="32"/>
        </w:rPr>
      </w:pPr>
      <w:r>
        <w:drawing>
          <wp:inline distT="0" distB="0" distL="114300" distR="114300">
            <wp:extent cx="4728845" cy="3405505"/>
            <wp:effectExtent l="4445" t="4445" r="6350" b="1905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55" w:name="_Toc15377212"/>
      <w:bookmarkStart w:id="56" w:name="_Toc86156567"/>
      <w:bookmarkStart w:id="57" w:name="_Toc24616"/>
      <w:r>
        <w:rPr>
          <w:rFonts w:hint="eastAsia" w:ascii="仿宋" w:hAnsi="仿宋" w:eastAsia="仿宋"/>
          <w:b/>
          <w:color w:val="000000"/>
          <w:sz w:val="32"/>
          <w:szCs w:val="32"/>
        </w:rPr>
        <w:t>（三）一般公共预算财政拨款支出决算具体情况</w:t>
      </w:r>
      <w:bookmarkEnd w:id="55"/>
      <w:bookmarkEnd w:id="56"/>
      <w:bookmarkEnd w:id="57"/>
    </w:p>
    <w:p>
      <w:pPr>
        <w:spacing w:line="600" w:lineRule="exact"/>
        <w:ind w:firstLine="640" w:firstLineChars="200"/>
        <w:outlineLvl w:val="2"/>
        <w:rPr>
          <w:rFonts w:ascii="仿宋_GB2312" w:hAnsi="仿宋" w:eastAsia="仿宋_GB2312"/>
          <w:color w:val="FF0000"/>
          <w:sz w:val="32"/>
          <w:szCs w:val="32"/>
        </w:rPr>
      </w:pPr>
      <w:bookmarkStart w:id="58" w:name="_Toc15377213"/>
      <w:bookmarkStart w:id="59" w:name="_Toc22928"/>
      <w:bookmarkStart w:id="60" w:name="_Toc15377444"/>
      <w:bookmarkStart w:id="61" w:name="_Toc15378460"/>
      <w:bookmarkStart w:id="62" w:name="_Toc86156568"/>
      <w:bookmarkStart w:id="63" w:name="_Toc251"/>
      <w:r>
        <w:rPr>
          <w:rFonts w:hint="eastAsia" w:ascii="仿宋_GB2312" w:hAnsi="仿宋" w:eastAsia="仿宋_GB2312"/>
          <w:color w:val="000000" w:themeColor="text1"/>
          <w:sz w:val="32"/>
          <w:szCs w:val="32"/>
        </w:rPr>
        <w:t>2021年一般公共预算支出决算数为18727.93万元，</w:t>
      </w:r>
      <w:r>
        <w:rPr>
          <w:rStyle w:val="15"/>
          <w:rFonts w:hint="eastAsia" w:ascii="仿宋_GB2312" w:hAnsi="仿宋" w:eastAsia="仿宋_GB2312"/>
          <w:b w:val="0"/>
          <w:bCs/>
          <w:color w:val="000000" w:themeColor="text1"/>
          <w:sz w:val="32"/>
          <w:szCs w:val="32"/>
        </w:rPr>
        <w:t>完成</w:t>
      </w:r>
      <w:r>
        <w:rPr>
          <w:rStyle w:val="15"/>
          <w:rFonts w:hint="eastAsia" w:ascii="仿宋_GB2312" w:hAnsi="仿宋" w:eastAsia="仿宋_GB2312"/>
          <w:b w:val="0"/>
          <w:bCs/>
          <w:color w:val="000000"/>
          <w:sz w:val="32"/>
          <w:szCs w:val="32"/>
        </w:rPr>
        <w:t>预算100%。其中：</w:t>
      </w:r>
      <w:bookmarkEnd w:id="58"/>
      <w:bookmarkEnd w:id="59"/>
      <w:bookmarkEnd w:id="60"/>
      <w:bookmarkEnd w:id="61"/>
      <w:bookmarkEnd w:id="62"/>
      <w:bookmarkEnd w:id="63"/>
    </w:p>
    <w:p>
      <w:pPr>
        <w:spacing w:line="600" w:lineRule="exact"/>
        <w:ind w:firstLine="640" w:firstLineChars="200"/>
        <w:rPr>
          <w:rFonts w:ascii="仿宋_GB2312" w:hAnsi="仿宋" w:eastAsia="仿宋_GB2312"/>
          <w:bCs/>
          <w:color w:val="000000"/>
          <w:sz w:val="32"/>
          <w:szCs w:val="32"/>
        </w:rPr>
      </w:pPr>
      <w:r>
        <w:rPr>
          <w:rStyle w:val="15"/>
          <w:rFonts w:hint="eastAsia" w:ascii="仿宋_GB2312" w:hAnsi="仿宋" w:eastAsia="仿宋_GB2312"/>
          <w:b w:val="0"/>
          <w:bCs/>
          <w:color w:val="000000"/>
          <w:sz w:val="32"/>
          <w:szCs w:val="32"/>
        </w:rPr>
        <w:t>1.社会保障和就业（类）行政事业单位离退休（款）行政单位离退休（项）2080501:支出决算为29.87万元，完成预算100%；社会保障和就业（类）行政事业单位离退休（款）机关事业单位基本养老保险缴费支出</w:t>
      </w:r>
      <w:r>
        <w:rPr>
          <w:rFonts w:hint="eastAsia" w:ascii="仿宋_GB2312" w:hAnsi="宋体" w:eastAsia="仿宋_GB2312" w:cs="Arial"/>
          <w:color w:val="000000"/>
          <w:kern w:val="0"/>
          <w:sz w:val="32"/>
          <w:szCs w:val="32"/>
        </w:rPr>
        <w:t>（项）2080505：</w:t>
      </w:r>
      <w:r>
        <w:rPr>
          <w:rStyle w:val="15"/>
          <w:rFonts w:hint="eastAsia" w:ascii="仿宋_GB2312" w:hAnsi="仿宋" w:eastAsia="仿宋_GB2312"/>
          <w:b w:val="0"/>
          <w:bCs/>
          <w:color w:val="000000"/>
          <w:sz w:val="32"/>
          <w:szCs w:val="32"/>
        </w:rPr>
        <w:t>支出决算为40.43万元</w:t>
      </w:r>
      <w:r>
        <w:rPr>
          <w:rFonts w:hint="eastAsia" w:ascii="仿宋_GB2312" w:hAnsi="宋体" w:eastAsia="仿宋_GB2312" w:cs="Arial"/>
          <w:color w:val="000000"/>
          <w:kern w:val="0"/>
          <w:sz w:val="32"/>
          <w:szCs w:val="32"/>
        </w:rPr>
        <w:t>；</w:t>
      </w:r>
      <w:r>
        <w:rPr>
          <w:rStyle w:val="15"/>
          <w:rFonts w:hint="eastAsia" w:ascii="仿宋_GB2312" w:hAnsi="仿宋" w:eastAsia="仿宋_GB2312"/>
          <w:b w:val="0"/>
          <w:bCs/>
          <w:color w:val="000000"/>
          <w:sz w:val="32"/>
          <w:szCs w:val="32"/>
        </w:rPr>
        <w:t>完成预算100%；社会保障和就业（类）行政事业单位离退休（款）机关事业单位职业年金缴费支出</w:t>
      </w:r>
      <w:r>
        <w:rPr>
          <w:rFonts w:hint="eastAsia" w:ascii="仿宋_GB2312" w:hAnsi="宋体" w:eastAsia="仿宋_GB2312" w:cs="Arial"/>
          <w:color w:val="000000"/>
          <w:kern w:val="0"/>
          <w:sz w:val="32"/>
          <w:szCs w:val="32"/>
        </w:rPr>
        <w:t>（项）2080506：</w:t>
      </w:r>
      <w:r>
        <w:rPr>
          <w:rStyle w:val="15"/>
          <w:rFonts w:hint="eastAsia" w:ascii="仿宋_GB2312" w:hAnsi="仿宋" w:eastAsia="仿宋_GB2312"/>
          <w:b w:val="0"/>
          <w:bCs/>
          <w:color w:val="000000"/>
          <w:sz w:val="32"/>
          <w:szCs w:val="32"/>
        </w:rPr>
        <w:t>支出决算为4.22万元</w:t>
      </w:r>
      <w:r>
        <w:rPr>
          <w:rFonts w:hint="eastAsia" w:ascii="仿宋_GB2312" w:hAnsi="宋体" w:eastAsia="仿宋_GB2312" w:cs="Arial"/>
          <w:color w:val="000000"/>
          <w:kern w:val="0"/>
          <w:sz w:val="32"/>
          <w:szCs w:val="32"/>
        </w:rPr>
        <w:t>；</w:t>
      </w:r>
      <w:r>
        <w:rPr>
          <w:rStyle w:val="15"/>
          <w:rFonts w:hint="eastAsia" w:ascii="仿宋_GB2312" w:hAnsi="仿宋" w:eastAsia="仿宋_GB2312"/>
          <w:b w:val="0"/>
          <w:bCs/>
          <w:color w:val="000000"/>
          <w:sz w:val="32"/>
          <w:szCs w:val="32"/>
        </w:rPr>
        <w:t>完成预算100%；社会保障和就业（类）企业改革补助（款）其他企业改革发展补助（项）2080699:支出决算为100万元，完成预算3.94%，主要是项目还未完成。</w:t>
      </w:r>
    </w:p>
    <w:p>
      <w:pPr>
        <w:spacing w:line="600" w:lineRule="exact"/>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 xml:space="preserve">    2.健康卫生（类）行政事业单位医疗（款）行政单位医疗（项）2101101:支出决算为15.47万元，完成预算100%；健康卫生（类）行政事业单位医疗（款）事业单位医疗（项）2101102:支出决算为16.29万元，完成预算100%；健康卫生（类）行政事业单位医疗（款）公务员医疗补助（项）2101103：支出决算为4万元，完成预算100%。</w:t>
      </w:r>
    </w:p>
    <w:p>
      <w:pPr>
        <w:spacing w:line="600" w:lineRule="exact"/>
        <w:ind w:firstLine="640" w:firstLineChars="200"/>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3.节能环保支出（类）自然生态保护（款）生态保护（项）2110401：支出决算为5025万元，完成预算100%。</w:t>
      </w:r>
    </w:p>
    <w:p>
      <w:pPr>
        <w:spacing w:line="600" w:lineRule="exact"/>
        <w:ind w:firstLine="640" w:firstLineChars="200"/>
        <w:rPr>
          <w:rFonts w:ascii="仿宋_GB2312" w:hAnsi="仿宋" w:eastAsia="仿宋_GB2312"/>
          <w:bCs/>
          <w:color w:val="000000"/>
          <w:sz w:val="32"/>
          <w:szCs w:val="32"/>
        </w:rPr>
      </w:pPr>
      <w:r>
        <w:rPr>
          <w:rStyle w:val="15"/>
          <w:rFonts w:hint="eastAsia" w:ascii="仿宋_GB2312" w:hAnsi="仿宋" w:eastAsia="仿宋_GB2312"/>
          <w:b w:val="0"/>
          <w:bCs/>
          <w:color w:val="000000"/>
          <w:sz w:val="32"/>
          <w:szCs w:val="32"/>
        </w:rPr>
        <w:t>4.城乡社区支出（类）城乡社区管理事务（款）行政运行（项）2120101：支出决算为298.24万元，完成预算100%；城乡社区支出（类）城乡社区管理事务（款）其他城乡社区管理事务支出（项）2120199：支出决算为218.52万元，完成预算100%；城乡社区支出（类）城乡社区管理事务（款）工程建设管理（项）2120106：支出决算为20万元，完成预算100%；城乡社区支出（类）城乡社区公共设施（款）其他城乡社区公共设施支出（项）2120399：支出决算为237.95万元，完成预算34.05%，主要是项目还未完工。城乡社区支出（类）其他城乡社区支出（款）其他城乡社区支出（项）2129999: 支出决算为589.31万元，完成预算12.77%，主要是项目还未完成。</w:t>
      </w:r>
    </w:p>
    <w:p>
      <w:pPr>
        <w:spacing w:line="600" w:lineRule="exact"/>
        <w:ind w:firstLine="640" w:firstLineChars="200"/>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5.住房保障支出（类）保障性安居工程支出（款）棚户区改造（项）2210103: 支出决算为164.66万元，完成预算100%。住房保障支出（类）保障性安居工程支出（款）保障性住房租金补贴（项）2210107: 支出决算为24.44万元;，完成预算100%；住房保障支出（类）保障性安居工程支出（款）公共租赁住房（项）2210106: 支出决算为5万元;，完成预算100%；住房保障支出（类）保障性安居工程支出（款）老旧小区改造（项）2210108: 支出决算为3682.42万元;，完成预算100%；住房保障支出（类）住房改革支出（款）住房公积金（项）2210201: 支出决算为51.32万元，完成预算100%。</w:t>
      </w:r>
    </w:p>
    <w:p>
      <w:pPr>
        <w:spacing w:line="600" w:lineRule="exact"/>
        <w:ind w:firstLine="640" w:firstLineChars="200"/>
        <w:rPr>
          <w:rStyle w:val="15"/>
          <w:rFonts w:ascii="仿宋_GB2312" w:hAnsi="仿宋" w:eastAsia="仿宋_GB2312"/>
          <w:b w:val="0"/>
          <w:bCs/>
          <w:color w:val="000000"/>
          <w:sz w:val="32"/>
          <w:szCs w:val="32"/>
        </w:rPr>
      </w:pPr>
      <w:r>
        <w:rPr>
          <w:rFonts w:hint="eastAsia" w:ascii="仿宋_GB2312" w:hAnsi="仿宋" w:eastAsia="仿宋_GB2312"/>
          <w:bCs/>
          <w:color w:val="000000"/>
          <w:sz w:val="32"/>
          <w:szCs w:val="32"/>
        </w:rPr>
        <w:t>6.</w:t>
      </w:r>
      <w:r>
        <w:rPr>
          <w:rStyle w:val="15"/>
          <w:rFonts w:hint="eastAsia" w:ascii="仿宋_GB2312" w:hAnsi="仿宋" w:eastAsia="仿宋_GB2312"/>
          <w:b w:val="0"/>
          <w:bCs/>
          <w:color w:val="000000"/>
          <w:sz w:val="32"/>
          <w:szCs w:val="32"/>
        </w:rPr>
        <w:t>其他支出（类）其他支出（款）其他支出（项）2299999: 支出决算为5500万元，完成预算100%。</w:t>
      </w:r>
    </w:p>
    <w:p>
      <w:pPr>
        <w:spacing w:line="600" w:lineRule="exact"/>
        <w:ind w:firstLine="640" w:firstLineChars="200"/>
        <w:rPr>
          <w:rStyle w:val="15"/>
          <w:rFonts w:ascii="仿宋_GB2312" w:hAnsi="仿宋" w:eastAsia="仿宋_GB2312"/>
          <w:b w:val="0"/>
          <w:bCs/>
          <w:color w:val="000000"/>
          <w:sz w:val="32"/>
          <w:szCs w:val="32"/>
        </w:rPr>
      </w:pPr>
      <w:r>
        <w:rPr>
          <w:rFonts w:hint="eastAsia" w:ascii="仿宋_GB2312" w:hAnsi="仿宋" w:eastAsia="仿宋_GB2312"/>
          <w:bCs/>
          <w:color w:val="000000"/>
          <w:sz w:val="32"/>
          <w:szCs w:val="32"/>
        </w:rPr>
        <w:t>7.</w:t>
      </w:r>
      <w:r>
        <w:rPr>
          <w:rStyle w:val="15"/>
          <w:rFonts w:hint="eastAsia" w:ascii="仿宋_GB2312" w:hAnsi="仿宋" w:eastAsia="仿宋_GB2312"/>
          <w:b w:val="0"/>
          <w:bCs/>
          <w:color w:val="000000"/>
          <w:sz w:val="32"/>
          <w:szCs w:val="32"/>
        </w:rPr>
        <w:t>农林水支出（类）其他农林水支出（款）化解其他公益性乡村债务支出（项）2139901: 支出决算为2700万元，完成预算100%。</w:t>
      </w:r>
    </w:p>
    <w:p>
      <w:pPr>
        <w:tabs>
          <w:tab w:val="right" w:pos="8306"/>
        </w:tabs>
        <w:spacing w:line="600" w:lineRule="exact"/>
        <w:ind w:firstLine="640" w:firstLineChars="200"/>
        <w:outlineLvl w:val="1"/>
        <w:rPr>
          <w:rStyle w:val="27"/>
        </w:rPr>
      </w:pPr>
      <w:bookmarkStart w:id="64" w:name="_Toc15396608"/>
      <w:bookmarkStart w:id="65" w:name="_Toc15377214"/>
      <w:bookmarkStart w:id="66" w:name="_Toc8615656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64"/>
      <w:bookmarkEnd w:id="65"/>
      <w:bookmarkEnd w:id="66"/>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21年一般公共预算财政拨款基本支出679.17万元，其中：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609.19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69.98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67" w:name="_Toc86156570"/>
      <w:bookmarkStart w:id="68" w:name="_Toc15396609"/>
      <w:bookmarkStart w:id="69"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7"/>
      <w:bookmarkEnd w:id="68"/>
      <w:bookmarkEnd w:id="69"/>
    </w:p>
    <w:p>
      <w:pPr>
        <w:spacing w:line="600" w:lineRule="exact"/>
        <w:ind w:firstLine="640"/>
        <w:outlineLvl w:val="2"/>
        <w:rPr>
          <w:rFonts w:ascii="仿宋" w:hAnsi="仿宋" w:eastAsia="仿宋"/>
          <w:b/>
          <w:color w:val="000000"/>
          <w:sz w:val="32"/>
          <w:szCs w:val="32"/>
        </w:rPr>
      </w:pPr>
      <w:bookmarkStart w:id="70" w:name="_Toc86156571"/>
      <w:bookmarkStart w:id="71" w:name="_Toc15377216"/>
      <w:bookmarkStart w:id="72" w:name="_Toc11393"/>
      <w:r>
        <w:rPr>
          <w:rFonts w:hint="eastAsia" w:ascii="仿宋" w:hAnsi="仿宋" w:eastAsia="仿宋"/>
          <w:b/>
          <w:color w:val="000000"/>
          <w:sz w:val="32"/>
          <w:szCs w:val="32"/>
        </w:rPr>
        <w:t>（一）“三公”经费财政拨款支出决算总体情况说明</w:t>
      </w:r>
      <w:bookmarkEnd w:id="70"/>
      <w:bookmarkEnd w:id="71"/>
      <w:bookmarkEnd w:id="72"/>
    </w:p>
    <w:p>
      <w:pPr>
        <w:spacing w:line="600" w:lineRule="exact"/>
        <w:ind w:firstLine="640"/>
        <w:rPr>
          <w:rFonts w:ascii="仿宋" w:hAnsi="仿宋" w:eastAsia="仿宋"/>
          <w:color w:val="000000"/>
          <w:sz w:val="32"/>
          <w:szCs w:val="32"/>
        </w:rPr>
      </w:pPr>
      <w:r>
        <w:rPr>
          <w:rFonts w:hint="eastAsia" w:ascii="仿宋_GB2312" w:hAnsi="仿宋" w:eastAsia="仿宋_GB2312"/>
          <w:color w:val="000000"/>
          <w:sz w:val="32"/>
          <w:szCs w:val="32"/>
        </w:rPr>
        <w:t>2021年“三公”经费财政拨款支出决算为3.03万元，完成预算99.67%</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73" w:name="_Toc86156572"/>
      <w:bookmarkStart w:id="74" w:name="_Toc15377217"/>
      <w:bookmarkStart w:id="75" w:name="_Toc15545"/>
      <w:r>
        <w:rPr>
          <w:rFonts w:hint="eastAsia" w:ascii="仿宋" w:hAnsi="仿宋" w:eastAsia="仿宋"/>
          <w:b/>
          <w:color w:val="000000"/>
          <w:sz w:val="32"/>
          <w:szCs w:val="32"/>
        </w:rPr>
        <w:t>（二）“三公”经费财政拨款支出决算具体情况说明</w:t>
      </w:r>
      <w:bookmarkEnd w:id="73"/>
      <w:bookmarkEnd w:id="74"/>
      <w:bookmarkEnd w:id="75"/>
    </w:p>
    <w:p>
      <w:pPr>
        <w:spacing w:line="600" w:lineRule="exact"/>
        <w:ind w:firstLine="640"/>
        <w:rPr>
          <w:rFonts w:ascii="仿宋" w:hAnsi="仿宋" w:eastAsia="仿宋"/>
          <w:color w:val="000000"/>
          <w:sz w:val="32"/>
          <w:szCs w:val="32"/>
        </w:rPr>
      </w:pPr>
      <w:r>
        <w:rPr>
          <w:rFonts w:hint="eastAsia" w:ascii="仿宋_GB2312" w:hAnsi="仿宋" w:eastAsia="仿宋_GB2312"/>
          <w:color w:val="000000"/>
          <w:sz w:val="32"/>
          <w:szCs w:val="32"/>
        </w:rPr>
        <w:t>2021年“三公”经费财政拨款支出决算中，因公出国（境）费支出决算0万元，占0%；公务用车购置及运行维护费支出决算2.5万元，占82.51%；公务接待费支出决算0.53万元，占17.49%。具体情况如下</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rPr>
          <w:rFonts w:ascii="仿宋" w:hAnsi="仿宋" w:eastAsia="仿宋"/>
          <w:color w:val="000000"/>
          <w:sz w:val="32"/>
          <w:szCs w:val="32"/>
        </w:rPr>
      </w:pPr>
      <w:r>
        <w:drawing>
          <wp:inline distT="0" distB="0" distL="114300" distR="114300">
            <wp:extent cx="4728845" cy="3405505"/>
            <wp:effectExtent l="4445" t="4445" r="6350" b="19050"/>
            <wp:docPr id="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2.5万元,</w:t>
      </w:r>
      <w:r>
        <w:rPr>
          <w:rStyle w:val="15"/>
          <w:rFonts w:hint="eastAsia" w:ascii="仿宋_GB2312" w:hAnsi="仿宋" w:eastAsia="仿宋_GB2312"/>
          <w:b w:val="0"/>
          <w:bCs/>
          <w:color w:val="000000"/>
          <w:sz w:val="32"/>
          <w:szCs w:val="32"/>
        </w:rPr>
        <w:t>完成预算100%</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公务用车购置及运行维护费支出决算与2020年持平。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月底，单位共有公务用车1辆，其中：特种专业技术用车1辆。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2.5万元。主要用于人防工作、建设施工工地检查等所需的公务用车燃料费、维修费、过路过桥费、保险费等支出。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0.53万元，</w:t>
      </w:r>
      <w:r>
        <w:rPr>
          <w:rStyle w:val="15"/>
          <w:rFonts w:hint="eastAsia" w:ascii="仿宋_GB2312" w:hAnsi="仿宋" w:eastAsia="仿宋_GB2312"/>
          <w:b w:val="0"/>
          <w:bCs/>
          <w:color w:val="000000"/>
          <w:sz w:val="32"/>
          <w:szCs w:val="32"/>
        </w:rPr>
        <w:t>完成预算98.15%</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公务接待费支出决算比2020年减少0.01万元，下降1.85</w:t>
      </w:r>
      <w:r>
        <w:rPr>
          <w:rFonts w:ascii="仿宋_GB2312" w:eastAsia="仿宋_GB2312"/>
          <w:color w:val="000000"/>
          <w:sz w:val="32"/>
          <w:szCs w:val="32"/>
        </w:rPr>
        <w:t>%</w:t>
      </w:r>
      <w:r>
        <w:rPr>
          <w:rFonts w:hint="eastAsia" w:ascii="仿宋_GB2312" w:eastAsia="仿宋_GB2312"/>
          <w:color w:val="000000"/>
          <w:sz w:val="32"/>
          <w:szCs w:val="32"/>
        </w:rPr>
        <w:t>。主要原因是公务接待减少。</w:t>
      </w:r>
    </w:p>
    <w:p>
      <w:pPr>
        <w:spacing w:line="600" w:lineRule="exact"/>
        <w:ind w:firstLine="643" w:firstLineChars="200"/>
        <w:rPr>
          <w:rFonts w:ascii="仿宋_GB2312" w:eastAsia="仿宋_GB2312"/>
          <w:color w:val="000000"/>
          <w:sz w:val="32"/>
          <w:szCs w:val="32"/>
        </w:rPr>
      </w:pPr>
      <w:r>
        <w:rPr>
          <w:rFonts w:hint="eastAsia" w:ascii="仿宋_GB2312" w:hAnsi="仿宋" w:eastAsia="仿宋_GB2312"/>
          <w:b/>
          <w:color w:val="000000"/>
          <w:sz w:val="32"/>
          <w:szCs w:val="32"/>
        </w:rPr>
        <w:t>国内公务接待支出</w:t>
      </w:r>
      <w:r>
        <w:rPr>
          <w:rFonts w:hint="eastAsia" w:ascii="仿宋_GB2312" w:hAnsi="仿宋" w:eastAsia="仿宋_GB2312"/>
          <w:color w:val="000000"/>
          <w:sz w:val="32"/>
          <w:szCs w:val="32"/>
        </w:rPr>
        <w:t>0.53</w:t>
      </w:r>
      <w:r>
        <w:rPr>
          <w:rFonts w:hint="eastAsia" w:ascii="仿宋_GB2312" w:eastAsia="仿宋_GB2312"/>
          <w:color w:val="000000"/>
          <w:sz w:val="32"/>
          <w:szCs w:val="32"/>
        </w:rPr>
        <w:t>万元，主要用于执行公务、开展业务活动开支的交通费、住宿费、用餐费等。国内公务接待9批次，65人次（不包括陪同人员），共计支出0.53万元，具体内容包括：协调保障性住房事宜4次，支出0.21万元；接待检查工作5次，支出0.32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firstLineChars="200"/>
        <w:outlineLvl w:val="1"/>
        <w:rPr>
          <w:rStyle w:val="27"/>
          <w:rFonts w:ascii="黑体" w:hAnsi="黑体" w:eastAsia="黑体"/>
        </w:rPr>
      </w:pPr>
      <w:bookmarkStart w:id="76" w:name="_Toc86156573"/>
      <w:bookmarkStart w:id="77" w:name="_Toc15377218"/>
      <w:bookmarkStart w:id="78" w:name="_Toc15396610"/>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76"/>
      <w:bookmarkEnd w:id="77"/>
      <w:bookmarkEnd w:id="7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21年政府性基金预算拨款支出18208.11万元。</w:t>
      </w:r>
    </w:p>
    <w:p>
      <w:pPr>
        <w:numPr>
          <w:ilvl w:val="0"/>
          <w:numId w:val="2"/>
        </w:numPr>
        <w:spacing w:line="600" w:lineRule="exact"/>
        <w:ind w:firstLine="640"/>
        <w:outlineLvl w:val="1"/>
        <w:rPr>
          <w:rStyle w:val="27"/>
          <w:rFonts w:ascii="黑体" w:hAnsi="黑体" w:eastAsia="黑体"/>
          <w:b w:val="0"/>
        </w:rPr>
      </w:pPr>
      <w:bookmarkStart w:id="79" w:name="_Toc15396611"/>
      <w:bookmarkStart w:id="80" w:name="_Toc86156574"/>
      <w:bookmarkStart w:id="81" w:name="_Toc15377219"/>
      <w:r>
        <w:rPr>
          <w:rStyle w:val="27"/>
          <w:rFonts w:hint="eastAsia" w:ascii="黑体" w:hAnsi="黑体" w:eastAsia="黑体"/>
          <w:b w:val="0"/>
        </w:rPr>
        <w:t>国有资本经营预算支出决算情况说明</w:t>
      </w:r>
      <w:bookmarkEnd w:id="79"/>
      <w:bookmarkEnd w:id="80"/>
      <w:bookmarkEnd w:id="8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21年国有资本经营预算拨款支出300万元。</w:t>
      </w:r>
    </w:p>
    <w:p>
      <w:pPr>
        <w:spacing w:line="600" w:lineRule="exact"/>
        <w:ind w:firstLine="800" w:firstLineChars="250"/>
        <w:outlineLvl w:val="1"/>
        <w:rPr>
          <w:rStyle w:val="27"/>
          <w:rFonts w:ascii="黑体" w:hAnsi="黑体" w:eastAsia="黑体"/>
        </w:rPr>
      </w:pPr>
      <w:bookmarkStart w:id="82" w:name="_Toc15396612"/>
      <w:bookmarkStart w:id="83" w:name="_Toc86156575"/>
      <w:bookmarkStart w:id="84"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82"/>
      <w:bookmarkEnd w:id="83"/>
      <w:bookmarkEnd w:id="84"/>
    </w:p>
    <w:p>
      <w:pPr>
        <w:spacing w:line="600" w:lineRule="exact"/>
        <w:ind w:firstLine="643" w:firstLineChars="200"/>
        <w:outlineLvl w:val="2"/>
        <w:rPr>
          <w:rFonts w:ascii="仿宋" w:hAnsi="仿宋" w:eastAsia="仿宋"/>
          <w:color w:val="000000"/>
          <w:sz w:val="32"/>
          <w:szCs w:val="32"/>
        </w:rPr>
      </w:pPr>
      <w:bookmarkStart w:id="85" w:name="_Toc15377222"/>
      <w:bookmarkStart w:id="86" w:name="_Toc3797"/>
      <w:bookmarkStart w:id="87" w:name="_Toc86156576"/>
      <w:r>
        <w:rPr>
          <w:rFonts w:hint="eastAsia" w:ascii="仿宋" w:hAnsi="仿宋" w:eastAsia="仿宋"/>
          <w:b/>
          <w:color w:val="000000"/>
          <w:sz w:val="32"/>
          <w:szCs w:val="32"/>
        </w:rPr>
        <w:t>（一）机关运行经费支出情况</w:t>
      </w:r>
      <w:bookmarkEnd w:id="85"/>
      <w:bookmarkEnd w:id="86"/>
      <w:bookmarkEnd w:id="87"/>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rPr>
        <w:t>21年，西区住房和城乡建设局机关运行经费支出54.44万元，比2020年增加8.65万元，上升18.89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主要原因是公用经费增加。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8" w:name="_Toc15377223"/>
      <w:bookmarkStart w:id="89" w:name="_Toc86156577"/>
      <w:bookmarkStart w:id="90" w:name="_Toc951"/>
      <w:r>
        <w:rPr>
          <w:rFonts w:hint="eastAsia" w:ascii="仿宋" w:hAnsi="仿宋" w:eastAsia="仿宋"/>
          <w:b/>
          <w:color w:val="000000"/>
          <w:sz w:val="32"/>
          <w:szCs w:val="32"/>
        </w:rPr>
        <w:t>（二）政府采购支出情况</w:t>
      </w:r>
      <w:bookmarkEnd w:id="88"/>
      <w:bookmarkEnd w:id="89"/>
      <w:bookmarkEnd w:id="90"/>
    </w:p>
    <w:p>
      <w:pPr>
        <w:spacing w:line="600" w:lineRule="exact"/>
        <w:ind w:firstLine="640" w:firstLineChars="200"/>
        <w:rPr>
          <w:rFonts w:ascii="仿宋" w:hAnsi="仿宋" w:eastAsia="仿宋"/>
          <w:b/>
          <w:color w:val="FF0000"/>
          <w:sz w:val="32"/>
          <w:szCs w:val="32"/>
        </w:rPr>
      </w:pPr>
      <w:bookmarkStart w:id="91" w:name="_Toc7216"/>
      <w:bookmarkStart w:id="92" w:name="_Toc15377224"/>
      <w:bookmarkStart w:id="93" w:name="_Toc86156578"/>
      <w:r>
        <w:rPr>
          <w:rFonts w:ascii="仿宋_GB2312" w:eastAsia="仿宋_GB2312"/>
          <w:color w:val="000000"/>
          <w:sz w:val="32"/>
          <w:szCs w:val="32"/>
        </w:rPr>
        <w:t>20</w:t>
      </w:r>
      <w:r>
        <w:rPr>
          <w:rFonts w:hint="eastAsia" w:ascii="仿宋_GB2312" w:eastAsia="仿宋_GB2312"/>
          <w:color w:val="000000"/>
          <w:sz w:val="32"/>
          <w:szCs w:val="32"/>
        </w:rPr>
        <w:t>21年，西区住房和城乡建设局政府采购支出总额</w:t>
      </w:r>
      <w:r>
        <w:rPr>
          <w:rFonts w:hint="eastAsia" w:ascii="仿宋_GB2312" w:eastAsia="仿宋_GB2312"/>
          <w:color w:val="000000"/>
          <w:sz w:val="32"/>
          <w:szCs w:val="32"/>
          <w:lang w:val="en-US" w:eastAsia="zh-CN"/>
        </w:rPr>
        <w:t>5.65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其中：政府采购货物支出0万元、政府采购工程支出0万元、政府采购服务支出</w:t>
      </w:r>
      <w:r>
        <w:rPr>
          <w:rFonts w:hint="eastAsia" w:ascii="仿宋_GB2312" w:eastAsia="仿宋_GB2312"/>
          <w:color w:val="000000"/>
          <w:sz w:val="32"/>
          <w:szCs w:val="32"/>
          <w:lang w:val="en-US" w:eastAsia="zh-CN"/>
        </w:rPr>
        <w:t>5.65</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91"/>
      <w:bookmarkEnd w:id="92"/>
      <w:bookmarkEnd w:id="93"/>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西区住房和城乡建设局共有车辆3辆，其中：部级领导干部用车0辆、一般公务用车2辆、一般执法执勤用车0辆、特种专业技术用车1辆、其他用车0辆。单价50万元以上通用设备0台（套），单价100万元以上专用设备0台（套）</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4" w:name="_Toc13274"/>
      <w:bookmarkStart w:id="95" w:name="_Toc86156579"/>
      <w:r>
        <w:rPr>
          <w:rFonts w:hint="eastAsia" w:ascii="仿宋" w:hAnsi="仿宋" w:eastAsia="仿宋"/>
          <w:b/>
          <w:color w:val="000000"/>
          <w:sz w:val="32"/>
          <w:szCs w:val="32"/>
        </w:rPr>
        <w:t>（四）预算绩效管理情况</w:t>
      </w:r>
      <w:bookmarkEnd w:id="94"/>
      <w:bookmarkEnd w:id="95"/>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根据预算绩效管理要求，本单位在年初预算编制阶段，组织对保障性住房运营维护费、</w:t>
      </w:r>
      <w:r>
        <w:rPr>
          <w:rFonts w:hint="eastAsia" w:ascii="仿宋_GB2312" w:hAnsi="仿宋" w:eastAsia="仿宋_GB2312"/>
          <w:color w:val="000000"/>
          <w:sz w:val="32"/>
          <w:szCs w:val="32"/>
        </w:rPr>
        <w:t>采煤沉陷区监测人员劳务费</w:t>
      </w:r>
      <w:r>
        <w:rPr>
          <w:rFonts w:hint="eastAsia" w:ascii="仿宋_GB2312" w:hAnsi="仿宋_GB2312" w:eastAsia="仿宋_GB2312" w:cs="仿宋_GB2312"/>
          <w:sz w:val="32"/>
          <w:szCs w:val="32"/>
        </w:rPr>
        <w:t>等项目开展了预算事前绩效评估，对7个项目编制了绩效目标，预算执行过程中，选取5个项目开展绩效监控，年终执行完毕后，对5个项目开展了绩效目标完成情况自评。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本单位按要求对2021年部门整体支出开展绩效自评，从评价情况来看</w:t>
      </w:r>
      <w:r>
        <w:rPr>
          <w:rFonts w:hint="eastAsia" w:ascii="仿宋_GB2312" w:hAnsi="仿宋_GB2312" w:eastAsia="仿宋_GB2312" w:cs="仿宋_GB2312"/>
          <w:color w:val="000000"/>
          <w:sz w:val="32"/>
          <w:szCs w:val="32"/>
          <w:shd w:val="clear" w:color="auto" w:fill="F8F8F8"/>
        </w:rPr>
        <w:t>圆满完成了绩效目标</w:t>
      </w:r>
      <w:r>
        <w:rPr>
          <w:rFonts w:hint="eastAsia" w:ascii="仿宋_GB2312" w:hAnsi="仿宋_GB2312" w:eastAsia="仿宋_GB2312" w:cs="仿宋_GB2312"/>
          <w:sz w:val="32"/>
          <w:szCs w:val="32"/>
        </w:rPr>
        <w:t>。本单位还自行组织了1个项目支出绩效评价，从评价情况来看，完成了保障性住房运营维护，完成了路灯及亮化设施维修维护费用，完成了西区公安分局拆迁过渡费等工作。</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本单位在2021年度部门决算中反映“保障性住房运营维护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路灯及亮化设施维修维护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“西区公安分局拆迁过渡费”等5个项目绩效目标实际完成情况。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障性住房运营维护费项目绩效目标完成情况综述。项目全年预算数134万元，执行数为2.03万元，完成预算的1.51%，资金后续逐步拨付。通过项目实施，保障了全区公租房的正常运营，提高了保障性住房住户的生活水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color w:val="000000"/>
          <w:sz w:val="32"/>
          <w:szCs w:val="32"/>
        </w:rPr>
        <w:t>采煤沉陷区监测人员劳务费</w:t>
      </w:r>
      <w:r>
        <w:rPr>
          <w:rFonts w:hint="eastAsia" w:ascii="仿宋_GB2312" w:hAnsi="仿宋_GB2312" w:eastAsia="仿宋_GB2312" w:cs="仿宋_GB2312"/>
          <w:sz w:val="32"/>
          <w:szCs w:val="32"/>
        </w:rPr>
        <w:t>项目绩效目标完成情况综述。项目全年预算数1.44万元，执行数为1.44万元，完成预算的100%。通过项目实施，保障了采煤沉陷区房屋安全。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（3）西区公安分局拆迁过渡费项目绩效目标完成情况综述。项目全年预算数25万元，执行数为25万元，完成预算的100%。通过项目实施，推进工作顺利开展，保障全年工作顺利完成，提升工作时效。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（4）基础设施项目建设可研编制、规划调整项目绩效目标完成情况综述。项目全年预算数7万元，执行数为0万元，资金拨付滞后，后续逐步拨付。通过项目实施，提高了西区整体环境。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保障性住房产权办理、公租房分配、物业管理、房地产管理工作经费项目绩效目标完成情况综述。项目全年预算数2万元，执行数为2万元，完成预算的100%。通过项目实施，提高了工作时效，顺利完成公租房分配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（6）路灯及亮化设施维修维护经费项目绩效目标完成情况综述。项目全年预算数15万元，执行数为15万，完成预算的100%。通过项目实施，达到西区路灯亮化。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城市市政道路及人行道、沟盖板等附属设施维护维修经费项目绩效目标完成情况综述。项目全年预算数7万元，执行数为1.37万，完成预算的19.57%，资金拨付滞后，后续逐步拨付。通过项目实施，达到完善西区道路设施。</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65"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保障性住房运营维护费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2.03</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2.03</w:t>
            </w:r>
          </w:p>
        </w:tc>
      </w:tr>
      <w:tr>
        <w:tblPrEx>
          <w:tblLayout w:type="fixed"/>
          <w:tblCellMar>
            <w:top w:w="0" w:type="dxa"/>
            <w:left w:w="0" w:type="dxa"/>
            <w:bottom w:w="0" w:type="dxa"/>
            <w:right w:w="0" w:type="dxa"/>
          </w:tblCellMar>
        </w:tblPrEx>
        <w:trPr>
          <w:trHeight w:val="11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保障性住房正常运行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20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电梯维护费；公租房维护费；保洁保安人员劳务费及缴纳社保费；</w:t>
            </w:r>
            <w:r>
              <w:rPr>
                <w:rFonts w:hint="eastAsia" w:cs="宋体" w:asciiTheme="minorEastAsia" w:hAnsiTheme="minorEastAsia" w:eastAsiaTheme="minorEastAsia"/>
                <w:szCs w:val="21"/>
              </w:rPr>
              <w:t>对公租房消防设施进行增补和维修</w:t>
            </w: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营造良好社会环境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及时掌握群众安全感，营造良好的居住环境</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改善了居住环境</w:t>
            </w:r>
          </w:p>
          <w:p>
            <w:pPr>
              <w:widowControl/>
              <w:jc w:val="center"/>
              <w:textAlignment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电梯维护费；公租房维护费；保洁保安人员劳务费及缴纳社保费；</w:t>
            </w:r>
            <w:r>
              <w:rPr>
                <w:rFonts w:hint="eastAsia" w:cs="宋体" w:asciiTheme="minorEastAsia" w:hAnsiTheme="minorEastAsia" w:eastAsiaTheme="minorEastAsia"/>
                <w:szCs w:val="21"/>
              </w:rPr>
              <w:t>对公租房消防设施进行增补和维修</w:t>
            </w:r>
          </w:p>
          <w:p>
            <w:pPr>
              <w:widowControl/>
              <w:jc w:val="center"/>
              <w:textAlignment w:val="center"/>
              <w:rPr>
                <w:rFonts w:ascii="宋体" w:hAnsi="宋体" w:cs="宋体"/>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cs="宋体" w:asciiTheme="minorEastAsia" w:hAnsiTheme="minorEastAsia" w:eastAsiaTheme="minorEastAsia"/>
                <w:color w:val="000000"/>
                <w:szCs w:val="21"/>
              </w:rPr>
              <w:t>电梯维护费17万元，公租房维护费10万元，保洁保安人员劳务费85万元，对公租房消防设施进行增补和维修12万元，公租房小区公共设施电费、路灯电费、消防水费等10万元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提升社会稳定性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提升群众对居住环境的满意度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群众对居住环境满意</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群众满意</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(20201年度)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采煤沉陷区监测人员劳务经费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r>
      <w:tr>
        <w:tblPrEx>
          <w:tblLayout w:type="fixed"/>
          <w:tblCellMar>
            <w:top w:w="0" w:type="dxa"/>
            <w:left w:w="0" w:type="dxa"/>
            <w:bottom w:w="0" w:type="dxa"/>
            <w:right w:w="0" w:type="dxa"/>
          </w:tblCellMar>
        </w:tblPrEx>
        <w:trPr>
          <w:trHeight w:val="11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sz w:val="20"/>
                <w:szCs w:val="20"/>
              </w:rPr>
              <w:t>完成采煤沉陷区监测,保障采煤沉陷区房屋安全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sz w:val="20"/>
                <w:szCs w:val="20"/>
              </w:rPr>
              <w:t>已完成监测人员劳务费的发放</w:t>
            </w:r>
          </w:p>
        </w:tc>
      </w:tr>
      <w:tr>
        <w:tblPrEx>
          <w:tblLayout w:type="fixed"/>
          <w:tblCellMar>
            <w:top w:w="0" w:type="dxa"/>
            <w:left w:w="0" w:type="dxa"/>
            <w:bottom w:w="0" w:type="dxa"/>
            <w:right w:w="0" w:type="dxa"/>
          </w:tblCellMar>
        </w:tblPrEx>
        <w:trPr>
          <w:trHeight w:val="1818"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224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采煤沉陷区监测人员2人劳务费</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监测人员2人、600元/人.月，总计1.44万元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监测人员2人、600元/人.月，总计1.44万元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szCs w:val="21"/>
              </w:rPr>
              <w:t>保障采煤沉陷区房屋安全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szCs w:val="21"/>
              </w:rPr>
              <w:t>保障采煤沉陷区房屋安全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asciiTheme="minorEastAsia" w:hAnsiTheme="minorEastAsia" w:eastAsiaTheme="minorEastAsia"/>
                <w:szCs w:val="21"/>
              </w:rPr>
              <w:t>保障采煤沉陷区房屋安全</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采煤沉陷区监测人员2人劳务费</w:t>
            </w:r>
          </w:p>
          <w:p>
            <w:pPr>
              <w:widowControl/>
              <w:jc w:val="center"/>
              <w:textAlignment w:val="center"/>
              <w:rPr>
                <w:rFonts w:ascii="宋体" w:hAnsi="宋体" w:cs="宋体"/>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监测人员2人、600元/人.月，总计1.44万元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cs="宋体" w:asciiTheme="minorEastAsia" w:hAnsiTheme="minorEastAsia" w:eastAsiaTheme="minorEastAsia"/>
                <w:color w:val="000000"/>
                <w:szCs w:val="21"/>
              </w:rPr>
              <w:t>监测人员2人、600元/人.月，总计1.44万元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szCs w:val="21"/>
              </w:rPr>
              <w:t>全面推进工作开展，提升工作水平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全面推进工作顺利开展，保障全年工作顺利完成，提升工作时效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全面推进工作顺利开展，提升工作时效</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Cs w:val="21"/>
              </w:rPr>
            </w:pPr>
            <w:r>
              <w:rPr>
                <w:rFonts w:hint="eastAsia"/>
                <w:szCs w:val="21"/>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Cs w:val="21"/>
              </w:rPr>
            </w:pPr>
            <w:r>
              <w:rPr>
                <w:rFonts w:hint="eastAsia"/>
                <w:szCs w:val="21"/>
              </w:rPr>
              <w:t>群众满意</w:t>
            </w:r>
          </w:p>
        </w:tc>
      </w:tr>
    </w:tbl>
    <w:p>
      <w:pPr>
        <w:spacing w:line="580" w:lineRule="exact"/>
        <w:ind w:left="630"/>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西区公安分局拆迁过渡经费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w:t>
            </w:r>
          </w:p>
        </w:tc>
      </w:tr>
      <w:tr>
        <w:tblPrEx>
          <w:tblLayout w:type="fixed"/>
          <w:tblCellMar>
            <w:top w:w="0" w:type="dxa"/>
            <w:left w:w="0" w:type="dxa"/>
            <w:bottom w:w="0" w:type="dxa"/>
            <w:right w:w="0" w:type="dxa"/>
          </w:tblCellMar>
        </w:tblPrEx>
        <w:trPr>
          <w:trHeight w:val="118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按时发放西区公安分局拆迁过渡费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已按时完成西区公安分局拆迁过渡费的发放</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224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p>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拆迁过渡费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拆迁户34户，一个季度25.5万元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拆迁户34户，一个季度25.5万元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发放西区公安分局拆迁过渡费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发放西区公安分局拆迁过渡费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完成发放34户过渡费</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拆迁过渡费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共34户，一个季度25.5万元，全年102万元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完成34户过渡费的发放，共102万元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全面推进工作开展，提升工作水平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全面推进工作开展，保障全年工作顺利完成，提升工作时效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已顺利完成</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群众基本满意</w:t>
            </w:r>
          </w:p>
        </w:tc>
      </w:tr>
    </w:tbl>
    <w:p>
      <w:pPr>
        <w:spacing w:line="580" w:lineRule="exact"/>
        <w:ind w:left="630"/>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10573" w:type="dxa"/>
        <w:jc w:val="center"/>
        <w:tblInd w:w="0" w:type="dxa"/>
        <w:tblLayout w:type="fixed"/>
        <w:tblCellMar>
          <w:top w:w="0" w:type="dxa"/>
          <w:left w:w="0" w:type="dxa"/>
          <w:bottom w:w="0" w:type="dxa"/>
          <w:right w:w="0" w:type="dxa"/>
        </w:tblCellMar>
      </w:tblPr>
      <w:tblGrid>
        <w:gridCol w:w="698"/>
        <w:gridCol w:w="513"/>
        <w:gridCol w:w="1142"/>
        <w:gridCol w:w="2504"/>
        <w:gridCol w:w="2377"/>
        <w:gridCol w:w="2424"/>
        <w:gridCol w:w="915"/>
      </w:tblGrid>
      <w:tr>
        <w:tblPrEx>
          <w:tblLayout w:type="fixed"/>
          <w:tblCellMar>
            <w:top w:w="0" w:type="dxa"/>
            <w:left w:w="0" w:type="dxa"/>
            <w:bottom w:w="0" w:type="dxa"/>
            <w:right w:w="0" w:type="dxa"/>
          </w:tblCellMar>
        </w:tblPrEx>
        <w:trPr>
          <w:gridAfter w:val="1"/>
          <w:wAfter w:w="915" w:type="dxa"/>
          <w:trHeight w:val="1972" w:hRule="atLeast"/>
          <w:jc w:val="center"/>
        </w:trPr>
        <w:tc>
          <w:tcPr>
            <w:tcW w:w="9658"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Layout w:type="fixed"/>
          <w:tblCellMar>
            <w:top w:w="0" w:type="dxa"/>
            <w:left w:w="0" w:type="dxa"/>
            <w:bottom w:w="0" w:type="dxa"/>
            <w:right w:w="0" w:type="dxa"/>
          </w:tblCellMar>
        </w:tblPrEx>
        <w:trPr>
          <w:gridAfter w:val="1"/>
          <w:wAfter w:w="915" w:type="dxa"/>
          <w:trHeight w:val="276" w:hRule="atLeast"/>
          <w:jc w:val="center"/>
        </w:trPr>
        <w:tc>
          <w:tcPr>
            <w:tcW w:w="23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3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城市市政道路及人行道、沟盖板等附属设施维护维修经费</w:t>
            </w:r>
          </w:p>
        </w:tc>
      </w:tr>
      <w:tr>
        <w:tblPrEx>
          <w:tblLayout w:type="fixed"/>
          <w:tblCellMar>
            <w:top w:w="0" w:type="dxa"/>
            <w:left w:w="0" w:type="dxa"/>
            <w:bottom w:w="0" w:type="dxa"/>
            <w:right w:w="0" w:type="dxa"/>
          </w:tblCellMar>
        </w:tblPrEx>
        <w:trPr>
          <w:gridAfter w:val="1"/>
          <w:wAfter w:w="915" w:type="dxa"/>
          <w:trHeight w:val="276" w:hRule="atLeast"/>
          <w:jc w:val="center"/>
        </w:trPr>
        <w:tc>
          <w:tcPr>
            <w:tcW w:w="23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3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Layout w:type="fixed"/>
          <w:tblCellMar>
            <w:top w:w="0" w:type="dxa"/>
            <w:left w:w="0" w:type="dxa"/>
            <w:bottom w:w="0" w:type="dxa"/>
            <w:right w:w="0" w:type="dxa"/>
          </w:tblCellMar>
        </w:tblPrEx>
        <w:trPr>
          <w:gridAfter w:val="1"/>
          <w:wAfter w:w="915" w:type="dxa"/>
          <w:trHeight w:val="276" w:hRule="atLeast"/>
          <w:jc w:val="center"/>
        </w:trPr>
        <w:tc>
          <w:tcPr>
            <w:tcW w:w="6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w:t>
            </w:r>
          </w:p>
        </w:tc>
      </w:tr>
      <w:tr>
        <w:tblPrEx>
          <w:tblLayout w:type="fixed"/>
          <w:tblCellMar>
            <w:top w:w="0" w:type="dxa"/>
            <w:left w:w="0" w:type="dxa"/>
            <w:bottom w:w="0" w:type="dxa"/>
            <w:right w:w="0" w:type="dxa"/>
          </w:tblCellMar>
        </w:tblPrEx>
        <w:trPr>
          <w:gridAfter w:val="1"/>
          <w:wAfter w:w="915" w:type="dxa"/>
          <w:trHeight w:val="276"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1.37</w:t>
            </w:r>
          </w:p>
        </w:tc>
      </w:tr>
      <w:tr>
        <w:tblPrEx>
          <w:tblLayout w:type="fixed"/>
          <w:tblCellMar>
            <w:top w:w="0" w:type="dxa"/>
            <w:left w:w="0" w:type="dxa"/>
            <w:bottom w:w="0" w:type="dxa"/>
            <w:right w:w="0" w:type="dxa"/>
          </w:tblCellMar>
        </w:tblPrEx>
        <w:trPr>
          <w:gridAfter w:val="1"/>
          <w:wAfter w:w="915" w:type="dxa"/>
          <w:trHeight w:val="1189"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gridAfter w:val="1"/>
          <w:wAfter w:w="915" w:type="dxa"/>
          <w:trHeight w:val="276" w:hRule="atLeast"/>
          <w:jc w:val="center"/>
        </w:trPr>
        <w:tc>
          <w:tcPr>
            <w:tcW w:w="6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gridAfter w:val="1"/>
          <w:wAfter w:w="915" w:type="dxa"/>
          <w:trHeight w:val="1276"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1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保障道路及人行道平整，无坑洼、拥包、破损等，附属设施无破损，功能完好</w:t>
            </w:r>
          </w:p>
        </w:tc>
        <w:tc>
          <w:tcPr>
            <w:tcW w:w="48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Layout w:type="fixed"/>
          <w:tblCellMar>
            <w:top w:w="0" w:type="dxa"/>
            <w:left w:w="0" w:type="dxa"/>
            <w:bottom w:w="0" w:type="dxa"/>
            <w:right w:w="0" w:type="dxa"/>
          </w:tblCellMar>
        </w:tblPrEx>
        <w:trPr>
          <w:gridAfter w:val="1"/>
          <w:wAfter w:w="915" w:type="dxa"/>
          <w:trHeight w:val="1042" w:hRule="atLeast"/>
          <w:jc w:val="center"/>
        </w:trPr>
        <w:tc>
          <w:tcPr>
            <w:tcW w:w="69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gridAfter w:val="1"/>
          <w:wAfter w:w="915" w:type="dxa"/>
          <w:trHeight w:val="2244" w:hRule="atLeast"/>
          <w:jc w:val="center"/>
        </w:trPr>
        <w:tc>
          <w:tcPr>
            <w:tcW w:w="6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人行道、路沿石维修维护，沟盖板、窨井盖维修更换</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辖区人行道、路沿石约6万平米，日常管护零星维修，辖区道路沟盖板及窨井盖等零星维修更换</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已完成</w:t>
            </w:r>
          </w:p>
        </w:tc>
      </w:tr>
      <w:tr>
        <w:tblPrEx>
          <w:tblLayout w:type="fixed"/>
          <w:tblCellMar>
            <w:top w:w="0" w:type="dxa"/>
            <w:left w:w="0" w:type="dxa"/>
            <w:bottom w:w="0" w:type="dxa"/>
            <w:right w:w="0" w:type="dxa"/>
          </w:tblCellMar>
        </w:tblPrEx>
        <w:trPr>
          <w:trHeight w:val="1297" w:hRule="atLeast"/>
          <w:jc w:val="center"/>
        </w:trPr>
        <w:tc>
          <w:tcPr>
            <w:tcW w:w="6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加强公共基础设施管护，营造辖区良好生活环境</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加强公共基础设施管护，营造辖区良好生活环境</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加强公共基础设施管护，营造辖区良好生活环境</w:t>
            </w:r>
          </w:p>
        </w:tc>
        <w:tc>
          <w:tcPr>
            <w:tcW w:w="915" w:type="dxa"/>
            <w:vAlign w:val="center"/>
          </w:tcPr>
          <w:p>
            <w:pPr>
              <w:jc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gridAfter w:val="1"/>
          <w:wAfter w:w="915" w:type="dxa"/>
          <w:trHeight w:val="1042" w:hRule="atLeast"/>
          <w:jc w:val="center"/>
        </w:trPr>
        <w:tc>
          <w:tcPr>
            <w:tcW w:w="6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gridAfter w:val="1"/>
          <w:wAfter w:w="915" w:type="dxa"/>
          <w:trHeight w:val="1981" w:hRule="atLeast"/>
          <w:jc w:val="center"/>
        </w:trPr>
        <w:tc>
          <w:tcPr>
            <w:tcW w:w="6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r>
              <w:rPr>
                <w:rFonts w:hint="eastAsia" w:cs="宋体" w:asciiTheme="minorEastAsia" w:hAnsiTheme="minorEastAsia" w:eastAsiaTheme="minorEastAsia"/>
                <w:color w:val="000000"/>
                <w:szCs w:val="21"/>
              </w:rPr>
              <w:t>人行道、路沿石维修维护，沟盖板、窨井盖维修更换</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辖区人行道、路沿石约6万平米，日常管护零星维修，辖区道路沟盖板及窨井盖等零星维修更换</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6万平米*1万元/万平米=60000元，因数量不确定，损坏不可预期，按照实际损坏进行更换，约需10000元</w:t>
            </w:r>
          </w:p>
        </w:tc>
      </w:tr>
      <w:tr>
        <w:tblPrEx>
          <w:tblLayout w:type="fixed"/>
          <w:tblCellMar>
            <w:top w:w="0" w:type="dxa"/>
            <w:left w:w="0" w:type="dxa"/>
            <w:bottom w:w="0" w:type="dxa"/>
            <w:right w:w="0" w:type="dxa"/>
          </w:tblCellMar>
        </w:tblPrEx>
        <w:trPr>
          <w:gridAfter w:val="1"/>
          <w:wAfter w:w="915" w:type="dxa"/>
          <w:trHeight w:val="1042" w:hRule="atLeast"/>
          <w:jc w:val="center"/>
        </w:trPr>
        <w:tc>
          <w:tcPr>
            <w:tcW w:w="6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加强社会公众知晓度</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加强社会公众知晓度</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加强社会公众知晓度</w:t>
            </w:r>
          </w:p>
        </w:tc>
      </w:tr>
      <w:tr>
        <w:tblPrEx>
          <w:tblLayout w:type="fixed"/>
          <w:tblCellMar>
            <w:top w:w="0" w:type="dxa"/>
            <w:left w:w="0" w:type="dxa"/>
            <w:bottom w:w="0" w:type="dxa"/>
            <w:right w:w="0" w:type="dxa"/>
          </w:tblCellMar>
        </w:tblPrEx>
        <w:trPr>
          <w:gridAfter w:val="1"/>
          <w:wAfter w:w="915" w:type="dxa"/>
          <w:trHeight w:val="1050" w:hRule="atLeast"/>
          <w:jc w:val="center"/>
        </w:trPr>
        <w:tc>
          <w:tcPr>
            <w:tcW w:w="69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群众满意</w:t>
            </w:r>
          </w:p>
        </w:tc>
      </w:tr>
    </w:tbl>
    <w:p>
      <w:pPr>
        <w:spacing w:line="580" w:lineRule="exact"/>
        <w:ind w:left="630"/>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45" w:type="dxa"/>
        <w:jc w:val="center"/>
        <w:tblInd w:w="0" w:type="dxa"/>
        <w:tblLayout w:type="fixed"/>
        <w:tblCellMar>
          <w:top w:w="0" w:type="dxa"/>
          <w:left w:w="0" w:type="dxa"/>
          <w:bottom w:w="0" w:type="dxa"/>
          <w:right w:w="0" w:type="dxa"/>
        </w:tblCellMar>
      </w:tblPr>
      <w:tblGrid>
        <w:gridCol w:w="375"/>
        <w:gridCol w:w="1367"/>
        <w:gridCol w:w="1025"/>
        <w:gridCol w:w="83"/>
        <w:gridCol w:w="2309"/>
        <w:gridCol w:w="2394"/>
        <w:gridCol w:w="2392"/>
      </w:tblGrid>
      <w:tr>
        <w:tblPrEx>
          <w:tblLayout w:type="fixed"/>
          <w:tblCellMar>
            <w:top w:w="0" w:type="dxa"/>
            <w:left w:w="0" w:type="dxa"/>
            <w:bottom w:w="0" w:type="dxa"/>
            <w:right w:w="0" w:type="dxa"/>
          </w:tblCellMar>
        </w:tblPrEx>
        <w:trPr>
          <w:trHeight w:val="1034" w:hRule="atLeast"/>
          <w:jc w:val="center"/>
        </w:trPr>
        <w:tc>
          <w:tcPr>
            <w:tcW w:w="994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 年度)</w:t>
            </w:r>
          </w:p>
        </w:tc>
      </w:tr>
      <w:tr>
        <w:tblPrEx>
          <w:tblLayout w:type="fixed"/>
          <w:tblCellMar>
            <w:top w:w="0" w:type="dxa"/>
            <w:left w:w="0" w:type="dxa"/>
            <w:bottom w:w="0" w:type="dxa"/>
            <w:right w:w="0" w:type="dxa"/>
          </w:tblCellMar>
        </w:tblPrEx>
        <w:trPr>
          <w:trHeight w:val="779" w:hRule="atLeast"/>
          <w:jc w:val="center"/>
        </w:trPr>
        <w:tc>
          <w:tcPr>
            <w:tcW w:w="28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仿宋_GB2312"/>
                <w:sz w:val="24"/>
              </w:rPr>
              <w:t>保障性住房产权办理、公租房分配、物业管理、房地产管理工作经费</w:t>
            </w:r>
          </w:p>
        </w:tc>
      </w:tr>
      <w:tr>
        <w:tblPrEx>
          <w:tblLayout w:type="fixed"/>
          <w:tblCellMar>
            <w:top w:w="0" w:type="dxa"/>
            <w:left w:w="0" w:type="dxa"/>
            <w:bottom w:w="0" w:type="dxa"/>
            <w:right w:w="0" w:type="dxa"/>
          </w:tblCellMar>
        </w:tblPrEx>
        <w:trPr>
          <w:trHeight w:val="276" w:hRule="atLeast"/>
          <w:jc w:val="center"/>
        </w:trPr>
        <w:tc>
          <w:tcPr>
            <w:tcW w:w="28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西区住房和城乡建设局</w:t>
            </w:r>
          </w:p>
        </w:tc>
      </w:tr>
      <w:tr>
        <w:tblPrEx>
          <w:tblLayout w:type="fixed"/>
          <w:tblCellMar>
            <w:top w:w="0" w:type="dxa"/>
            <w:left w:w="0" w:type="dxa"/>
            <w:bottom w:w="0" w:type="dxa"/>
            <w:right w:w="0" w:type="dxa"/>
          </w:tblCellMar>
        </w:tblPrEx>
        <w:trPr>
          <w:trHeight w:val="276"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276"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Layout w:type="fixed"/>
          <w:tblCellMar>
            <w:top w:w="0" w:type="dxa"/>
            <w:left w:w="0" w:type="dxa"/>
            <w:bottom w:w="0" w:type="dxa"/>
            <w:right w:w="0" w:type="dxa"/>
          </w:tblCellMar>
        </w:tblPrEx>
        <w:trPr>
          <w:trHeight w:val="118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276"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加强辖区保障性住房政策宣传，做好安置房、公租房、租赁补贴发放工作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Layout w:type="fixed"/>
          <w:tblCellMar>
            <w:top w:w="0" w:type="dxa"/>
            <w:left w:w="0" w:type="dxa"/>
            <w:bottom w:w="0" w:type="dxa"/>
            <w:right w:w="0" w:type="dxa"/>
          </w:tblCellMar>
        </w:tblPrEx>
        <w:trPr>
          <w:trHeight w:val="1042" w:hRule="atLeast"/>
          <w:jc w:val="center"/>
        </w:trPr>
        <w:tc>
          <w:tcPr>
            <w:tcW w:w="3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2244"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数量指标 </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公租房、安置房产权办理，保障性住房政策宣传、公租房分配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市城建档案馆复印费0.5万元、不动产登记证工本费1万元、公租房分配工作经费0.5万元，共计资金2万元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市城建档案馆资料复印、打证工本费以及公租房分配等支出2万元</w:t>
            </w:r>
          </w:p>
        </w:tc>
      </w:tr>
      <w:tr>
        <w:tblPrEx>
          <w:tblLayout w:type="fixed"/>
          <w:tblCellMar>
            <w:top w:w="0" w:type="dxa"/>
            <w:left w:w="0" w:type="dxa"/>
            <w:bottom w:w="0" w:type="dxa"/>
            <w:right w:w="0" w:type="dxa"/>
          </w:tblCellMar>
        </w:tblPrEx>
        <w:trPr>
          <w:trHeight w:val="1297"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质量指标 </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有效完成公租房分配工作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确保工作顺利开展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确保工作顺利开展</w:t>
            </w:r>
          </w:p>
        </w:tc>
      </w:tr>
      <w:tr>
        <w:tblPrEx>
          <w:tblLayout w:type="fixed"/>
          <w:tblCellMar>
            <w:top w:w="0" w:type="dxa"/>
            <w:left w:w="0" w:type="dxa"/>
            <w:bottom w:w="0" w:type="dxa"/>
            <w:right w:w="0" w:type="dxa"/>
          </w:tblCellMar>
        </w:tblPrEx>
        <w:trPr>
          <w:trHeight w:val="1042"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时效指标 </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全年按计划推进</w:t>
            </w:r>
          </w:p>
          <w:p>
            <w:pPr>
              <w:widowControl/>
              <w:jc w:val="center"/>
              <w:textAlignment w:val="center"/>
              <w:rPr>
                <w:rFonts w:cs="宋体" w:asciiTheme="minorEastAsia" w:hAnsiTheme="minorEastAsia" w:eastAsiaTheme="minorEastAsia"/>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2021年底</w:t>
            </w:r>
          </w:p>
          <w:p>
            <w:pPr>
              <w:widowControl/>
              <w:jc w:val="center"/>
              <w:textAlignment w:val="center"/>
              <w:rPr>
                <w:rFonts w:cs="宋体" w:asciiTheme="minorEastAsia" w:hAnsiTheme="minorEastAsia" w:eastAsiaTheme="minorEastAsia"/>
                <w:color w:val="000000"/>
                <w:szCs w:val="21"/>
              </w:rPr>
            </w:pPr>
          </w:p>
        </w:tc>
      </w:tr>
      <w:tr>
        <w:tblPrEx>
          <w:tblLayout w:type="fixed"/>
          <w:tblCellMar>
            <w:top w:w="0" w:type="dxa"/>
            <w:left w:w="0" w:type="dxa"/>
            <w:bottom w:w="0" w:type="dxa"/>
            <w:right w:w="0" w:type="dxa"/>
          </w:tblCellMar>
        </w:tblPrEx>
        <w:trPr>
          <w:trHeight w:val="1753"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r>
              <w:rPr>
                <w:rFonts w:hint="eastAsia" w:ascii="宋体" w:hAnsi="宋体" w:cs="宋体"/>
                <w:szCs w:val="21"/>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Cs w:val="21"/>
              </w:rPr>
            </w:pPr>
            <w:r>
              <w:rPr>
                <w:rFonts w:hint="eastAsia" w:cs="宋体" w:asciiTheme="minorEastAsia" w:hAnsiTheme="minorEastAsia" w:eastAsiaTheme="minorEastAsia"/>
                <w:szCs w:val="21"/>
              </w:rPr>
              <w:t>公租房、安置房产权办理，保障性住房政策宣传、公租房分配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cs="宋体" w:asciiTheme="minorEastAsia" w:hAnsiTheme="minorEastAsia" w:eastAsiaTheme="minorEastAsia"/>
                <w:color w:val="000000"/>
                <w:szCs w:val="21"/>
              </w:rPr>
              <w:t>市城建档案馆复印费0.5万元、不动产登记证工本费1万元、公租房分配工作经费0.5万元，共计资金2万元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cs="宋体" w:asciiTheme="minorEastAsia" w:hAnsiTheme="minorEastAsia" w:eastAsiaTheme="minorEastAsia"/>
                <w:color w:val="000000"/>
                <w:szCs w:val="21"/>
              </w:rPr>
              <w:t>市城建档案馆资料复印、打证工本费以及公租房分配等支出2万元</w:t>
            </w:r>
          </w:p>
        </w:tc>
      </w:tr>
      <w:tr>
        <w:tblPrEx>
          <w:tblLayout w:type="fixed"/>
          <w:tblCellMar>
            <w:top w:w="0" w:type="dxa"/>
            <w:left w:w="0" w:type="dxa"/>
            <w:bottom w:w="0" w:type="dxa"/>
            <w:right w:w="0" w:type="dxa"/>
          </w:tblCellMar>
        </w:tblPrEx>
        <w:trPr>
          <w:trHeight w:val="1042" w:hRule="atLeast"/>
          <w:jc w:val="center"/>
        </w:trPr>
        <w:tc>
          <w:tcPr>
            <w:tcW w:w="3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全面推进工作开展，提升工作水平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加强公众对公租房知晓度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加强公众知晓度</w:t>
            </w:r>
          </w:p>
        </w:tc>
      </w:tr>
      <w:tr>
        <w:tblPrEx>
          <w:tblLayout w:type="fixed"/>
          <w:tblCellMar>
            <w:top w:w="0" w:type="dxa"/>
            <w:left w:w="0" w:type="dxa"/>
            <w:bottom w:w="0" w:type="dxa"/>
            <w:right w:w="0" w:type="dxa"/>
          </w:tblCellMar>
        </w:tblPrEx>
        <w:trPr>
          <w:trHeight w:val="1050" w:hRule="atLeast"/>
          <w:jc w:val="center"/>
        </w:trPr>
        <w:tc>
          <w:tcPr>
            <w:tcW w:w="3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rPr>
              <w:t>群众满意</w:t>
            </w:r>
          </w:p>
        </w:tc>
      </w:tr>
    </w:tbl>
    <w:p>
      <w:pPr>
        <w:spacing w:line="580" w:lineRule="exact"/>
        <w:ind w:left="630"/>
        <w:rPr>
          <w:rFonts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96" w:name="_Toc15377225"/>
      <w:bookmarkStart w:id="97" w:name="_Toc15396613"/>
      <w:bookmarkStart w:id="98" w:name="_Toc86156580"/>
      <w:r>
        <w:rPr>
          <w:rFonts w:hint="eastAsia" w:ascii="黑体" w:hAnsi="黑体" w:eastAsia="黑体"/>
          <w:color w:val="000000"/>
          <w:sz w:val="44"/>
          <w:szCs w:val="44"/>
        </w:rPr>
        <w:t>名</w:t>
      </w:r>
      <w:r>
        <w:rPr>
          <w:rStyle w:val="26"/>
          <w:rFonts w:hint="eastAsia" w:ascii="黑体" w:hAnsi="黑体" w:eastAsia="黑体"/>
          <w:b w:val="0"/>
        </w:rPr>
        <w:t>词解释</w:t>
      </w:r>
      <w:bookmarkEnd w:id="96"/>
      <w:bookmarkEnd w:id="97"/>
      <w:bookmarkEnd w:id="98"/>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其他收入：指单位取得的除上述收入以外的各项收入。主要是银行利息收入。</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.一般公共服务（类）其他一般公共服务支出（款）其他一般公共服务支出（项）2019999：指反映除上述项目以外的其他一般公共服务支出。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.社会保障和就业（类）</w:t>
      </w:r>
      <w:r>
        <w:rPr>
          <w:rFonts w:hint="eastAsia" w:ascii="仿宋_GB2312" w:hAnsi="Calibri" w:eastAsia="仿宋_GB2312" w:cs="仿宋"/>
          <w:color w:val="000000"/>
          <w:kern w:val="0"/>
          <w:sz w:val="32"/>
          <w:szCs w:val="32"/>
          <w:lang w:val="en-US" w:eastAsia="zh-CN" w:bidi="ar-SA"/>
        </w:rPr>
        <w:t>行政事业单位离退休（款）行政单位离退休（项）2080501：指反映行政单位（包括实行公务员管理的事业单位）开支的离退休经费。</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7.社会保障和就业（类）行政事业单位离退休（款）机关事业单位基本养老保险缴费支出（项）2080505：指反映机关事业单位实施养老保险制度由单位缴纳的基本养老保险费支出。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8.社会保障和就业（类）企业改革补助（款）其他企业改革发展补助（项）2080699：指反映除上述项目以外财政用于企业改革发展方面的补助支出。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9.社会保障和就业（类）抚恤（款）死亡抚恤（项）2080801：指反映按规定用于烈士和牺牲、病故人员家属的一次性和定期抚恤金以及丧葬补助费。</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卫生健康支出（类）行政事业单位医疗（款）行政单位医疗（项）2101101：指反映财政部门安排的行政单位（包括实行公务员管理的事业单位，下同）基本医疗保险经费，未参加医疗保险的行政单位的公费医疗经费，按国家规定享受离休人员待遇的医疗经费。</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卫生健康支出（类）行政事业单位医疗（款）事业单位医疗（项）2101102：指反映财政部门安排的事业单位基本医疗保险缴费经费，未参加医疗保险的事业单位的公费医疗经费，按国家规定享受离休人员待遇的医疗经费。</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12.卫生健康支出（类）行政事业单位医疗（款）公务员医疗补助（项）2101103：指反映财政部门安排的公务员医疗补助经费。</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节能环保支出（类）自然生态保护（款）生态保护（项）2110401：指反映用于生态功能保护区、生态示范区、生态省（市、县）管理及能力建设、日常管护、宣教、试点示范等支出，生态修复支出，资源开发生态监管等支出。</w:t>
      </w:r>
    </w:p>
    <w:p>
      <w:pPr>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bidi="ar-SA"/>
        </w:rPr>
        <w:t>14.城乡社区（类）城乡社区管理事务（款</w:t>
      </w:r>
      <w:r>
        <w:rPr>
          <w:rFonts w:hint="eastAsia" w:ascii="仿宋_GB2312" w:eastAsia="仿宋_GB2312"/>
          <w:color w:val="000000"/>
          <w:sz w:val="32"/>
          <w:szCs w:val="32"/>
        </w:rPr>
        <w:t>）行政运行（项）2120101：指行政单位（包括实行公务员管理的事业单位）的基本支出。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.城乡社区（类）城乡社区管理事务（款）其他城乡社区管理事务支出（项）2120199：指除上述项目以外其他用于城乡社区管理事务方面的支出。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.城乡社区（类）城乡社区管理事务（款）机关服务（项）2120103：反映为行政单位（包括实行公务员管理的事业单位）提供后勤服务的各类后勤服务中心的支出。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城乡社区（类）城乡社区管理事务（款）工程建设管理（项）2120106：反映调控建设市场运行、拟定建设市场法规、实施建筑工程质量、安全、工程勘察设计监管等方面的支出。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.城乡社区（类）城乡社区公共设施（款）其他城乡社区公共设施（项）2120399：反映除上述项目以外其他用于城乡社区公共设施方面的支出。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城乡社区（类）国有土地使用权出让收入安排（款）征地和拆迁补偿（项）2120801：指新疆生产建设兵团和地方政府在征地和收购土地过程中支付的土地补偿费、安置补助费、地上附着和青苗补偿费、拆迁补偿费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.城乡社区（类）国有土地使用权出让收入安排（款）土地开发（项）2120802：指新疆生产建设兵团和地方政府用于前期土地开发性支出以及与前期土地开发相关的费用等支</w:t>
      </w:r>
      <w:r>
        <w:rPr>
          <w:rFonts w:hint="eastAsia" w:ascii="仿宋_GB2312" w:hAnsi="Calibri" w:eastAsia="仿宋_GB2312" w:cs="仿宋"/>
          <w:color w:val="000000"/>
          <w:kern w:val="0"/>
          <w:sz w:val="32"/>
          <w:szCs w:val="32"/>
          <w:lang w:val="en-US" w:eastAsia="zh-CN" w:bidi="ar-SA"/>
        </w:rPr>
        <w:t>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21.城乡社区（类）其他城乡社区支出（款）其他城乡社区支出（项）2129999：指除上述项目以外其他用于城乡社区方面的支出。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22.住房保障支出（类）保障性安居工程支出（款）廉租住房（项）2210101：反映用于新建、改建、购买、租赁廉租住房支出。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23.住房保障支出（类）保障性安居工程支出（款）棚户区改造（项）2210103：指用于棚户区改造方面的支出。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24.住房保障支出（类）保障性安居工程支出（款）农村危房改造（项）2210105：指用于农村危房改造方面的支出。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25.住房保障支出（类）保障性安居工程支出（款）公共租赁住房（项）2210106：反映用于新建、改建、购买、租赁、维护和管理公共租赁住房支出。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26.住房保障支出（类）保障性安居工程支出（款）保障性住房租金补贴（项）2210107：指各级政府向低收入住房保障家庭发放的住房租赁补贴支出。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27.住房保障支出（类）保障性安居工程支出（款）老旧小区改造（项）2210108：反映用于老旧小区改造方面的支出。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28.住房保障支出（类）住房改革支出（款）住房公积金（项）2210201：指放映行政事业单位按人力资源和社会保障部、财政部规定的基本工资和津贴补贴以及规定比例为职工缴纳的住房公积金。</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29.其他支出（类）其他支出（款）其他支出（项）2299999：反映除上述项目以外其他不能划分到具体功能科目中的支出项目。</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30.基本支出：指为保障机构正常运转、完成日常工作任务而发生的人员支出和公用支出。</w:t>
      </w:r>
    </w:p>
    <w:p>
      <w:pPr>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31.项目支出：指在基本支出之外为完成特定行政任务和事业发展目标所发生的支出。</w:t>
      </w:r>
    </w:p>
    <w:p>
      <w:pPr>
        <w:pStyle w:val="24"/>
        <w:spacing w:line="56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bookmarkStart w:id="99" w:name="_Toc15377226"/>
      <w:r>
        <w:rPr>
          <w:rFonts w:ascii="宋体"/>
          <w:b/>
          <w:color w:val="000000"/>
          <w:sz w:val="44"/>
          <w:szCs w:val="44"/>
        </w:rPr>
        <w:br w:type="page"/>
      </w:r>
      <w:bookmarkStart w:id="100" w:name="_Toc15396614"/>
      <w:bookmarkStart w:id="101" w:name="_Toc86156581"/>
      <w:r>
        <w:rPr>
          <w:rFonts w:hint="eastAsia" w:ascii="黑体" w:hAnsi="黑体" w:eastAsia="黑体"/>
          <w:color w:val="000000"/>
          <w:sz w:val="44"/>
          <w:szCs w:val="44"/>
        </w:rPr>
        <w:t>第</w:t>
      </w:r>
      <w:r>
        <w:rPr>
          <w:rStyle w:val="26"/>
          <w:rFonts w:hint="eastAsia" w:ascii="黑体" w:hAnsi="黑体" w:eastAsia="黑体"/>
          <w:b w:val="0"/>
        </w:rPr>
        <w:t>四部分 附件</w:t>
      </w:r>
      <w:bookmarkEnd w:id="100"/>
      <w:bookmarkEnd w:id="101"/>
    </w:p>
    <w:p>
      <w:pPr>
        <w:spacing w:line="600" w:lineRule="exact"/>
        <w:jc w:val="left"/>
        <w:outlineLvl w:val="0"/>
        <w:rPr>
          <w:rFonts w:ascii="方正小标宋简体" w:hAnsi="方正小标宋简体" w:eastAsia="方正小标宋简体" w:cs="方正小标宋简体"/>
          <w:sz w:val="32"/>
          <w:szCs w:val="32"/>
        </w:rPr>
      </w:pPr>
      <w:bookmarkStart w:id="102" w:name="_Toc86156582"/>
      <w:r>
        <w:rPr>
          <w:rFonts w:hint="eastAsia" w:ascii="黑体" w:hAnsi="黑体" w:eastAsia="黑体" w:cs="黑体"/>
          <w:sz w:val="32"/>
          <w:szCs w:val="32"/>
        </w:rPr>
        <w:t>附件1</w:t>
      </w:r>
      <w:bookmarkEnd w:id="102"/>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西区住房和城乡建设局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sz w:val="32"/>
          <w:szCs w:val="32"/>
        </w:rPr>
        <w:t>攀枝花市西区住房和城乡建设局设6个内设机构。1、办公室；2、城乡建设股；3、质量安全管理股（</w:t>
      </w:r>
      <w:r>
        <w:rPr>
          <w:rFonts w:hint="eastAsia" w:ascii="仿宋_GB2312" w:eastAsia="仿宋_GB2312"/>
          <w:spacing w:val="-4"/>
          <w:sz w:val="32"/>
          <w:szCs w:val="32"/>
        </w:rPr>
        <w:t>西区建设工程质量安全监督站）</w:t>
      </w:r>
      <w:r>
        <w:rPr>
          <w:rFonts w:hint="eastAsia" w:ascii="仿宋_GB2312" w:hAnsi="Calibri" w:eastAsia="仿宋_GB2312"/>
          <w:sz w:val="32"/>
          <w:szCs w:val="32"/>
        </w:rPr>
        <w:t>；4、房地产管理股（西区住房保障工作办公室）；5、移民征收股；6、综合管理股（西区人民防空办公室）</w:t>
      </w:r>
      <w:r>
        <w:rPr>
          <w:rFonts w:hint="eastAsia" w:ascii="仿宋_GB2312" w:hAnsi="Calibri" w:eastAsia="仿宋_GB2312"/>
          <w:sz w:val="30"/>
          <w:szCs w:val="30"/>
        </w:rPr>
        <w:t>。</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（二）机构职能。</w:t>
      </w:r>
    </w:p>
    <w:p>
      <w:pPr>
        <w:spacing w:line="353" w:lineRule="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贯彻国家、省、市住房与城乡建设的法律、法规和方针、政策，参与全区国民经济和社会发展规划编制相关工作，研究制定建设系统经济发展战略、中长期规划、年度计划和相关政策并组织实施。</w:t>
      </w:r>
    </w:p>
    <w:p>
      <w:pPr>
        <w:spacing w:line="353" w:lineRule="auto"/>
        <w:rPr>
          <w:rFonts w:eastAsia="仿宋_GB2312"/>
          <w:spacing w:val="-4"/>
          <w:sz w:val="32"/>
          <w:szCs w:val="32"/>
        </w:rPr>
      </w:pPr>
      <w:r>
        <w:rPr>
          <w:rFonts w:hint="eastAsia" w:eastAsia="仿宋_GB2312"/>
          <w:spacing w:val="-4"/>
          <w:sz w:val="32"/>
          <w:szCs w:val="32"/>
        </w:rPr>
        <w:t xml:space="preserve">    （2）</w:t>
      </w:r>
      <w:r>
        <w:rPr>
          <w:rFonts w:eastAsia="仿宋_GB2312"/>
          <w:spacing w:val="-4"/>
          <w:sz w:val="32"/>
          <w:szCs w:val="32"/>
        </w:rPr>
        <w:t>贯彻执行全市住房改革及住房保障政策；负责制定辖区住房保障实施方案并组织实施；负责辖区保障性住房建设的组织、协调、指导工作；负责辖区廉租住房分配、管理和补贴发放。</w:t>
      </w:r>
    </w:p>
    <w:p>
      <w:pPr>
        <w:spacing w:line="353" w:lineRule="auto"/>
        <w:rPr>
          <w:rFonts w:eastAsia="仿宋_GB2312"/>
          <w:spacing w:val="-4"/>
          <w:sz w:val="32"/>
          <w:szCs w:val="32"/>
        </w:rPr>
      </w:pPr>
      <w:r>
        <w:rPr>
          <w:rFonts w:hint="eastAsia" w:eastAsia="仿宋_GB2312"/>
          <w:spacing w:val="-4"/>
          <w:sz w:val="32"/>
          <w:szCs w:val="32"/>
        </w:rPr>
        <w:t xml:space="preserve">    （3）</w:t>
      </w:r>
      <w:r>
        <w:rPr>
          <w:rFonts w:eastAsia="仿宋_GB2312"/>
          <w:spacing w:val="-4"/>
          <w:sz w:val="32"/>
          <w:szCs w:val="32"/>
        </w:rPr>
        <w:t>承担权限范围内城乡建设管理职责。指导全区城乡建设，指导制定村镇中长期规划、年度计划及建设方案，并组织实施。负责建筑节能的监督管理工作。</w:t>
      </w:r>
    </w:p>
    <w:p>
      <w:pPr>
        <w:spacing w:line="353" w:lineRule="auto"/>
        <w:rPr>
          <w:rFonts w:eastAsia="仿宋_GB2312"/>
          <w:spacing w:val="-4"/>
          <w:sz w:val="32"/>
          <w:szCs w:val="32"/>
        </w:rPr>
      </w:pPr>
      <w:r>
        <w:rPr>
          <w:rFonts w:hint="eastAsia" w:eastAsia="仿宋_GB2312"/>
          <w:spacing w:val="-4"/>
          <w:sz w:val="32"/>
          <w:szCs w:val="32"/>
        </w:rPr>
        <w:t xml:space="preserve">    （</w:t>
      </w:r>
      <w:r>
        <w:rPr>
          <w:rFonts w:eastAsia="仿宋_GB2312"/>
          <w:spacing w:val="-4"/>
          <w:sz w:val="32"/>
          <w:szCs w:val="32"/>
        </w:rPr>
        <w:t>4</w:t>
      </w:r>
      <w:r>
        <w:rPr>
          <w:rFonts w:hint="eastAsia" w:eastAsia="仿宋_GB2312"/>
          <w:spacing w:val="-4"/>
          <w:sz w:val="32"/>
          <w:szCs w:val="32"/>
        </w:rPr>
        <w:t>）</w:t>
      </w:r>
      <w:r>
        <w:rPr>
          <w:rFonts w:eastAsia="仿宋_GB2312"/>
          <w:spacing w:val="-4"/>
          <w:sz w:val="32"/>
          <w:szCs w:val="32"/>
        </w:rPr>
        <w:t>根据有关法规和政策研究拟定我区新区开发和旧城改造政策，按照城市规划拟定编制新区开发和旧城改造计划，经批准后抓好相关改造的落实；负责综合协调管理全区新区开发和旧城改造工作，并组织实施辖区国有土地上房屋征收与补偿工作。</w:t>
      </w:r>
    </w:p>
    <w:p>
      <w:pPr>
        <w:spacing w:line="353" w:lineRule="auto"/>
        <w:rPr>
          <w:rFonts w:eastAsia="仿宋_GB2312"/>
          <w:spacing w:val="-4"/>
          <w:sz w:val="32"/>
          <w:szCs w:val="32"/>
        </w:rPr>
      </w:pPr>
      <w:r>
        <w:rPr>
          <w:rFonts w:hint="eastAsia" w:eastAsia="仿宋_GB2312"/>
          <w:spacing w:val="-4"/>
          <w:sz w:val="32"/>
          <w:szCs w:val="32"/>
        </w:rPr>
        <w:t xml:space="preserve">    （5）</w:t>
      </w:r>
      <w:r>
        <w:rPr>
          <w:rFonts w:eastAsia="仿宋_GB2312"/>
          <w:spacing w:val="-4"/>
          <w:sz w:val="32"/>
          <w:szCs w:val="32"/>
        </w:rPr>
        <w:t>负责辖区建筑市场监督管理、规范市场行为。参与辖区各类工程项目招投标监督工作；参与建筑工地拖欠工程款和农民工工资清理工作。</w:t>
      </w:r>
    </w:p>
    <w:p>
      <w:pPr>
        <w:spacing w:line="353" w:lineRule="auto"/>
        <w:rPr>
          <w:rFonts w:eastAsia="仿宋_GB2312"/>
          <w:spacing w:val="-4"/>
          <w:sz w:val="32"/>
          <w:szCs w:val="32"/>
        </w:rPr>
      </w:pPr>
      <w:r>
        <w:rPr>
          <w:rFonts w:hint="eastAsia" w:eastAsia="仿宋_GB2312"/>
          <w:spacing w:val="-4"/>
          <w:sz w:val="32"/>
          <w:szCs w:val="32"/>
        </w:rPr>
        <w:t xml:space="preserve">    （6）</w:t>
      </w:r>
      <w:r>
        <w:rPr>
          <w:rFonts w:eastAsia="仿宋_GB2312"/>
          <w:spacing w:val="-4"/>
          <w:sz w:val="32"/>
          <w:szCs w:val="32"/>
        </w:rPr>
        <w:t>承担权限范围内规范房地产市场秩序、监督管理房地产市场的责任。</w:t>
      </w:r>
    </w:p>
    <w:p>
      <w:pPr>
        <w:spacing w:line="353" w:lineRule="auto"/>
        <w:rPr>
          <w:rFonts w:eastAsia="仿宋_GB2312"/>
          <w:spacing w:val="-4"/>
          <w:sz w:val="32"/>
          <w:szCs w:val="32"/>
        </w:rPr>
      </w:pPr>
      <w:r>
        <w:rPr>
          <w:rFonts w:hint="eastAsia" w:eastAsia="仿宋_GB2312"/>
          <w:spacing w:val="-4"/>
          <w:sz w:val="32"/>
          <w:szCs w:val="32"/>
        </w:rPr>
        <w:t xml:space="preserve">    （7）</w:t>
      </w:r>
      <w:r>
        <w:rPr>
          <w:rFonts w:eastAsia="仿宋_GB2312"/>
          <w:spacing w:val="-4"/>
          <w:sz w:val="32"/>
          <w:szCs w:val="32"/>
        </w:rPr>
        <w:t>贯彻执行国家、省、市有关人民防空的方针、政策和法律、法规，负责组织实施全区人民防空工作。</w:t>
      </w:r>
    </w:p>
    <w:p>
      <w:pPr>
        <w:spacing w:line="353" w:lineRule="auto"/>
        <w:rPr>
          <w:rFonts w:eastAsia="仿宋_GB2312"/>
          <w:spacing w:val="-4"/>
          <w:sz w:val="32"/>
          <w:szCs w:val="32"/>
        </w:rPr>
      </w:pPr>
      <w:r>
        <w:rPr>
          <w:rFonts w:hint="eastAsia" w:eastAsia="仿宋_GB2312"/>
          <w:spacing w:val="-4"/>
          <w:sz w:val="32"/>
          <w:szCs w:val="32"/>
        </w:rPr>
        <w:t xml:space="preserve">    （8）</w:t>
      </w:r>
      <w:r>
        <w:rPr>
          <w:rFonts w:eastAsia="仿宋_GB2312"/>
          <w:spacing w:val="-4"/>
          <w:sz w:val="32"/>
          <w:szCs w:val="32"/>
        </w:rPr>
        <w:t>负责建设工程消防设计备案抽查事项，负责建设工程消防竣工验收和验收备案抽查职责。</w:t>
      </w:r>
    </w:p>
    <w:p>
      <w:pPr>
        <w:spacing w:line="353" w:lineRule="auto"/>
        <w:rPr>
          <w:rFonts w:eastAsia="仿宋_GB2312"/>
          <w:spacing w:val="-4"/>
          <w:sz w:val="32"/>
          <w:szCs w:val="32"/>
        </w:rPr>
      </w:pPr>
      <w:r>
        <w:rPr>
          <w:rFonts w:hint="eastAsia" w:eastAsia="仿宋_GB2312"/>
          <w:spacing w:val="-4"/>
          <w:sz w:val="32"/>
          <w:szCs w:val="32"/>
        </w:rPr>
        <w:t xml:space="preserve">    （9）</w:t>
      </w:r>
      <w:r>
        <w:rPr>
          <w:rFonts w:eastAsia="仿宋_GB2312"/>
          <w:spacing w:val="-4"/>
          <w:sz w:val="32"/>
          <w:szCs w:val="32"/>
        </w:rPr>
        <w:t>承担采煤沉陷区居民搬迁安置职责。</w:t>
      </w:r>
    </w:p>
    <w:p>
      <w:pPr>
        <w:spacing w:line="353" w:lineRule="auto"/>
        <w:rPr>
          <w:rFonts w:eastAsia="仿宋_GB2312"/>
          <w:spacing w:val="-4"/>
          <w:sz w:val="32"/>
          <w:szCs w:val="32"/>
        </w:rPr>
      </w:pPr>
      <w:r>
        <w:rPr>
          <w:rFonts w:hint="eastAsia" w:eastAsia="仿宋_GB2312"/>
          <w:spacing w:val="-4"/>
          <w:sz w:val="32"/>
          <w:szCs w:val="32"/>
        </w:rPr>
        <w:t xml:space="preserve">    （1</w:t>
      </w:r>
      <w:r>
        <w:rPr>
          <w:rFonts w:eastAsia="仿宋_GB2312"/>
          <w:spacing w:val="-4"/>
          <w:sz w:val="32"/>
          <w:szCs w:val="32"/>
        </w:rPr>
        <w:t>0</w:t>
      </w:r>
      <w:r>
        <w:rPr>
          <w:rFonts w:hint="eastAsia" w:eastAsia="仿宋_GB2312"/>
          <w:spacing w:val="-4"/>
          <w:sz w:val="32"/>
          <w:szCs w:val="32"/>
        </w:rPr>
        <w:t>）</w:t>
      </w:r>
      <w:r>
        <w:rPr>
          <w:rFonts w:eastAsia="仿宋_GB2312"/>
          <w:spacing w:val="-4"/>
          <w:sz w:val="32"/>
          <w:szCs w:val="32"/>
        </w:rPr>
        <w:t>负责职责范围内的安全生产和职业健康、生态环境保护、审批服务便民化等工作。</w:t>
      </w:r>
    </w:p>
    <w:p>
      <w:pPr>
        <w:spacing w:line="353" w:lineRule="auto"/>
        <w:rPr>
          <w:rFonts w:eastAsia="仿宋_GB2312"/>
          <w:spacing w:val="-4"/>
          <w:sz w:val="32"/>
          <w:szCs w:val="32"/>
          <w:lang w:val="en-GB"/>
        </w:rPr>
      </w:pPr>
      <w:r>
        <w:rPr>
          <w:rFonts w:hint="eastAsia" w:eastAsia="仿宋_GB2312"/>
          <w:spacing w:val="-4"/>
          <w:sz w:val="32"/>
          <w:szCs w:val="32"/>
        </w:rPr>
        <w:t xml:space="preserve">    （1</w:t>
      </w:r>
      <w:r>
        <w:rPr>
          <w:rFonts w:eastAsia="仿宋_GB2312"/>
          <w:spacing w:val="-4"/>
          <w:sz w:val="32"/>
          <w:szCs w:val="32"/>
        </w:rPr>
        <w:t>1</w:t>
      </w:r>
      <w:r>
        <w:rPr>
          <w:rFonts w:hint="eastAsia" w:eastAsia="仿宋_GB2312"/>
          <w:spacing w:val="-4"/>
          <w:sz w:val="32"/>
          <w:szCs w:val="32"/>
        </w:rPr>
        <w:t>）</w:t>
      </w:r>
      <w:r>
        <w:rPr>
          <w:rFonts w:eastAsia="仿宋_GB2312"/>
          <w:spacing w:val="-4"/>
          <w:sz w:val="32"/>
          <w:szCs w:val="32"/>
        </w:rPr>
        <w:t>完成区委和区政府交办的其他任务。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ind w:firstLine="784" w:firstLineChars="245"/>
        <w:rPr>
          <w:rFonts w:ascii="仿宋_GB2312" w:hAnsi="宋体" w:eastAsia="仿宋_GB2312"/>
          <w:sz w:val="32"/>
          <w:szCs w:val="32"/>
          <w:lang w:val="en-GB"/>
        </w:rPr>
      </w:pPr>
      <w:r>
        <w:rPr>
          <w:rFonts w:hint="eastAsia" w:ascii="仿宋_GB2312" w:hAnsi="宋体" w:eastAsia="仿宋_GB2312"/>
          <w:sz w:val="32"/>
          <w:szCs w:val="32"/>
          <w:lang w:val="en-GB"/>
        </w:rPr>
        <w:t>攀枝花市西区住房和城乡建设局（含二级部门）机构编制管理部门核定编制人数38人，其中：行政人员编制人数6人，参公事业人员编制人数7人，事业人员编制25人。</w:t>
      </w:r>
      <w:r>
        <w:rPr>
          <w:rFonts w:hint="eastAsia" w:ascii="仿宋_GB2312" w:eastAsia="仿宋_GB2312"/>
          <w:sz w:val="30"/>
          <w:szCs w:val="30"/>
        </w:rPr>
        <w:t>聘用人员编制17人。</w:t>
      </w:r>
      <w:r>
        <w:rPr>
          <w:rFonts w:hint="eastAsia" w:ascii="仿宋_GB2312" w:hAnsi="宋体" w:eastAsia="仿宋_GB2312"/>
          <w:sz w:val="32"/>
          <w:szCs w:val="32"/>
          <w:lang w:val="en-GB"/>
        </w:rPr>
        <w:t>截止2021年12月31日止职工人数48人，其中：行政人员9人，参公事业人员8人，事业人员18人，临聘人员13人。</w:t>
      </w:r>
    </w:p>
    <w:p>
      <w:pPr>
        <w:ind w:firstLine="784" w:firstLineChars="245"/>
        <w:rPr>
          <w:rFonts w:hint="eastAsia" w:ascii="仿宋_GB2312" w:hAnsi="宋体" w:eastAsia="仿宋_GB2312"/>
          <w:sz w:val="32"/>
          <w:szCs w:val="32"/>
          <w:lang w:val="en-GB"/>
        </w:rPr>
      </w:pPr>
      <w:r>
        <w:rPr>
          <w:rFonts w:hint="eastAsia" w:ascii="黑体" w:hAnsi="宋体" w:eastAsia="黑体" w:cs="宋体"/>
          <w:color w:val="000000"/>
          <w:kern w:val="0"/>
          <w:sz w:val="32"/>
          <w:szCs w:val="32"/>
          <w:shd w:val="clear" w:color="auto" w:fill="FFFFFF"/>
        </w:rPr>
        <w:t>二、部门财政资金收支情况</w:t>
      </w:r>
    </w:p>
    <w:p>
      <w:pPr>
        <w:ind w:firstLine="784" w:firstLineChars="245"/>
        <w:rPr>
          <w:rFonts w:hint="eastAsia" w:ascii="仿宋_GB2312" w:hAnsi="宋体" w:eastAsia="仿宋_GB2312"/>
          <w:sz w:val="32"/>
          <w:szCs w:val="32"/>
          <w:lang w:val="zh-CN"/>
        </w:rPr>
      </w:pPr>
      <w:r>
        <w:rPr>
          <w:rFonts w:hint="eastAsia" w:ascii="仿宋_GB2312" w:hAnsi="宋体" w:eastAsia="仿宋_GB2312"/>
          <w:sz w:val="32"/>
          <w:szCs w:val="32"/>
          <w:lang w:val="zh-CN"/>
        </w:rPr>
        <w:t>（一）部门财政资金收入情况。</w:t>
      </w:r>
    </w:p>
    <w:p>
      <w:pPr>
        <w:ind w:firstLine="784" w:firstLineChars="245"/>
        <w:rPr>
          <w:rFonts w:hint="eastAsia" w:ascii="仿宋_GB2312" w:hAnsi="宋体" w:eastAsia="仿宋_GB2312"/>
          <w:sz w:val="32"/>
          <w:szCs w:val="32"/>
          <w:lang w:val="en-GB"/>
        </w:rPr>
      </w:pPr>
      <w:r>
        <w:rPr>
          <w:rFonts w:hint="eastAsia" w:ascii="仿宋_GB2312" w:hAnsi="宋体" w:eastAsia="仿宋_GB2312"/>
          <w:sz w:val="32"/>
          <w:szCs w:val="32"/>
          <w:lang w:val="en-GB"/>
        </w:rPr>
        <w:t>2021年一般公共预算财政拨款收入7611.83万元，政府性基金预算财政拨款收入9546.88万元。财政资金收入合计17158.71万元。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2021年财政资金支出合计37236.04万元，其中基本支出679.17万元，项目支出36556.87万元。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西区住房和城乡建设局绩效目标是由领导班子商议制定，为了保证目标完成，西区住房和城乡建设局由财务人员进行预算编制，财务负责人把关，保证了准确性。并随时对支出控制、预算动态调整、执行进度、预算完成情况进行监控和报告给领导班子，无违规记录。</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西区住房和城乡建设局进行了自评质量、绩效目标公开和自评公开、评价结果整改和应用结果反馈。</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西区住房和城乡建设局2021年预算是合理的，符合实际的，保障了本部门职能目标的完成。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无</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tbl>
      <w:tblPr>
        <w:tblStyle w:val="17"/>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u w:val="none"/>
              </w:rPr>
            </w:pPr>
            <w:r>
              <w:rPr>
                <w:rFonts w:hint="eastAsia" w:ascii="宋体" w:hAnsi="宋体" w:cs="宋体"/>
                <w:color w:val="000000"/>
                <w:sz w:val="24"/>
              </w:rPr>
              <w:t>保障性住房正常运行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u w:val="none"/>
              </w:rPr>
            </w:pPr>
            <w:r>
              <w:rPr>
                <w:rFonts w:hint="eastAsia" w:ascii="宋体" w:hAnsi="宋体" w:cs="宋体"/>
                <w:color w:val="000000"/>
                <w:sz w:val="24"/>
              </w:rPr>
              <w:t>保障性住房正常运行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color w:val="000000"/>
                <w:sz w:val="24"/>
              </w:rPr>
              <w:t>电梯维护；公租房维护；对公租房消防设施进行增补和维修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定期维修维护</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定期维修维护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宋体" w:hAnsi="宋体" w:cs="宋体"/>
                <w:color w:val="000000"/>
                <w:sz w:val="24"/>
              </w:rPr>
              <w:t>保障性住房正常运行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运营维护费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134</w:t>
            </w:r>
            <w:r>
              <w:rPr>
                <w:rFonts w:hint="eastAsia" w:ascii="仿宋_GB2312" w:hAnsi="仿宋_GB2312" w:eastAsia="仿宋_GB2312" w:cs="仿宋_GB2312"/>
                <w:sz w:val="28"/>
                <w:szCs w:val="28"/>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2.03</w:t>
            </w:r>
            <w:r>
              <w:rPr>
                <w:rFonts w:hint="eastAsia" w:ascii="仿宋_GB2312" w:hAnsi="仿宋_GB2312" w:eastAsia="仿宋_GB2312" w:cs="仿宋_GB2312"/>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群众对居住环境满意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提升群众对居住环境的满意度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群众对居住环境满意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宋体" w:hAnsi="宋体" w:eastAsia="宋体" w:cs="宋体"/>
                <w:color w:val="000000"/>
                <w:sz w:val="24"/>
                <w:lang w:val="en-US" w:eastAsia="zh-CN"/>
              </w:rPr>
            </w:pPr>
            <w:r>
              <w:rPr>
                <w:rFonts w:hint="eastAsia" w:ascii="宋体" w:hAnsi="宋体" w:eastAsia="宋体" w:cs="宋体"/>
                <w:color w:val="000000"/>
                <w:sz w:val="24"/>
              </w:rPr>
              <w:t>群众满意</w:t>
            </w:r>
          </w:p>
        </w:tc>
      </w:tr>
    </w:tbl>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tbl>
      <w:tblPr>
        <w:tblStyle w:val="17"/>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103" w:name="_Toc86156583"/>
            <w:bookmarkStart w:id="104" w:name="_Toc15396618"/>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完成采煤沉陷区监测,保障采煤沉陷区房屋安全，按期完成监测人员劳务费的发放。</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完成采煤沉陷区监测,保障采煤沉陷区房屋安全，按期完成监测人员劳务费的发放。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发放</w:t>
            </w:r>
            <w:r>
              <w:rPr>
                <w:rFonts w:hint="eastAsia" w:ascii="宋体" w:hAnsi="宋体" w:eastAsia="宋体" w:cs="宋体"/>
                <w:i w:val="0"/>
                <w:color w:val="auto"/>
                <w:sz w:val="24"/>
                <w:szCs w:val="24"/>
                <w:u w:val="none"/>
              </w:rPr>
              <w:t>劳务费</w:t>
            </w:r>
            <w:r>
              <w:rPr>
                <w:rFonts w:hint="eastAsia" w:ascii="宋体" w:hAnsi="宋体" w:eastAsia="宋体" w:cs="宋体"/>
                <w:i w:val="0"/>
                <w:color w:val="auto"/>
                <w:sz w:val="24"/>
                <w:szCs w:val="24"/>
                <w:u w:val="none"/>
                <w:lang w:eastAsia="zh-CN"/>
              </w:rPr>
              <w:t>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2人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保障采煤沉陷区房屋安全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2人劳务费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≤1.44万元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1.44万元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采煤沉陷区正常监测运行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采煤沉陷区正常监测运行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采煤沉陷区正常监测运行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2"/>
        <w:rPr>
          <w:rFonts w:hint="eastAsia"/>
        </w:rPr>
      </w:pPr>
    </w:p>
    <w:p>
      <w:pPr>
        <w:spacing w:line="600" w:lineRule="exact"/>
        <w:jc w:val="center"/>
        <w:outlineLvl w:val="0"/>
        <w:rPr>
          <w:rFonts w:hint="eastAsia" w:ascii="黑体" w:hAnsi="黑体" w:eastAsia="黑体"/>
          <w:color w:val="000000"/>
          <w:sz w:val="44"/>
          <w:szCs w:val="44"/>
        </w:rPr>
      </w:pPr>
    </w:p>
    <w:tbl>
      <w:tblPr>
        <w:tblStyle w:val="17"/>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color w:val="000000"/>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按时发放西区公安分局拆迁过渡费</w:t>
            </w:r>
            <w:r>
              <w:rPr>
                <w:rFonts w:hint="eastAsia" w:ascii="宋体" w:hAnsi="宋体" w:cs="宋体"/>
                <w:color w:val="000000"/>
                <w:sz w:val="24"/>
                <w:lang w:eastAsia="zh-CN"/>
              </w:rPr>
              <w:t>，确实维护社会和谐稳定</w:t>
            </w:r>
            <w:r>
              <w:rPr>
                <w:rFonts w:hint="eastAsia" w:ascii="宋体" w:hAnsi="宋体" w:eastAsia="宋体" w:cs="宋体"/>
                <w:i w:val="0"/>
                <w:color w:val="auto"/>
                <w:sz w:val="24"/>
                <w:szCs w:val="24"/>
                <w:u w:val="none"/>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按时发放西区公安分局拆迁过渡费</w:t>
            </w:r>
            <w:r>
              <w:rPr>
                <w:rFonts w:hint="eastAsia" w:ascii="宋体" w:hAnsi="宋体" w:cs="宋体"/>
                <w:color w:val="000000"/>
                <w:sz w:val="24"/>
                <w:lang w:eastAsia="zh-CN"/>
              </w:rPr>
              <w:t>，确实维护社会和谐稳定</w:t>
            </w:r>
            <w:r>
              <w:rPr>
                <w:rFonts w:hint="eastAsia" w:ascii="宋体" w:hAnsi="宋体" w:eastAsia="宋体" w:cs="宋体"/>
                <w:i w:val="0"/>
                <w:color w:val="auto"/>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拆迁过渡费户数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34户</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34户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维护社会和谐稳定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拆迁过渡费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25</w:t>
            </w:r>
            <w:r>
              <w:rPr>
                <w:rFonts w:hint="eastAsia" w:ascii="宋体" w:hAnsi="宋体" w:eastAsia="宋体" w:cs="宋体"/>
                <w:i w:val="0"/>
                <w:color w:val="auto"/>
                <w:sz w:val="24"/>
                <w:szCs w:val="24"/>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25</w:t>
            </w:r>
            <w:r>
              <w:rPr>
                <w:rFonts w:hint="eastAsia" w:ascii="宋体" w:hAnsi="宋体" w:eastAsia="宋体" w:cs="宋体"/>
                <w:i w:val="0"/>
                <w:color w:val="auto"/>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确实维护社会和谐稳定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确实维护社会和谐稳定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lang w:eastAsia="zh-CN"/>
              </w:rPr>
              <w:t>确实维护社会和谐稳定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spacing w:line="600"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tbl>
      <w:tblPr>
        <w:tblStyle w:val="17"/>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保障道路及人行道平整，无坑洼、拥包、破损等，附属设施无破损，功能完好</w:t>
            </w:r>
            <w:r>
              <w:rPr>
                <w:rFonts w:hint="eastAsia" w:ascii="宋体" w:hAnsi="宋体" w:cs="宋体"/>
                <w:color w:val="000000"/>
                <w:sz w:val="24"/>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保障道路及人行道平整，无坑洼、拥包、破损等，附属设施无破损，功能完好</w:t>
            </w:r>
            <w:r>
              <w:rPr>
                <w:rFonts w:hint="eastAsia" w:ascii="宋体" w:hAnsi="宋体" w:cs="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人行道、路沿石维修维护，沟盖板、窨井盖维修更换</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辖区人行道、路沿石约6万平米日常管护零星维修。</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辖区人行道、路沿石约6万平米日常管护零星维修。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加强公共基础设施管护，营造辖区良好生活环境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维护维修经费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7</w:t>
            </w:r>
            <w:r>
              <w:rPr>
                <w:rFonts w:hint="eastAsia" w:ascii="宋体" w:hAnsi="宋体" w:eastAsia="宋体" w:cs="宋体"/>
                <w:i w:val="0"/>
                <w:color w:val="auto"/>
                <w:sz w:val="24"/>
                <w:szCs w:val="24"/>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1.37</w:t>
            </w:r>
            <w:r>
              <w:rPr>
                <w:rFonts w:hint="eastAsia" w:ascii="宋体" w:hAnsi="宋体" w:eastAsia="宋体" w:cs="宋体"/>
                <w:i w:val="0"/>
                <w:color w:val="auto"/>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tbl>
      <w:tblPr>
        <w:tblStyle w:val="17"/>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141001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攀枝花市西区住房和城乡建设局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加强辖区保障性住房政策宣传，做好安置房、公租房、租赁补贴发放工作</w:t>
            </w:r>
            <w:r>
              <w:rPr>
                <w:rFonts w:hint="eastAsia" w:ascii="宋体" w:hAnsi="宋体" w:cs="宋体"/>
                <w:color w:val="000000"/>
                <w:sz w:val="24"/>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color w:val="000000"/>
                <w:sz w:val="24"/>
              </w:rPr>
              <w:t>加强辖区保障性住房政策宣传，做好安置房、公租房、租赁补贴发放工作</w:t>
            </w:r>
            <w:r>
              <w:rPr>
                <w:rFonts w:hint="eastAsia" w:ascii="宋体" w:hAnsi="宋体" w:cs="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公租房、安置房产权办理，保障性住房政策宣传、公租房分配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eastAsiaTheme="minorEastAsia"/>
                <w:i w:val="0"/>
                <w:color w:val="auto"/>
                <w:sz w:val="24"/>
                <w:szCs w:val="24"/>
                <w:u w:val="none"/>
                <w:lang w:val="en-US" w:eastAsia="zh-CN"/>
              </w:rPr>
            </w:pPr>
            <w:r>
              <w:rPr>
                <w:rFonts w:hint="eastAsia" w:ascii="宋体" w:hAnsi="宋体" w:eastAsia="宋体" w:cs="宋体"/>
                <w:i w:val="0"/>
                <w:color w:val="auto"/>
                <w:sz w:val="24"/>
                <w:szCs w:val="24"/>
                <w:u w:val="none"/>
                <w:lang w:eastAsia="zh-CN"/>
              </w:rPr>
              <w:t>市城建档案馆复印费0.5万元、不动产登记证工本费1万元、公租房分配工作经费0.5万元，共计资金2万元。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市城建档案馆复印费0.5万元、不动产登记证工本费1万元、公租房分配工作经费0.5万元，共计资金2万元。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有效完成公租房分配工作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全年按计划推进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2021年底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仿宋_GB2312"/>
                <w:sz w:val="24"/>
              </w:rPr>
              <w:t>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2</w:t>
            </w:r>
            <w:r>
              <w:rPr>
                <w:rFonts w:hint="eastAsia" w:ascii="宋体" w:hAnsi="宋体" w:eastAsia="宋体" w:cs="宋体"/>
                <w:i w:val="0"/>
                <w:color w:val="auto"/>
                <w:sz w:val="24"/>
                <w:szCs w:val="24"/>
                <w:u w:val="none"/>
              </w:rPr>
              <w:t>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r>
              <w:rPr>
                <w:rFonts w:hint="eastAsia" w:ascii="宋体" w:hAnsi="宋体" w:eastAsia="宋体" w:cs="宋体"/>
                <w:i w:val="0"/>
                <w:color w:val="auto"/>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color w:val="000000"/>
                <w:sz w:val="24"/>
              </w:rPr>
              <w:t>加强社会公众知晓度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仿宋_GB2312" w:hAnsi="仿宋_GB2312" w:eastAsia="仿宋_GB2312" w:cs="仿宋_GB2312"/>
                <w:i w:val="0"/>
                <w:color w:val="auto"/>
                <w:kern w:val="0"/>
                <w:sz w:val="28"/>
                <w:szCs w:val="28"/>
                <w:u w:val="none"/>
                <w:lang w:val="en-US" w:eastAsia="zh-CN" w:bidi="ar"/>
              </w:rPr>
              <w:t>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达到群众基本满意及以上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群众满意</w:t>
            </w:r>
          </w:p>
        </w:tc>
      </w:tr>
    </w:tbl>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99"/>
      <w:bookmarkEnd w:id="103"/>
      <w:bookmarkEnd w:id="104"/>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105" w:name="_Toc86156584"/>
      <w:bookmarkStart w:id="106"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105"/>
      <w:bookmarkEnd w:id="106"/>
    </w:p>
    <w:p>
      <w:pPr>
        <w:pStyle w:val="4"/>
        <w:rPr>
          <w:rFonts w:ascii="仿宋" w:hAnsi="仿宋" w:eastAsia="仿宋"/>
          <w:color w:val="000000"/>
        </w:rPr>
      </w:pPr>
      <w:bookmarkStart w:id="107" w:name="_Toc86156585"/>
      <w:bookmarkStart w:id="108"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107"/>
      <w:bookmarkEnd w:id="108"/>
    </w:p>
    <w:p>
      <w:pPr>
        <w:pStyle w:val="4"/>
        <w:rPr>
          <w:rFonts w:ascii="仿宋" w:hAnsi="仿宋" w:eastAsia="仿宋"/>
          <w:color w:val="000000"/>
        </w:rPr>
      </w:pPr>
      <w:bookmarkStart w:id="109" w:name="_Toc86156586"/>
      <w:bookmarkStart w:id="110"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109"/>
      <w:bookmarkEnd w:id="110"/>
    </w:p>
    <w:p>
      <w:pPr>
        <w:pStyle w:val="4"/>
        <w:rPr>
          <w:rFonts w:ascii="仿宋" w:hAnsi="仿宋" w:eastAsia="仿宋"/>
          <w:b w:val="0"/>
          <w:color w:val="000000"/>
        </w:rPr>
      </w:pPr>
      <w:bookmarkStart w:id="111" w:name="_Toc86156587"/>
      <w:bookmarkStart w:id="112"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111"/>
      <w:bookmarkEnd w:id="112"/>
    </w:p>
    <w:p>
      <w:pPr>
        <w:pStyle w:val="4"/>
        <w:rPr>
          <w:rStyle w:val="27"/>
          <w:rFonts w:ascii="仿宋" w:hAnsi="仿宋" w:eastAsia="仿宋"/>
          <w:b w:val="0"/>
          <w:bCs w:val="0"/>
        </w:rPr>
      </w:pPr>
      <w:bookmarkStart w:id="113" w:name="_Toc86156588"/>
      <w:bookmarkStart w:id="11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113"/>
      <w:bookmarkEnd w:id="114"/>
      <w:bookmarkStart w:id="115" w:name="_Toc15396624"/>
    </w:p>
    <w:p>
      <w:pPr>
        <w:pStyle w:val="4"/>
        <w:rPr>
          <w:rFonts w:ascii="仿宋" w:hAnsi="仿宋" w:eastAsia="仿宋"/>
          <w:color w:val="000000"/>
        </w:rPr>
      </w:pPr>
      <w:bookmarkStart w:id="116" w:name="_Toc86156589"/>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115"/>
      <w:bookmarkEnd w:id="116"/>
    </w:p>
    <w:p>
      <w:pPr>
        <w:pStyle w:val="4"/>
        <w:rPr>
          <w:rFonts w:ascii="仿宋" w:hAnsi="仿宋" w:eastAsia="仿宋"/>
          <w:color w:val="000000"/>
        </w:rPr>
      </w:pPr>
      <w:bookmarkStart w:id="117" w:name="_Toc86156590"/>
      <w:bookmarkStart w:id="118"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17"/>
      <w:bookmarkEnd w:id="118"/>
    </w:p>
    <w:p>
      <w:pPr>
        <w:pStyle w:val="4"/>
        <w:rPr>
          <w:rFonts w:ascii="仿宋" w:hAnsi="仿宋" w:eastAsia="仿宋"/>
          <w:color w:val="000000"/>
        </w:rPr>
      </w:pPr>
      <w:bookmarkStart w:id="119" w:name="_Toc15396626"/>
      <w:bookmarkStart w:id="120" w:name="_Toc86156591"/>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19"/>
      <w:bookmarkEnd w:id="120"/>
    </w:p>
    <w:p>
      <w:pPr>
        <w:pStyle w:val="4"/>
        <w:rPr>
          <w:rFonts w:ascii="仿宋" w:hAnsi="仿宋" w:eastAsia="仿宋"/>
          <w:color w:val="000000"/>
        </w:rPr>
      </w:pPr>
      <w:bookmarkStart w:id="121" w:name="_Toc15396627"/>
      <w:bookmarkStart w:id="122" w:name="_Toc86156592"/>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21"/>
      <w:bookmarkEnd w:id="122"/>
    </w:p>
    <w:p>
      <w:pPr>
        <w:pStyle w:val="4"/>
        <w:rPr>
          <w:rFonts w:ascii="仿宋" w:hAnsi="仿宋" w:eastAsia="仿宋"/>
          <w:color w:val="000000"/>
        </w:rPr>
      </w:pPr>
      <w:bookmarkStart w:id="123" w:name="_Toc15396628"/>
      <w:bookmarkStart w:id="124" w:name="_Toc86156593"/>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23"/>
      <w:bookmarkEnd w:id="124"/>
    </w:p>
    <w:p>
      <w:pPr>
        <w:pStyle w:val="4"/>
        <w:rPr>
          <w:rFonts w:ascii="仿宋" w:hAnsi="仿宋" w:eastAsia="仿宋"/>
          <w:color w:val="000000"/>
        </w:rPr>
      </w:pPr>
      <w:bookmarkStart w:id="125" w:name="_Toc86156594"/>
      <w:bookmarkStart w:id="126"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25"/>
      <w:bookmarkEnd w:id="126"/>
    </w:p>
    <w:p>
      <w:pPr>
        <w:pStyle w:val="4"/>
        <w:rPr>
          <w:rFonts w:ascii="仿宋" w:hAnsi="仿宋" w:eastAsia="仿宋"/>
          <w:color w:val="000000"/>
        </w:rPr>
      </w:pPr>
      <w:bookmarkStart w:id="127" w:name="_Toc86156595"/>
      <w:bookmarkStart w:id="128"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127"/>
      <w:bookmarkEnd w:id="128"/>
    </w:p>
    <w:p>
      <w:pPr>
        <w:pStyle w:val="4"/>
        <w:rPr>
          <w:rStyle w:val="27"/>
          <w:rFonts w:ascii="仿宋" w:hAnsi="仿宋" w:eastAsia="仿宋"/>
          <w:b w:val="0"/>
          <w:bCs w:val="0"/>
        </w:rPr>
      </w:pPr>
      <w:bookmarkStart w:id="129" w:name="_Toc86156596"/>
      <w:bookmarkStart w:id="130"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有资本经营预算收入支出决算表</w:t>
      </w:r>
      <w:bookmarkEnd w:id="129"/>
      <w:bookmarkEnd w:id="130"/>
    </w:p>
    <w:p>
      <w:pPr>
        <w:pStyle w:val="4"/>
        <w:rPr>
          <w:rStyle w:val="27"/>
          <w:rFonts w:ascii="仿宋" w:hAnsi="仿宋" w:eastAsia="仿宋"/>
          <w:b w:val="0"/>
          <w:bCs w:val="0"/>
        </w:rPr>
      </w:pPr>
      <w:bookmarkStart w:id="131" w:name="_Toc86156597"/>
      <w:r>
        <w:rPr>
          <w:rStyle w:val="27"/>
          <w:rFonts w:hint="eastAsia" w:ascii="仿宋" w:hAnsi="仿宋" w:eastAsia="仿宋"/>
          <w:b w:val="0"/>
          <w:bCs w:val="0"/>
        </w:rPr>
        <w:t>十四、</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131"/>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lang w:val="en-US"/>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wNjk1ZDEzYWQ2MzkxYWI4OTY5MGUzMWE2M2YyYjUifQ=="/>
  </w:docVars>
  <w:rsids>
    <w:rsidRoot w:val="00F1361C"/>
    <w:rsid w:val="000008B6"/>
    <w:rsid w:val="0000238D"/>
    <w:rsid w:val="00010BD9"/>
    <w:rsid w:val="000125D5"/>
    <w:rsid w:val="00012BC1"/>
    <w:rsid w:val="00017625"/>
    <w:rsid w:val="00021081"/>
    <w:rsid w:val="000222C6"/>
    <w:rsid w:val="0002549F"/>
    <w:rsid w:val="00030388"/>
    <w:rsid w:val="00030FFD"/>
    <w:rsid w:val="00037EB8"/>
    <w:rsid w:val="00044090"/>
    <w:rsid w:val="00044804"/>
    <w:rsid w:val="000468DB"/>
    <w:rsid w:val="0005146F"/>
    <w:rsid w:val="00054618"/>
    <w:rsid w:val="0005554B"/>
    <w:rsid w:val="0005572C"/>
    <w:rsid w:val="00057B5D"/>
    <w:rsid w:val="0006487A"/>
    <w:rsid w:val="00065F8F"/>
    <w:rsid w:val="00070A43"/>
    <w:rsid w:val="000768F2"/>
    <w:rsid w:val="00090AAD"/>
    <w:rsid w:val="0009184B"/>
    <w:rsid w:val="00094236"/>
    <w:rsid w:val="0009593C"/>
    <w:rsid w:val="000963EC"/>
    <w:rsid w:val="00097322"/>
    <w:rsid w:val="000A008E"/>
    <w:rsid w:val="000A6A92"/>
    <w:rsid w:val="000B047F"/>
    <w:rsid w:val="000B5923"/>
    <w:rsid w:val="000B5A48"/>
    <w:rsid w:val="000B6FF3"/>
    <w:rsid w:val="000C3467"/>
    <w:rsid w:val="000C3CA6"/>
    <w:rsid w:val="000D1267"/>
    <w:rsid w:val="000D1D50"/>
    <w:rsid w:val="000D5782"/>
    <w:rsid w:val="000D600A"/>
    <w:rsid w:val="000E2A6F"/>
    <w:rsid w:val="000E385E"/>
    <w:rsid w:val="000E4B0A"/>
    <w:rsid w:val="000E53F9"/>
    <w:rsid w:val="000E6613"/>
    <w:rsid w:val="000E7119"/>
    <w:rsid w:val="000E7613"/>
    <w:rsid w:val="000F741A"/>
    <w:rsid w:val="001023D3"/>
    <w:rsid w:val="00104012"/>
    <w:rsid w:val="00105B83"/>
    <w:rsid w:val="00105D81"/>
    <w:rsid w:val="00114E9B"/>
    <w:rsid w:val="001229A2"/>
    <w:rsid w:val="00132CD8"/>
    <w:rsid w:val="00140A3D"/>
    <w:rsid w:val="00142216"/>
    <w:rsid w:val="00144D6A"/>
    <w:rsid w:val="0014729F"/>
    <w:rsid w:val="00147696"/>
    <w:rsid w:val="001476E5"/>
    <w:rsid w:val="001478CB"/>
    <w:rsid w:val="001501B5"/>
    <w:rsid w:val="0015191A"/>
    <w:rsid w:val="00153156"/>
    <w:rsid w:val="00157BAB"/>
    <w:rsid w:val="001654D1"/>
    <w:rsid w:val="001662FF"/>
    <w:rsid w:val="001709A3"/>
    <w:rsid w:val="00174518"/>
    <w:rsid w:val="001751AB"/>
    <w:rsid w:val="0018106D"/>
    <w:rsid w:val="001856FB"/>
    <w:rsid w:val="001877A7"/>
    <w:rsid w:val="00191536"/>
    <w:rsid w:val="00191692"/>
    <w:rsid w:val="0019264A"/>
    <w:rsid w:val="001932EA"/>
    <w:rsid w:val="00196687"/>
    <w:rsid w:val="001A4A90"/>
    <w:rsid w:val="001A4BEB"/>
    <w:rsid w:val="001A7A6E"/>
    <w:rsid w:val="001B347E"/>
    <w:rsid w:val="001B5239"/>
    <w:rsid w:val="001B7008"/>
    <w:rsid w:val="001C0962"/>
    <w:rsid w:val="001C31F9"/>
    <w:rsid w:val="001C586E"/>
    <w:rsid w:val="001C7A07"/>
    <w:rsid w:val="001D0F74"/>
    <w:rsid w:val="001D2D70"/>
    <w:rsid w:val="001D7531"/>
    <w:rsid w:val="001E4DE1"/>
    <w:rsid w:val="001E52C6"/>
    <w:rsid w:val="001E58FE"/>
    <w:rsid w:val="001E737D"/>
    <w:rsid w:val="001F0592"/>
    <w:rsid w:val="001F3629"/>
    <w:rsid w:val="001F6012"/>
    <w:rsid w:val="001F65A5"/>
    <w:rsid w:val="001F7506"/>
    <w:rsid w:val="002006CD"/>
    <w:rsid w:val="002006D8"/>
    <w:rsid w:val="002008CA"/>
    <w:rsid w:val="00200C82"/>
    <w:rsid w:val="00202B36"/>
    <w:rsid w:val="00204B7A"/>
    <w:rsid w:val="00204CDE"/>
    <w:rsid w:val="0021101A"/>
    <w:rsid w:val="00212240"/>
    <w:rsid w:val="00213DE7"/>
    <w:rsid w:val="00214E1C"/>
    <w:rsid w:val="00214E9E"/>
    <w:rsid w:val="00216937"/>
    <w:rsid w:val="00220052"/>
    <w:rsid w:val="00220536"/>
    <w:rsid w:val="002279ED"/>
    <w:rsid w:val="00234C17"/>
    <w:rsid w:val="00235629"/>
    <w:rsid w:val="00235660"/>
    <w:rsid w:val="00241F55"/>
    <w:rsid w:val="00242CF2"/>
    <w:rsid w:val="00251259"/>
    <w:rsid w:val="00254298"/>
    <w:rsid w:val="00260C38"/>
    <w:rsid w:val="002616C0"/>
    <w:rsid w:val="00265095"/>
    <w:rsid w:val="00265372"/>
    <w:rsid w:val="002662AA"/>
    <w:rsid w:val="00267B44"/>
    <w:rsid w:val="002756D3"/>
    <w:rsid w:val="00276637"/>
    <w:rsid w:val="00280496"/>
    <w:rsid w:val="00281AF3"/>
    <w:rsid w:val="00293B7A"/>
    <w:rsid w:val="00294DC9"/>
    <w:rsid w:val="00295495"/>
    <w:rsid w:val="002A2187"/>
    <w:rsid w:val="002A31DE"/>
    <w:rsid w:val="002A49DB"/>
    <w:rsid w:val="002B2613"/>
    <w:rsid w:val="002B2F02"/>
    <w:rsid w:val="002B63DC"/>
    <w:rsid w:val="002C047F"/>
    <w:rsid w:val="002C25A8"/>
    <w:rsid w:val="002C6111"/>
    <w:rsid w:val="002D19B0"/>
    <w:rsid w:val="002D6D05"/>
    <w:rsid w:val="002E57D1"/>
    <w:rsid w:val="002F1818"/>
    <w:rsid w:val="002F4558"/>
    <w:rsid w:val="002F54EB"/>
    <w:rsid w:val="002F567B"/>
    <w:rsid w:val="002F67CD"/>
    <w:rsid w:val="00302F9C"/>
    <w:rsid w:val="00304C13"/>
    <w:rsid w:val="00307783"/>
    <w:rsid w:val="00310789"/>
    <w:rsid w:val="003160A3"/>
    <w:rsid w:val="003166B4"/>
    <w:rsid w:val="00320D95"/>
    <w:rsid w:val="003216A9"/>
    <w:rsid w:val="00335A74"/>
    <w:rsid w:val="00336FF2"/>
    <w:rsid w:val="00337028"/>
    <w:rsid w:val="00344A78"/>
    <w:rsid w:val="00350EF3"/>
    <w:rsid w:val="0035410B"/>
    <w:rsid w:val="00354733"/>
    <w:rsid w:val="00354848"/>
    <w:rsid w:val="00355C36"/>
    <w:rsid w:val="0035686A"/>
    <w:rsid w:val="0036561B"/>
    <w:rsid w:val="0037013F"/>
    <w:rsid w:val="00372E47"/>
    <w:rsid w:val="00380C92"/>
    <w:rsid w:val="00383CED"/>
    <w:rsid w:val="00383DE9"/>
    <w:rsid w:val="00391CFD"/>
    <w:rsid w:val="0039698B"/>
    <w:rsid w:val="00396CA0"/>
    <w:rsid w:val="00397588"/>
    <w:rsid w:val="003A484F"/>
    <w:rsid w:val="003A4883"/>
    <w:rsid w:val="003B0BE0"/>
    <w:rsid w:val="003B0C1B"/>
    <w:rsid w:val="003B5CCC"/>
    <w:rsid w:val="003B688C"/>
    <w:rsid w:val="003C0291"/>
    <w:rsid w:val="003C2501"/>
    <w:rsid w:val="003C39AE"/>
    <w:rsid w:val="003C7B60"/>
    <w:rsid w:val="003D0C0F"/>
    <w:rsid w:val="003D1FB2"/>
    <w:rsid w:val="003D66DA"/>
    <w:rsid w:val="003E0D66"/>
    <w:rsid w:val="003E1310"/>
    <w:rsid w:val="003E6F55"/>
    <w:rsid w:val="003F343A"/>
    <w:rsid w:val="00406254"/>
    <w:rsid w:val="00407AFA"/>
    <w:rsid w:val="00416CD4"/>
    <w:rsid w:val="004223DE"/>
    <w:rsid w:val="00434489"/>
    <w:rsid w:val="004351A3"/>
    <w:rsid w:val="00437085"/>
    <w:rsid w:val="00442776"/>
    <w:rsid w:val="00443880"/>
    <w:rsid w:val="004464F4"/>
    <w:rsid w:val="00446775"/>
    <w:rsid w:val="00447AF4"/>
    <w:rsid w:val="00451275"/>
    <w:rsid w:val="004529D2"/>
    <w:rsid w:val="00453537"/>
    <w:rsid w:val="00453E2F"/>
    <w:rsid w:val="004560E9"/>
    <w:rsid w:val="00461914"/>
    <w:rsid w:val="0046555D"/>
    <w:rsid w:val="00471401"/>
    <w:rsid w:val="004724D6"/>
    <w:rsid w:val="00473F31"/>
    <w:rsid w:val="0048263A"/>
    <w:rsid w:val="004850B1"/>
    <w:rsid w:val="00487E5D"/>
    <w:rsid w:val="00495A1D"/>
    <w:rsid w:val="004960DB"/>
    <w:rsid w:val="0049790A"/>
    <w:rsid w:val="004A329D"/>
    <w:rsid w:val="004A711F"/>
    <w:rsid w:val="004B0195"/>
    <w:rsid w:val="004B081F"/>
    <w:rsid w:val="004B199D"/>
    <w:rsid w:val="004B1AF4"/>
    <w:rsid w:val="004B283D"/>
    <w:rsid w:val="004B4690"/>
    <w:rsid w:val="004C75E1"/>
    <w:rsid w:val="004D33FD"/>
    <w:rsid w:val="004E054B"/>
    <w:rsid w:val="004E08FB"/>
    <w:rsid w:val="004E0A2D"/>
    <w:rsid w:val="004E206B"/>
    <w:rsid w:val="004E3393"/>
    <w:rsid w:val="004E681A"/>
    <w:rsid w:val="004E6DF7"/>
    <w:rsid w:val="004E74D4"/>
    <w:rsid w:val="004F0FBD"/>
    <w:rsid w:val="004F1832"/>
    <w:rsid w:val="004F403E"/>
    <w:rsid w:val="0050526A"/>
    <w:rsid w:val="00505A47"/>
    <w:rsid w:val="00512FDA"/>
    <w:rsid w:val="00513C91"/>
    <w:rsid w:val="005171DF"/>
    <w:rsid w:val="00520DA0"/>
    <w:rsid w:val="00522668"/>
    <w:rsid w:val="005229B3"/>
    <w:rsid w:val="00524069"/>
    <w:rsid w:val="005324A4"/>
    <w:rsid w:val="00552DF8"/>
    <w:rsid w:val="00554028"/>
    <w:rsid w:val="00563B8B"/>
    <w:rsid w:val="005659E4"/>
    <w:rsid w:val="005664BB"/>
    <w:rsid w:val="00566FFA"/>
    <w:rsid w:val="00570B75"/>
    <w:rsid w:val="00572F79"/>
    <w:rsid w:val="0057344A"/>
    <w:rsid w:val="0057481D"/>
    <w:rsid w:val="00575F0B"/>
    <w:rsid w:val="0057715A"/>
    <w:rsid w:val="00583B23"/>
    <w:rsid w:val="0058486E"/>
    <w:rsid w:val="00585AD2"/>
    <w:rsid w:val="00585B33"/>
    <w:rsid w:val="00587A20"/>
    <w:rsid w:val="0059014D"/>
    <w:rsid w:val="00590345"/>
    <w:rsid w:val="00593159"/>
    <w:rsid w:val="005945AA"/>
    <w:rsid w:val="00595331"/>
    <w:rsid w:val="00595FD3"/>
    <w:rsid w:val="005961BA"/>
    <w:rsid w:val="00597EFA"/>
    <w:rsid w:val="005A3C75"/>
    <w:rsid w:val="005A5B81"/>
    <w:rsid w:val="005B2CEF"/>
    <w:rsid w:val="005B5C64"/>
    <w:rsid w:val="005C4C47"/>
    <w:rsid w:val="005C6BD0"/>
    <w:rsid w:val="005C6C4C"/>
    <w:rsid w:val="005D1C8B"/>
    <w:rsid w:val="005D328C"/>
    <w:rsid w:val="005D468D"/>
    <w:rsid w:val="005D5CED"/>
    <w:rsid w:val="005E0556"/>
    <w:rsid w:val="005E6812"/>
    <w:rsid w:val="005E7C2A"/>
    <w:rsid w:val="005F0456"/>
    <w:rsid w:val="005F1A4C"/>
    <w:rsid w:val="005F3200"/>
    <w:rsid w:val="005F7DE9"/>
    <w:rsid w:val="006006CD"/>
    <w:rsid w:val="00605688"/>
    <w:rsid w:val="00605870"/>
    <w:rsid w:val="006070AF"/>
    <w:rsid w:val="00607E6C"/>
    <w:rsid w:val="006101B1"/>
    <w:rsid w:val="00614E44"/>
    <w:rsid w:val="006157D5"/>
    <w:rsid w:val="00617AC6"/>
    <w:rsid w:val="00617B06"/>
    <w:rsid w:val="006218C1"/>
    <w:rsid w:val="0062270A"/>
    <w:rsid w:val="00622830"/>
    <w:rsid w:val="00623DA0"/>
    <w:rsid w:val="00630A02"/>
    <w:rsid w:val="00630AEF"/>
    <w:rsid w:val="006325F8"/>
    <w:rsid w:val="00633463"/>
    <w:rsid w:val="00634C9A"/>
    <w:rsid w:val="00636749"/>
    <w:rsid w:val="006440E4"/>
    <w:rsid w:val="00644F3B"/>
    <w:rsid w:val="006612F1"/>
    <w:rsid w:val="0066343B"/>
    <w:rsid w:val="00663A14"/>
    <w:rsid w:val="00664777"/>
    <w:rsid w:val="00671986"/>
    <w:rsid w:val="0067394F"/>
    <w:rsid w:val="00673F7A"/>
    <w:rsid w:val="006740B8"/>
    <w:rsid w:val="006748A4"/>
    <w:rsid w:val="00674D33"/>
    <w:rsid w:val="00681A31"/>
    <w:rsid w:val="00681CCB"/>
    <w:rsid w:val="00683E73"/>
    <w:rsid w:val="00690C04"/>
    <w:rsid w:val="00692F6A"/>
    <w:rsid w:val="006A3141"/>
    <w:rsid w:val="006A3638"/>
    <w:rsid w:val="006A5E34"/>
    <w:rsid w:val="006A6788"/>
    <w:rsid w:val="006A77FA"/>
    <w:rsid w:val="006B2422"/>
    <w:rsid w:val="006B2B9A"/>
    <w:rsid w:val="006B3D33"/>
    <w:rsid w:val="006B4805"/>
    <w:rsid w:val="006B5850"/>
    <w:rsid w:val="006C1016"/>
    <w:rsid w:val="006C1937"/>
    <w:rsid w:val="006D0C3E"/>
    <w:rsid w:val="006D5F62"/>
    <w:rsid w:val="006D7630"/>
    <w:rsid w:val="006F020C"/>
    <w:rsid w:val="006F5C2E"/>
    <w:rsid w:val="007059E8"/>
    <w:rsid w:val="0070748E"/>
    <w:rsid w:val="007127B7"/>
    <w:rsid w:val="00712876"/>
    <w:rsid w:val="0071536B"/>
    <w:rsid w:val="0071663B"/>
    <w:rsid w:val="0071798E"/>
    <w:rsid w:val="00725F18"/>
    <w:rsid w:val="00727533"/>
    <w:rsid w:val="00730875"/>
    <w:rsid w:val="00731461"/>
    <w:rsid w:val="00736F36"/>
    <w:rsid w:val="00737669"/>
    <w:rsid w:val="00737A67"/>
    <w:rsid w:val="007416B6"/>
    <w:rsid w:val="00745265"/>
    <w:rsid w:val="00746F48"/>
    <w:rsid w:val="00747FFC"/>
    <w:rsid w:val="0075404D"/>
    <w:rsid w:val="00754523"/>
    <w:rsid w:val="007550E5"/>
    <w:rsid w:val="00757843"/>
    <w:rsid w:val="0076182A"/>
    <w:rsid w:val="00767B7E"/>
    <w:rsid w:val="007770C3"/>
    <w:rsid w:val="00784D24"/>
    <w:rsid w:val="00785FBA"/>
    <w:rsid w:val="00786E4A"/>
    <w:rsid w:val="007875EB"/>
    <w:rsid w:val="007940BF"/>
    <w:rsid w:val="0079426B"/>
    <w:rsid w:val="00796637"/>
    <w:rsid w:val="00796B09"/>
    <w:rsid w:val="007A0027"/>
    <w:rsid w:val="007A1A6E"/>
    <w:rsid w:val="007A1D66"/>
    <w:rsid w:val="007A5D3B"/>
    <w:rsid w:val="007B24CD"/>
    <w:rsid w:val="007B2D52"/>
    <w:rsid w:val="007C1952"/>
    <w:rsid w:val="007C7482"/>
    <w:rsid w:val="007D1682"/>
    <w:rsid w:val="007D312A"/>
    <w:rsid w:val="007D3F19"/>
    <w:rsid w:val="007D5384"/>
    <w:rsid w:val="007E04A1"/>
    <w:rsid w:val="007E08BE"/>
    <w:rsid w:val="007E23B0"/>
    <w:rsid w:val="007E6A34"/>
    <w:rsid w:val="007F0B92"/>
    <w:rsid w:val="007F1991"/>
    <w:rsid w:val="007F24E5"/>
    <w:rsid w:val="007F2C2F"/>
    <w:rsid w:val="007F4C4C"/>
    <w:rsid w:val="007F5301"/>
    <w:rsid w:val="007F55FC"/>
    <w:rsid w:val="007F5665"/>
    <w:rsid w:val="007F5C62"/>
    <w:rsid w:val="00800112"/>
    <w:rsid w:val="008017FE"/>
    <w:rsid w:val="00811498"/>
    <w:rsid w:val="00813348"/>
    <w:rsid w:val="00817958"/>
    <w:rsid w:val="008253BB"/>
    <w:rsid w:val="0083054D"/>
    <w:rsid w:val="00831660"/>
    <w:rsid w:val="008326B9"/>
    <w:rsid w:val="00833962"/>
    <w:rsid w:val="00834B63"/>
    <w:rsid w:val="0083706E"/>
    <w:rsid w:val="008408F6"/>
    <w:rsid w:val="008423A5"/>
    <w:rsid w:val="00844CDA"/>
    <w:rsid w:val="00850625"/>
    <w:rsid w:val="008509A3"/>
    <w:rsid w:val="00851124"/>
    <w:rsid w:val="008524D9"/>
    <w:rsid w:val="00853718"/>
    <w:rsid w:val="00853B96"/>
    <w:rsid w:val="00854FD6"/>
    <w:rsid w:val="00855221"/>
    <w:rsid w:val="00856715"/>
    <w:rsid w:val="00856C3C"/>
    <w:rsid w:val="00860645"/>
    <w:rsid w:val="008642CB"/>
    <w:rsid w:val="00871147"/>
    <w:rsid w:val="00871F71"/>
    <w:rsid w:val="00872FD8"/>
    <w:rsid w:val="00874365"/>
    <w:rsid w:val="00876088"/>
    <w:rsid w:val="00876844"/>
    <w:rsid w:val="0088398B"/>
    <w:rsid w:val="00885AF4"/>
    <w:rsid w:val="0088616C"/>
    <w:rsid w:val="008939CD"/>
    <w:rsid w:val="0089414B"/>
    <w:rsid w:val="00896C5A"/>
    <w:rsid w:val="008B15E8"/>
    <w:rsid w:val="008B24AC"/>
    <w:rsid w:val="008B3F2E"/>
    <w:rsid w:val="008B4CE8"/>
    <w:rsid w:val="008B5AC1"/>
    <w:rsid w:val="008B5CD6"/>
    <w:rsid w:val="008B768C"/>
    <w:rsid w:val="008C473A"/>
    <w:rsid w:val="008C4DB1"/>
    <w:rsid w:val="008C4EAF"/>
    <w:rsid w:val="008C5176"/>
    <w:rsid w:val="008C7FD0"/>
    <w:rsid w:val="008D30ED"/>
    <w:rsid w:val="008E1DE7"/>
    <w:rsid w:val="008E4D60"/>
    <w:rsid w:val="008E6B57"/>
    <w:rsid w:val="008E707C"/>
    <w:rsid w:val="008F4867"/>
    <w:rsid w:val="008F551C"/>
    <w:rsid w:val="008F6089"/>
    <w:rsid w:val="009002C0"/>
    <w:rsid w:val="00900B08"/>
    <w:rsid w:val="00902155"/>
    <w:rsid w:val="00902FA3"/>
    <w:rsid w:val="00904199"/>
    <w:rsid w:val="00914F57"/>
    <w:rsid w:val="00923564"/>
    <w:rsid w:val="0092392E"/>
    <w:rsid w:val="00925A37"/>
    <w:rsid w:val="009315F9"/>
    <w:rsid w:val="00933499"/>
    <w:rsid w:val="00935C98"/>
    <w:rsid w:val="00942472"/>
    <w:rsid w:val="00946945"/>
    <w:rsid w:val="00951248"/>
    <w:rsid w:val="0095152F"/>
    <w:rsid w:val="009515A6"/>
    <w:rsid w:val="00954C49"/>
    <w:rsid w:val="00954E2D"/>
    <w:rsid w:val="009554A7"/>
    <w:rsid w:val="00955E37"/>
    <w:rsid w:val="00963FB0"/>
    <w:rsid w:val="0097099F"/>
    <w:rsid w:val="00971997"/>
    <w:rsid w:val="00971FFC"/>
    <w:rsid w:val="009725A4"/>
    <w:rsid w:val="009725B1"/>
    <w:rsid w:val="009847B2"/>
    <w:rsid w:val="0098660A"/>
    <w:rsid w:val="009931C3"/>
    <w:rsid w:val="0099635A"/>
    <w:rsid w:val="009A3D4B"/>
    <w:rsid w:val="009B2C43"/>
    <w:rsid w:val="009B4EAE"/>
    <w:rsid w:val="009B7573"/>
    <w:rsid w:val="009C0D4F"/>
    <w:rsid w:val="009C1326"/>
    <w:rsid w:val="009C1BA1"/>
    <w:rsid w:val="009C22F4"/>
    <w:rsid w:val="009C2741"/>
    <w:rsid w:val="009C2E98"/>
    <w:rsid w:val="009C37FB"/>
    <w:rsid w:val="009C402A"/>
    <w:rsid w:val="009D3447"/>
    <w:rsid w:val="009D408F"/>
    <w:rsid w:val="009D4711"/>
    <w:rsid w:val="009D5553"/>
    <w:rsid w:val="009D6FBA"/>
    <w:rsid w:val="009E09E8"/>
    <w:rsid w:val="009E12B8"/>
    <w:rsid w:val="009E51E9"/>
    <w:rsid w:val="009F1185"/>
    <w:rsid w:val="009F18CD"/>
    <w:rsid w:val="009F20A7"/>
    <w:rsid w:val="009F2A13"/>
    <w:rsid w:val="009F3F79"/>
    <w:rsid w:val="009F7527"/>
    <w:rsid w:val="00A033A6"/>
    <w:rsid w:val="00A039ED"/>
    <w:rsid w:val="00A04EB0"/>
    <w:rsid w:val="00A13CC1"/>
    <w:rsid w:val="00A16847"/>
    <w:rsid w:val="00A17AE9"/>
    <w:rsid w:val="00A17DB6"/>
    <w:rsid w:val="00A22098"/>
    <w:rsid w:val="00A237D8"/>
    <w:rsid w:val="00A268C4"/>
    <w:rsid w:val="00A307CD"/>
    <w:rsid w:val="00A331C8"/>
    <w:rsid w:val="00A35117"/>
    <w:rsid w:val="00A361D9"/>
    <w:rsid w:val="00A40A00"/>
    <w:rsid w:val="00A4142F"/>
    <w:rsid w:val="00A422EB"/>
    <w:rsid w:val="00A45BB7"/>
    <w:rsid w:val="00A45C1C"/>
    <w:rsid w:val="00A529AC"/>
    <w:rsid w:val="00A5448D"/>
    <w:rsid w:val="00A56DF2"/>
    <w:rsid w:val="00A56E6E"/>
    <w:rsid w:val="00A610A0"/>
    <w:rsid w:val="00A67AB5"/>
    <w:rsid w:val="00A733B2"/>
    <w:rsid w:val="00A73785"/>
    <w:rsid w:val="00A741C2"/>
    <w:rsid w:val="00A742C0"/>
    <w:rsid w:val="00A76A5E"/>
    <w:rsid w:val="00A80395"/>
    <w:rsid w:val="00A80CF3"/>
    <w:rsid w:val="00A82AB3"/>
    <w:rsid w:val="00A863AA"/>
    <w:rsid w:val="00A8754B"/>
    <w:rsid w:val="00A91760"/>
    <w:rsid w:val="00A93B00"/>
    <w:rsid w:val="00A93C21"/>
    <w:rsid w:val="00AA09AC"/>
    <w:rsid w:val="00AA7A4B"/>
    <w:rsid w:val="00AB2260"/>
    <w:rsid w:val="00AB3ADD"/>
    <w:rsid w:val="00AB43B4"/>
    <w:rsid w:val="00AB5230"/>
    <w:rsid w:val="00AB64C9"/>
    <w:rsid w:val="00AC08A8"/>
    <w:rsid w:val="00AC111D"/>
    <w:rsid w:val="00AC3C6A"/>
    <w:rsid w:val="00AC474B"/>
    <w:rsid w:val="00AC674F"/>
    <w:rsid w:val="00AD0F83"/>
    <w:rsid w:val="00AD5620"/>
    <w:rsid w:val="00AD656B"/>
    <w:rsid w:val="00AD7C1B"/>
    <w:rsid w:val="00AE015E"/>
    <w:rsid w:val="00AE0A42"/>
    <w:rsid w:val="00AE16BA"/>
    <w:rsid w:val="00AE1EBE"/>
    <w:rsid w:val="00AE30A9"/>
    <w:rsid w:val="00AE426E"/>
    <w:rsid w:val="00AE7CCA"/>
    <w:rsid w:val="00AF5D29"/>
    <w:rsid w:val="00B03C9D"/>
    <w:rsid w:val="00B060AE"/>
    <w:rsid w:val="00B10517"/>
    <w:rsid w:val="00B113C0"/>
    <w:rsid w:val="00B14E76"/>
    <w:rsid w:val="00B15955"/>
    <w:rsid w:val="00B161B8"/>
    <w:rsid w:val="00B16289"/>
    <w:rsid w:val="00B2048C"/>
    <w:rsid w:val="00B21785"/>
    <w:rsid w:val="00B310B9"/>
    <w:rsid w:val="00B3168F"/>
    <w:rsid w:val="00B31F22"/>
    <w:rsid w:val="00B3385F"/>
    <w:rsid w:val="00B35F3F"/>
    <w:rsid w:val="00B36CBB"/>
    <w:rsid w:val="00B405D8"/>
    <w:rsid w:val="00B413F2"/>
    <w:rsid w:val="00B425E0"/>
    <w:rsid w:val="00B440AA"/>
    <w:rsid w:val="00B44B70"/>
    <w:rsid w:val="00B519B5"/>
    <w:rsid w:val="00B519C2"/>
    <w:rsid w:val="00B53C56"/>
    <w:rsid w:val="00B548BC"/>
    <w:rsid w:val="00B57DAF"/>
    <w:rsid w:val="00B624A5"/>
    <w:rsid w:val="00B63594"/>
    <w:rsid w:val="00B650B5"/>
    <w:rsid w:val="00B67AB8"/>
    <w:rsid w:val="00B73756"/>
    <w:rsid w:val="00B74F2D"/>
    <w:rsid w:val="00B76FC5"/>
    <w:rsid w:val="00B77EA6"/>
    <w:rsid w:val="00B81598"/>
    <w:rsid w:val="00B81F01"/>
    <w:rsid w:val="00B8272C"/>
    <w:rsid w:val="00B841F1"/>
    <w:rsid w:val="00B87A35"/>
    <w:rsid w:val="00B931BA"/>
    <w:rsid w:val="00B944D6"/>
    <w:rsid w:val="00BB172D"/>
    <w:rsid w:val="00BB450B"/>
    <w:rsid w:val="00BB4DF0"/>
    <w:rsid w:val="00BB7137"/>
    <w:rsid w:val="00BC289F"/>
    <w:rsid w:val="00BC2D50"/>
    <w:rsid w:val="00BC37C5"/>
    <w:rsid w:val="00BC5361"/>
    <w:rsid w:val="00BC5460"/>
    <w:rsid w:val="00BC6B50"/>
    <w:rsid w:val="00BD0E25"/>
    <w:rsid w:val="00BD1882"/>
    <w:rsid w:val="00BD4CB7"/>
    <w:rsid w:val="00BD7DAF"/>
    <w:rsid w:val="00BE0218"/>
    <w:rsid w:val="00BE195D"/>
    <w:rsid w:val="00BE46C4"/>
    <w:rsid w:val="00BF28BC"/>
    <w:rsid w:val="00BF3058"/>
    <w:rsid w:val="00BF5BD6"/>
    <w:rsid w:val="00C03E31"/>
    <w:rsid w:val="00C03E71"/>
    <w:rsid w:val="00C05CCC"/>
    <w:rsid w:val="00C13AE1"/>
    <w:rsid w:val="00C200F3"/>
    <w:rsid w:val="00C30E69"/>
    <w:rsid w:val="00C33E72"/>
    <w:rsid w:val="00C354B2"/>
    <w:rsid w:val="00C35554"/>
    <w:rsid w:val="00C35C2A"/>
    <w:rsid w:val="00C364D0"/>
    <w:rsid w:val="00C4004B"/>
    <w:rsid w:val="00C425ED"/>
    <w:rsid w:val="00C42709"/>
    <w:rsid w:val="00C44A0E"/>
    <w:rsid w:val="00C46E59"/>
    <w:rsid w:val="00C47A8B"/>
    <w:rsid w:val="00C533CC"/>
    <w:rsid w:val="00C5346E"/>
    <w:rsid w:val="00C55A94"/>
    <w:rsid w:val="00C5751C"/>
    <w:rsid w:val="00C61BFC"/>
    <w:rsid w:val="00C62B85"/>
    <w:rsid w:val="00C63DB8"/>
    <w:rsid w:val="00C65438"/>
    <w:rsid w:val="00C70978"/>
    <w:rsid w:val="00C74D77"/>
    <w:rsid w:val="00C84E5D"/>
    <w:rsid w:val="00C87435"/>
    <w:rsid w:val="00C87FA7"/>
    <w:rsid w:val="00C912C1"/>
    <w:rsid w:val="00C91CBB"/>
    <w:rsid w:val="00C943DE"/>
    <w:rsid w:val="00C94C65"/>
    <w:rsid w:val="00C97E91"/>
    <w:rsid w:val="00CA2EA8"/>
    <w:rsid w:val="00CB0AB0"/>
    <w:rsid w:val="00CB16ED"/>
    <w:rsid w:val="00CB285C"/>
    <w:rsid w:val="00CB3144"/>
    <w:rsid w:val="00CB4E70"/>
    <w:rsid w:val="00CB64C8"/>
    <w:rsid w:val="00CC09B6"/>
    <w:rsid w:val="00CC26EF"/>
    <w:rsid w:val="00CC4ADD"/>
    <w:rsid w:val="00CC666F"/>
    <w:rsid w:val="00CD13B8"/>
    <w:rsid w:val="00CD1E3F"/>
    <w:rsid w:val="00CE0769"/>
    <w:rsid w:val="00CE44F6"/>
    <w:rsid w:val="00CE49DA"/>
    <w:rsid w:val="00CE56ED"/>
    <w:rsid w:val="00CE7B61"/>
    <w:rsid w:val="00CF71F1"/>
    <w:rsid w:val="00D00095"/>
    <w:rsid w:val="00D0664B"/>
    <w:rsid w:val="00D07F0E"/>
    <w:rsid w:val="00D07F39"/>
    <w:rsid w:val="00D114F0"/>
    <w:rsid w:val="00D13046"/>
    <w:rsid w:val="00D20620"/>
    <w:rsid w:val="00D21EF7"/>
    <w:rsid w:val="00D22C02"/>
    <w:rsid w:val="00D236B4"/>
    <w:rsid w:val="00D254F7"/>
    <w:rsid w:val="00D26091"/>
    <w:rsid w:val="00D2685C"/>
    <w:rsid w:val="00D3024F"/>
    <w:rsid w:val="00D323F6"/>
    <w:rsid w:val="00D34E7C"/>
    <w:rsid w:val="00D35489"/>
    <w:rsid w:val="00D36322"/>
    <w:rsid w:val="00D36AFE"/>
    <w:rsid w:val="00D376F1"/>
    <w:rsid w:val="00D408BB"/>
    <w:rsid w:val="00D415D9"/>
    <w:rsid w:val="00D41CF0"/>
    <w:rsid w:val="00D43333"/>
    <w:rsid w:val="00D51276"/>
    <w:rsid w:val="00D554F6"/>
    <w:rsid w:val="00D60767"/>
    <w:rsid w:val="00D61F0C"/>
    <w:rsid w:val="00D63E1D"/>
    <w:rsid w:val="00D64E40"/>
    <w:rsid w:val="00D65218"/>
    <w:rsid w:val="00D65C79"/>
    <w:rsid w:val="00D677E2"/>
    <w:rsid w:val="00D7035F"/>
    <w:rsid w:val="00D740A7"/>
    <w:rsid w:val="00D81695"/>
    <w:rsid w:val="00D81948"/>
    <w:rsid w:val="00D83576"/>
    <w:rsid w:val="00D84750"/>
    <w:rsid w:val="00D85911"/>
    <w:rsid w:val="00D85F93"/>
    <w:rsid w:val="00D94EC8"/>
    <w:rsid w:val="00DA32E3"/>
    <w:rsid w:val="00DA634F"/>
    <w:rsid w:val="00DA65AC"/>
    <w:rsid w:val="00DA72BC"/>
    <w:rsid w:val="00DA7BDE"/>
    <w:rsid w:val="00DB11DA"/>
    <w:rsid w:val="00DB1913"/>
    <w:rsid w:val="00DB220F"/>
    <w:rsid w:val="00DB2BA8"/>
    <w:rsid w:val="00DC410D"/>
    <w:rsid w:val="00DC5A81"/>
    <w:rsid w:val="00DC68CA"/>
    <w:rsid w:val="00DC6980"/>
    <w:rsid w:val="00DC7CBA"/>
    <w:rsid w:val="00DD1737"/>
    <w:rsid w:val="00DD5A52"/>
    <w:rsid w:val="00DD705D"/>
    <w:rsid w:val="00DD73B7"/>
    <w:rsid w:val="00DD7BF8"/>
    <w:rsid w:val="00DE0C52"/>
    <w:rsid w:val="00DE563B"/>
    <w:rsid w:val="00DF006D"/>
    <w:rsid w:val="00DF28BC"/>
    <w:rsid w:val="00DF34B9"/>
    <w:rsid w:val="00DF3997"/>
    <w:rsid w:val="00DF5B4F"/>
    <w:rsid w:val="00DF5F3F"/>
    <w:rsid w:val="00DF7FBA"/>
    <w:rsid w:val="00E01053"/>
    <w:rsid w:val="00E02840"/>
    <w:rsid w:val="00E03516"/>
    <w:rsid w:val="00E07ACF"/>
    <w:rsid w:val="00E17CBD"/>
    <w:rsid w:val="00E20180"/>
    <w:rsid w:val="00E22498"/>
    <w:rsid w:val="00E24AD3"/>
    <w:rsid w:val="00E26834"/>
    <w:rsid w:val="00E30E2A"/>
    <w:rsid w:val="00E32D15"/>
    <w:rsid w:val="00E331A1"/>
    <w:rsid w:val="00E33202"/>
    <w:rsid w:val="00E336A9"/>
    <w:rsid w:val="00E411C0"/>
    <w:rsid w:val="00E472B1"/>
    <w:rsid w:val="00E50624"/>
    <w:rsid w:val="00E55A30"/>
    <w:rsid w:val="00E568DF"/>
    <w:rsid w:val="00E60A2B"/>
    <w:rsid w:val="00E6232F"/>
    <w:rsid w:val="00E64269"/>
    <w:rsid w:val="00E652A0"/>
    <w:rsid w:val="00E66797"/>
    <w:rsid w:val="00E75EE5"/>
    <w:rsid w:val="00E82267"/>
    <w:rsid w:val="00E83524"/>
    <w:rsid w:val="00E84472"/>
    <w:rsid w:val="00E853CE"/>
    <w:rsid w:val="00E8619D"/>
    <w:rsid w:val="00E867B6"/>
    <w:rsid w:val="00E87F08"/>
    <w:rsid w:val="00E9403A"/>
    <w:rsid w:val="00E944D1"/>
    <w:rsid w:val="00EA010F"/>
    <w:rsid w:val="00EA0B9E"/>
    <w:rsid w:val="00EA14ED"/>
    <w:rsid w:val="00EA3E22"/>
    <w:rsid w:val="00EC2F55"/>
    <w:rsid w:val="00EC37FD"/>
    <w:rsid w:val="00ED1008"/>
    <w:rsid w:val="00ED1B63"/>
    <w:rsid w:val="00ED3C1F"/>
    <w:rsid w:val="00ED4085"/>
    <w:rsid w:val="00ED420E"/>
    <w:rsid w:val="00ED6FBE"/>
    <w:rsid w:val="00EE28A3"/>
    <w:rsid w:val="00EE2F57"/>
    <w:rsid w:val="00EE75CB"/>
    <w:rsid w:val="00EF4C34"/>
    <w:rsid w:val="00EF77C6"/>
    <w:rsid w:val="00F041CD"/>
    <w:rsid w:val="00F05438"/>
    <w:rsid w:val="00F1361C"/>
    <w:rsid w:val="00F141ED"/>
    <w:rsid w:val="00F156F0"/>
    <w:rsid w:val="00F15DF9"/>
    <w:rsid w:val="00F160C7"/>
    <w:rsid w:val="00F20693"/>
    <w:rsid w:val="00F2408F"/>
    <w:rsid w:val="00F240E9"/>
    <w:rsid w:val="00F308F4"/>
    <w:rsid w:val="00F35285"/>
    <w:rsid w:val="00F35A18"/>
    <w:rsid w:val="00F36D8F"/>
    <w:rsid w:val="00F417B1"/>
    <w:rsid w:val="00F45853"/>
    <w:rsid w:val="00F5350A"/>
    <w:rsid w:val="00F545D6"/>
    <w:rsid w:val="00F602DF"/>
    <w:rsid w:val="00F6106D"/>
    <w:rsid w:val="00F658ED"/>
    <w:rsid w:val="00F70A1E"/>
    <w:rsid w:val="00F754A1"/>
    <w:rsid w:val="00F814BD"/>
    <w:rsid w:val="00F81FD9"/>
    <w:rsid w:val="00F841AA"/>
    <w:rsid w:val="00F84A94"/>
    <w:rsid w:val="00F85EC3"/>
    <w:rsid w:val="00F87E96"/>
    <w:rsid w:val="00F9072F"/>
    <w:rsid w:val="00F90BEF"/>
    <w:rsid w:val="00F91A39"/>
    <w:rsid w:val="00F960CE"/>
    <w:rsid w:val="00FA1A28"/>
    <w:rsid w:val="00FA23E8"/>
    <w:rsid w:val="00FA52DD"/>
    <w:rsid w:val="00FA680F"/>
    <w:rsid w:val="00FA6F4A"/>
    <w:rsid w:val="00FB2A3D"/>
    <w:rsid w:val="00FC58B1"/>
    <w:rsid w:val="00FD09F2"/>
    <w:rsid w:val="00FD3CC1"/>
    <w:rsid w:val="00FD44B8"/>
    <w:rsid w:val="00FD47A5"/>
    <w:rsid w:val="00FD4DEF"/>
    <w:rsid w:val="00FD564F"/>
    <w:rsid w:val="00FD5D19"/>
    <w:rsid w:val="00FE046F"/>
    <w:rsid w:val="00FE1E35"/>
    <w:rsid w:val="00FE5DC0"/>
    <w:rsid w:val="00FF03B1"/>
    <w:rsid w:val="00FF1E02"/>
    <w:rsid w:val="00FF30B4"/>
    <w:rsid w:val="00FF31EC"/>
    <w:rsid w:val="00FF6D46"/>
    <w:rsid w:val="017A5DE8"/>
    <w:rsid w:val="01C10D99"/>
    <w:rsid w:val="048C78EE"/>
    <w:rsid w:val="057A620A"/>
    <w:rsid w:val="05C1625D"/>
    <w:rsid w:val="070A4BA3"/>
    <w:rsid w:val="072F33D1"/>
    <w:rsid w:val="096456F0"/>
    <w:rsid w:val="09F17A36"/>
    <w:rsid w:val="0A2C4E5E"/>
    <w:rsid w:val="0CC872D1"/>
    <w:rsid w:val="0F2B56F4"/>
    <w:rsid w:val="0F74556A"/>
    <w:rsid w:val="0FE62385"/>
    <w:rsid w:val="104D10C5"/>
    <w:rsid w:val="104F21BA"/>
    <w:rsid w:val="105E4FC9"/>
    <w:rsid w:val="10C055FF"/>
    <w:rsid w:val="111E7A65"/>
    <w:rsid w:val="118645FD"/>
    <w:rsid w:val="129A2E29"/>
    <w:rsid w:val="139E7D1B"/>
    <w:rsid w:val="14886D1D"/>
    <w:rsid w:val="15AC565A"/>
    <w:rsid w:val="167E227A"/>
    <w:rsid w:val="168415A3"/>
    <w:rsid w:val="169D0CD1"/>
    <w:rsid w:val="16BB723D"/>
    <w:rsid w:val="177A6551"/>
    <w:rsid w:val="17A30DF3"/>
    <w:rsid w:val="1A9C378C"/>
    <w:rsid w:val="1D9013B0"/>
    <w:rsid w:val="1E5800D5"/>
    <w:rsid w:val="222A36AF"/>
    <w:rsid w:val="223C0B73"/>
    <w:rsid w:val="2308569F"/>
    <w:rsid w:val="232661F8"/>
    <w:rsid w:val="23B2100D"/>
    <w:rsid w:val="23F51814"/>
    <w:rsid w:val="23FC07EB"/>
    <w:rsid w:val="240371BF"/>
    <w:rsid w:val="258C4EBE"/>
    <w:rsid w:val="26A2410D"/>
    <w:rsid w:val="26AE11FD"/>
    <w:rsid w:val="26BF038A"/>
    <w:rsid w:val="26C51673"/>
    <w:rsid w:val="2751295E"/>
    <w:rsid w:val="276C0996"/>
    <w:rsid w:val="28FC6FF5"/>
    <w:rsid w:val="297F517B"/>
    <w:rsid w:val="29FD04D3"/>
    <w:rsid w:val="2A2D680B"/>
    <w:rsid w:val="2B8768B0"/>
    <w:rsid w:val="2C0837D3"/>
    <w:rsid w:val="2CC67D32"/>
    <w:rsid w:val="2DCD2FD2"/>
    <w:rsid w:val="2DDC6AE8"/>
    <w:rsid w:val="2F7C63DF"/>
    <w:rsid w:val="31334E3F"/>
    <w:rsid w:val="319F7F4E"/>
    <w:rsid w:val="350B5EF2"/>
    <w:rsid w:val="37A44167"/>
    <w:rsid w:val="38835EF2"/>
    <w:rsid w:val="38B41683"/>
    <w:rsid w:val="38E04A8D"/>
    <w:rsid w:val="3AAF2621"/>
    <w:rsid w:val="3B2B12AF"/>
    <w:rsid w:val="3B573AEB"/>
    <w:rsid w:val="3F793DB0"/>
    <w:rsid w:val="3FED2DA0"/>
    <w:rsid w:val="401C3241"/>
    <w:rsid w:val="40D63921"/>
    <w:rsid w:val="416163B2"/>
    <w:rsid w:val="41FB7A44"/>
    <w:rsid w:val="424748E1"/>
    <w:rsid w:val="425D5590"/>
    <w:rsid w:val="428C2D45"/>
    <w:rsid w:val="445575F2"/>
    <w:rsid w:val="446B51F5"/>
    <w:rsid w:val="455810E5"/>
    <w:rsid w:val="46525903"/>
    <w:rsid w:val="469D1DDA"/>
    <w:rsid w:val="490F4957"/>
    <w:rsid w:val="496732A8"/>
    <w:rsid w:val="49BB0D50"/>
    <w:rsid w:val="4A8115A2"/>
    <w:rsid w:val="4AF802A0"/>
    <w:rsid w:val="4D357FD7"/>
    <w:rsid w:val="4E734AF6"/>
    <w:rsid w:val="4ECE2238"/>
    <w:rsid w:val="4EE33818"/>
    <w:rsid w:val="4F7319F6"/>
    <w:rsid w:val="4FB36D0D"/>
    <w:rsid w:val="50FB073C"/>
    <w:rsid w:val="51266CCB"/>
    <w:rsid w:val="51362CBF"/>
    <w:rsid w:val="516E747E"/>
    <w:rsid w:val="52143EA7"/>
    <w:rsid w:val="53150117"/>
    <w:rsid w:val="542A1517"/>
    <w:rsid w:val="56D416E0"/>
    <w:rsid w:val="56E90E22"/>
    <w:rsid w:val="573C3139"/>
    <w:rsid w:val="578B75D5"/>
    <w:rsid w:val="57C7771C"/>
    <w:rsid w:val="589015F2"/>
    <w:rsid w:val="59A30F0E"/>
    <w:rsid w:val="59C72653"/>
    <w:rsid w:val="59F87735"/>
    <w:rsid w:val="5A105BF8"/>
    <w:rsid w:val="5A3A5AF4"/>
    <w:rsid w:val="5AFB07E0"/>
    <w:rsid w:val="5B682F8F"/>
    <w:rsid w:val="5C1170D3"/>
    <w:rsid w:val="5C443943"/>
    <w:rsid w:val="5CD46ECF"/>
    <w:rsid w:val="5D5A2A64"/>
    <w:rsid w:val="5FA63954"/>
    <w:rsid w:val="5FE332F1"/>
    <w:rsid w:val="608231E4"/>
    <w:rsid w:val="61632B8C"/>
    <w:rsid w:val="62A64B0A"/>
    <w:rsid w:val="648B06C7"/>
    <w:rsid w:val="64CD45D0"/>
    <w:rsid w:val="672E7CCD"/>
    <w:rsid w:val="6A3366C4"/>
    <w:rsid w:val="6B233EBF"/>
    <w:rsid w:val="6B97482B"/>
    <w:rsid w:val="6C570F14"/>
    <w:rsid w:val="6C6B0FFF"/>
    <w:rsid w:val="6C6E451C"/>
    <w:rsid w:val="6C9E0F8F"/>
    <w:rsid w:val="6D6A6050"/>
    <w:rsid w:val="6DC73836"/>
    <w:rsid w:val="6FA31B72"/>
    <w:rsid w:val="71433960"/>
    <w:rsid w:val="71667DCF"/>
    <w:rsid w:val="7186334E"/>
    <w:rsid w:val="71D94714"/>
    <w:rsid w:val="71FB4DF9"/>
    <w:rsid w:val="72426144"/>
    <w:rsid w:val="7266626F"/>
    <w:rsid w:val="72734D90"/>
    <w:rsid w:val="72983ABA"/>
    <w:rsid w:val="73857BDC"/>
    <w:rsid w:val="789A305E"/>
    <w:rsid w:val="79A77E94"/>
    <w:rsid w:val="79B209F7"/>
    <w:rsid w:val="7A3F72CA"/>
    <w:rsid w:val="7A946C79"/>
    <w:rsid w:val="7B830A29"/>
    <w:rsid w:val="7BE66C28"/>
    <w:rsid w:val="7D655934"/>
    <w:rsid w:val="7DBB0A48"/>
    <w:rsid w:val="7E533661"/>
    <w:rsid w:val="7E9D2D3F"/>
    <w:rsid w:val="7F0061D7"/>
    <w:rsid w:val="7F00776C"/>
    <w:rsid w:val="7F8756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jc w:val="left"/>
    </w:pPr>
    <w:rPr>
      <w:rFonts w:ascii="Calibri" w:hAnsi="Calibri"/>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fontstyle01"/>
    <w:basedOn w:val="14"/>
    <w:qFormat/>
    <w:uiPriority w:val="0"/>
    <w:rPr>
      <w:rFonts w:hint="eastAsia" w:ascii="方正仿宋_GBK" w:eastAsia="方正仿宋_GBK"/>
      <w:color w:val="000000"/>
      <w:sz w:val="34"/>
      <w:szCs w:val="34"/>
    </w:rPr>
  </w:style>
  <w:style w:type="character" w:customStyle="1" w:styleId="33">
    <w:name w:val="fontstyle11"/>
    <w:basedOn w:val="1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39292;&#29366;&#22270;&#12289;&#26609;&#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39292;&#29366;&#22270;&#12289;&#26609;&#2936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39292;&#29366;&#22270;&#12289;&#26609;&#29366;&#22270;.xlsx"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sus\Desktop\&#39292;&#29366;&#22270;&#12289;&#26609;&#29366;&#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39292;&#29366;&#22270;&#12289;&#26609;&#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39292;&#29366;&#22270;&#12289;&#26609;&#2936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39292;&#29366;&#22270;&#1228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6111111111111"/>
          <c:y val="0.0361111111111111"/>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[饼状图、柱状图.xlsx]Sheet1!$Q$7:$Q$8</c:f>
              <c:strCache>
                <c:ptCount val="2"/>
                <c:pt idx="0">
                  <c:v>2021年度</c:v>
                </c:pt>
                <c:pt idx="1">
                  <c:v>2020年度</c:v>
                </c:pt>
              </c:strCache>
            </c:strRef>
          </c:cat>
          <c:val>
            <c:numRef>
              <c:f>[饼状图、柱状图.xlsx]Sheet1!$R$7:$R$8</c:f>
              <c:numCache>
                <c:formatCode>General</c:formatCode>
                <c:ptCount val="2"/>
                <c:pt idx="0">
                  <c:v>37241.83</c:v>
                </c:pt>
                <c:pt idx="1">
                  <c:v>68280.88</c:v>
                </c:pt>
              </c:numCache>
            </c:numRef>
          </c:val>
        </c:ser>
        <c:dLbls>
          <c:showLegendKey val="0"/>
          <c:showVal val="1"/>
          <c:showCatName val="0"/>
          <c:showSerName val="0"/>
          <c:showPercent val="0"/>
          <c:showBubbleSize val="0"/>
        </c:dLbls>
        <c:gapWidth val="150"/>
        <c:overlap val="100"/>
        <c:axId val="96810112"/>
        <c:axId val="96811648"/>
      </c:barChart>
      <c:catAx>
        <c:axId val="9681011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11648"/>
        <c:crosses val="autoZero"/>
        <c:auto val="1"/>
        <c:lblAlgn val="ctr"/>
        <c:lblOffset val="100"/>
        <c:noMultiLvlLbl val="0"/>
      </c:catAx>
      <c:valAx>
        <c:axId val="96811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1011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en-US" altLang="zh-CN"/>
              <a:t>2021</a:t>
            </a:r>
            <a:r>
              <a:rPr altLang="en-US"/>
              <a:t>年收入决算结构图</a:t>
            </a:r>
            <a:endParaRPr lang="en-US" altLang="zh-CN"/>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[饼状图、柱状图.xlsx]Sheet1!$A$8:$A$14</c:f>
              <c:strCache>
                <c:ptCount val="7"/>
                <c:pt idx="0">
                  <c:v>一般公共预算财政拨款收入</c:v>
                </c:pt>
                <c:pt idx="1">
                  <c:v>政府性基金预算财政拨款收入</c:v>
                </c:pt>
                <c:pt idx="2">
                  <c:v>其他收入</c:v>
                </c:pt>
              </c:strCache>
            </c:strRef>
          </c:cat>
          <c:val>
            <c:numRef>
              <c:f>[饼状图、柱状图.xlsx]Sheet1!$B$8:$B$14</c:f>
              <c:numCache>
                <c:formatCode>General</c:formatCode>
                <c:ptCount val="7"/>
                <c:pt idx="0">
                  <c:v>7611.38</c:v>
                </c:pt>
                <c:pt idx="1">
                  <c:v>9546.87999999999</c:v>
                </c:pt>
                <c:pt idx="2">
                  <c:v>5.79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en-US" altLang="zh-CN"/>
              <a:t>2021</a:t>
            </a:r>
            <a:r>
              <a:rPr altLang="en-US"/>
              <a:t>年支出决算结构图</a:t>
            </a:r>
            <a:endParaRPr lang="en-US" altLang="zh-CN"/>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[饼状图、柱状图.xlsx]Sheet1!$A$8:$A$14</c:f>
              <c:strCache>
                <c:ptCount val="7"/>
                <c:pt idx="0">
                  <c:v>基本支出</c:v>
                </c:pt>
                <c:pt idx="1">
                  <c:v>项目支出</c:v>
                </c:pt>
              </c:strCache>
            </c:strRef>
          </c:cat>
          <c:val>
            <c:numRef>
              <c:f>[饼状图、柱状图.xlsx]Sheet1!$B$8:$B$14</c:f>
              <c:numCache>
                <c:formatCode>General</c:formatCode>
                <c:ptCount val="7"/>
                <c:pt idx="0">
                  <c:v>684.91</c:v>
                </c:pt>
                <c:pt idx="1">
                  <c:v>36556.87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stacked"/>
        <c:varyColors val="0"/>
        <c:ser>
          <c:idx val="0"/>
          <c:order val="0"/>
          <c:spPr>
            <a:solidFill>
              <a:srgbClr val="019199"/>
            </a:solidFill>
            <a:ln w="25400">
              <a:solidFill>
                <a:schemeClr val="bg1"/>
              </a:solidFill>
            </a:ln>
            <a:effectLst/>
          </c:spPr>
          <c:invertIfNegative val="0"/>
          <c:dLbls>
            <c:delete val="1"/>
          </c:dLbls>
          <c:cat>
            <c:strRef>
              <c:f>[饼状图、柱状图.xlsx]Sheet1!$A$29:$A$32</c:f>
              <c:strCache>
                <c:ptCount val="4"/>
                <c:pt idx="0">
                  <c:v>2021年财政拨款收入</c:v>
                </c:pt>
                <c:pt idx="1">
                  <c:v>2020年财政拨款收入</c:v>
                </c:pt>
                <c:pt idx="2">
                  <c:v>2021年财政拨款支出</c:v>
                </c:pt>
                <c:pt idx="3">
                  <c:v>2020年财政拨款支出</c:v>
                </c:pt>
              </c:strCache>
            </c:strRef>
          </c:cat>
          <c:val>
            <c:numRef>
              <c:f>[饼状图、柱状图.xlsx]Sheet1!$B$29:$B$32</c:f>
              <c:numCache>
                <c:formatCode>General</c:formatCode>
                <c:ptCount val="4"/>
                <c:pt idx="0">
                  <c:v>37236.04</c:v>
                </c:pt>
                <c:pt idx="1">
                  <c:v>68265.15</c:v>
                </c:pt>
                <c:pt idx="2">
                  <c:v>37236.04</c:v>
                </c:pt>
                <c:pt idx="3">
                  <c:v>68265.15</c:v>
                </c:pt>
              </c:numCache>
            </c:numRef>
          </c:val>
        </c:ser>
        <c:dLbls>
          <c:showLegendKey val="0"/>
          <c:showVal val="1"/>
          <c:showCatName val="0"/>
          <c:showSerName val="0"/>
          <c:showPercent val="0"/>
          <c:showBubbleSize val="0"/>
        </c:dLbls>
        <c:gapWidth val="95"/>
        <c:overlap val="100"/>
        <c:axId val="96760960"/>
        <c:axId val="96762496"/>
      </c:barChart>
      <c:catAx>
        <c:axId val="967609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96762496"/>
        <c:crosses val="autoZero"/>
        <c:auto val="1"/>
        <c:lblAlgn val="ctr"/>
        <c:lblOffset val="100"/>
        <c:noMultiLvlLbl val="0"/>
      </c:catAx>
      <c:valAx>
        <c:axId val="96762496"/>
        <c:scaling>
          <c:orientation val="minMax"/>
        </c:scaling>
        <c:delete val="0"/>
        <c:axPos val="l"/>
        <c:majorGridlines>
          <c:spPr>
            <a:ln w="9525" cap="flat" cmpd="sng" algn="ctr">
              <a:solidFill>
                <a:sysClr val="windowText" lastClr="000000">
                  <a:lumMod val="25000"/>
                  <a:lumOff val="75000"/>
                  <a:alpha val="30000"/>
                </a:sys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9676096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81111111111111"/>
          <c:y val="0.0333333333333333"/>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[饼状图、柱状图.xlsx]Sheet1!$Q$7:$Q$8</c:f>
              <c:strCache>
                <c:ptCount val="2"/>
                <c:pt idx="0">
                  <c:v>2021年度</c:v>
                </c:pt>
                <c:pt idx="1">
                  <c:v>2020年度</c:v>
                </c:pt>
              </c:strCache>
            </c:strRef>
          </c:cat>
          <c:val>
            <c:numRef>
              <c:f>[饼状图、柱状图.xlsx]Sheet1!$R$7:$R$8</c:f>
              <c:numCache>
                <c:formatCode>General</c:formatCode>
                <c:ptCount val="2"/>
                <c:pt idx="0">
                  <c:v>18727.93</c:v>
                </c:pt>
                <c:pt idx="1">
                  <c:v>13836.15</c:v>
                </c:pt>
              </c:numCache>
            </c:numRef>
          </c:val>
        </c:ser>
        <c:dLbls>
          <c:showLegendKey val="0"/>
          <c:showVal val="1"/>
          <c:showCatName val="0"/>
          <c:showSerName val="0"/>
          <c:showPercent val="0"/>
          <c:showBubbleSize val="0"/>
        </c:dLbls>
        <c:gapWidth val="150"/>
        <c:overlap val="100"/>
        <c:axId val="97198080"/>
        <c:axId val="97199616"/>
      </c:barChart>
      <c:catAx>
        <c:axId val="97198080"/>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99616"/>
        <c:crosses val="autoZero"/>
        <c:auto val="1"/>
        <c:lblAlgn val="ctr"/>
        <c:lblOffset val="100"/>
        <c:noMultiLvlLbl val="0"/>
      </c:catAx>
      <c:valAx>
        <c:axId val="97199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9808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dLbl>
              <c:idx val="1"/>
              <c:layout>
                <c:manualLayout>
                  <c:x val="0.231299608504915"/>
                  <c:y val="0.02188108494453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[饼状图、柱状图.xlsx]Sheet1!$A$8:$A$14</c:f>
              <c:strCache>
                <c:ptCount val="7"/>
                <c:pt idx="0">
                  <c:v>社会保障和就业</c:v>
                </c:pt>
                <c:pt idx="1">
                  <c:v>卫生健康</c:v>
                </c:pt>
                <c:pt idx="2">
                  <c:v>住房保障</c:v>
                </c:pt>
                <c:pt idx="3">
                  <c:v>城乡社区</c:v>
                </c:pt>
                <c:pt idx="4">
                  <c:v>节能环保</c:v>
                </c:pt>
                <c:pt idx="5">
                  <c:v>农林水</c:v>
                </c:pt>
                <c:pt idx="6">
                  <c:v>其他</c:v>
                </c:pt>
              </c:strCache>
            </c:strRef>
          </c:cat>
          <c:val>
            <c:numRef>
              <c:f>[饼状图、柱状图.xlsx]Sheet1!$B$8:$B$14</c:f>
              <c:numCache>
                <c:formatCode>General</c:formatCode>
                <c:ptCount val="7"/>
                <c:pt idx="0">
                  <c:v>175.34</c:v>
                </c:pt>
                <c:pt idx="1">
                  <c:v>35.76</c:v>
                </c:pt>
                <c:pt idx="2">
                  <c:v>3927.84</c:v>
                </c:pt>
                <c:pt idx="3">
                  <c:v>1364.02</c:v>
                </c:pt>
                <c:pt idx="4">
                  <c:v>5025</c:v>
                </c:pt>
                <c:pt idx="5">
                  <c:v>2700</c:v>
                </c:pt>
                <c:pt idx="6">
                  <c:v>5500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a:t>
            </a:r>
            <a:r>
              <a:t>财政拨款支出</a:t>
            </a:r>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dLbl>
              <c:idx val="1"/>
              <c:layout>
                <c:manualLayout>
                  <c:x val="0.231299608504915"/>
                  <c:y val="0.02188108494453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[饼状图、柱状图.xlsx]Sheet1!$A$8:$A$14</c:f>
              <c:strCache>
                <c:ptCount val="7"/>
                <c:pt idx="0">
                  <c:v>公务用车购置及运行维护费支出</c:v>
                </c:pt>
                <c:pt idx="1">
                  <c:v>公务接待费支出</c:v>
                </c:pt>
                <c:pt idx="2">
                  <c:v>因公出国（境）费支出</c:v>
                </c:pt>
              </c:strCache>
            </c:strRef>
          </c:cat>
          <c:val>
            <c:numRef>
              <c:f>[饼状图、柱状图.xlsx]Sheet1!$B$8:$B$14</c:f>
              <c:numCache>
                <c:formatCode>General</c:formatCode>
                <c:ptCount val="7"/>
                <c:pt idx="0">
                  <c:v>2.5</c:v>
                </c:pt>
                <c:pt idx="1">
                  <c:v>0.53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4D312-0929-40F7-906A-0916F3BC1B3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12130</Words>
  <Characters>13645</Characters>
  <Lines>39</Lines>
  <Paragraphs>34</Paragraphs>
  <TotalTime>0</TotalTime>
  <ScaleCrop>false</ScaleCrop>
  <LinksUpToDate>false</LinksUpToDate>
  <CharactersWithSpaces>13784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赵静</cp:lastModifiedBy>
  <cp:lastPrinted>2020-07-23T02:58:00Z</cp:lastPrinted>
  <dcterms:modified xsi:type="dcterms:W3CDTF">2023-10-08T01:20:17Z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7B39C2AA40ED4650BAD23FB56D71E5EB</vt:lpwstr>
  </property>
  <property fmtid="{D5CDD505-2E9C-101B-9397-08002B2CF9AE}" pid="4" name="KSOSaveFontToCloudKey">
    <vt:lpwstr>698206724_btnclosed</vt:lpwstr>
  </property>
</Properties>
</file>