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Arial Unicode MS" w:hAnsi="宋体" w:eastAsia="Arial Unicode MS"/>
          <w:sz w:val="72"/>
          <w:szCs w:val="72"/>
        </w:rPr>
      </w:pPr>
      <w:bookmarkStart w:id="0" w:name="_Toc15306267"/>
    </w:p>
    <w:p>
      <w:pPr>
        <w:spacing w:line="600" w:lineRule="exact"/>
        <w:jc w:val="center"/>
        <w:outlineLvl w:val="0"/>
        <w:rPr>
          <w:rFonts w:ascii="Arial Unicode MS" w:hAnsi="宋体" w:eastAsia="Arial Unicode MS"/>
          <w:sz w:val="72"/>
          <w:szCs w:val="72"/>
        </w:rPr>
      </w:pPr>
    </w:p>
    <w:p>
      <w:pPr>
        <w:spacing w:line="600" w:lineRule="exact"/>
        <w:jc w:val="center"/>
        <w:outlineLvl w:val="0"/>
        <w:rPr>
          <w:rFonts w:ascii="Arial Unicode MS" w:hAnsi="宋体" w:eastAsia="Arial Unicode MS"/>
          <w:sz w:val="72"/>
          <w:szCs w:val="72"/>
        </w:rPr>
      </w:pPr>
    </w:p>
    <w:p>
      <w:pPr>
        <w:spacing w:line="600" w:lineRule="exact"/>
        <w:jc w:val="center"/>
        <w:outlineLvl w:val="0"/>
        <w:rPr>
          <w:rFonts w:ascii="Arial Unicode MS" w:hAnsi="宋体" w:eastAsia="Arial Unicode MS"/>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b w:val="0"/>
          <w:bCs w:val="0"/>
          <w:sz w:val="72"/>
          <w:szCs w:val="72"/>
        </w:rPr>
      </w:pPr>
      <w:bookmarkStart w:id="1" w:name="_Toc15378441"/>
      <w:bookmarkStart w:id="2" w:name="_Toc15396475"/>
      <w:bookmarkStart w:id="3" w:name="_Toc15377193"/>
      <w:bookmarkStart w:id="4" w:name="_Toc15396597"/>
      <w:bookmarkStart w:id="5" w:name="_Toc15377425"/>
      <w:r>
        <w:rPr>
          <w:rFonts w:hint="eastAsia" w:ascii="方正小标宋简体" w:hAnsi="方正小标宋简体" w:eastAsia="方正小标宋简体" w:cs="方正小标宋简体"/>
          <w:b w:val="0"/>
          <w:bCs w:val="0"/>
          <w:sz w:val="72"/>
          <w:szCs w:val="72"/>
        </w:rPr>
        <w:t>2021年度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b w:val="0"/>
          <w:bCs w:val="0"/>
          <w:sz w:val="72"/>
          <w:szCs w:val="72"/>
        </w:rPr>
      </w:pPr>
      <w:bookmarkStart w:id="6" w:name="_Toc15377426"/>
      <w:bookmarkStart w:id="7" w:name="_Toc15378442"/>
      <w:bookmarkStart w:id="8" w:name="_Toc15396598"/>
      <w:bookmarkStart w:id="9" w:name="_Toc15396476"/>
      <w:bookmarkStart w:id="10" w:name="_Toc15377194"/>
      <w:r>
        <w:rPr>
          <w:rFonts w:hint="eastAsia" w:ascii="方正小标宋简体" w:hAnsi="方正小标宋简体" w:eastAsia="方正小标宋简体" w:cs="方正小标宋简体"/>
          <w:b w:val="0"/>
          <w:bCs w:val="0"/>
          <w:sz w:val="72"/>
          <w:szCs w:val="72"/>
        </w:rPr>
        <w:t>四川省</w:t>
      </w:r>
      <w:bookmarkEnd w:id="0"/>
      <w:bookmarkStart w:id="11" w:name="_Toc15306268"/>
      <w:r>
        <w:rPr>
          <w:rFonts w:hint="eastAsia" w:ascii="方正小标宋简体" w:hAnsi="方正小标宋简体" w:eastAsia="方正小标宋简体" w:cs="方正小标宋简体"/>
          <w:b w:val="0"/>
          <w:bCs w:val="0"/>
          <w:sz w:val="72"/>
          <w:szCs w:val="72"/>
        </w:rPr>
        <w:t>攀枝花市第十初级中学校单位决算</w:t>
      </w:r>
      <w:bookmarkEnd w:id="6"/>
      <w:bookmarkEnd w:id="7"/>
      <w:bookmarkEnd w:id="8"/>
      <w:bookmarkEnd w:id="9"/>
      <w:bookmarkEnd w:id="10"/>
      <w:bookmarkEnd w:id="11"/>
      <w:bookmarkStart w:id="69" w:name="_GoBack"/>
      <w:bookmarkEnd w:id="69"/>
    </w:p>
    <w:p>
      <w:pPr>
        <w:widowControl/>
        <w:jc w:val="center"/>
        <w:rPr>
          <w:rFonts w:ascii="黑体" w:hAnsi="黑体" w:eastAsia="黑体"/>
          <w:sz w:val="48"/>
          <w:szCs w:val="48"/>
        </w:rPr>
      </w:pPr>
      <w:r>
        <w:rPr>
          <w:rFonts w:ascii="Arial Unicode MS" w:hAnsi="宋体" w:eastAsia="Arial Unicode MS"/>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w:t>
      </w:r>
      <w:r>
        <w:rPr>
          <w:rFonts w:hint="default"/>
          <w:lang w:val="en-US"/>
        </w:rPr>
        <w:t>10</w:t>
      </w:r>
      <w:r>
        <w:rPr>
          <w:rFonts w:hint="eastAsia"/>
        </w:rPr>
        <w:t>月</w:t>
      </w:r>
      <w:r>
        <w:rPr>
          <w:rFonts w:hint="default"/>
          <w:lang w:val="en-US"/>
        </w:rPr>
        <w:t>8</w:t>
      </w:r>
      <w:r>
        <w:rPr>
          <w:rFonts w:hint="eastAsia"/>
        </w:rPr>
        <w:t>日</w:t>
      </w:r>
    </w:p>
    <w:p/>
    <w:p>
      <w:pPr>
        <w:pStyle w:val="10"/>
        <w:adjustRightInd w:val="0"/>
        <w:snapToGrid w:val="0"/>
        <w:spacing w:before="0" w:line="440" w:lineRule="exact"/>
        <w:jc w:val="left"/>
        <w:rPr>
          <w:rFonts w:cstheme="minorBidi"/>
          <w:sz w:val="24"/>
          <w:szCs w:val="24"/>
        </w:rPr>
      </w:pPr>
      <w:bookmarkStart w:id="12" w:name="_Toc15377196"/>
      <w:bookmarkStart w:id="13" w:name="_Toc15396599"/>
      <w:r>
        <w:rPr>
          <w:rFonts w:hint="eastAsia"/>
          <w:sz w:val="24"/>
        </w:rPr>
        <w:t>第一部分</w:t>
      </w:r>
      <w:r>
        <w:rPr>
          <w:sz w:val="24"/>
        </w:rPr>
        <w:t xml:space="preserve"> </w:t>
      </w:r>
      <w:r>
        <w:rPr>
          <w:rFonts w:hint="eastAsia"/>
          <w:sz w:val="24"/>
        </w:rPr>
        <w:t>单位概况</w:t>
      </w:r>
      <w:r>
        <w:rPr>
          <w:rFonts w:hint="eastAsia"/>
          <w:sz w:val="24"/>
        </w:rPr>
        <w:tab/>
      </w:r>
      <w:r>
        <w:rPr>
          <w:rFonts w:hint="eastAsia"/>
          <w:sz w:val="24"/>
        </w:rPr>
        <w:t>4</w:t>
      </w:r>
    </w:p>
    <w:p>
      <w:pPr>
        <w:pStyle w:val="11"/>
        <w:adjustRightInd w:val="0"/>
        <w:snapToGrid w:val="0"/>
        <w:spacing w:line="440" w:lineRule="exact"/>
        <w:jc w:val="left"/>
        <w:rPr>
          <w:rFonts w:hint="eastAsia"/>
          <w:sz w:val="24"/>
        </w:rPr>
      </w:pPr>
      <w:r>
        <w:rPr>
          <w:rFonts w:hint="eastAsia"/>
          <w:sz w:val="24"/>
        </w:rPr>
        <w:t>一、职能简介</w:t>
      </w:r>
      <w:r>
        <w:rPr>
          <w:rFonts w:hint="eastAsia"/>
          <w:sz w:val="24"/>
        </w:rPr>
        <w:tab/>
      </w:r>
      <w:r>
        <w:rPr>
          <w:rFonts w:hint="eastAsia"/>
          <w:sz w:val="24"/>
        </w:rPr>
        <w:t>4</w:t>
      </w:r>
    </w:p>
    <w:p>
      <w:pPr>
        <w:pStyle w:val="11"/>
        <w:adjustRightInd w:val="0"/>
        <w:snapToGrid w:val="0"/>
        <w:spacing w:line="440" w:lineRule="exact"/>
        <w:jc w:val="left"/>
        <w:rPr>
          <w:rFonts w:hint="eastAsia"/>
          <w:sz w:val="24"/>
          <w:lang w:val="en-US" w:eastAsia="zh-CN"/>
        </w:rPr>
      </w:pPr>
      <w:r>
        <w:rPr>
          <w:rFonts w:hint="eastAsia"/>
          <w:sz w:val="24"/>
          <w:lang w:val="en-US" w:eastAsia="zh-CN"/>
        </w:rPr>
        <w:t>二、2021年重点工作完成情况</w:t>
      </w:r>
      <w:r>
        <w:rPr>
          <w:rFonts w:hint="eastAsia"/>
          <w:sz w:val="24"/>
          <w:lang w:val="en-US" w:eastAsia="zh-CN"/>
        </w:rPr>
        <w:tab/>
      </w:r>
      <w:r>
        <w:rPr>
          <w:rFonts w:hint="eastAsia"/>
          <w:sz w:val="24"/>
          <w:lang w:val="en-US" w:eastAsia="zh-CN"/>
        </w:rPr>
        <w:t>5</w:t>
      </w:r>
    </w:p>
    <w:p>
      <w:pPr>
        <w:pStyle w:val="11"/>
        <w:adjustRightInd w:val="0"/>
        <w:snapToGrid w:val="0"/>
        <w:spacing w:line="440" w:lineRule="exact"/>
        <w:jc w:val="left"/>
        <w:rPr>
          <w:rFonts w:hint="eastAsia" w:ascii="Times New Roman" w:hAnsi="Times New Roman" w:eastAsia="仿宋" w:cs="Times New Roman"/>
          <w:kern w:val="2"/>
          <w:sz w:val="24"/>
          <w:szCs w:val="24"/>
          <w:lang w:val="en-US" w:eastAsia="zh-CN" w:bidi="ar-SA"/>
        </w:rPr>
      </w:pPr>
      <w:r>
        <w:rPr>
          <w:rFonts w:hint="eastAsia"/>
          <w:sz w:val="24"/>
          <w:lang w:val="en-US" w:eastAsia="zh-CN"/>
        </w:rPr>
        <w:t>三、机构设置情况</w:t>
      </w:r>
      <w:r>
        <w:rPr>
          <w:rFonts w:hint="eastAsia"/>
          <w:sz w:val="24"/>
        </w:rPr>
        <w:tab/>
      </w:r>
      <w:r>
        <w:rPr>
          <w:rFonts w:hint="eastAsia"/>
          <w:sz w:val="24"/>
          <w:lang w:val="en-US" w:eastAsia="zh-CN"/>
        </w:rPr>
        <w:t>9</w:t>
      </w:r>
    </w:p>
    <w:p>
      <w:pPr>
        <w:pStyle w:val="10"/>
        <w:adjustRightInd w:val="0"/>
        <w:snapToGrid w:val="0"/>
        <w:spacing w:before="0" w:line="440" w:lineRule="exact"/>
        <w:jc w:val="left"/>
        <w:rPr>
          <w:sz w:val="24"/>
          <w:szCs w:val="24"/>
        </w:rPr>
      </w:pPr>
      <w:r>
        <w:rPr>
          <w:rFonts w:hint="eastAsia"/>
          <w:sz w:val="24"/>
        </w:rPr>
        <w:t>第二部分 2021年度单位决算情况说明</w:t>
      </w:r>
      <w:r>
        <w:rPr>
          <w:rFonts w:hint="eastAsia"/>
          <w:sz w:val="24"/>
        </w:rPr>
        <w:tab/>
      </w:r>
      <w:r>
        <w:rPr>
          <w:rFonts w:hint="eastAsia"/>
          <w:sz w:val="24"/>
        </w:rPr>
        <w:t>10</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hint="eastAsia"/>
          <w:sz w:val="24"/>
        </w:rPr>
        <w:tab/>
      </w:r>
      <w:r>
        <w:rPr>
          <w:rFonts w:hint="eastAsia"/>
          <w:sz w:val="24"/>
        </w:rPr>
        <w:t>10</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eastAsia"/>
          <w:sz w:val="24"/>
        </w:rPr>
        <w:tab/>
      </w:r>
      <w:r>
        <w:rPr>
          <w:rFonts w:hint="eastAsia"/>
          <w:sz w:val="24"/>
        </w:rPr>
        <w:t>10</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rPr>
          <w:rFonts w:hint="eastAsia"/>
          <w:sz w:val="24"/>
        </w:rPr>
        <w:tab/>
      </w:r>
      <w:r>
        <w:rPr>
          <w:rFonts w:hint="eastAsia"/>
          <w:sz w:val="24"/>
        </w:rPr>
        <w:t>11</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hint="eastAsia"/>
          <w:sz w:val="24"/>
        </w:rPr>
        <w:tab/>
      </w:r>
      <w:r>
        <w:rPr>
          <w:rFonts w:hint="eastAsia"/>
          <w:sz w:val="24"/>
        </w:rPr>
        <w:t>11</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hint="eastAsia"/>
          <w:sz w:val="24"/>
        </w:rPr>
        <w:tab/>
      </w:r>
      <w:r>
        <w:rPr>
          <w:rFonts w:hint="eastAsia"/>
          <w:sz w:val="24"/>
        </w:rPr>
        <w:t>12</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hint="eastAsia"/>
          <w:sz w:val="24"/>
        </w:rPr>
        <w:tab/>
      </w:r>
      <w:r>
        <w:rPr>
          <w:rFonts w:hint="eastAsia"/>
          <w:sz w:val="24"/>
        </w:rPr>
        <w:t>15</w:t>
      </w:r>
    </w:p>
    <w:p>
      <w:pPr>
        <w:pStyle w:val="11"/>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r>
        <w:rPr>
          <w:rFonts w:hint="eastAsia"/>
          <w:sz w:val="24"/>
        </w:rPr>
        <w:tab/>
      </w:r>
      <w:r>
        <w:rPr>
          <w:rFonts w:hint="eastAsia"/>
          <w:sz w:val="24"/>
        </w:rPr>
        <w:t>15</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hint="eastAsia"/>
          <w:sz w:val="24"/>
        </w:rPr>
        <w:tab/>
      </w:r>
      <w:r>
        <w:rPr>
          <w:rFonts w:hint="eastAsia"/>
          <w:sz w:val="24"/>
        </w:rPr>
        <w:t>17</w:t>
      </w:r>
    </w:p>
    <w:p>
      <w:pPr>
        <w:pStyle w:val="11"/>
        <w:adjustRightInd w:val="0"/>
        <w:snapToGrid w:val="0"/>
        <w:spacing w:line="440" w:lineRule="exact"/>
        <w:jc w:val="left"/>
        <w:rPr>
          <w:sz w:val="24"/>
        </w:rPr>
      </w:pPr>
      <w:r>
        <w:rPr>
          <w:rFonts w:hint="eastAsia"/>
          <w:sz w:val="24"/>
        </w:rPr>
        <w:t>九、国有资本经营预算支出决算情况说明</w:t>
      </w:r>
      <w:r>
        <w:rPr>
          <w:rFonts w:hint="eastAsia"/>
          <w:sz w:val="24"/>
        </w:rPr>
        <w:tab/>
      </w:r>
      <w:r>
        <w:rPr>
          <w:rFonts w:hint="eastAsia"/>
          <w:sz w:val="24"/>
        </w:rPr>
        <w:t>17</w:t>
      </w:r>
    </w:p>
    <w:p>
      <w:pPr>
        <w:pStyle w:val="11"/>
        <w:adjustRightInd w:val="0"/>
        <w:snapToGrid w:val="0"/>
        <w:spacing w:line="440" w:lineRule="exact"/>
        <w:jc w:val="left"/>
        <w:rPr>
          <w:sz w:val="24"/>
        </w:rPr>
      </w:pPr>
      <w:r>
        <w:rPr>
          <w:rFonts w:hint="eastAsia"/>
          <w:sz w:val="24"/>
        </w:rPr>
        <w:t>十、其他重要事项的情况说明</w:t>
      </w:r>
      <w:r>
        <w:rPr>
          <w:rFonts w:hint="eastAsia"/>
          <w:sz w:val="24"/>
        </w:rPr>
        <w:tab/>
      </w:r>
      <w:r>
        <w:rPr>
          <w:rFonts w:hint="eastAsia"/>
          <w:sz w:val="24"/>
        </w:rPr>
        <w:t>17</w:t>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sz w:val="24"/>
        </w:rPr>
        <w:tab/>
      </w:r>
      <w:r>
        <w:rPr>
          <w:rFonts w:hint="eastAsia"/>
          <w:sz w:val="24"/>
        </w:rPr>
        <w:t>19</w:t>
      </w:r>
    </w:p>
    <w:p>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rPr>
        <w:tab/>
      </w:r>
      <w:r>
        <w:rPr>
          <w:rFonts w:hint="eastAsia"/>
          <w:sz w:val="24"/>
        </w:rPr>
        <w:t>2</w:t>
      </w:r>
      <w:r>
        <w:rPr>
          <w:rFonts w:hint="eastAsia"/>
          <w:sz w:val="24"/>
          <w:lang w:val="en-US" w:eastAsia="zh-CN"/>
        </w:rPr>
        <w:t>2</w:t>
      </w:r>
    </w:p>
    <w:p>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rPr>
        <w:tab/>
      </w:r>
      <w:r>
        <w:rPr>
          <w:rFonts w:hint="eastAsia"/>
          <w:sz w:val="24"/>
        </w:rPr>
        <w:t>2</w:t>
      </w:r>
      <w:r>
        <w:rPr>
          <w:rFonts w:hint="eastAsia"/>
          <w:sz w:val="24"/>
          <w:lang w:val="en-US" w:eastAsia="zh-CN"/>
        </w:rPr>
        <w:t>3</w:t>
      </w:r>
    </w:p>
    <w:p>
      <w:pPr>
        <w:pStyle w:val="11"/>
        <w:adjustRightInd w:val="0"/>
        <w:snapToGrid w:val="0"/>
        <w:spacing w:line="440" w:lineRule="exact"/>
        <w:jc w:val="left"/>
        <w:rPr>
          <w:rFonts w:hint="eastAsia" w:eastAsia="宋体"/>
          <w:sz w:val="24"/>
          <w:lang w:val="en-US" w:eastAsia="zh-CN"/>
        </w:rPr>
      </w:pPr>
      <w:r>
        <w:rPr>
          <w:rFonts w:hint="eastAsia"/>
          <w:sz w:val="24"/>
        </w:rPr>
        <w:t>一、收入支出决算总表</w:t>
      </w:r>
      <w:r>
        <w:rPr>
          <w:rFonts w:hint="eastAsia"/>
          <w:sz w:val="24"/>
        </w:rPr>
        <w:tab/>
      </w:r>
      <w:r>
        <w:rPr>
          <w:rFonts w:hint="eastAsia"/>
          <w:sz w:val="24"/>
        </w:rPr>
        <w:t>2</w:t>
      </w:r>
      <w:r>
        <w:rPr>
          <w:rFonts w:hint="eastAsia"/>
          <w:sz w:val="24"/>
          <w:lang w:val="en-US" w:eastAsia="zh-CN"/>
        </w:rPr>
        <w:t>3</w:t>
      </w:r>
    </w:p>
    <w:p>
      <w:pPr>
        <w:pStyle w:val="11"/>
        <w:adjustRightInd w:val="0"/>
        <w:snapToGrid w:val="0"/>
        <w:spacing w:line="440" w:lineRule="exact"/>
        <w:jc w:val="left"/>
        <w:rPr>
          <w:rFonts w:hint="eastAsia" w:eastAsia="宋体"/>
          <w:sz w:val="24"/>
          <w:lang w:val="en-US" w:eastAsia="zh-CN"/>
        </w:rPr>
      </w:pPr>
      <w:r>
        <w:rPr>
          <w:rFonts w:hint="eastAsia"/>
          <w:sz w:val="24"/>
        </w:rPr>
        <w:t>二、收入决算表</w:t>
      </w:r>
      <w:r>
        <w:rPr>
          <w:rFonts w:hint="eastAsia"/>
          <w:sz w:val="24"/>
        </w:rPr>
        <w:tab/>
      </w:r>
      <w:r>
        <w:rPr>
          <w:rFonts w:hint="eastAsia"/>
          <w:sz w:val="24"/>
        </w:rPr>
        <w:t>2</w:t>
      </w:r>
      <w:r>
        <w:rPr>
          <w:rFonts w:hint="eastAsia"/>
          <w:sz w:val="24"/>
          <w:lang w:val="en-US" w:eastAsia="zh-CN"/>
        </w:rPr>
        <w:t>3</w:t>
      </w:r>
    </w:p>
    <w:p>
      <w:pPr>
        <w:pStyle w:val="11"/>
        <w:adjustRightInd w:val="0"/>
        <w:snapToGrid w:val="0"/>
        <w:spacing w:line="440" w:lineRule="exact"/>
        <w:jc w:val="left"/>
        <w:rPr>
          <w:rFonts w:hint="eastAsia" w:eastAsia="宋体"/>
          <w:sz w:val="24"/>
          <w:lang w:val="en-US" w:eastAsia="zh-CN"/>
        </w:rPr>
      </w:pPr>
      <w:r>
        <w:rPr>
          <w:rFonts w:hint="eastAsia"/>
          <w:sz w:val="24"/>
        </w:rPr>
        <w:t>三、支出决算表</w:t>
      </w:r>
      <w:r>
        <w:rPr>
          <w:rFonts w:hint="eastAsia"/>
          <w:sz w:val="24"/>
        </w:rPr>
        <w:tab/>
      </w:r>
      <w:r>
        <w:rPr>
          <w:rFonts w:hint="eastAsia"/>
          <w:sz w:val="24"/>
        </w:rPr>
        <w:t>2</w:t>
      </w:r>
      <w:r>
        <w:rPr>
          <w:rFonts w:hint="eastAsia"/>
          <w:sz w:val="24"/>
          <w:lang w:val="en-US" w:eastAsia="zh-CN"/>
        </w:rPr>
        <w:t>3</w:t>
      </w:r>
    </w:p>
    <w:p>
      <w:pPr>
        <w:pStyle w:val="11"/>
        <w:adjustRightInd w:val="0"/>
        <w:snapToGrid w:val="0"/>
        <w:spacing w:line="440" w:lineRule="exact"/>
        <w:jc w:val="left"/>
        <w:rPr>
          <w:rFonts w:hint="eastAsia" w:eastAsia="宋体"/>
          <w:sz w:val="24"/>
          <w:lang w:val="en-US" w:eastAsia="zh-CN"/>
        </w:rPr>
      </w:pPr>
      <w:r>
        <w:rPr>
          <w:rFonts w:hint="eastAsia"/>
          <w:sz w:val="24"/>
        </w:rPr>
        <w:t>四、财政拨款收入支出决算总表</w:t>
      </w:r>
      <w:r>
        <w:rPr>
          <w:rFonts w:hint="eastAsia"/>
          <w:sz w:val="24"/>
        </w:rPr>
        <w:tab/>
      </w:r>
      <w:r>
        <w:rPr>
          <w:rFonts w:hint="eastAsia"/>
          <w:sz w:val="24"/>
        </w:rPr>
        <w:t>2</w:t>
      </w:r>
      <w:r>
        <w:rPr>
          <w:rFonts w:hint="eastAsia"/>
          <w:sz w:val="24"/>
          <w:lang w:val="en-US" w:eastAsia="zh-CN"/>
        </w:rPr>
        <w:t>3</w:t>
      </w:r>
    </w:p>
    <w:p>
      <w:pPr>
        <w:pStyle w:val="11"/>
        <w:adjustRightInd w:val="0"/>
        <w:snapToGrid w:val="0"/>
        <w:spacing w:line="440" w:lineRule="exact"/>
        <w:jc w:val="left"/>
        <w:rPr>
          <w:rFonts w:hint="eastAsia" w:eastAsia="宋体"/>
          <w:sz w:val="24"/>
          <w:lang w:val="en-US" w:eastAsia="zh-CN"/>
        </w:rPr>
      </w:pPr>
      <w:r>
        <w:rPr>
          <w:rFonts w:hint="eastAsia"/>
          <w:sz w:val="24"/>
        </w:rPr>
        <w:t>五、财政拨款支出决算明细表</w:t>
      </w:r>
      <w:r>
        <w:rPr>
          <w:rFonts w:hint="eastAsia"/>
          <w:sz w:val="24"/>
        </w:rPr>
        <w:tab/>
      </w:r>
      <w:r>
        <w:rPr>
          <w:rFonts w:hint="eastAsia"/>
          <w:sz w:val="24"/>
        </w:rPr>
        <w:t>2</w:t>
      </w:r>
      <w:r>
        <w:rPr>
          <w:rFonts w:hint="eastAsia"/>
          <w:sz w:val="24"/>
          <w:lang w:val="en-US" w:eastAsia="zh-CN"/>
        </w:rPr>
        <w:t>3</w:t>
      </w:r>
    </w:p>
    <w:p>
      <w:pPr>
        <w:pStyle w:val="11"/>
        <w:adjustRightInd w:val="0"/>
        <w:snapToGrid w:val="0"/>
        <w:spacing w:line="440" w:lineRule="exact"/>
        <w:jc w:val="left"/>
        <w:rPr>
          <w:rFonts w:hint="eastAsia" w:eastAsia="宋体"/>
          <w:sz w:val="24"/>
          <w:lang w:val="en-US" w:eastAsia="zh-CN"/>
        </w:rPr>
      </w:pPr>
      <w:r>
        <w:rPr>
          <w:rFonts w:hint="eastAsia"/>
          <w:sz w:val="24"/>
        </w:rPr>
        <w:t>六、一般公共预算财政拨款支出决算表</w:t>
      </w:r>
      <w:r>
        <w:rPr>
          <w:rFonts w:hint="eastAsia"/>
          <w:sz w:val="24"/>
        </w:rPr>
        <w:tab/>
      </w:r>
      <w:r>
        <w:rPr>
          <w:rFonts w:hint="eastAsia"/>
          <w:sz w:val="24"/>
        </w:rPr>
        <w:t>2</w:t>
      </w:r>
      <w:r>
        <w:rPr>
          <w:rFonts w:hint="eastAsia"/>
          <w:sz w:val="24"/>
          <w:lang w:val="en-US" w:eastAsia="zh-CN"/>
        </w:rPr>
        <w:t>3</w:t>
      </w:r>
    </w:p>
    <w:p>
      <w:pPr>
        <w:pStyle w:val="11"/>
        <w:adjustRightInd w:val="0"/>
        <w:snapToGrid w:val="0"/>
        <w:spacing w:line="440" w:lineRule="exact"/>
        <w:jc w:val="left"/>
        <w:rPr>
          <w:rFonts w:hint="eastAsia" w:eastAsia="宋体"/>
          <w:sz w:val="24"/>
          <w:lang w:val="en-US" w:eastAsia="zh-CN"/>
        </w:rPr>
      </w:pPr>
      <w:r>
        <w:rPr>
          <w:rFonts w:hint="eastAsia"/>
          <w:sz w:val="24"/>
        </w:rPr>
        <w:t>七、一般公共预算财政拨款支出决算明细表</w:t>
      </w:r>
      <w:r>
        <w:rPr>
          <w:rFonts w:hint="eastAsia"/>
          <w:sz w:val="24"/>
        </w:rPr>
        <w:tab/>
      </w:r>
      <w:r>
        <w:rPr>
          <w:rFonts w:hint="eastAsia"/>
          <w:sz w:val="24"/>
        </w:rPr>
        <w:t>2</w:t>
      </w:r>
      <w:r>
        <w:rPr>
          <w:rFonts w:hint="eastAsia"/>
          <w:sz w:val="24"/>
          <w:lang w:val="en-US" w:eastAsia="zh-CN"/>
        </w:rPr>
        <w:t>3</w:t>
      </w:r>
    </w:p>
    <w:p>
      <w:pPr>
        <w:pStyle w:val="11"/>
        <w:adjustRightInd w:val="0"/>
        <w:snapToGrid w:val="0"/>
        <w:spacing w:line="440" w:lineRule="exact"/>
        <w:jc w:val="left"/>
        <w:rPr>
          <w:rFonts w:hint="eastAsia" w:eastAsia="宋体"/>
          <w:sz w:val="24"/>
          <w:lang w:val="en-US" w:eastAsia="zh-CN"/>
        </w:rPr>
      </w:pPr>
      <w:r>
        <w:rPr>
          <w:rFonts w:hint="eastAsia"/>
          <w:sz w:val="24"/>
        </w:rPr>
        <w:t>八、一般公共预算财政拨款基本支出决算表</w:t>
      </w:r>
      <w:r>
        <w:rPr>
          <w:rFonts w:hint="eastAsia"/>
          <w:sz w:val="24"/>
        </w:rPr>
        <w:tab/>
      </w:r>
      <w:r>
        <w:rPr>
          <w:rFonts w:hint="eastAsia"/>
          <w:sz w:val="24"/>
        </w:rPr>
        <w:t>2</w:t>
      </w:r>
      <w:r>
        <w:rPr>
          <w:rFonts w:hint="eastAsia"/>
          <w:sz w:val="24"/>
          <w:lang w:val="en-US" w:eastAsia="zh-CN"/>
        </w:rPr>
        <w:t>3</w:t>
      </w:r>
    </w:p>
    <w:p>
      <w:pPr>
        <w:pStyle w:val="11"/>
        <w:adjustRightInd w:val="0"/>
        <w:snapToGrid w:val="0"/>
        <w:spacing w:line="440" w:lineRule="exact"/>
        <w:jc w:val="left"/>
        <w:rPr>
          <w:rFonts w:hint="eastAsia" w:eastAsia="宋体"/>
          <w:sz w:val="24"/>
          <w:lang w:val="en-US" w:eastAsia="zh-CN"/>
        </w:rPr>
      </w:pPr>
      <w:r>
        <w:rPr>
          <w:rFonts w:hint="eastAsia"/>
          <w:sz w:val="24"/>
        </w:rPr>
        <w:t>九、一般公共预算财政拨款项目支出决算表</w:t>
      </w:r>
      <w:r>
        <w:rPr>
          <w:rFonts w:hint="eastAsia"/>
          <w:sz w:val="24"/>
        </w:rPr>
        <w:tab/>
      </w:r>
      <w:r>
        <w:rPr>
          <w:rFonts w:hint="eastAsia"/>
          <w:sz w:val="24"/>
        </w:rPr>
        <w:t>2</w:t>
      </w:r>
      <w:r>
        <w:rPr>
          <w:rFonts w:hint="eastAsia"/>
          <w:sz w:val="24"/>
          <w:lang w:val="en-US" w:eastAsia="zh-CN"/>
        </w:rPr>
        <w:t>3</w:t>
      </w:r>
    </w:p>
    <w:p>
      <w:pPr>
        <w:pStyle w:val="11"/>
        <w:adjustRightInd w:val="0"/>
        <w:snapToGrid w:val="0"/>
        <w:spacing w:line="440" w:lineRule="exact"/>
        <w:jc w:val="left"/>
        <w:rPr>
          <w:rFonts w:hint="eastAsia" w:eastAsia="宋体"/>
          <w:sz w:val="24"/>
          <w:lang w:val="en-US" w:eastAsia="zh-CN"/>
        </w:rPr>
      </w:pPr>
      <w:r>
        <w:rPr>
          <w:rFonts w:hint="eastAsia"/>
          <w:sz w:val="24"/>
        </w:rPr>
        <w:t>十、一般公共预算财政拨款“三公”经费支出决算表</w:t>
      </w:r>
      <w:r>
        <w:rPr>
          <w:rFonts w:hint="eastAsia"/>
          <w:sz w:val="24"/>
        </w:rPr>
        <w:tab/>
      </w:r>
      <w:r>
        <w:rPr>
          <w:rFonts w:hint="eastAsia"/>
          <w:sz w:val="24"/>
        </w:rPr>
        <w:t>2</w:t>
      </w:r>
      <w:r>
        <w:rPr>
          <w:rFonts w:hint="eastAsia"/>
          <w:sz w:val="24"/>
          <w:lang w:val="en-US" w:eastAsia="zh-CN"/>
        </w:rPr>
        <w:t>3</w:t>
      </w:r>
    </w:p>
    <w:p>
      <w:pPr>
        <w:pStyle w:val="11"/>
        <w:adjustRightInd w:val="0"/>
        <w:snapToGrid w:val="0"/>
        <w:spacing w:line="440" w:lineRule="exact"/>
        <w:jc w:val="left"/>
        <w:rPr>
          <w:rFonts w:hint="eastAsia" w:eastAsia="宋体"/>
          <w:sz w:val="24"/>
          <w:lang w:val="en-US" w:eastAsia="zh-CN"/>
        </w:rPr>
      </w:pPr>
      <w:r>
        <w:rPr>
          <w:rFonts w:hint="eastAsia"/>
          <w:sz w:val="24"/>
        </w:rPr>
        <w:t>十一、政府性基金预算财政拨款收入支出决算表</w:t>
      </w:r>
      <w:r>
        <w:rPr>
          <w:rFonts w:hint="eastAsia"/>
          <w:sz w:val="24"/>
        </w:rPr>
        <w:tab/>
      </w:r>
      <w:r>
        <w:rPr>
          <w:rFonts w:hint="eastAsia"/>
          <w:sz w:val="24"/>
        </w:rPr>
        <w:t>2</w:t>
      </w:r>
      <w:r>
        <w:rPr>
          <w:rFonts w:hint="eastAsia"/>
          <w:sz w:val="24"/>
          <w:lang w:val="en-US" w:eastAsia="zh-CN"/>
        </w:rPr>
        <w:t>3</w:t>
      </w:r>
    </w:p>
    <w:p>
      <w:pPr>
        <w:pStyle w:val="11"/>
        <w:adjustRightInd w:val="0"/>
        <w:snapToGrid w:val="0"/>
        <w:spacing w:line="440" w:lineRule="exact"/>
        <w:jc w:val="left"/>
        <w:rPr>
          <w:rFonts w:hint="eastAsia" w:eastAsia="宋体"/>
          <w:sz w:val="24"/>
          <w:lang w:val="en-US" w:eastAsia="zh-CN"/>
        </w:rPr>
      </w:pPr>
      <w:r>
        <w:rPr>
          <w:rFonts w:hint="eastAsia"/>
          <w:sz w:val="24"/>
        </w:rPr>
        <w:t>十二、政府性基金预算财政拨款“三公”经费支出决算表</w:t>
      </w:r>
      <w:r>
        <w:rPr>
          <w:rFonts w:hint="eastAsia"/>
          <w:sz w:val="24"/>
        </w:rPr>
        <w:tab/>
      </w:r>
      <w:r>
        <w:rPr>
          <w:rFonts w:hint="eastAsia"/>
          <w:sz w:val="24"/>
        </w:rPr>
        <w:t>2</w:t>
      </w:r>
      <w:r>
        <w:rPr>
          <w:rFonts w:hint="eastAsia"/>
          <w:sz w:val="24"/>
          <w:lang w:val="en-US" w:eastAsia="zh-CN"/>
        </w:rPr>
        <w:t>3</w:t>
      </w:r>
    </w:p>
    <w:p>
      <w:pPr>
        <w:pStyle w:val="11"/>
        <w:adjustRightInd w:val="0"/>
        <w:snapToGrid w:val="0"/>
        <w:spacing w:line="440" w:lineRule="exact"/>
        <w:jc w:val="left"/>
        <w:rPr>
          <w:rFonts w:hint="eastAsia" w:eastAsia="宋体"/>
          <w:sz w:val="24"/>
          <w:lang w:val="en-US" w:eastAsia="zh-CN"/>
        </w:rPr>
      </w:pPr>
      <w:r>
        <w:rPr>
          <w:rFonts w:hint="eastAsia"/>
          <w:sz w:val="24"/>
        </w:rPr>
        <w:t>十三、国有资本经营预算财政拨款收入支出决算表</w:t>
      </w:r>
      <w:r>
        <w:rPr>
          <w:rFonts w:hint="eastAsia"/>
          <w:sz w:val="24"/>
        </w:rPr>
        <w:tab/>
      </w:r>
      <w:r>
        <w:rPr>
          <w:rFonts w:hint="eastAsia"/>
          <w:sz w:val="24"/>
        </w:rPr>
        <w:t>2</w:t>
      </w:r>
      <w:r>
        <w:rPr>
          <w:rFonts w:hint="eastAsia"/>
          <w:sz w:val="24"/>
          <w:lang w:val="en-US" w:eastAsia="zh-CN"/>
        </w:rPr>
        <w:t>3</w:t>
      </w:r>
    </w:p>
    <w:p>
      <w:pPr>
        <w:pStyle w:val="11"/>
        <w:adjustRightInd w:val="0"/>
        <w:snapToGrid w:val="0"/>
        <w:spacing w:line="440" w:lineRule="exact"/>
        <w:jc w:val="left"/>
        <w:rPr>
          <w:rFonts w:hint="eastAsia" w:eastAsia="宋体"/>
          <w:sz w:val="24"/>
          <w:lang w:val="en-US" w:eastAsia="zh-CN"/>
        </w:rPr>
      </w:pPr>
      <w:r>
        <w:rPr>
          <w:rFonts w:hint="eastAsia"/>
          <w:sz w:val="24"/>
        </w:rPr>
        <w:t>十四、国有资本经营预算财政拨款支出决算表</w:t>
      </w:r>
      <w:r>
        <w:rPr>
          <w:rFonts w:hint="eastAsia"/>
          <w:sz w:val="24"/>
        </w:rPr>
        <w:tab/>
      </w:r>
      <w:r>
        <w:rPr>
          <w:rFonts w:hint="eastAsia"/>
          <w:sz w:val="24"/>
        </w:rPr>
        <w:t>2</w:t>
      </w:r>
      <w:r>
        <w:rPr>
          <w:rFonts w:hint="eastAsia"/>
          <w:sz w:val="24"/>
          <w:lang w:val="en-US" w:eastAsia="zh-CN"/>
        </w:rPr>
        <w:t>3</w:t>
      </w: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pStyle w:val="4"/>
        <w:numPr>
          <w:ilvl w:val="0"/>
          <w:numId w:val="0"/>
        </w:numPr>
        <w:ind w:left="630" w:leftChars="0"/>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lang w:val="en-US" w:eastAsia="zh-CN"/>
        </w:rPr>
        <w:t>一、</w:t>
      </w:r>
      <w:r>
        <w:rPr>
          <w:rStyle w:val="25"/>
          <w:rFonts w:hint="eastAsia" w:ascii="黑体" w:hAnsi="黑体" w:eastAsia="黑体"/>
          <w:b w:val="0"/>
          <w:bCs w:val="0"/>
        </w:rPr>
        <w:t>职能简介</w:t>
      </w:r>
    </w:p>
    <w:p>
      <w:pPr>
        <w:pStyle w:val="23"/>
        <w:snapToGrid w:val="0"/>
        <w:spacing w:line="576" w:lineRule="exact"/>
        <w:ind w:left="660" w:firstLine="0" w:firstLineChars="0"/>
        <w:rPr>
          <w:rFonts w:hint="eastAsia" w:ascii="仿宋" w:hAnsi="仿宋" w:eastAsia="仿宋"/>
          <w:sz w:val="32"/>
          <w:szCs w:val="32"/>
        </w:rPr>
      </w:pPr>
      <w:bookmarkStart w:id="16" w:name="_Toc15377198"/>
      <w:bookmarkStart w:id="17" w:name="_Toc15378445"/>
      <w:r>
        <w:rPr>
          <w:rFonts w:hint="eastAsia" w:ascii="仿宋" w:hAnsi="仿宋" w:eastAsia="仿宋"/>
          <w:sz w:val="32"/>
          <w:szCs w:val="32"/>
        </w:rPr>
        <w:t>攀枝花市第十初级中学校是一所纯初中，实行校长负责</w:t>
      </w:r>
    </w:p>
    <w:p>
      <w:pPr>
        <w:pStyle w:val="23"/>
        <w:snapToGrid w:val="0"/>
        <w:spacing w:line="576" w:lineRule="exact"/>
        <w:ind w:left="0" w:leftChars="0" w:firstLine="0" w:firstLineChars="0"/>
        <w:rPr>
          <w:rFonts w:ascii="仿宋" w:hAnsi="仿宋" w:eastAsia="仿宋"/>
          <w:sz w:val="32"/>
          <w:szCs w:val="32"/>
        </w:rPr>
      </w:pPr>
      <w:r>
        <w:rPr>
          <w:rFonts w:hint="eastAsia" w:ascii="仿宋" w:hAnsi="仿宋" w:eastAsia="仿宋"/>
          <w:sz w:val="32"/>
          <w:szCs w:val="32"/>
        </w:rPr>
        <w:t>制。</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（1）全面贯彻党和国家教育方针，认真学习有关法律法规和政策，坚持社会主义办学方向。</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（2）制定学校一定时期内的发展目标和学年计划,组织实施、检查、总结。</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（3）建立学校组织机构,选任各层次的干部,聘任、调配、考核学校的教职员工，提高其政治、业务素质和工作能力，调动其积极性。</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（4）领导学校教育教学工作,坚持教书育人、管理育人、服务育人方针，严格执行国家《义务教育法》，帮助师生提高教育教学质量。</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（5）掌管学校经济和设备设施,坚持勤俭办学、勤工俭学，努力改善学校的工作、生活条件。</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（6）完善学校管理体制,建立以校长责任制、岗位责任制为主的规章制度，治理校园环境，培养良好校风，抓好校务公开工作。</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（7）评价学校工作,总结办学经验,改善学校管理,提高办学效益。</w:t>
      </w:r>
      <w:bookmarkEnd w:id="16"/>
      <w:bookmarkEnd w:id="17"/>
    </w:p>
    <w:p/>
    <w:p>
      <w:pPr>
        <w:pStyle w:val="4"/>
        <w:rPr>
          <w:rFonts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1、党建引领进一步加强</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（1）做好党建基础工作，提升支部党建工作规范化建设能力。通过“三会一课”、主题党日、党员“一句话承诺”等活动认真学习习近平新时代中国特色社会主义思想，巩固 “不忘初心 牢记使命”教育成果。召开支委会、党员大会、讲党课等共计32次，专题组织生活会检视问题并整改落实问题各57条。开展我为群众办实事活动12次，参加志愿者服务活动达70余人次，累计服务20余小时。</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2）狠抓党风廉政建设，推进党的作风建设。制定“党风廉政建设和反腐败工作计划”，签订《党风廉政建设责任书》29份，签订“师德师风承诺书”和“不参加有偿家教承诺书”共计220份，杜绝了接受家长礼品宴请、有偿补课、强制学生购买教辅资料等问题。</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（3）抓党建、促进学校教育教学工作良性发展。积极倡导党员在教学成绩提升中勇创佳绩，党员上示范课23节，指导年轻教师上汇报课、教研课等18节，促进了学校教师专业成长和教学质量的提升。</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4）创新党建思路，党建带团建促进青年思想政治教育。立足实际抓住青年教育培养，促进党建工作。目前已经有6人向党组织递交了入党申请书（其中1人发展为预备党员、1人为入党积极分子、4人继续培养），利用团总支抓住教师、学生团员，通过讲座、讲演、班团活动等形式开展党史学习教育，提升了十中青年教师、学生的思想素质和精神风貌。</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2、攻坚克难，学生公寓入住</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通过前期的规划、选址、筹备，该项目于2020年4月正式开工，经过一年多的建设，投入1450万元的学生公寓楼正式启用，公寓楼内部功能完善、标准规范、配套设施齐全，可提供544位学生同时入住，结束了学生借宿市十二中管理难得问题。</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3、特色发展</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育人措施进一步强化。不断提高班主任工作能力。开展班主任师徒结对、3+3主题团队竞赛活动，召开青年班主任经验交流学习会，召开班主任岗前培训会。通过系列活动，提高班主任的管理能力和主题班会教学水平。不断丰富育人活动。开展体验式防溺水应急疏散演练、开展叠被子技能大赛、开展职业体验劳动教育活动、开展心理健康教育活动、开展新生入学规范教育活动、寒暑假分层次布置德育作业、开展有特色的心理健康教育活动。细化各项规章制度。全面落实“五项管理“双减”规定，细化了住校生管理制度，使住校生管理制度更具有操作性。2021年我校学生荣获市、区级优秀少先队员、三好学生、优秀学生干部19人次，荣获市、区级红领巾奖章3人次，4人次在省、市级森林草原防灭火主题征文活动、市第十五届中小学艺术展演美术、书法组获奖。</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办学质量进一步提升。每学期为新入职的青年教师实施“双师制”式的“师徒结对”培训制度，通过与市十二中联合教研、听评课、赛课等多种方式培养，涌现出安静、刘小甜、安洋、彭国会等一批年轻的优秀教师。今年中考，市十中升国重任务、目标均超额完成。半期全区监测，九年级较上期末总分区排位上升一位居第三，在三大校里排第二。总分和各科的比均率均有上升。八年级地理、生物的区内比均率较上期末均有上升。七年级期末监测总排位全区第二。</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截至2021年12月，我校教师共124人次在省、市、区赛课、教学设计、3+3团队赛、教学展评、论文、成果展、微课评比等活动中斩获佳绩。学校集体获奖25次。</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4、办学质量进一步提升</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（1）每学期为新入职的青年教师实施“双师制”式的“师徒结对”培训制度，通过与市十二中联合教研、听评课、赛课等多种方式培养，涌现出安静、刘小甜、安洋、彭国会等一批年轻的优秀教师。</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（2）今年中考，市十中升国重任务、目标均超额完成。</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（3）半期全区监测，九年级较上期末总分区排位上升一位居第三，在三大校里排第二。总分和各科的比均率均有上升。八年级地理、生物的区内比均率较上期末均有上升。</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（4）截至2021年11月，我校教师共82人次在省、市、区赛课、教学设计、3+3团队赛、教学展评、论文、成果展、微课评比等活动中斩获佳绩。</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（5）学校集体获奖20次。</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5、安全先行，护师生健康</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我校严格按照《校园安全管理规定》、“护校安园值班值守要求”履行好岗位职责，保障全校师生生命安全。实行校园全封闭式管理，禁止一切外来人员入内。护学岗配备到位，对我校师生进行安全保护和通道疏通。</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2月以来，针对校园存在的安全隐患问题，我校逐一进行排查，多方协调解决，全力保障师生安全。学校自筹资金解决了纪委与我校接壤围墙的拆除重建；完成了实验楼楼顶的防水处理；校园内安装70多个摄像头、一键式报警装置与公安系统联网；安装了校门口防冲撞装置；切实将师幼安全放在首位。</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6、文明城市创建，我先行</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服务创建全国卫生城市做了大量工作:规范校内停车场建设;定期清理死角卫生(百家大院广场至希悦酒店 中间绿化带);治理校门口脏乱差;亮化美化校园环境。完善基础设施,清除运动场草坪,拆除乱搭乱建;争取政府投资增设校园内垃圾分类装置一套。</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7、建章立制，抓长效管理</w:t>
      </w:r>
    </w:p>
    <w:p>
      <w:pPr>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规章制度是规范办学的根本依据，是衡量学校工作质量的标准。为此，今年我校修订了疫情防控四案十制、内控管理制度、安全管理、食品安全管理、后勤管理等日常管理监督考评制度，做到事事有章可循，人人明确职责，真正做到一岗一责。同时，为实现制度落地见效，我校采用专人定期督查督办，校级领导不定期抽查的方式，发现问题，及时解决，形成常态化管理机制，将工作抓实抓细。</w:t>
      </w:r>
    </w:p>
    <w:p>
      <w:pPr>
        <w:pStyle w:val="2"/>
        <w:rPr>
          <w:rFonts w:hint="eastAsia"/>
        </w:rPr>
      </w:pPr>
    </w:p>
    <w:p>
      <w:pPr>
        <w:pStyle w:val="23"/>
        <w:numPr>
          <w:ilvl w:val="0"/>
          <w:numId w:val="0"/>
        </w:numPr>
        <w:spacing w:line="600" w:lineRule="exact"/>
        <w:ind w:leftChars="0"/>
        <w:outlineLvl w:val="1"/>
        <w:rPr>
          <w:rFonts w:hint="eastAsia" w:ascii="黑体" w:hAnsi="黑体" w:eastAsia="黑体"/>
          <w:sz w:val="32"/>
          <w:szCs w:val="32"/>
          <w:lang w:eastAsia="zh-CN"/>
        </w:rPr>
      </w:pPr>
      <w:r>
        <w:rPr>
          <w:rFonts w:hint="eastAsia" w:ascii="黑体" w:hAnsi="黑体" w:eastAsia="黑体"/>
          <w:sz w:val="32"/>
          <w:szCs w:val="32"/>
          <w:lang w:eastAsia="zh-CN"/>
        </w:rPr>
        <w:t>三、机构设置情况</w:t>
      </w:r>
    </w:p>
    <w:p>
      <w:pPr>
        <w:pStyle w:val="23"/>
        <w:numPr>
          <w:ilvl w:val="0"/>
          <w:numId w:val="0"/>
        </w:numPr>
        <w:spacing w:line="600" w:lineRule="exact"/>
        <w:ind w:leftChars="0"/>
        <w:outlineLvl w:val="1"/>
        <w:rPr>
          <w:rFonts w:hint="eastAsia" w:ascii="黑体" w:hAnsi="黑体" w:eastAsia="黑体"/>
          <w:sz w:val="32"/>
          <w:szCs w:val="32"/>
          <w:lang w:eastAsia="zh-CN"/>
        </w:rPr>
      </w:pPr>
    </w:p>
    <w:p>
      <w:pPr>
        <w:snapToGrid w:val="0"/>
        <w:spacing w:line="576" w:lineRule="exact"/>
        <w:ind w:firstLine="640" w:firstLineChars="200"/>
        <w:rPr>
          <w:rFonts w:hint="eastAsia" w:ascii="仿宋" w:hAnsi="仿宋" w:eastAsia="仿宋"/>
          <w:sz w:val="32"/>
          <w:szCs w:val="32"/>
        </w:rPr>
      </w:pPr>
      <w:r>
        <w:rPr>
          <w:rFonts w:hint="eastAsia" w:ascii="仿宋" w:hAnsi="仿宋" w:eastAsia="仿宋"/>
          <w:sz w:val="32"/>
          <w:szCs w:val="32"/>
        </w:rPr>
        <w:t>攀枝花市第十初级中学校下属二级单位0个，其中行政单位0个，参照公务员法管理的事业单位0个，其他事业单位0个。</w:t>
      </w:r>
    </w:p>
    <w:p>
      <w:pPr>
        <w:pStyle w:val="23"/>
        <w:numPr>
          <w:ilvl w:val="0"/>
          <w:numId w:val="0"/>
        </w:numPr>
        <w:spacing w:line="600" w:lineRule="exact"/>
        <w:ind w:leftChars="0"/>
        <w:outlineLvl w:val="1"/>
        <w:rPr>
          <w:rFonts w:hint="eastAsia" w:ascii="黑体" w:hAnsi="黑体" w:eastAsia="黑体"/>
          <w:sz w:val="32"/>
          <w:szCs w:val="32"/>
          <w:lang w:eastAsia="zh-CN"/>
        </w:rPr>
      </w:pPr>
    </w:p>
    <w:p>
      <w:pPr>
        <w:pStyle w:val="23"/>
        <w:numPr>
          <w:ilvl w:val="0"/>
          <w:numId w:val="0"/>
        </w:numPr>
        <w:spacing w:line="600" w:lineRule="exact"/>
        <w:ind w:leftChars="0"/>
        <w:outlineLvl w:val="1"/>
        <w:rPr>
          <w:rFonts w:hint="eastAsia" w:ascii="黑体" w:hAnsi="黑体" w:eastAsia="黑体"/>
          <w:sz w:val="32"/>
          <w:szCs w:val="32"/>
          <w:lang w:eastAsia="zh-CN"/>
        </w:rPr>
      </w:pPr>
    </w:p>
    <w:p>
      <w:pPr>
        <w:snapToGrid w:val="0"/>
        <w:spacing w:line="576" w:lineRule="exact"/>
        <w:ind w:firstLine="640" w:firstLineChars="200"/>
        <w:rPr>
          <w:rFonts w:ascii="仿宋" w:hAnsi="仿宋" w:eastAsia="仿宋"/>
          <w:sz w:val="32"/>
          <w:szCs w:val="32"/>
        </w:rPr>
      </w:pPr>
    </w:p>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18" w:name="_Toc15396602"/>
      <w:bookmarkStart w:id="19" w:name="_Toc15377204"/>
      <w:r>
        <w:rPr>
          <w:rFonts w:hint="eastAsia" w:ascii="黑体" w:hAnsi="黑体" w:eastAsia="黑体"/>
          <w:b w:val="0"/>
        </w:rPr>
        <w:t>第二部分 2021年度</w:t>
      </w:r>
      <w:r>
        <w:rPr>
          <w:rStyle w:val="24"/>
          <w:rFonts w:hint="eastAsia" w:ascii="黑体" w:hAnsi="黑体" w:eastAsia="黑体"/>
          <w:b w:val="0"/>
          <w:bCs/>
        </w:rPr>
        <w:t>单位决算情况说明</w:t>
      </w:r>
      <w:bookmarkEnd w:id="18"/>
      <w:bookmarkEnd w:id="19"/>
    </w:p>
    <w:p/>
    <w:p>
      <w:pPr>
        <w:pStyle w:val="23"/>
        <w:numPr>
          <w:ilvl w:val="0"/>
          <w:numId w:val="1"/>
        </w:numPr>
        <w:spacing w:line="600" w:lineRule="exact"/>
        <w:ind w:firstLineChars="0"/>
        <w:outlineLvl w:val="1"/>
        <w:rPr>
          <w:rStyle w:val="25"/>
          <w:rFonts w:ascii="黑体" w:hAnsi="黑体" w:eastAsia="黑体"/>
          <w:b w:val="0"/>
        </w:rPr>
      </w:pPr>
      <w:bookmarkStart w:id="20" w:name="_Toc15396603"/>
      <w:bookmarkStart w:id="21"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20"/>
      <w:bookmarkEnd w:id="21"/>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w:t>
      </w:r>
      <w:r>
        <w:rPr>
          <w:rFonts w:ascii="仿宋" w:hAnsi="仿宋" w:eastAsia="仿宋"/>
          <w:sz w:val="32"/>
          <w:szCs w:val="32"/>
        </w:rPr>
        <w:t>1773.65</w:t>
      </w:r>
      <w:r>
        <w:rPr>
          <w:rFonts w:hint="eastAsia" w:ascii="仿宋" w:hAnsi="仿宋" w:eastAsia="仿宋"/>
          <w:sz w:val="32"/>
          <w:szCs w:val="32"/>
        </w:rPr>
        <w:t>万元。与2020年相比，收、支总计各增加96.29万元，增长5.74</w:t>
      </w:r>
      <w:r>
        <w:rPr>
          <w:rFonts w:ascii="仿宋" w:hAnsi="仿宋" w:eastAsia="仿宋"/>
          <w:sz w:val="32"/>
          <w:szCs w:val="32"/>
        </w:rPr>
        <w:t>%</w:t>
      </w:r>
      <w:r>
        <w:rPr>
          <w:rFonts w:hint="eastAsia" w:ascii="仿宋" w:hAnsi="仿宋" w:eastAsia="仿宋"/>
          <w:sz w:val="32"/>
          <w:szCs w:val="32"/>
        </w:rPr>
        <w:t>。主要变动原因是教职工工资社保费用增加，所以收入支出增加。</w:t>
      </w:r>
    </w:p>
    <w:p>
      <w:pPr>
        <w:pStyle w:val="2"/>
        <w:spacing w:before="93"/>
        <w:jc w:val="center"/>
      </w:pPr>
      <w:r>
        <w:drawing>
          <wp:inline distT="0" distB="0" distL="0" distR="0">
            <wp:extent cx="3616960" cy="2094230"/>
            <wp:effectExtent l="19050" t="0" r="21265" b="887"/>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 xml:space="preserve">     （图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2" w:name="_Toc15396604"/>
      <w:bookmarkStart w:id="23" w:name="_Toc15377206"/>
      <w:r>
        <w:rPr>
          <w:rFonts w:hint="eastAsia" w:ascii="黑体" w:hAnsi="黑体" w:eastAsia="黑体"/>
          <w:sz w:val="32"/>
          <w:szCs w:val="32"/>
        </w:rPr>
        <w:t>收</w:t>
      </w:r>
      <w:r>
        <w:rPr>
          <w:rStyle w:val="25"/>
          <w:rFonts w:hint="eastAsia" w:ascii="黑体" w:hAnsi="黑体" w:eastAsia="黑体"/>
          <w:b w:val="0"/>
        </w:rPr>
        <w:t>入决算情况说明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ascii="仿宋" w:hAnsi="仿宋" w:eastAsia="仿宋"/>
          <w:sz w:val="32"/>
          <w:szCs w:val="32"/>
        </w:rPr>
        <w:t>1766.51</w:t>
      </w:r>
      <w:r>
        <w:rPr>
          <w:rFonts w:hint="eastAsia" w:ascii="仿宋" w:hAnsi="仿宋" w:eastAsia="仿宋"/>
          <w:sz w:val="32"/>
          <w:szCs w:val="32"/>
        </w:rPr>
        <w:t>万元，其中：一般公共预算财政拨款收入</w:t>
      </w:r>
      <w:r>
        <w:rPr>
          <w:rFonts w:ascii="仿宋" w:hAnsi="仿宋" w:eastAsia="仿宋"/>
          <w:sz w:val="32"/>
          <w:szCs w:val="32"/>
        </w:rPr>
        <w:t>1766.51</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pStyle w:val="2"/>
        <w:spacing w:before="93"/>
        <w:jc w:val="center"/>
      </w:pPr>
      <w:r>
        <w:drawing>
          <wp:inline distT="0" distB="0" distL="0" distR="0">
            <wp:extent cx="3086100" cy="2124075"/>
            <wp:effectExtent l="19050" t="0" r="19049"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 xml:space="preserve">         （图2：收入决算结构图）（饼状图）</w:t>
      </w:r>
    </w:p>
    <w:p>
      <w:pPr>
        <w:spacing w:line="600" w:lineRule="exact"/>
        <w:ind w:firstLine="640" w:firstLineChars="200"/>
        <w:rPr>
          <w:rFonts w:ascii="仿宋_GB2312" w:eastAsia="仿宋_GB2312"/>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4" w:name="_Toc15377207"/>
      <w:bookmarkStart w:id="25" w:name="_Toc15396605"/>
      <w:r>
        <w:rPr>
          <w:rFonts w:hint="eastAsia" w:ascii="黑体" w:hAnsi="黑体" w:eastAsia="黑体"/>
          <w:sz w:val="32"/>
          <w:szCs w:val="32"/>
        </w:rPr>
        <w:t>支</w:t>
      </w:r>
      <w:r>
        <w:rPr>
          <w:rStyle w:val="25"/>
          <w:rFonts w:hint="eastAsia" w:ascii="黑体" w:hAnsi="黑体" w:eastAsia="黑体"/>
          <w:b w:val="0"/>
        </w:rPr>
        <w:t>出决算情况说明</w:t>
      </w:r>
      <w:bookmarkEnd w:id="24"/>
      <w:bookmarkEnd w:id="2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ascii="仿宋" w:hAnsi="仿宋" w:eastAsia="仿宋"/>
          <w:sz w:val="32"/>
          <w:szCs w:val="32"/>
        </w:rPr>
        <w:t>1773.65</w:t>
      </w:r>
      <w:r>
        <w:rPr>
          <w:rFonts w:hint="eastAsia" w:ascii="仿宋" w:hAnsi="仿宋" w:eastAsia="仿宋"/>
          <w:sz w:val="32"/>
          <w:szCs w:val="32"/>
        </w:rPr>
        <w:t>万元，其中：基本支出</w:t>
      </w:r>
      <w:r>
        <w:rPr>
          <w:rFonts w:ascii="仿宋" w:hAnsi="仿宋" w:eastAsia="仿宋"/>
          <w:sz w:val="32"/>
          <w:szCs w:val="32"/>
        </w:rPr>
        <w:t>1773.65</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；项目支出0万元，占0</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pStyle w:val="2"/>
        <w:spacing w:before="93"/>
        <w:jc w:val="center"/>
      </w:pPr>
      <w:r>
        <w:drawing>
          <wp:inline distT="0" distB="0" distL="0" distR="0">
            <wp:extent cx="3276600" cy="2295525"/>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 xml:space="preserve">          （图3：支出决算结构图）（饼状图）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5"/>
          <w:rFonts w:ascii="黑体" w:hAnsi="黑体" w:eastAsia="黑体"/>
          <w:b w:val="0"/>
        </w:rPr>
      </w:pPr>
      <w:bookmarkStart w:id="26" w:name="_Toc15377208"/>
      <w:bookmarkStart w:id="27"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6"/>
      <w:bookmarkEnd w:id="2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ascii="仿宋" w:hAnsi="仿宋" w:eastAsia="仿宋"/>
          <w:sz w:val="32"/>
          <w:szCs w:val="32"/>
        </w:rPr>
        <w:t>1773.65</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20年相比，财政拨款收、支总计各增加96.29万元，增长5.74</w:t>
      </w:r>
      <w:r>
        <w:rPr>
          <w:rFonts w:ascii="仿宋" w:hAnsi="仿宋" w:eastAsia="仿宋"/>
          <w:sz w:val="32"/>
          <w:szCs w:val="32"/>
        </w:rPr>
        <w:t>%</w:t>
      </w:r>
      <w:r>
        <w:rPr>
          <w:rFonts w:hint="eastAsia" w:ascii="仿宋" w:hAnsi="仿宋" w:eastAsia="仿宋"/>
          <w:sz w:val="32"/>
          <w:szCs w:val="32"/>
        </w:rPr>
        <w:t>。主要变动原因是教职工工资社保费用增加，所以收入支出增加。</w:t>
      </w:r>
    </w:p>
    <w:p>
      <w:pPr>
        <w:pStyle w:val="2"/>
        <w:spacing w:before="93"/>
        <w:jc w:val="center"/>
      </w:pPr>
      <w:r>
        <w:drawing>
          <wp:inline distT="0" distB="0" distL="0" distR="0">
            <wp:extent cx="3383280" cy="2296160"/>
            <wp:effectExtent l="19050" t="0" r="26581" b="8418"/>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5"/>
          <w:rFonts w:ascii="黑体" w:hAnsi="黑体" w:eastAsia="黑体"/>
          <w:b w:val="0"/>
        </w:rPr>
      </w:pPr>
      <w:bookmarkStart w:id="28" w:name="_Toc15396607"/>
      <w:bookmarkStart w:id="29"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8"/>
      <w:bookmarkEnd w:id="29"/>
    </w:p>
    <w:p>
      <w:pPr>
        <w:spacing w:line="600" w:lineRule="exact"/>
        <w:ind w:firstLine="643" w:firstLineChars="200"/>
        <w:outlineLvl w:val="2"/>
        <w:rPr>
          <w:rFonts w:ascii="仿宋" w:hAnsi="仿宋" w:eastAsia="仿宋"/>
          <w:b/>
          <w:sz w:val="32"/>
          <w:szCs w:val="32"/>
        </w:rPr>
      </w:pPr>
      <w:bookmarkStart w:id="30" w:name="_Toc15377210"/>
      <w:r>
        <w:rPr>
          <w:rFonts w:hint="eastAsia" w:ascii="仿宋" w:hAnsi="仿宋" w:eastAsia="仿宋"/>
          <w:b/>
          <w:sz w:val="32"/>
          <w:szCs w:val="32"/>
        </w:rPr>
        <w:t>（一）一般公共预算财政拨款支出决算总体情况</w:t>
      </w:r>
      <w:bookmarkEnd w:id="3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1773.65</w:t>
      </w:r>
      <w:r>
        <w:rPr>
          <w:rFonts w:hint="eastAsia" w:ascii="仿宋" w:hAnsi="仿宋" w:eastAsia="仿宋"/>
          <w:sz w:val="32"/>
          <w:szCs w:val="32"/>
        </w:rPr>
        <w:t>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20年相比，一般公共预算财政拨款支出增加96.58万元，增长5.76</w:t>
      </w:r>
      <w:r>
        <w:rPr>
          <w:rFonts w:ascii="仿宋" w:hAnsi="仿宋" w:eastAsia="仿宋"/>
          <w:sz w:val="32"/>
          <w:szCs w:val="32"/>
        </w:rPr>
        <w:t>%</w:t>
      </w:r>
      <w:r>
        <w:rPr>
          <w:rFonts w:hint="eastAsia" w:ascii="仿宋" w:hAnsi="仿宋" w:eastAsia="仿宋"/>
          <w:sz w:val="32"/>
          <w:szCs w:val="32"/>
        </w:rPr>
        <w:t>。主要变动原因是教职工工资社保费用增加，所以收入支出增加。</w:t>
      </w:r>
    </w:p>
    <w:p>
      <w:pPr>
        <w:spacing w:line="600" w:lineRule="exact"/>
        <w:ind w:firstLine="640" w:firstLineChars="200"/>
        <w:rPr>
          <w:rFonts w:ascii="仿宋" w:hAnsi="仿宋" w:eastAsia="仿宋"/>
          <w:sz w:val="32"/>
          <w:szCs w:val="32"/>
        </w:rPr>
      </w:pPr>
    </w:p>
    <w:p>
      <w:pPr>
        <w:pStyle w:val="2"/>
        <w:spacing w:before="93"/>
      </w:pPr>
    </w:p>
    <w:p>
      <w:pPr>
        <w:pStyle w:val="2"/>
        <w:spacing w:before="93"/>
        <w:jc w:val="center"/>
      </w:pPr>
      <w:r>
        <w:drawing>
          <wp:inline distT="0" distB="0" distL="0" distR="0">
            <wp:extent cx="3886200" cy="2305050"/>
            <wp:effectExtent l="19050" t="0" r="19049"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31" w:name="_Toc15377211"/>
      <w:r>
        <w:rPr>
          <w:rFonts w:hint="eastAsia" w:ascii="仿宋" w:hAnsi="仿宋" w:eastAsia="仿宋"/>
          <w:b/>
          <w:sz w:val="32"/>
          <w:szCs w:val="32"/>
        </w:rPr>
        <w:t>（二）一般公共预算财政拨款支出决算结构情况</w:t>
      </w:r>
      <w:bookmarkEnd w:id="31"/>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1773.65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ascii="仿宋" w:hAnsi="仿宋" w:eastAsia="仿宋"/>
          <w:sz w:val="32"/>
          <w:szCs w:val="32"/>
        </w:rPr>
        <w:t>1216.63</w:t>
      </w:r>
      <w:r>
        <w:rPr>
          <w:rFonts w:hint="eastAsia" w:ascii="仿宋" w:hAnsi="仿宋" w:eastAsia="仿宋"/>
          <w:sz w:val="32"/>
          <w:szCs w:val="32"/>
        </w:rPr>
        <w:t>万元，占68.60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ascii="仿宋" w:hAnsi="仿宋" w:eastAsia="仿宋"/>
          <w:sz w:val="32"/>
          <w:szCs w:val="32"/>
        </w:rPr>
        <w:t>292.13</w:t>
      </w:r>
      <w:r>
        <w:rPr>
          <w:rFonts w:hint="eastAsia" w:ascii="仿宋" w:hAnsi="仿宋" w:eastAsia="仿宋"/>
          <w:sz w:val="32"/>
          <w:szCs w:val="32"/>
        </w:rPr>
        <w:t>万元，占16.47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96.87</w:t>
      </w:r>
      <w:r>
        <w:rPr>
          <w:rFonts w:hint="eastAsia" w:ascii="仿宋" w:hAnsi="仿宋" w:eastAsia="仿宋"/>
          <w:sz w:val="32"/>
          <w:szCs w:val="32"/>
        </w:rPr>
        <w:t>万元，占5.46</w:t>
      </w:r>
      <w:r>
        <w:rPr>
          <w:rFonts w:ascii="仿宋" w:hAnsi="仿宋" w:eastAsia="仿宋"/>
          <w:sz w:val="32"/>
          <w:szCs w:val="32"/>
        </w:rPr>
        <w:t>%</w:t>
      </w:r>
      <w:r>
        <w:rPr>
          <w:rFonts w:hint="eastAsia" w:ascii="仿宋" w:hAnsi="仿宋" w:eastAsia="仿宋"/>
          <w:sz w:val="32"/>
          <w:szCs w:val="32"/>
        </w:rPr>
        <w:t>；住房保障支出</w:t>
      </w:r>
      <w:r>
        <w:rPr>
          <w:rFonts w:ascii="仿宋" w:hAnsi="仿宋" w:eastAsia="仿宋"/>
          <w:sz w:val="32"/>
          <w:szCs w:val="32"/>
        </w:rPr>
        <w:t>168.02</w:t>
      </w:r>
      <w:r>
        <w:rPr>
          <w:rFonts w:hint="eastAsia" w:ascii="仿宋" w:hAnsi="仿宋" w:eastAsia="仿宋"/>
          <w:sz w:val="32"/>
          <w:szCs w:val="32"/>
        </w:rPr>
        <w:t>万元，占9.47</w:t>
      </w:r>
      <w:r>
        <w:rPr>
          <w:rFonts w:ascii="仿宋" w:hAnsi="仿宋" w:eastAsia="仿宋"/>
          <w:sz w:val="32"/>
          <w:szCs w:val="32"/>
        </w:rPr>
        <w:t>%</w:t>
      </w:r>
      <w:r>
        <w:rPr>
          <w:rFonts w:hint="eastAsia" w:ascii="仿宋" w:hAnsi="仿宋" w:eastAsia="仿宋"/>
          <w:sz w:val="32"/>
          <w:szCs w:val="32"/>
        </w:rPr>
        <w:t>。</w:t>
      </w:r>
    </w:p>
    <w:p>
      <w:pPr>
        <w:pStyle w:val="2"/>
        <w:spacing w:before="93"/>
        <w:jc w:val="center"/>
      </w:pPr>
      <w:r>
        <w:drawing>
          <wp:inline distT="0" distB="0" distL="0" distR="0">
            <wp:extent cx="3574415" cy="2445385"/>
            <wp:effectExtent l="19050" t="0" r="25695"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2" w:name="_Toc15377212"/>
      <w:r>
        <w:rPr>
          <w:rFonts w:hint="eastAsia" w:ascii="仿宋" w:hAnsi="仿宋" w:eastAsia="仿宋"/>
          <w:b/>
          <w:sz w:val="32"/>
          <w:szCs w:val="32"/>
        </w:rPr>
        <w:t>（三）一般公共预算财政拨款支出决算具体情况</w:t>
      </w:r>
      <w:bookmarkEnd w:id="32"/>
    </w:p>
    <w:p>
      <w:pPr>
        <w:spacing w:line="600" w:lineRule="exact"/>
        <w:ind w:firstLine="643" w:firstLineChars="200"/>
        <w:outlineLvl w:val="2"/>
        <w:rPr>
          <w:rFonts w:ascii="仿宋" w:hAnsi="仿宋" w:eastAsia="仿宋"/>
          <w:sz w:val="32"/>
          <w:szCs w:val="32"/>
        </w:rPr>
      </w:pPr>
      <w:bookmarkStart w:id="33" w:name="_Toc15377213"/>
      <w:bookmarkStart w:id="34" w:name="_Toc15377444"/>
      <w:bookmarkStart w:id="35" w:name="_Toc15378460"/>
      <w:r>
        <w:rPr>
          <w:rFonts w:hint="eastAsia" w:ascii="仿宋" w:hAnsi="仿宋" w:eastAsia="仿宋"/>
          <w:b/>
          <w:sz w:val="32"/>
          <w:szCs w:val="32"/>
        </w:rPr>
        <w:t>2021年一般公共预算支出决算数为</w:t>
      </w:r>
      <w:r>
        <w:rPr>
          <w:rFonts w:ascii="仿宋" w:hAnsi="仿宋" w:eastAsia="仿宋"/>
          <w:b/>
          <w:sz w:val="32"/>
          <w:szCs w:val="32"/>
        </w:rPr>
        <w:t>1773.65</w:t>
      </w:r>
      <w:r>
        <w:rPr>
          <w:rFonts w:hint="eastAsia" w:ascii="仿宋" w:hAnsi="仿宋" w:eastAsia="仿宋"/>
          <w:b/>
          <w:sz w:val="32"/>
          <w:szCs w:val="32"/>
        </w:rPr>
        <w:t>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3"/>
      <w:bookmarkEnd w:id="34"/>
      <w:bookmarkEnd w:id="35"/>
    </w:p>
    <w:p>
      <w:pPr>
        <w:spacing w:line="600" w:lineRule="exact"/>
        <w:ind w:firstLine="643" w:firstLineChars="200"/>
        <w:rPr>
          <w:rStyle w:val="14"/>
          <w:rFonts w:hint="eastAsia" w:ascii="仿宋" w:hAnsi="仿宋" w:eastAsia="仿宋"/>
          <w:b w:val="0"/>
          <w:bCs/>
          <w:sz w:val="32"/>
          <w:szCs w:val="32"/>
        </w:rPr>
      </w:pPr>
      <w:r>
        <w:rPr>
          <w:rStyle w:val="14"/>
          <w:rFonts w:ascii="仿宋" w:hAnsi="仿宋" w:eastAsia="仿宋" w:cs="仿宋"/>
          <w:sz w:val="32"/>
          <w:szCs w:val="32"/>
        </w:rPr>
        <w:t>1.</w:t>
      </w:r>
      <w:r>
        <w:rPr>
          <w:rStyle w:val="14"/>
          <w:rFonts w:hint="eastAsia" w:ascii="仿宋" w:hAnsi="仿宋" w:eastAsia="仿宋" w:cs="仿宋"/>
          <w:sz w:val="32"/>
          <w:szCs w:val="32"/>
        </w:rPr>
        <w:t>一般公共服务支出（类）宣传事物（款）其他宣传事物支出（项）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支出决算为0万元，完成预算0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cs="仿宋"/>
          <w:sz w:val="32"/>
          <w:szCs w:val="32"/>
        </w:rPr>
        <w:t>2.</w:t>
      </w:r>
      <w:r>
        <w:rPr>
          <w:rStyle w:val="14"/>
          <w:rFonts w:hint="eastAsia" w:ascii="仿宋" w:hAnsi="仿宋" w:eastAsia="仿宋" w:cs="仿宋"/>
          <w:sz w:val="32"/>
          <w:szCs w:val="32"/>
        </w:rPr>
        <w:t>教育支出（类）普通教育（款）小学教育（项）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74.46</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3</w:t>
      </w:r>
      <w:r>
        <w:rPr>
          <w:rStyle w:val="14"/>
          <w:rFonts w:ascii="仿宋" w:hAnsi="仿宋" w:eastAsia="仿宋"/>
          <w:bCs/>
          <w:sz w:val="32"/>
          <w:szCs w:val="32"/>
        </w:rPr>
        <w:t>.</w:t>
      </w:r>
      <w:r>
        <w:rPr>
          <w:rStyle w:val="14"/>
          <w:rFonts w:hint="eastAsia" w:ascii="仿宋" w:hAnsi="仿宋" w:eastAsia="仿宋" w:cs="仿宋"/>
          <w:sz w:val="32"/>
          <w:szCs w:val="32"/>
        </w:rPr>
        <w:t>教育支出（类）普通教育（款）</w:t>
      </w:r>
      <w:r>
        <w:rPr>
          <w:rStyle w:val="14"/>
          <w:rFonts w:hint="eastAsia" w:ascii="仿宋" w:hAnsi="仿宋" w:eastAsia="仿宋" w:cs="仿宋"/>
          <w:sz w:val="32"/>
          <w:szCs w:val="32"/>
          <w:lang w:val="en-US" w:eastAsia="zh-CN"/>
        </w:rPr>
        <w:t>初中</w:t>
      </w:r>
      <w:r>
        <w:rPr>
          <w:rStyle w:val="14"/>
          <w:rFonts w:hint="eastAsia" w:ascii="仿宋" w:hAnsi="仿宋" w:eastAsia="仿宋" w:cs="仿宋"/>
          <w:sz w:val="32"/>
          <w:szCs w:val="32"/>
        </w:rPr>
        <w:t>教育（项）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1142.17</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lang w:val="en-US" w:eastAsia="zh-CN"/>
        </w:rPr>
        <w:t>4</w:t>
      </w:r>
      <w:r>
        <w:rPr>
          <w:rStyle w:val="14"/>
          <w:rFonts w:ascii="仿宋" w:hAnsi="仿宋" w:eastAsia="仿宋"/>
          <w:bCs/>
          <w:sz w:val="32"/>
          <w:szCs w:val="32"/>
        </w:rPr>
        <w:t>.</w:t>
      </w:r>
      <w:r>
        <w:rPr>
          <w:rStyle w:val="14"/>
          <w:rFonts w:hint="eastAsia" w:ascii="仿宋" w:hAnsi="仿宋" w:eastAsia="仿宋" w:cs="仿宋"/>
          <w:sz w:val="32"/>
          <w:szCs w:val="32"/>
        </w:rPr>
        <w:t>社会保障和就业（类）行政事业单位养老（款）事业单位离退休（项）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94.62</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lang w:val="en-US" w:eastAsia="zh-CN"/>
        </w:rPr>
        <w:t>5</w:t>
      </w:r>
      <w:r>
        <w:rPr>
          <w:rStyle w:val="14"/>
          <w:rFonts w:ascii="仿宋" w:hAnsi="仿宋" w:eastAsia="仿宋"/>
          <w:bCs/>
          <w:sz w:val="32"/>
          <w:szCs w:val="32"/>
        </w:rPr>
        <w:t>.</w:t>
      </w:r>
      <w:r>
        <w:rPr>
          <w:rStyle w:val="14"/>
          <w:rFonts w:hint="eastAsia" w:ascii="仿宋" w:hAnsi="仿宋" w:eastAsia="仿宋" w:cs="仿宋"/>
          <w:sz w:val="32"/>
          <w:szCs w:val="32"/>
        </w:rPr>
        <w:t>社会保障和就业（类）行政事业单位养老（款）机关事业单位基本养老保险缴费（项）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145.51</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lang w:val="en-US" w:eastAsia="zh-CN"/>
        </w:rPr>
        <w:t>6</w:t>
      </w:r>
      <w:r>
        <w:rPr>
          <w:rStyle w:val="14"/>
          <w:rFonts w:ascii="仿宋" w:hAnsi="仿宋" w:eastAsia="仿宋"/>
          <w:bCs/>
          <w:sz w:val="32"/>
          <w:szCs w:val="32"/>
        </w:rPr>
        <w:t>.</w:t>
      </w:r>
      <w:r>
        <w:rPr>
          <w:rStyle w:val="14"/>
          <w:rFonts w:hint="eastAsia" w:ascii="仿宋" w:hAnsi="仿宋" w:eastAsia="仿宋" w:cs="仿宋"/>
          <w:sz w:val="32"/>
          <w:szCs w:val="32"/>
        </w:rPr>
        <w:t>社会保障和就业（类）行政事业单位养老（款）机关事业单位职业年金缴费（项）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45.3</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bCs/>
          <w:sz w:val="32"/>
          <w:szCs w:val="32"/>
        </w:rPr>
      </w:pPr>
      <w:r>
        <w:rPr>
          <w:rStyle w:val="14"/>
          <w:rFonts w:hint="eastAsia" w:ascii="仿宋" w:hAnsi="仿宋" w:eastAsia="仿宋"/>
          <w:bCs/>
          <w:sz w:val="32"/>
          <w:szCs w:val="32"/>
          <w:lang w:val="en-US" w:eastAsia="zh-CN"/>
        </w:rPr>
        <w:t>7</w:t>
      </w:r>
      <w:r>
        <w:rPr>
          <w:rStyle w:val="14"/>
          <w:rFonts w:ascii="仿宋" w:hAnsi="仿宋" w:eastAsia="仿宋"/>
          <w:bCs/>
          <w:sz w:val="32"/>
          <w:szCs w:val="32"/>
        </w:rPr>
        <w:t>.</w:t>
      </w:r>
      <w:r>
        <w:rPr>
          <w:rStyle w:val="14"/>
          <w:rFonts w:hint="eastAsia" w:ascii="仿宋" w:hAnsi="仿宋" w:eastAsia="仿宋" w:cs="仿宋"/>
          <w:sz w:val="32"/>
          <w:szCs w:val="32"/>
        </w:rPr>
        <w:t>社会保障和就业（类）行政事业单位养老（款）死亡抚恤（项）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6.7</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lang w:val="en-US" w:eastAsia="zh-CN"/>
        </w:rPr>
        <w:t>8</w:t>
      </w:r>
      <w:r>
        <w:rPr>
          <w:rStyle w:val="14"/>
          <w:rFonts w:ascii="仿宋" w:hAnsi="仿宋" w:eastAsia="仿宋"/>
          <w:bCs/>
          <w:sz w:val="32"/>
          <w:szCs w:val="32"/>
        </w:rPr>
        <w:t>.</w:t>
      </w:r>
      <w:r>
        <w:rPr>
          <w:rFonts w:hint="eastAsia" w:ascii="仿宋" w:hAnsi="仿宋" w:eastAsia="仿宋" w:cs="仿宋"/>
          <w:b/>
          <w:bCs/>
          <w:sz w:val="32"/>
          <w:szCs w:val="32"/>
        </w:rPr>
        <w:t>卫生健康</w:t>
      </w:r>
      <w:r>
        <w:rPr>
          <w:rStyle w:val="14"/>
          <w:rFonts w:hint="eastAsia" w:ascii="仿宋" w:hAnsi="仿宋" w:eastAsia="仿宋" w:cs="仿宋"/>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79.48</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9</w:t>
      </w:r>
      <w:r>
        <w:rPr>
          <w:rStyle w:val="14"/>
          <w:rFonts w:ascii="仿宋" w:hAnsi="仿宋" w:eastAsia="仿宋"/>
          <w:bCs/>
          <w:sz w:val="32"/>
          <w:szCs w:val="32"/>
        </w:rPr>
        <w:t>.</w:t>
      </w:r>
      <w:r>
        <w:rPr>
          <w:rFonts w:hint="eastAsia" w:ascii="仿宋" w:hAnsi="仿宋" w:eastAsia="仿宋" w:cs="仿宋"/>
          <w:b/>
          <w:bCs/>
          <w:sz w:val="32"/>
          <w:szCs w:val="32"/>
        </w:rPr>
        <w:t>卫生健康</w:t>
      </w:r>
      <w:r>
        <w:rPr>
          <w:rStyle w:val="14"/>
          <w:rFonts w:hint="eastAsia" w:ascii="仿宋" w:hAnsi="仿宋" w:eastAsia="仿宋" w:cs="仿宋"/>
          <w:sz w:val="32"/>
          <w:szCs w:val="32"/>
        </w:rPr>
        <w:t>（类）行政事业单位医疗（款）公务员医疗补助（项）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17.39</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1</w:t>
      </w:r>
      <w:r>
        <w:rPr>
          <w:rStyle w:val="14"/>
          <w:rFonts w:hint="eastAsia" w:ascii="仿宋" w:hAnsi="仿宋" w:eastAsia="仿宋"/>
          <w:bCs/>
          <w:sz w:val="32"/>
          <w:szCs w:val="32"/>
          <w:lang w:val="en-US" w:eastAsia="zh-CN"/>
        </w:rPr>
        <w:t>0</w:t>
      </w:r>
      <w:r>
        <w:rPr>
          <w:rStyle w:val="14"/>
          <w:rFonts w:ascii="仿宋" w:hAnsi="仿宋" w:eastAsia="仿宋"/>
          <w:bCs/>
          <w:sz w:val="32"/>
          <w:szCs w:val="32"/>
        </w:rPr>
        <w:t xml:space="preserve">. </w:t>
      </w:r>
      <w:r>
        <w:rPr>
          <w:rStyle w:val="14"/>
          <w:rFonts w:hint="eastAsia" w:ascii="仿宋" w:hAnsi="仿宋" w:eastAsia="仿宋" w:cs="仿宋"/>
          <w:sz w:val="32"/>
          <w:szCs w:val="32"/>
        </w:rPr>
        <w:t>住房保障（类）住房改革（款）住房公积金（项）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Fonts w:ascii="仿宋" w:hAnsi="仿宋" w:eastAsia="仿宋"/>
          <w:sz w:val="32"/>
          <w:szCs w:val="32"/>
        </w:rPr>
        <w:t>168.02</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5"/>
        </w:rPr>
      </w:pPr>
      <w:bookmarkStart w:id="36" w:name="_Toc15396608"/>
      <w:bookmarkStart w:id="37"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6"/>
      <w:bookmarkEnd w:id="37"/>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ascii="仿宋" w:hAnsi="仿宋" w:eastAsia="仿宋"/>
          <w:sz w:val="32"/>
          <w:szCs w:val="32"/>
        </w:rPr>
        <w:t>1773.65</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1681.30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92.35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sz w:val="32"/>
          <w:szCs w:val="32"/>
        </w:rPr>
      </w:pPr>
    </w:p>
    <w:p>
      <w:pPr>
        <w:spacing w:line="600" w:lineRule="exact"/>
        <w:ind w:firstLine="640"/>
        <w:outlineLvl w:val="1"/>
        <w:rPr>
          <w:rStyle w:val="25"/>
          <w:rFonts w:ascii="黑体" w:hAnsi="黑体" w:eastAsia="黑体"/>
          <w:b w:val="0"/>
        </w:rPr>
      </w:pPr>
      <w:bookmarkStart w:id="38" w:name="_Toc15396609"/>
      <w:bookmarkStart w:id="39" w:name="_Toc15377215"/>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sz w:val="32"/>
          <w:szCs w:val="32"/>
        </w:rPr>
      </w:pPr>
      <w:bookmarkStart w:id="40" w:name="_Toc15377216"/>
      <w:bookmarkStart w:id="41" w:name="_Toc15377223"/>
      <w:r>
        <w:rPr>
          <w:rFonts w:hint="eastAsia" w:ascii="仿宋" w:hAnsi="仿宋" w:eastAsia="仿宋"/>
          <w:b/>
          <w:sz w:val="32"/>
          <w:szCs w:val="32"/>
        </w:rPr>
        <w:t>（一）“三公”经费财政拨款支出决算总体情况说明</w:t>
      </w:r>
      <w:bookmarkEnd w:id="4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cs="仿宋"/>
          <w:sz w:val="32"/>
          <w:szCs w:val="32"/>
        </w:rPr>
        <w:t>与预算数持平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与2020年持平</w:t>
      </w:r>
      <w:r>
        <w:rPr>
          <w:rFonts w:hint="eastAsia" w:ascii="仿宋" w:hAnsi="仿宋" w:eastAsia="仿宋" w:cs="仿宋"/>
          <w:sz w:val="32"/>
          <w:szCs w:val="32"/>
        </w:rPr>
        <w:t>。</w:t>
      </w:r>
    </w:p>
    <w:p>
      <w:pPr>
        <w:spacing w:line="600" w:lineRule="exact"/>
        <w:ind w:firstLine="640"/>
        <w:outlineLvl w:val="2"/>
        <w:rPr>
          <w:rFonts w:ascii="仿宋" w:hAnsi="仿宋" w:eastAsia="仿宋"/>
          <w:b/>
          <w:sz w:val="32"/>
          <w:szCs w:val="32"/>
        </w:rPr>
      </w:pPr>
      <w:bookmarkStart w:id="42" w:name="_Toc15377217"/>
      <w:r>
        <w:rPr>
          <w:rFonts w:hint="eastAsia" w:ascii="仿宋" w:hAnsi="仿宋" w:eastAsia="仿宋"/>
          <w:b/>
          <w:sz w:val="32"/>
          <w:szCs w:val="32"/>
        </w:rPr>
        <w:t>（二）“三公”经费财政拨款支出决算具体情况说明</w:t>
      </w:r>
      <w:bookmarkEnd w:id="4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仿宋"/>
          <w:sz w:val="32"/>
          <w:szCs w:val="32"/>
          <w:lang w:val="en-US" w:eastAsia="zh-CN"/>
        </w:rPr>
        <w:t>与2020年持平，</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w:t>
      </w:r>
      <w:r>
        <w:rPr>
          <w:rFonts w:hint="eastAsia" w:ascii="仿宋" w:hAnsi="仿宋" w:eastAsia="仿宋" w:cs="仿宋"/>
          <w:sz w:val="32"/>
          <w:szCs w:val="32"/>
          <w:lang w:val="en-US" w:eastAsia="zh-CN"/>
        </w:rPr>
        <w:t>与2020年持平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w:t>
      </w:r>
      <w:r>
        <w:rPr>
          <w:rStyle w:val="14"/>
          <w:rFonts w:hint="eastAsia" w:ascii="仿宋" w:hAnsi="仿宋" w:eastAsia="仿宋"/>
          <w:b w:val="0"/>
          <w:bCs/>
          <w:sz w:val="32"/>
          <w:szCs w:val="32"/>
          <w:lang w:val="en-US" w:eastAsia="zh-CN"/>
        </w:rPr>
        <w:t>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 w:hAnsi="仿宋" w:eastAsia="仿宋" w:cs="仿宋"/>
          <w:sz w:val="32"/>
          <w:szCs w:val="32"/>
          <w:lang w:val="en-US" w:eastAsia="zh-CN"/>
        </w:rPr>
        <w:t>与2020年持平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Fonts w:hint="eastAsia" w:ascii="仿宋_GB2312" w:eastAsia="仿宋_GB2312"/>
          <w:sz w:val="32"/>
          <w:szCs w:val="32"/>
          <w:lang w:eastAsia="zh-CN"/>
        </w:rPr>
        <w:t>，</w:t>
      </w:r>
      <w:r>
        <w:rPr>
          <w:rStyle w:val="14"/>
          <w:rFonts w:hint="eastAsia" w:ascii="仿宋" w:hAnsi="仿宋" w:eastAsia="仿宋" w:cs="仿宋"/>
          <w:b w:val="0"/>
          <w:bCs w:val="0"/>
          <w:sz w:val="32"/>
          <w:szCs w:val="32"/>
        </w:rPr>
        <w:t>完成预算</w:t>
      </w:r>
      <w:r>
        <w:rPr>
          <w:rStyle w:val="14"/>
          <w:rFonts w:ascii="仿宋" w:hAnsi="仿宋" w:eastAsia="仿宋" w:cs="仿宋"/>
          <w:b w:val="0"/>
          <w:bCs w:val="0"/>
          <w:sz w:val="32"/>
          <w:szCs w:val="32"/>
        </w:rPr>
        <w:t>0%</w:t>
      </w:r>
      <w:r>
        <w:rPr>
          <w:rStyle w:val="14"/>
          <w:rFonts w:hint="eastAsia" w:ascii="仿宋" w:hAnsi="仿宋" w:eastAsia="仿宋" w:cs="仿宋"/>
          <w:b w:val="0"/>
          <w:bCs w:val="0"/>
          <w:sz w:val="32"/>
          <w:szCs w:val="32"/>
        </w:rPr>
        <w:t>。</w:t>
      </w:r>
      <w:r>
        <w:rPr>
          <w:rFonts w:hint="eastAsia" w:ascii="仿宋_GB2312" w:eastAsia="仿宋_GB2312" w:cs="仿宋_GB2312"/>
          <w:sz w:val="32"/>
          <w:szCs w:val="32"/>
        </w:rPr>
        <w:t>公务接待费支出决算</w:t>
      </w:r>
      <w:r>
        <w:rPr>
          <w:rFonts w:hint="eastAsia" w:ascii="仿宋" w:hAnsi="仿宋" w:eastAsia="仿宋" w:cs="仿宋"/>
          <w:sz w:val="32"/>
          <w:szCs w:val="32"/>
          <w:lang w:val="en-US" w:eastAsia="zh-CN"/>
        </w:rPr>
        <w:t>与2020年持平</w:t>
      </w:r>
      <w:r>
        <w:rPr>
          <w:rFonts w:hint="eastAsia" w:ascii="仿宋_GB2312" w:eastAsia="仿宋_GB2312" w:cs="仿宋_GB2312"/>
          <w:sz w:val="32"/>
          <w:szCs w:val="32"/>
        </w:rPr>
        <w:t>。</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r>
        <w:rPr>
          <w:rStyle w:val="14"/>
          <w:rFonts w:hint="eastAsia" w:ascii="仿宋" w:hAnsi="仿宋" w:eastAsia="仿宋" w:cs="仿宋"/>
          <w:b w:val="0"/>
          <w:bCs w:val="0"/>
          <w:sz w:val="32"/>
          <w:szCs w:val="32"/>
          <w:lang w:eastAsia="zh-CN"/>
        </w:rPr>
        <w:t>国内</w:t>
      </w:r>
      <w:r>
        <w:rPr>
          <w:rStyle w:val="14"/>
          <w:rFonts w:hint="eastAsia" w:ascii="仿宋" w:hAnsi="仿宋" w:eastAsia="仿宋" w:cs="仿宋"/>
          <w:b w:val="0"/>
          <w:bCs w:val="0"/>
          <w:sz w:val="32"/>
          <w:szCs w:val="32"/>
        </w:rPr>
        <w:t>接待0批次，0人</w:t>
      </w:r>
      <w:r>
        <w:rPr>
          <w:rFonts w:hint="eastAsia" w:ascii="仿宋_GB2312" w:eastAsia="仿宋_GB2312"/>
          <w:sz w:val="32"/>
          <w:szCs w:val="32"/>
        </w:rPr>
        <w:t>，共计支出0万元。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pPr>
        <w:spacing w:line="600" w:lineRule="exact"/>
        <w:ind w:firstLine="640"/>
        <w:outlineLvl w:val="1"/>
        <w:rPr>
          <w:rFonts w:ascii="黑体" w:eastAsia="黑体"/>
          <w:sz w:val="32"/>
          <w:szCs w:val="32"/>
        </w:rPr>
      </w:pPr>
      <w:bookmarkStart w:id="43" w:name="_Toc15396610"/>
      <w:bookmarkStart w:id="44" w:name="_Toc15377218"/>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3"/>
      <w:bookmarkEnd w:id="44"/>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25"/>
          <w:rFonts w:ascii="黑体" w:hAnsi="黑体" w:eastAsia="黑体"/>
          <w:b w:val="0"/>
        </w:rPr>
      </w:pPr>
      <w:bookmarkStart w:id="45" w:name="_Toc15377219"/>
      <w:bookmarkStart w:id="46" w:name="_Toc15396611"/>
      <w:r>
        <w:rPr>
          <w:rStyle w:val="25"/>
          <w:rFonts w:hint="eastAsia" w:ascii="黑体" w:hAnsi="黑体" w:eastAsia="黑体"/>
          <w:b w:val="0"/>
        </w:rPr>
        <w:t>国有资本经营预算支出决算情况说明</w:t>
      </w:r>
      <w:bookmarkEnd w:id="45"/>
      <w:bookmarkEnd w:id="4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580" w:lineRule="exact"/>
        <w:jc w:val="center"/>
        <w:rPr>
          <w:rFonts w:ascii="Arial Unicode MS" w:hAnsi="Arial Unicode MS" w:eastAsia="Arial Unicode MS" w:cs="Arial Unicode MS"/>
          <w:sz w:val="44"/>
          <w:szCs w:val="44"/>
        </w:rPr>
      </w:pPr>
    </w:p>
    <w:p>
      <w:pPr>
        <w:numPr>
          <w:ilvl w:val="0"/>
          <w:numId w:val="2"/>
        </w:numPr>
        <w:spacing w:line="600" w:lineRule="exact"/>
        <w:ind w:firstLine="640"/>
        <w:outlineLvl w:val="1"/>
        <w:rPr>
          <w:rStyle w:val="25"/>
          <w:rFonts w:ascii="黑体" w:hAnsi="黑体" w:eastAsia="黑体"/>
          <w:b w:val="0"/>
        </w:rPr>
      </w:pPr>
      <w:bookmarkStart w:id="47" w:name="_Toc15396612"/>
      <w:bookmarkStart w:id="48" w:name="_Toc15377221"/>
      <w:r>
        <w:rPr>
          <w:rStyle w:val="25"/>
          <w:rFonts w:hint="eastAsia" w:ascii="黑体" w:hAnsi="黑体" w:eastAsia="黑体"/>
          <w:b w:val="0"/>
        </w:rPr>
        <w:t>其他重要事项的情况说明</w:t>
      </w:r>
      <w:bookmarkEnd w:id="47"/>
      <w:bookmarkEnd w:id="48"/>
    </w:p>
    <w:p>
      <w:pPr>
        <w:spacing w:line="600" w:lineRule="exact"/>
        <w:ind w:firstLine="643" w:firstLineChars="200"/>
        <w:outlineLvl w:val="2"/>
        <w:rPr>
          <w:rFonts w:ascii="仿宋" w:hAnsi="仿宋" w:eastAsia="仿宋"/>
          <w:sz w:val="32"/>
          <w:szCs w:val="32"/>
        </w:rPr>
      </w:pPr>
      <w:bookmarkStart w:id="49" w:name="_Toc15377222"/>
      <w:r>
        <w:rPr>
          <w:rFonts w:hint="eastAsia" w:ascii="仿宋" w:hAnsi="仿宋" w:eastAsia="仿宋"/>
          <w:b/>
          <w:sz w:val="32"/>
          <w:szCs w:val="32"/>
        </w:rPr>
        <w:t>（一）机关运行经费支出情况</w:t>
      </w:r>
      <w:bookmarkEnd w:id="49"/>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21年，机关运行经费支出0万元，与</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val="en-US" w:eastAsia="zh-CN"/>
        </w:rPr>
        <w:t>决算数</w:t>
      </w:r>
      <w:r>
        <w:rPr>
          <w:rFonts w:hint="eastAsia" w:ascii="仿宋_GB2312" w:eastAsia="仿宋_GB2312"/>
          <w:sz w:val="32"/>
          <w:szCs w:val="32"/>
        </w:rPr>
        <w:t>持平。</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4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攀枝花市第十初级中学校政府采购支出总额51.54万元，其中：政府采购货物支出51.54万元、政府采购工程支出0万元、政府采购服务支出0万元。主要用于用于采购学校宿舍所需设备。授予中小企业合同金额51.54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，其中：授予小微企业合同金额51.54万元，占政府采购支出总额的100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日，攀枝花市第十初级中学校共有车辆0辆，其中：主要领导干部用车0辆、机要通信用车0辆、应急保障用车0辆、其他用车0辆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w:t>
      </w:r>
      <w:r>
        <w:rPr>
          <w:rFonts w:hint="eastAsia" w:ascii="仿宋_GB2312" w:hAnsi="仿宋_GB2312" w:eastAsia="仿宋_GB2312" w:cs="仿宋_GB2312"/>
          <w:sz w:val="32"/>
          <w:szCs w:val="32"/>
          <w:lang w:val="en-US" w:eastAsia="zh-CN"/>
        </w:rPr>
        <w:t>0个</w:t>
      </w:r>
      <w:r>
        <w:rPr>
          <w:rFonts w:hint="eastAsia" w:ascii="仿宋_GB2312" w:hAnsi="仿宋_GB2312" w:eastAsia="仿宋_GB2312" w:cs="仿宋_GB2312"/>
          <w:sz w:val="32"/>
          <w:szCs w:val="32"/>
        </w:rPr>
        <w:t>项目（项目名称）等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个项目开展了绩效自评，2021年特定目标类部门预算项目绩效目标自评表见附件（第四部分）。</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widowControl/>
        <w:jc w:val="left"/>
        <w:rPr>
          <w:rFonts w:ascii="仿宋_GB2312" w:eastAsia="仿宋_GB2312"/>
          <w:b/>
          <w:sz w:val="32"/>
          <w:szCs w:val="32"/>
        </w:rPr>
      </w:pPr>
    </w:p>
    <w:p>
      <w:pPr>
        <w:numPr>
          <w:ilvl w:val="0"/>
          <w:numId w:val="3"/>
        </w:numPr>
        <w:spacing w:line="600" w:lineRule="exact"/>
        <w:ind w:firstLine="660" w:firstLineChars="150"/>
        <w:jc w:val="center"/>
        <w:outlineLvl w:val="0"/>
        <w:rPr>
          <w:rStyle w:val="24"/>
          <w:rFonts w:ascii="黑体" w:hAnsi="黑体" w:eastAsia="黑体"/>
          <w:b w:val="0"/>
        </w:rPr>
      </w:pPr>
      <w:bookmarkStart w:id="51" w:name="_Toc15396613"/>
      <w:bookmarkStart w:id="52" w:name="_Toc15377225"/>
      <w:r>
        <w:rPr>
          <w:rFonts w:hint="eastAsia" w:ascii="黑体" w:hAnsi="黑体" w:eastAsia="黑体"/>
          <w:sz w:val="44"/>
          <w:szCs w:val="44"/>
        </w:rPr>
        <w:t>名</w:t>
      </w:r>
      <w:r>
        <w:rPr>
          <w:rStyle w:val="24"/>
          <w:rFonts w:hint="eastAsia" w:ascii="黑体" w:hAnsi="黑体" w:eastAsia="黑体"/>
          <w:b w:val="0"/>
        </w:rPr>
        <w:t>词解释</w:t>
      </w:r>
      <w:bookmarkEnd w:id="51"/>
      <w:bookmarkEnd w:id="52"/>
    </w:p>
    <w:p>
      <w:pPr>
        <w:spacing w:line="600" w:lineRule="exact"/>
        <w:jc w:val="left"/>
        <w:rPr>
          <w:rFonts w:ascii="宋体"/>
          <w:b/>
          <w:sz w:val="44"/>
          <w:szCs w:val="44"/>
        </w:rPr>
      </w:pP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bookmarkStart w:id="53"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教育（类）普通教育（款）小学教育（项）：指反映各部门举办的小学教育支出。政府各部门对社会中介组织等举办的小学的资助，如各类捐赠、补贴等，也在本科目中反映。</w:t>
      </w:r>
    </w:p>
    <w:p>
      <w:pPr>
        <w:pStyle w:val="2"/>
        <w:ind w:firstLine="640" w:firstLineChars="200"/>
      </w:pPr>
      <w:r>
        <w:rPr>
          <w:rFonts w:hint="eastAsia"/>
          <w:color w:val="000000"/>
          <w:sz w:val="32"/>
          <w:szCs w:val="32"/>
          <w:lang w:val="en-US" w:eastAsia="zh-CN"/>
        </w:rPr>
        <w:t>6.</w:t>
      </w:r>
      <w:r>
        <w:rPr>
          <w:rFonts w:hint="eastAsia" w:ascii="仿宋_GB2312" w:eastAsia="仿宋_GB2312"/>
          <w:color w:val="000000"/>
          <w:sz w:val="32"/>
          <w:szCs w:val="32"/>
        </w:rPr>
        <w:t>教育（类）普通教育（款）</w:t>
      </w:r>
      <w:r>
        <w:rPr>
          <w:rFonts w:hint="eastAsia"/>
          <w:color w:val="000000"/>
          <w:sz w:val="32"/>
          <w:szCs w:val="32"/>
          <w:lang w:val="en-US" w:eastAsia="zh-CN"/>
        </w:rPr>
        <w:t>初中</w:t>
      </w:r>
      <w:r>
        <w:rPr>
          <w:rFonts w:hint="eastAsia" w:ascii="仿宋_GB2312" w:eastAsia="仿宋_GB2312"/>
          <w:color w:val="000000"/>
          <w:sz w:val="32"/>
          <w:szCs w:val="32"/>
        </w:rPr>
        <w:t>教育（项）：指反映各部门举办的</w:t>
      </w:r>
      <w:r>
        <w:rPr>
          <w:rFonts w:hint="eastAsia"/>
          <w:color w:val="000000"/>
          <w:sz w:val="32"/>
          <w:szCs w:val="32"/>
          <w:lang w:val="en-US" w:eastAsia="zh-CN"/>
        </w:rPr>
        <w:t>初中</w:t>
      </w:r>
      <w:r>
        <w:rPr>
          <w:rFonts w:hint="eastAsia" w:ascii="仿宋_GB2312" w:eastAsia="仿宋_GB2312"/>
          <w:color w:val="000000"/>
          <w:sz w:val="32"/>
          <w:szCs w:val="32"/>
        </w:rPr>
        <w:t>教育支出。政府各部门对社会中介组织等举办的小学的资助，如各类捐赠、补贴等，也在本科目中反映。</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社会保障和就业（类）行政事业单位养老（款）事业单位离退休（项）：指反映实行归口管理的事业单位离退休经费。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社会保障和就业（类）行政事业单位养老（款）机关事业单位基本养老保险缴费（项）：指反映机关事业单位实施养老保险制度由单位缴纳的基本养老保险费支出。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社会保障和就业（类）行政事业单位养老（款）机关事业单位职业年金缴费（项）：指反映机关事业单位实施养老保险制度由单位实际缴纳的职业年金支出。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社会保障和就业（类）行政事业单位养老（款）死亡抚恤（项）：指反映按规定用于烈士和牺牲、病故人员家属的一次性定期抚恤金以及丧葬补助费。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卫生健康（类）行政事业单位医疗（款）事业单位医疗（项）：指反映财政部门集中安排事业单位基本医疗保险缴费经费，未参加医疗保险的事业单位的公费医疗经费，按国家规定享受离休人员待遇的医疗经费。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卫生健康（类）行政事业单位医疗（款）公务员医疗补助（项）：指反映财政部门集中安排的公务员医疗补助经费。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住房保障（类）住房改革（款）住房公积金（项）：指反映行政事业单位按人力资源和社会保障部、财政部规定的基本工资和津贴补贴以及规定比例为职工缴纳的住房公积金。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r>
        <w:rPr>
          <w:rFonts w:ascii="宋体"/>
          <w:b/>
          <w:sz w:val="44"/>
          <w:szCs w:val="44"/>
        </w:rPr>
        <w:br w:type="page"/>
      </w:r>
      <w:bookmarkStart w:id="54" w:name="_Toc15396614"/>
      <w:r>
        <w:rPr>
          <w:rFonts w:hint="eastAsia" w:ascii="黑体" w:hAnsi="黑体" w:eastAsia="黑体"/>
          <w:sz w:val="44"/>
          <w:szCs w:val="44"/>
        </w:rPr>
        <w:t>第</w:t>
      </w:r>
      <w:r>
        <w:rPr>
          <w:rStyle w:val="24"/>
          <w:rFonts w:hint="eastAsia" w:ascii="黑体" w:hAnsi="黑体" w:eastAsia="黑体"/>
          <w:b w:val="0"/>
        </w:rPr>
        <w:t>四部分 附件</w:t>
      </w:r>
      <w:bookmarkEnd w:id="54"/>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spacing w:line="600" w:lineRule="exact"/>
              <w:jc w:val="center"/>
              <w:outlineLvl w:val="0"/>
              <w:rPr>
                <w:rFonts w:hint="eastAsia" w:ascii="宋体" w:hAnsi="宋体" w:eastAsia="宋体" w:cs="宋体"/>
                <w:b/>
                <w:sz w:val="32"/>
                <w:szCs w:val="32"/>
                <w:lang w:eastAsia="zh-CN"/>
              </w:rPr>
            </w:pPr>
            <w:bookmarkStart w:id="55" w:name="_Toc15396618"/>
            <w:r>
              <w:rPr>
                <w:rFonts w:hint="eastAsia" w:ascii="宋体" w:hAnsi="宋体" w:cs="宋体"/>
                <w:b/>
                <w:sz w:val="32"/>
                <w:szCs w:val="32"/>
              </w:rPr>
              <w:t>2021年部门预算项目绩效目标自评</w:t>
            </w:r>
            <w:r>
              <w:rPr>
                <w:rFonts w:hint="eastAsia" w:ascii="宋体" w:hAnsi="宋体" w:cs="宋体"/>
                <w:b/>
                <w:sz w:val="32"/>
                <w:szCs w:val="32"/>
                <w:lang w:eastAsia="zh-CN"/>
              </w:rPr>
              <w:t>（</w:t>
            </w:r>
            <w:r>
              <w:rPr>
                <w:rFonts w:hint="eastAsia" w:ascii="宋体" w:hAnsi="宋体" w:cs="宋体"/>
                <w:sz w:val="24"/>
                <w:lang w:eastAsia="zh-CN"/>
              </w:rPr>
              <w:t>本年度无项目</w:t>
            </w:r>
            <w:r>
              <w:rPr>
                <w:rFonts w:hint="eastAsia" w:ascii="宋体" w:hAnsi="宋体" w:cs="宋体"/>
                <w:b/>
                <w:sz w:val="32"/>
                <w:szCs w:val="32"/>
                <w:lang w:eastAsia="zh-CN"/>
              </w:rPr>
              <w:t>）</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宋体" w:hAnsi="宋体" w:eastAsia="宋体" w:cs="宋体"/>
                <w:sz w:val="24"/>
                <w:lang w:eastAsia="zh-CN"/>
              </w:rPr>
            </w:pPr>
            <w:r>
              <w:rPr>
                <w:rFonts w:hint="eastAsia" w:ascii="宋体" w:hAnsi="宋体" w:cs="宋体"/>
                <w:sz w:val="24"/>
                <w:szCs w:val="24"/>
              </w:rPr>
              <w:t>攀枝花市西区教育和体育局</w:t>
            </w:r>
            <w:r>
              <w:rPr>
                <w:rFonts w:ascii="宋体" w:hAnsi="宋体" w:cs="宋体"/>
                <w:sz w:val="24"/>
                <w:szCs w:val="24"/>
              </w:rPr>
              <w:t>128001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both"/>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bl>
    <w:p>
      <w:pPr>
        <w:spacing w:line="600" w:lineRule="exact"/>
        <w:jc w:val="center"/>
        <w:outlineLvl w:val="0"/>
        <w:rPr>
          <w:rFonts w:ascii="黑体" w:hAnsi="黑体" w:eastAsia="黑体"/>
          <w:sz w:val="44"/>
          <w:szCs w:val="44"/>
        </w:rPr>
      </w:pPr>
    </w:p>
    <w:p>
      <w:pPr>
        <w:pStyle w:val="2"/>
        <w:spacing w:before="93"/>
        <w:rPr>
          <w:rFonts w:ascii="黑体" w:hAnsi="黑体" w:eastAsia="黑体"/>
          <w:sz w:val="44"/>
          <w:szCs w:val="44"/>
        </w:rPr>
      </w:pPr>
    </w:p>
    <w:p>
      <w:pPr>
        <w:pStyle w:val="2"/>
        <w:spacing w:before="93"/>
        <w:rPr>
          <w:rFonts w:ascii="黑体" w:hAnsi="黑体" w:eastAsia="黑体"/>
          <w:sz w:val="44"/>
          <w:szCs w:val="44"/>
        </w:rPr>
      </w:pPr>
    </w:p>
    <w:p>
      <w:pPr>
        <w:spacing w:line="600" w:lineRule="exact"/>
        <w:jc w:val="center"/>
        <w:outlineLvl w:val="0"/>
        <w:rPr>
          <w:rFonts w:ascii="黑体" w:hAnsi="黑体" w:eastAsia="黑体"/>
          <w:sz w:val="44"/>
          <w:szCs w:val="44"/>
        </w:rPr>
      </w:pPr>
    </w:p>
    <w:p>
      <w:pPr>
        <w:pStyle w:val="2"/>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3"/>
      <w:bookmarkEnd w:id="55"/>
      <w:bookmarkStart w:id="56"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6"/>
    </w:p>
    <w:p>
      <w:pPr>
        <w:pStyle w:val="4"/>
        <w:rPr>
          <w:rFonts w:ascii="仿宋" w:hAnsi="仿宋" w:eastAsia="仿宋"/>
        </w:rPr>
      </w:pPr>
      <w:bookmarkStart w:id="57" w:name="_Toc15396620"/>
      <w:r>
        <w:rPr>
          <w:rFonts w:hint="eastAsia" w:ascii="仿宋" w:hAnsi="仿宋" w:eastAsia="仿宋"/>
          <w:b w:val="0"/>
        </w:rPr>
        <w:t>二、收</w:t>
      </w:r>
      <w:r>
        <w:rPr>
          <w:rStyle w:val="25"/>
          <w:rFonts w:hint="eastAsia" w:ascii="仿宋" w:hAnsi="仿宋" w:eastAsia="仿宋"/>
          <w:b w:val="0"/>
          <w:bCs w:val="0"/>
        </w:rPr>
        <w:t>入决算表</w:t>
      </w:r>
      <w:bookmarkEnd w:id="57"/>
    </w:p>
    <w:p>
      <w:pPr>
        <w:pStyle w:val="4"/>
        <w:rPr>
          <w:rFonts w:ascii="仿宋" w:hAnsi="仿宋" w:eastAsia="仿宋"/>
        </w:rPr>
      </w:pPr>
      <w:bookmarkStart w:id="58"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8"/>
    </w:p>
    <w:p>
      <w:pPr>
        <w:pStyle w:val="4"/>
        <w:rPr>
          <w:rFonts w:ascii="仿宋" w:hAnsi="仿宋" w:eastAsia="仿宋"/>
          <w:b w:val="0"/>
        </w:rPr>
      </w:pPr>
      <w:bookmarkStart w:id="59"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9"/>
    </w:p>
    <w:p>
      <w:pPr>
        <w:pStyle w:val="4"/>
        <w:rPr>
          <w:rStyle w:val="25"/>
          <w:rFonts w:ascii="仿宋" w:hAnsi="仿宋" w:eastAsia="仿宋"/>
          <w:b w:val="0"/>
          <w:bCs w:val="0"/>
        </w:rPr>
      </w:pPr>
      <w:bookmarkStart w:id="60"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60"/>
      <w:bookmarkStart w:id="61"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61"/>
    </w:p>
    <w:p>
      <w:pPr>
        <w:pStyle w:val="4"/>
        <w:rPr>
          <w:rFonts w:ascii="仿宋" w:hAnsi="仿宋" w:eastAsia="仿宋"/>
        </w:rPr>
      </w:pPr>
      <w:bookmarkStart w:id="62"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2"/>
    </w:p>
    <w:p>
      <w:pPr>
        <w:pStyle w:val="4"/>
        <w:rPr>
          <w:rFonts w:ascii="仿宋" w:hAnsi="仿宋" w:eastAsia="仿宋"/>
        </w:rPr>
      </w:pPr>
      <w:bookmarkStart w:id="63"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3"/>
    </w:p>
    <w:p>
      <w:pPr>
        <w:pStyle w:val="4"/>
        <w:rPr>
          <w:rFonts w:ascii="仿宋" w:hAnsi="仿宋" w:eastAsia="仿宋"/>
        </w:rPr>
      </w:pPr>
      <w:bookmarkStart w:id="64"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4"/>
    </w:p>
    <w:p>
      <w:pPr>
        <w:pStyle w:val="4"/>
        <w:rPr>
          <w:rFonts w:ascii="仿宋" w:hAnsi="仿宋" w:eastAsia="仿宋"/>
        </w:rPr>
      </w:pPr>
      <w:bookmarkStart w:id="65"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65"/>
    </w:p>
    <w:p>
      <w:pPr>
        <w:pStyle w:val="4"/>
        <w:rPr>
          <w:rFonts w:ascii="仿宋" w:hAnsi="仿宋" w:eastAsia="仿宋"/>
        </w:rPr>
      </w:pPr>
      <w:bookmarkStart w:id="66"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66"/>
    </w:p>
    <w:p>
      <w:pPr>
        <w:pStyle w:val="4"/>
        <w:rPr>
          <w:rFonts w:ascii="仿宋" w:hAnsi="仿宋" w:eastAsia="仿宋"/>
        </w:rPr>
      </w:pPr>
      <w:bookmarkStart w:id="67"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67"/>
    </w:p>
    <w:p>
      <w:pPr>
        <w:pStyle w:val="4"/>
        <w:rPr>
          <w:rStyle w:val="25"/>
          <w:rFonts w:ascii="仿宋" w:hAnsi="仿宋" w:eastAsia="仿宋"/>
          <w:b w:val="0"/>
          <w:bCs w:val="0"/>
        </w:rPr>
      </w:pPr>
      <w:bookmarkStart w:id="68"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68"/>
    </w:p>
    <w:p>
      <w:pPr>
        <w:rPr>
          <w:rFonts w:eastAsia="仿宋"/>
        </w:rPr>
      </w:pPr>
      <w:r>
        <w:rPr>
          <w:rStyle w:val="25"/>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FDDDBA-7747-4FF1-8368-A0F0EF175E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AC873A8-57DB-4F9D-960F-49A9F9B82D42}"/>
  </w:font>
  <w:font w:name="Cambria">
    <w:panose1 w:val="02040503050406030204"/>
    <w:charset w:val="00"/>
    <w:family w:val="roman"/>
    <w:pitch w:val="default"/>
    <w:sig w:usb0="E00006FF" w:usb1="420024FF" w:usb2="02000000" w:usb3="00000000" w:csb0="2000019F" w:csb1="00000000"/>
    <w:embedRegular r:id="rId3" w:fontKey="{923250BB-DE1F-448C-B2C1-5E9073343C7E}"/>
  </w:font>
  <w:font w:name="仿宋_GB2312">
    <w:panose1 w:val="02010609030101010101"/>
    <w:charset w:val="86"/>
    <w:family w:val="modern"/>
    <w:pitch w:val="default"/>
    <w:sig w:usb0="00000001" w:usb1="080E0000" w:usb2="00000000" w:usb3="00000000" w:csb0="00040000" w:csb1="00000000"/>
    <w:embedRegular r:id="rId4" w:fontKey="{15C91074-2E6C-4479-B373-75CEF90FD576}"/>
  </w:font>
  <w:font w:name="仿宋">
    <w:panose1 w:val="02010609060101010101"/>
    <w:charset w:val="86"/>
    <w:family w:val="modern"/>
    <w:pitch w:val="default"/>
    <w:sig w:usb0="800002BF" w:usb1="38CF7CFA" w:usb2="00000016" w:usb3="00000000" w:csb0="00040001" w:csb1="00000000"/>
    <w:embedRegular r:id="rId5" w:fontKey="{17E219C5-1209-41BD-9C2A-5D09453EFBC8}"/>
  </w:font>
  <w:font w:name="Arial Unicode MS">
    <w:panose1 w:val="020B0604020202020204"/>
    <w:charset w:val="86"/>
    <w:family w:val="auto"/>
    <w:pitch w:val="default"/>
    <w:sig w:usb0="FFFFFFFF" w:usb1="E9FFFFFF" w:usb2="0000003F" w:usb3="00000000" w:csb0="603F01FF" w:csb1="FFFF0000"/>
    <w:embedRegular r:id="rId6" w:fontKey="{40E6E6A9-5E78-451A-88EF-35DAD9678B69}"/>
  </w:font>
  <w:font w:name="方正小标宋简体">
    <w:panose1 w:val="03000509000000000000"/>
    <w:charset w:val="86"/>
    <w:family w:val="script"/>
    <w:pitch w:val="default"/>
    <w:sig w:usb0="00000001" w:usb1="080E0000" w:usb2="00000000" w:usb3="00000000" w:csb0="00040000" w:csb1="00000000"/>
    <w:embedRegular r:id="rId7" w:fontKey="{F0E31C32-A53B-405F-82F8-D174144C10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YzZjZjY1NDliZmI1ZjUzYjFlNWFjZGE3YWUzYjMifQ=="/>
  </w:docVars>
  <w:rsids>
    <w:rsidRoot w:val="00F1361C"/>
    <w:rsid w:val="000222C6"/>
    <w:rsid w:val="0002549F"/>
    <w:rsid w:val="000468DB"/>
    <w:rsid w:val="0006487A"/>
    <w:rsid w:val="00065F8F"/>
    <w:rsid w:val="00070A43"/>
    <w:rsid w:val="000768F2"/>
    <w:rsid w:val="0009184B"/>
    <w:rsid w:val="00094236"/>
    <w:rsid w:val="0009593C"/>
    <w:rsid w:val="00097322"/>
    <w:rsid w:val="0009768D"/>
    <w:rsid w:val="000A143D"/>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090E"/>
    <w:rsid w:val="001E737D"/>
    <w:rsid w:val="001F0592"/>
    <w:rsid w:val="001F7506"/>
    <w:rsid w:val="001F7DD1"/>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23ABA"/>
    <w:rsid w:val="00335A74"/>
    <w:rsid w:val="003426DC"/>
    <w:rsid w:val="0036561B"/>
    <w:rsid w:val="0037013F"/>
    <w:rsid w:val="00380C92"/>
    <w:rsid w:val="003921E8"/>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8CA"/>
    <w:rsid w:val="004223DE"/>
    <w:rsid w:val="00434489"/>
    <w:rsid w:val="00437085"/>
    <w:rsid w:val="00443880"/>
    <w:rsid w:val="004464F4"/>
    <w:rsid w:val="004700FD"/>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39A3"/>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463D"/>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E66E9"/>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7D03"/>
    <w:rsid w:val="0098660A"/>
    <w:rsid w:val="009931C3"/>
    <w:rsid w:val="009B2C43"/>
    <w:rsid w:val="009B4EAE"/>
    <w:rsid w:val="009B7573"/>
    <w:rsid w:val="009C22F4"/>
    <w:rsid w:val="009C2A4B"/>
    <w:rsid w:val="009C2E98"/>
    <w:rsid w:val="009D3447"/>
    <w:rsid w:val="009D4711"/>
    <w:rsid w:val="009E573E"/>
    <w:rsid w:val="009F094A"/>
    <w:rsid w:val="009F1185"/>
    <w:rsid w:val="009F18CD"/>
    <w:rsid w:val="009F2A13"/>
    <w:rsid w:val="009F7527"/>
    <w:rsid w:val="009F7C61"/>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0B7C"/>
    <w:rsid w:val="00A910FA"/>
    <w:rsid w:val="00A91760"/>
    <w:rsid w:val="00A93B00"/>
    <w:rsid w:val="00A93C21"/>
    <w:rsid w:val="00A971DF"/>
    <w:rsid w:val="00AB64C9"/>
    <w:rsid w:val="00AC3C6A"/>
    <w:rsid w:val="00AD5620"/>
    <w:rsid w:val="00AD656B"/>
    <w:rsid w:val="00AD7C1B"/>
    <w:rsid w:val="00AE16BA"/>
    <w:rsid w:val="00AE1EBE"/>
    <w:rsid w:val="00B03C9D"/>
    <w:rsid w:val="00B060AE"/>
    <w:rsid w:val="00B10517"/>
    <w:rsid w:val="00B12BC1"/>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D2C27"/>
    <w:rsid w:val="00BF5BD6"/>
    <w:rsid w:val="00C03E31"/>
    <w:rsid w:val="00C23B2F"/>
    <w:rsid w:val="00C33E72"/>
    <w:rsid w:val="00C354B2"/>
    <w:rsid w:val="00C35554"/>
    <w:rsid w:val="00C42709"/>
    <w:rsid w:val="00C533CC"/>
    <w:rsid w:val="00C5751C"/>
    <w:rsid w:val="00C61BFC"/>
    <w:rsid w:val="00C62B85"/>
    <w:rsid w:val="00C630A7"/>
    <w:rsid w:val="00C65438"/>
    <w:rsid w:val="00C87FD8"/>
    <w:rsid w:val="00C91381"/>
    <w:rsid w:val="00C91CBB"/>
    <w:rsid w:val="00CB4E70"/>
    <w:rsid w:val="00CC09B6"/>
    <w:rsid w:val="00CC3DFE"/>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620E"/>
    <w:rsid w:val="00D7035F"/>
    <w:rsid w:val="00D743A9"/>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95CE1"/>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494B28"/>
    <w:rsid w:val="059A1C1D"/>
    <w:rsid w:val="0A2032A3"/>
    <w:rsid w:val="0B8A37D8"/>
    <w:rsid w:val="10C055FF"/>
    <w:rsid w:val="118107EC"/>
    <w:rsid w:val="11DD6519"/>
    <w:rsid w:val="12CE5B33"/>
    <w:rsid w:val="14220F7B"/>
    <w:rsid w:val="15755402"/>
    <w:rsid w:val="16BB3BE0"/>
    <w:rsid w:val="16BB723D"/>
    <w:rsid w:val="170D3B55"/>
    <w:rsid w:val="18015F3F"/>
    <w:rsid w:val="18855072"/>
    <w:rsid w:val="19177F32"/>
    <w:rsid w:val="1BE8440E"/>
    <w:rsid w:val="1D155CEE"/>
    <w:rsid w:val="20F57F95"/>
    <w:rsid w:val="240371BF"/>
    <w:rsid w:val="25C741E6"/>
    <w:rsid w:val="27842671"/>
    <w:rsid w:val="29FD04D3"/>
    <w:rsid w:val="2ABE7A3E"/>
    <w:rsid w:val="2EFA178C"/>
    <w:rsid w:val="30B46D73"/>
    <w:rsid w:val="312013D3"/>
    <w:rsid w:val="31570326"/>
    <w:rsid w:val="319F7F4E"/>
    <w:rsid w:val="382B2534"/>
    <w:rsid w:val="39AE70AB"/>
    <w:rsid w:val="3C0C0783"/>
    <w:rsid w:val="3F9F3A96"/>
    <w:rsid w:val="493C27E9"/>
    <w:rsid w:val="496F39ED"/>
    <w:rsid w:val="49FF41D3"/>
    <w:rsid w:val="4BE068DB"/>
    <w:rsid w:val="4BF6002B"/>
    <w:rsid w:val="4E1D1E80"/>
    <w:rsid w:val="4ECE2238"/>
    <w:rsid w:val="509660FF"/>
    <w:rsid w:val="51DB4B86"/>
    <w:rsid w:val="55333C3E"/>
    <w:rsid w:val="567D2F2B"/>
    <w:rsid w:val="57256B16"/>
    <w:rsid w:val="591D7BBE"/>
    <w:rsid w:val="5DFD7C99"/>
    <w:rsid w:val="5F1F5344"/>
    <w:rsid w:val="64CA39A1"/>
    <w:rsid w:val="66F217BA"/>
    <w:rsid w:val="68AE4438"/>
    <w:rsid w:val="6C4A05C8"/>
    <w:rsid w:val="6EDD4DBE"/>
    <w:rsid w:val="6EFD43ED"/>
    <w:rsid w:val="6FA97E72"/>
    <w:rsid w:val="705F42AD"/>
    <w:rsid w:val="72734D90"/>
    <w:rsid w:val="751A1DA0"/>
    <w:rsid w:val="78AD0976"/>
    <w:rsid w:val="79E7B28D"/>
    <w:rsid w:val="7AE743C4"/>
    <w:rsid w:val="7B84284C"/>
    <w:rsid w:val="7C1937B6"/>
    <w:rsid w:val="7E2E69B7"/>
    <w:rsid w:val="7F074559"/>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收、支决算总计变动情况图</a:t>
            </a:r>
            <a:endParaRPr lang="zh-CN" altLang="en-US"/>
          </a:p>
        </c:rich>
      </c:tx>
      <c:layout/>
      <c:overlay val="0"/>
      <c:spPr>
        <a:noFill/>
        <a:ln>
          <a:noFill/>
        </a:ln>
        <a:effectLst/>
      </c:spPr>
    </c:title>
    <c:autoTitleDeleted val="0"/>
    <c:plotArea>
      <c:layout>
        <c:manualLayout>
          <c:layoutTarget val="inner"/>
          <c:xMode val="edge"/>
          <c:yMode val="edge"/>
          <c:x val="0.197917069329975"/>
          <c:y val="0.215278507753187"/>
          <c:w val="0.789584939748006"/>
          <c:h val="0.46527935546656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Sheet1!$B$16:$B$17</c:f>
              <c:strCache>
                <c:ptCount val="2"/>
                <c:pt idx="0">
                  <c:v>本年收、支总计</c:v>
                </c:pt>
                <c:pt idx="1">
                  <c:v>上年收、支总计</c:v>
                </c:pt>
              </c:strCache>
            </c:strRef>
          </c:cat>
          <c:val>
            <c:numRef>
              <c:f>Sheet1!$C$16:$C$17</c:f>
              <c:numCache>
                <c:formatCode>General</c:formatCode>
                <c:ptCount val="2"/>
                <c:pt idx="0">
                  <c:v>1773.65</c:v>
                </c:pt>
                <c:pt idx="1">
                  <c:v>1677.36</c:v>
                </c:pt>
              </c:numCache>
            </c:numRef>
          </c:val>
        </c:ser>
        <c:dLbls>
          <c:showLegendKey val="0"/>
          <c:showVal val="1"/>
          <c:showCatName val="0"/>
          <c:showSerName val="0"/>
          <c:showPercent val="0"/>
          <c:showBubbleSize val="0"/>
        </c:dLbls>
        <c:gapWidth val="219"/>
        <c:overlap val="-27"/>
        <c:axId val="80480512"/>
        <c:axId val="80547840"/>
      </c:barChart>
      <c:catAx>
        <c:axId val="8048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80547840"/>
        <c:crosses val="autoZero"/>
        <c:auto val="1"/>
        <c:lblAlgn val="ctr"/>
        <c:lblOffset val="100"/>
        <c:noMultiLvlLbl val="0"/>
      </c:catAx>
      <c:valAx>
        <c:axId val="805478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80480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收入决算结构图</a:t>
            </a:r>
            <a:endParaRPr lang="zh-CN" altLang="en-US"/>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dPt>
          <c:dLbls>
            <c:dLbl>
              <c:idx val="1"/>
              <c:layout>
                <c:manualLayout>
                  <c:x val="-0.0525374212727963"/>
                  <c:y val="0.060500723176679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77691019067451"/>
                  <c:y val="0.048391514198406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Sheet1!$P$18:$P$20</c:f>
              <c:strCache>
                <c:ptCount val="1"/>
                <c:pt idx="0">
                  <c:v>一般财政拨款收入</c:v>
                </c:pt>
              </c:strCache>
            </c:strRef>
          </c:cat>
          <c:val>
            <c:numRef>
              <c:f>Sheet1!$Q$18:$Q$20</c:f>
              <c:numCache>
                <c:formatCode>General</c:formatCode>
                <c:ptCount val="3"/>
                <c:pt idx="0">
                  <c:v>1766.51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支出决算结构图</a:t>
            </a:r>
            <a:endParaRPr lang="zh-CN" altLang="en-US"/>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Sheet1!$P$13:$P$14</c:f>
              <c:strCache>
                <c:ptCount val="2"/>
                <c:pt idx="0">
                  <c:v>基本支出</c:v>
                </c:pt>
                <c:pt idx="1">
                  <c:v>项目支出</c:v>
                </c:pt>
              </c:strCache>
            </c:strRef>
          </c:cat>
          <c:val>
            <c:numRef>
              <c:f>Sheet1!$Q$13:$Q$14</c:f>
              <c:numCache>
                <c:formatCode>General</c:formatCode>
                <c:ptCount val="2"/>
                <c:pt idx="0">
                  <c:v>1773.65</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财政拨款收、支决算总计变动情况</a:t>
            </a:r>
            <a:endParaRPr lang="zh-CN" altLang="en-US"/>
          </a:p>
        </c:rich>
      </c:tx>
      <c:layout>
        <c:manualLayout>
          <c:xMode val="edge"/>
          <c:yMode val="edge"/>
          <c:x val="0.109268897362363"/>
          <c:y val="0.00141642196050565"/>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Sheet1!$P$6:$P$7</c:f>
              <c:strCache>
                <c:ptCount val="2"/>
                <c:pt idx="0">
                  <c:v>2021财政拨款收、支总计</c:v>
                </c:pt>
                <c:pt idx="1">
                  <c:v>2020财政拨款收、支总计</c:v>
                </c:pt>
              </c:strCache>
            </c:strRef>
          </c:cat>
          <c:val>
            <c:numRef>
              <c:f>Sheet1!$Q$6:$Q$7</c:f>
              <c:numCache>
                <c:formatCode>General</c:formatCode>
                <c:ptCount val="2"/>
                <c:pt idx="0">
                  <c:v>1773.65</c:v>
                </c:pt>
                <c:pt idx="1">
                  <c:v>1677.36</c:v>
                </c:pt>
              </c:numCache>
            </c:numRef>
          </c:val>
        </c:ser>
        <c:dLbls>
          <c:showLegendKey val="0"/>
          <c:showVal val="1"/>
          <c:showCatName val="0"/>
          <c:showSerName val="0"/>
          <c:showPercent val="0"/>
          <c:showBubbleSize val="0"/>
        </c:dLbls>
        <c:gapWidth val="219"/>
        <c:overlap val="-27"/>
        <c:axId val="118022528"/>
        <c:axId val="118024064"/>
      </c:barChart>
      <c:catAx>
        <c:axId val="11802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18024064"/>
        <c:crosses val="autoZero"/>
        <c:auto val="1"/>
        <c:lblAlgn val="ctr"/>
        <c:lblOffset val="100"/>
        <c:noMultiLvlLbl val="0"/>
      </c:catAx>
      <c:valAx>
        <c:axId val="1180240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18022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一般公共预算财政拨款支出决算变动情况</a:t>
            </a:r>
            <a:endParaRPr lang="zh-CN" altLang="en-US"/>
          </a:p>
        </c:rich>
      </c:tx>
      <c:layout>
        <c:manualLayout>
          <c:xMode val="edge"/>
          <c:yMode val="edge"/>
          <c:x val="0.0856104626563796"/>
          <c:y val="0.0296393589099236"/>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Sheet1!$B$12:$B$13</c:f>
              <c:strCache>
                <c:ptCount val="2"/>
                <c:pt idx="0">
                  <c:v>2020一般公共预算财政拨款支出</c:v>
                </c:pt>
                <c:pt idx="1">
                  <c:v>2021一般公共预算财政拨款支出</c:v>
                </c:pt>
              </c:strCache>
            </c:strRef>
          </c:cat>
          <c:val>
            <c:numRef>
              <c:f>Sheet1!$C$12:$C$13</c:f>
              <c:numCache>
                <c:formatCode>General</c:formatCode>
                <c:ptCount val="2"/>
                <c:pt idx="0">
                  <c:v>743.18</c:v>
                </c:pt>
                <c:pt idx="1">
                  <c:v>832.13</c:v>
                </c:pt>
              </c:numCache>
            </c:numRef>
          </c:val>
        </c:ser>
        <c:dLbls>
          <c:showLegendKey val="0"/>
          <c:showVal val="1"/>
          <c:showCatName val="0"/>
          <c:showSerName val="0"/>
          <c:showPercent val="0"/>
          <c:showBubbleSize val="0"/>
        </c:dLbls>
        <c:gapWidth val="219"/>
        <c:overlap val="-27"/>
        <c:axId val="118601216"/>
        <c:axId val="120435840"/>
      </c:barChart>
      <c:catAx>
        <c:axId val="11860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20435840"/>
        <c:crosses val="autoZero"/>
        <c:auto val="1"/>
        <c:lblAlgn val="ctr"/>
        <c:lblOffset val="100"/>
        <c:noMultiLvlLbl val="0"/>
      </c:catAx>
      <c:valAx>
        <c:axId val="1204358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18601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一般公共预算财政拨款支出决算结构</a:t>
            </a:r>
            <a:endParaRPr lang="zh-CN" altLang="en-US"/>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Sheet1!$B$25:$B$28</c:f>
              <c:strCache>
                <c:ptCount val="4"/>
                <c:pt idx="0">
                  <c:v>教育支出</c:v>
                </c:pt>
                <c:pt idx="1">
                  <c:v>社会保障和就业</c:v>
                </c:pt>
                <c:pt idx="2">
                  <c:v>卫生健康支出</c:v>
                </c:pt>
                <c:pt idx="3">
                  <c:v>住房保障支出</c:v>
                </c:pt>
              </c:strCache>
            </c:strRef>
          </c:cat>
          <c:val>
            <c:numRef>
              <c:f>Sheet1!$C$25:$C$28</c:f>
              <c:numCache>
                <c:formatCode>General</c:formatCode>
                <c:ptCount val="4"/>
                <c:pt idx="0">
                  <c:v>1216.63</c:v>
                </c:pt>
                <c:pt idx="1">
                  <c:v>292.13</c:v>
                </c:pt>
                <c:pt idx="2">
                  <c:v>96.87</c:v>
                </c:pt>
                <c:pt idx="3">
                  <c:v>168.02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7488</Words>
  <Characters>7961</Characters>
  <Lines>64</Lines>
  <Paragraphs>18</Paragraphs>
  <TotalTime>3</TotalTime>
  <ScaleCrop>false</ScaleCrop>
  <LinksUpToDate>false</LinksUpToDate>
  <CharactersWithSpaces>8050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玙沵珙橆</cp:lastModifiedBy>
  <cp:lastPrinted>2022-08-06T02:23:00Z</cp:lastPrinted>
  <dcterms:modified xsi:type="dcterms:W3CDTF">2023-10-07T10:51:52Z</dcterms:modified>
  <dc:title>四川省***</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76DFCAB9199745C284878A7A551F1A8D_13</vt:lpwstr>
  </property>
</Properties>
</file>