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8441"/>
      <w:bookmarkStart w:id="3" w:name="_Toc15396597"/>
      <w:bookmarkStart w:id="4" w:name="_Toc15377425"/>
      <w:bookmarkStart w:id="5" w:name="_Toc15377193"/>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598"/>
      <w:bookmarkStart w:id="7" w:name="_Toc15377194"/>
      <w:bookmarkStart w:id="8" w:name="_Toc15396476"/>
      <w:bookmarkStart w:id="9" w:name="_Toc15378442"/>
      <w:bookmarkStart w:id="10" w:name="_Toc15377426"/>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攀枝花市西区</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eastAsia="zh-CN"/>
        </w:rPr>
        <w:t>发展和改革</w:t>
      </w:r>
      <w:r>
        <w:rPr>
          <w:rFonts w:hint="eastAsia" w:ascii="方正小标宋简体" w:hAnsi="方正小标宋简体" w:eastAsia="方正小标宋简体" w:cs="方正小标宋简体"/>
          <w:sz w:val="72"/>
          <w:szCs w:val="72"/>
        </w:rPr>
        <w:t>局决算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3"/>
      </w:pPr>
      <w:r>
        <w:rPr>
          <w:rFonts w:hint="eastAsia"/>
        </w:rPr>
        <w:t>公开时间：2022年</w:t>
      </w:r>
      <w:r>
        <w:rPr>
          <w:rFonts w:hint="eastAsia"/>
          <w:lang w:val="en-US" w:eastAsia="zh-CN"/>
        </w:rPr>
        <w:t>10</w:t>
      </w:r>
      <w:r>
        <w:rPr>
          <w:rFonts w:hint="eastAsia"/>
        </w:rPr>
        <w:t>月</w:t>
      </w:r>
      <w:r>
        <w:rPr>
          <w:rFonts w:hint="eastAsia"/>
          <w:lang w:val="en-US" w:eastAsia="zh-CN"/>
        </w:rPr>
        <w:t>8</w:t>
      </w:r>
      <w:r>
        <w:rPr>
          <w:rFonts w:hint="eastAsia"/>
        </w:rPr>
        <w:t>日</w:t>
      </w:r>
    </w:p>
    <w:p/>
    <w:p>
      <w:pPr>
        <w:pStyle w:val="13"/>
        <w:adjustRightInd w:val="0"/>
        <w:snapToGrid w:val="0"/>
        <w:spacing w:before="0" w:line="440" w:lineRule="exact"/>
        <w:jc w:val="left"/>
        <w:rPr>
          <w:rFonts w:cstheme="minorBidi"/>
          <w:sz w:val="24"/>
          <w:szCs w:val="24"/>
        </w:rPr>
      </w:pPr>
      <w:r>
        <w:rPr>
          <w:rFonts w:hint="eastAsia"/>
          <w:sz w:val="24"/>
        </w:rPr>
        <w:t>第一部分部门概况</w:t>
      </w:r>
      <w:r>
        <w:tab/>
      </w:r>
      <w:r>
        <w:rPr>
          <w:rFonts w:hint="eastAsia" w:ascii="Times New Roman" w:hAnsi="Times New Roman" w:eastAsia="宋体"/>
          <w:sz w:val="21"/>
          <w:szCs w:val="24"/>
        </w:rPr>
        <w:t>4</w:t>
      </w:r>
    </w:p>
    <w:p>
      <w:pPr>
        <w:pStyle w:val="14"/>
        <w:adjustRightInd w:val="0"/>
        <w:snapToGrid w:val="0"/>
        <w:spacing w:line="440" w:lineRule="exact"/>
        <w:jc w:val="left"/>
        <w:rPr>
          <w:rFonts w:ascii="仿宋" w:hAnsi="仿宋" w:eastAsia="仿宋"/>
          <w:sz w:val="24"/>
        </w:rPr>
      </w:pPr>
      <w:r>
        <w:rPr>
          <w:rFonts w:hint="eastAsia"/>
          <w:sz w:val="24"/>
        </w:rPr>
        <w:t>一、基本职能及主要工作</w:t>
      </w:r>
      <w:r>
        <w:tab/>
      </w:r>
      <w:r>
        <w:rPr>
          <w:rFonts w:hint="eastAsia"/>
        </w:rPr>
        <w:t>4</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二、机构设置</w:t>
      </w:r>
      <w:r>
        <w:tab/>
      </w:r>
      <w:r>
        <w:rPr>
          <w:rFonts w:hint="eastAsia"/>
          <w:lang w:val="en-US" w:eastAsia="zh-CN"/>
        </w:rPr>
        <w:t>12</w:t>
      </w:r>
    </w:p>
    <w:p>
      <w:pPr>
        <w:pStyle w:val="13"/>
        <w:adjustRightInd w:val="0"/>
        <w:snapToGrid w:val="0"/>
        <w:spacing w:before="0" w:line="440" w:lineRule="exact"/>
        <w:jc w:val="left"/>
        <w:rPr>
          <w:rFonts w:hint="default" w:eastAsia="仿宋"/>
          <w:sz w:val="24"/>
          <w:szCs w:val="24"/>
          <w:lang w:val="en-US" w:eastAsia="zh-CN"/>
        </w:rPr>
      </w:pPr>
      <w:r>
        <w:rPr>
          <w:rFonts w:hint="eastAsia"/>
          <w:sz w:val="24"/>
        </w:rPr>
        <w:t>第二部分 2021年度单位决算情况说明</w:t>
      </w:r>
      <w:r>
        <w:tab/>
      </w:r>
      <w:r>
        <w:rPr>
          <w:rFonts w:hint="eastAsia" w:ascii="Times New Roman" w:hAnsi="Times New Roman" w:eastAsia="宋体"/>
          <w:sz w:val="21"/>
          <w:szCs w:val="24"/>
          <w:lang w:val="en-US" w:eastAsia="zh-CN"/>
        </w:rPr>
        <w:t>13</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tab/>
      </w:r>
      <w:r>
        <w:rPr>
          <w:rFonts w:hint="eastAsia"/>
          <w:lang w:val="en-US" w:eastAsia="zh-CN"/>
        </w:rPr>
        <w:t>13</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tab/>
      </w:r>
      <w:r>
        <w:rPr>
          <w:rFonts w:hint="eastAsia"/>
          <w:lang w:val="en-US" w:eastAsia="zh-CN"/>
        </w:rPr>
        <w:t>13</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tab/>
      </w:r>
      <w:r>
        <w:rPr>
          <w:rFonts w:hint="eastAsia"/>
          <w:lang w:val="en-US" w:eastAsia="zh-CN"/>
        </w:rPr>
        <w:t>14</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tab/>
      </w:r>
      <w:r>
        <w:rPr>
          <w:rFonts w:hint="eastAsia"/>
          <w:lang w:val="en-US" w:eastAsia="zh-CN"/>
        </w:rPr>
        <w:t>14</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tab/>
      </w:r>
      <w:r>
        <w:rPr>
          <w:rFonts w:hint="eastAsia"/>
          <w:lang w:val="en-US" w:eastAsia="zh-CN"/>
        </w:rPr>
        <w:t>15</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tab/>
      </w:r>
      <w:r>
        <w:rPr>
          <w:rFonts w:hint="eastAsia"/>
          <w:lang w:val="en-US" w:eastAsia="zh-CN"/>
        </w:rPr>
        <w:t>17</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七、“三公”经费财政拨款支出决算情况说明</w:t>
      </w:r>
      <w:r>
        <w:tab/>
      </w:r>
      <w:r>
        <w:rPr>
          <w:rFonts w:hint="eastAsia"/>
          <w:lang w:val="en-US" w:eastAsia="zh-CN"/>
        </w:rPr>
        <w:t>18</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tab/>
      </w:r>
      <w:r>
        <w:rPr>
          <w:rFonts w:hint="eastAsia"/>
          <w:lang w:val="en-US" w:eastAsia="zh-CN"/>
        </w:rPr>
        <w:t>19</w:t>
      </w:r>
    </w:p>
    <w:p>
      <w:pPr>
        <w:pStyle w:val="14"/>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tab/>
      </w:r>
      <w:r>
        <w:rPr>
          <w:rFonts w:hint="eastAsia"/>
          <w:lang w:val="en-US" w:eastAsia="zh-CN"/>
        </w:rPr>
        <w:t>19</w:t>
      </w:r>
    </w:p>
    <w:p>
      <w:pPr>
        <w:pStyle w:val="14"/>
        <w:adjustRightInd w:val="0"/>
        <w:snapToGrid w:val="0"/>
        <w:spacing w:line="440" w:lineRule="exact"/>
        <w:jc w:val="left"/>
        <w:rPr>
          <w:rFonts w:hint="default" w:eastAsia="宋体"/>
          <w:sz w:val="24"/>
          <w:lang w:val="en-US" w:eastAsia="zh-CN"/>
        </w:rPr>
      </w:pPr>
      <w:r>
        <w:rPr>
          <w:rFonts w:hint="eastAsia"/>
          <w:sz w:val="24"/>
        </w:rPr>
        <w:t>十、其他重要事项的情况说明</w:t>
      </w:r>
      <w:r>
        <w:tab/>
      </w:r>
      <w:r>
        <w:rPr>
          <w:rFonts w:hint="eastAsia"/>
          <w:lang w:val="en-US" w:eastAsia="zh-CN"/>
        </w:rPr>
        <w:t>19</w:t>
      </w:r>
    </w:p>
    <w:p>
      <w:pPr>
        <w:pStyle w:val="13"/>
        <w:adjustRightInd w:val="0"/>
        <w:snapToGrid w:val="0"/>
        <w:spacing w:before="0" w:line="440" w:lineRule="exact"/>
        <w:jc w:val="left"/>
        <w:rPr>
          <w:rFonts w:hint="default" w:eastAsia="仿宋" w:cstheme="minorBidi"/>
          <w:sz w:val="24"/>
          <w:szCs w:val="24"/>
          <w:lang w:val="en-US" w:eastAsia="zh-CN"/>
        </w:rPr>
      </w:pPr>
      <w:r>
        <w:rPr>
          <w:rFonts w:hint="eastAsia"/>
          <w:sz w:val="24"/>
        </w:rPr>
        <w:t>第三部分名词解释</w:t>
      </w:r>
      <w:r>
        <w:tab/>
      </w:r>
      <w:r>
        <w:rPr>
          <w:rFonts w:hint="eastAsia" w:ascii="Times New Roman" w:hAnsi="Times New Roman" w:eastAsia="宋体"/>
          <w:sz w:val="21"/>
          <w:szCs w:val="24"/>
          <w:lang w:val="en-US" w:eastAsia="zh-CN"/>
        </w:rPr>
        <w:t>22</w:t>
      </w:r>
    </w:p>
    <w:p>
      <w:pPr>
        <w:pStyle w:val="13"/>
        <w:adjustRightInd w:val="0"/>
        <w:snapToGrid w:val="0"/>
        <w:spacing w:before="0" w:line="440" w:lineRule="exact"/>
        <w:jc w:val="left"/>
        <w:rPr>
          <w:rFonts w:hint="default" w:eastAsia="仿宋" w:cstheme="minorBidi"/>
          <w:sz w:val="24"/>
          <w:szCs w:val="24"/>
          <w:lang w:val="en-US" w:eastAsia="zh-CN"/>
        </w:rPr>
      </w:pPr>
      <w:r>
        <w:rPr>
          <w:rFonts w:hint="eastAsia"/>
          <w:sz w:val="24"/>
        </w:rPr>
        <w:t>第四部分附件</w:t>
      </w:r>
      <w:r>
        <w:tab/>
      </w:r>
      <w:r>
        <w:rPr>
          <w:rFonts w:hint="eastAsia" w:ascii="Times New Roman" w:hAnsi="Times New Roman" w:eastAsia="宋体"/>
          <w:sz w:val="21"/>
          <w:szCs w:val="24"/>
          <w:lang w:val="en-US" w:eastAsia="zh-CN"/>
        </w:rPr>
        <w:t>25</w:t>
      </w:r>
    </w:p>
    <w:p>
      <w:pPr>
        <w:pStyle w:val="13"/>
        <w:adjustRightInd w:val="0"/>
        <w:snapToGrid w:val="0"/>
        <w:spacing w:before="0" w:line="440" w:lineRule="exact"/>
        <w:jc w:val="left"/>
        <w:rPr>
          <w:rFonts w:hint="default" w:eastAsia="仿宋" w:cstheme="minorBidi"/>
          <w:sz w:val="24"/>
          <w:szCs w:val="24"/>
          <w:lang w:val="en-US" w:eastAsia="zh-CN"/>
        </w:rPr>
      </w:pPr>
      <w:r>
        <w:rPr>
          <w:rFonts w:hint="eastAsia"/>
          <w:sz w:val="24"/>
        </w:rPr>
        <w:t>第五部分附表</w:t>
      </w:r>
      <w:r>
        <w:tab/>
      </w:r>
      <w:r>
        <w:rPr>
          <w:rFonts w:hint="eastAsia" w:ascii="Times New Roman" w:hAnsi="Times New Roman" w:eastAsia="宋体"/>
          <w:sz w:val="21"/>
          <w:szCs w:val="24"/>
          <w:lang w:val="en-US" w:eastAsia="zh-CN"/>
        </w:rPr>
        <w:t>41</w:t>
      </w:r>
      <w:bookmarkStart w:id="71" w:name="_GoBack"/>
      <w:bookmarkEnd w:id="71"/>
    </w:p>
    <w:p>
      <w:pPr>
        <w:pStyle w:val="14"/>
        <w:adjustRightInd w:val="0"/>
        <w:snapToGrid w:val="0"/>
        <w:spacing w:line="440" w:lineRule="exact"/>
        <w:jc w:val="left"/>
        <w:rPr>
          <w:sz w:val="24"/>
        </w:rPr>
      </w:pPr>
      <w:r>
        <w:rPr>
          <w:rFonts w:hint="eastAsia"/>
          <w:sz w:val="24"/>
        </w:rPr>
        <w:t>一、收入支出决算总表</w:t>
      </w:r>
      <w:r>
        <w:tab/>
      </w:r>
    </w:p>
    <w:p>
      <w:pPr>
        <w:pStyle w:val="14"/>
        <w:adjustRightInd w:val="0"/>
        <w:snapToGrid w:val="0"/>
        <w:spacing w:line="440" w:lineRule="exact"/>
        <w:jc w:val="left"/>
        <w:rPr>
          <w:sz w:val="24"/>
        </w:rPr>
      </w:pPr>
      <w:r>
        <w:rPr>
          <w:rFonts w:hint="eastAsia"/>
          <w:sz w:val="24"/>
        </w:rPr>
        <w:t>二、收入决算表</w:t>
      </w:r>
      <w:r>
        <w:tab/>
      </w:r>
    </w:p>
    <w:p>
      <w:pPr>
        <w:pStyle w:val="14"/>
        <w:adjustRightInd w:val="0"/>
        <w:snapToGrid w:val="0"/>
        <w:spacing w:line="440" w:lineRule="exact"/>
        <w:jc w:val="left"/>
        <w:rPr>
          <w:sz w:val="24"/>
        </w:rPr>
      </w:pPr>
      <w:r>
        <w:rPr>
          <w:rFonts w:hint="eastAsia"/>
          <w:sz w:val="24"/>
        </w:rPr>
        <w:t>三、支出决算表</w:t>
      </w:r>
      <w:r>
        <w:tab/>
      </w:r>
    </w:p>
    <w:p>
      <w:pPr>
        <w:pStyle w:val="14"/>
        <w:adjustRightInd w:val="0"/>
        <w:snapToGrid w:val="0"/>
        <w:spacing w:line="440" w:lineRule="exact"/>
        <w:jc w:val="left"/>
        <w:rPr>
          <w:sz w:val="24"/>
        </w:rPr>
      </w:pPr>
      <w:r>
        <w:rPr>
          <w:rFonts w:hint="eastAsia"/>
          <w:sz w:val="24"/>
        </w:rPr>
        <w:t>四、财政拨款收入支出决算总表</w:t>
      </w:r>
      <w:r>
        <w:tab/>
      </w:r>
    </w:p>
    <w:p>
      <w:pPr>
        <w:pStyle w:val="14"/>
        <w:adjustRightInd w:val="0"/>
        <w:snapToGrid w:val="0"/>
        <w:spacing w:line="440" w:lineRule="exact"/>
        <w:jc w:val="left"/>
        <w:rPr>
          <w:sz w:val="24"/>
        </w:rPr>
      </w:pPr>
      <w:r>
        <w:rPr>
          <w:rFonts w:hint="eastAsia"/>
          <w:sz w:val="24"/>
        </w:rPr>
        <w:t>五、财政拨款支出决算明细表</w:t>
      </w:r>
      <w:r>
        <w:tab/>
      </w:r>
    </w:p>
    <w:p>
      <w:pPr>
        <w:pStyle w:val="14"/>
        <w:adjustRightInd w:val="0"/>
        <w:snapToGrid w:val="0"/>
        <w:spacing w:line="440" w:lineRule="exact"/>
        <w:jc w:val="left"/>
        <w:rPr>
          <w:sz w:val="24"/>
        </w:rPr>
      </w:pPr>
      <w:r>
        <w:rPr>
          <w:rFonts w:hint="eastAsia"/>
          <w:sz w:val="24"/>
        </w:rPr>
        <w:t>六、一般公共预算财政拨款支出决算表</w:t>
      </w:r>
      <w:r>
        <w:tab/>
      </w:r>
    </w:p>
    <w:p>
      <w:pPr>
        <w:pStyle w:val="14"/>
        <w:adjustRightInd w:val="0"/>
        <w:snapToGrid w:val="0"/>
        <w:spacing w:line="440" w:lineRule="exact"/>
        <w:jc w:val="left"/>
        <w:rPr>
          <w:sz w:val="24"/>
        </w:rPr>
      </w:pPr>
      <w:r>
        <w:rPr>
          <w:rFonts w:hint="eastAsia"/>
          <w:sz w:val="24"/>
        </w:rPr>
        <w:t>七、一般公共预算财政拨款支出决算明细表</w:t>
      </w:r>
      <w:r>
        <w:tab/>
      </w:r>
    </w:p>
    <w:p>
      <w:pPr>
        <w:pStyle w:val="14"/>
        <w:adjustRightInd w:val="0"/>
        <w:snapToGrid w:val="0"/>
        <w:spacing w:line="440" w:lineRule="exact"/>
        <w:jc w:val="left"/>
        <w:rPr>
          <w:sz w:val="24"/>
        </w:rPr>
      </w:pPr>
      <w:r>
        <w:rPr>
          <w:rFonts w:hint="eastAsia"/>
          <w:sz w:val="24"/>
        </w:rPr>
        <w:t>八、一般公共预算财政拨款基本支出决算表</w:t>
      </w:r>
      <w:r>
        <w:tab/>
      </w:r>
    </w:p>
    <w:p>
      <w:pPr>
        <w:pStyle w:val="14"/>
        <w:adjustRightInd w:val="0"/>
        <w:snapToGrid w:val="0"/>
        <w:spacing w:line="440" w:lineRule="exact"/>
        <w:jc w:val="left"/>
        <w:rPr>
          <w:sz w:val="24"/>
        </w:rPr>
      </w:pPr>
      <w:r>
        <w:rPr>
          <w:rFonts w:hint="eastAsia"/>
          <w:sz w:val="24"/>
        </w:rPr>
        <w:t>九、一般公共预算财政拨款项目支出决算表</w:t>
      </w:r>
      <w:r>
        <w:tab/>
      </w:r>
    </w:p>
    <w:p>
      <w:pPr>
        <w:pStyle w:val="14"/>
        <w:adjustRightInd w:val="0"/>
        <w:snapToGrid w:val="0"/>
        <w:spacing w:line="440" w:lineRule="exact"/>
        <w:jc w:val="left"/>
        <w:rPr>
          <w:sz w:val="24"/>
        </w:rPr>
      </w:pPr>
      <w:r>
        <w:rPr>
          <w:rFonts w:hint="eastAsia"/>
          <w:sz w:val="24"/>
        </w:rPr>
        <w:t>十、一般公共预算财政拨款“三公”经费支出决算表</w:t>
      </w:r>
      <w:r>
        <w:tab/>
      </w:r>
    </w:p>
    <w:p>
      <w:pPr>
        <w:pStyle w:val="14"/>
        <w:adjustRightInd w:val="0"/>
        <w:snapToGrid w:val="0"/>
        <w:spacing w:line="440" w:lineRule="exact"/>
        <w:jc w:val="left"/>
        <w:rPr>
          <w:sz w:val="24"/>
        </w:rPr>
      </w:pPr>
      <w:r>
        <w:rPr>
          <w:rFonts w:hint="eastAsia"/>
          <w:sz w:val="24"/>
        </w:rPr>
        <w:t>十一、政府性基金预算财政拨款收入支出决算表</w:t>
      </w:r>
      <w:r>
        <w:tab/>
      </w:r>
    </w:p>
    <w:p>
      <w:pPr>
        <w:pStyle w:val="14"/>
        <w:adjustRightInd w:val="0"/>
        <w:snapToGrid w:val="0"/>
        <w:spacing w:line="440" w:lineRule="exact"/>
        <w:jc w:val="left"/>
        <w:rPr>
          <w:sz w:val="24"/>
        </w:rPr>
      </w:pPr>
      <w:r>
        <w:rPr>
          <w:rFonts w:hint="eastAsia"/>
          <w:sz w:val="24"/>
        </w:rPr>
        <w:t>十二、政府性基金预算财政拨款“三公”经费支出决算表</w:t>
      </w:r>
      <w:r>
        <w:tab/>
      </w:r>
    </w:p>
    <w:p>
      <w:pPr>
        <w:pStyle w:val="14"/>
        <w:adjustRightInd w:val="0"/>
        <w:snapToGrid w:val="0"/>
        <w:spacing w:line="440" w:lineRule="exact"/>
        <w:jc w:val="left"/>
        <w:rPr>
          <w:sz w:val="24"/>
        </w:rPr>
      </w:pPr>
      <w:r>
        <w:rPr>
          <w:rFonts w:hint="eastAsia"/>
          <w:sz w:val="24"/>
        </w:rPr>
        <w:t>十三、国有资本经营预算财政拨款收入支出决算表</w:t>
      </w:r>
      <w:r>
        <w:tab/>
      </w:r>
    </w:p>
    <w:p>
      <w:pPr>
        <w:pStyle w:val="14"/>
        <w:adjustRightInd w:val="0"/>
        <w:snapToGrid w:val="0"/>
        <w:spacing w:line="440" w:lineRule="exact"/>
        <w:jc w:val="left"/>
        <w:rPr>
          <w:sz w:val="24"/>
        </w:rPr>
      </w:pPr>
      <w:r>
        <w:rPr>
          <w:rFonts w:hint="eastAsia"/>
          <w:sz w:val="24"/>
        </w:rPr>
        <w:t>十四、国有资本经营预算财政拨款支出决算表</w:t>
      </w:r>
      <w:r>
        <w:tab/>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30"/>
          <w:rFonts w:ascii="黑体" w:hAnsi="黑体" w:eastAsia="黑体"/>
          <w:b/>
          <w:bCs w:val="0"/>
        </w:rPr>
      </w:pPr>
      <w:r>
        <w:rPr>
          <w:rFonts w:hint="eastAsia" w:ascii="黑体" w:hAnsi="黑体" w:eastAsia="黑体"/>
          <w:b w:val="0"/>
        </w:rPr>
        <w:t>第一部分 单位</w:t>
      </w:r>
      <w:r>
        <w:rPr>
          <w:rStyle w:val="30"/>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ind w:firstLine="640" w:firstLineChars="200"/>
        <w:rPr>
          <w:rStyle w:val="31"/>
          <w:rFonts w:ascii="仿宋" w:hAnsi="仿宋" w:eastAsia="仿宋"/>
          <w:b w:val="0"/>
          <w:bCs w:val="0"/>
        </w:rPr>
      </w:pPr>
      <w:bookmarkStart w:id="14" w:name="_Toc15377197"/>
      <w:bookmarkStart w:id="15" w:name="_Toc15396600"/>
      <w:r>
        <w:rPr>
          <w:rFonts w:hint="eastAsia" w:ascii="黑体" w:hAnsi="黑体" w:eastAsia="黑体"/>
          <w:b w:val="0"/>
        </w:rPr>
        <w:t>一、基</w:t>
      </w:r>
      <w:r>
        <w:rPr>
          <w:rStyle w:val="31"/>
          <w:rFonts w:hint="eastAsia" w:ascii="黑体" w:hAnsi="黑体" w:eastAsia="黑体"/>
          <w:b w:val="0"/>
          <w:bCs w:val="0"/>
        </w:rPr>
        <w:t>本职能及主要工作</w:t>
      </w:r>
    </w:p>
    <w:p>
      <w:pPr>
        <w:pStyle w:val="2"/>
        <w:adjustRightInd w:val="0"/>
        <w:snapToGrid w:val="0"/>
        <w:spacing w:before="93" w:line="600" w:lineRule="exact"/>
        <w:ind w:firstLine="675" w:firstLineChars="210"/>
        <w:outlineLvl w:val="2"/>
        <w:rPr>
          <w:rFonts w:hint="eastAsia" w:ascii="仿宋" w:hAnsi="仿宋" w:eastAsia="仿宋" w:cs="Times New Roman"/>
          <w:b/>
          <w:kern w:val="2"/>
          <w:sz w:val="32"/>
          <w:szCs w:val="32"/>
          <w:lang w:val="en-US" w:eastAsia="zh-CN" w:bidi="ar-SA"/>
        </w:rPr>
      </w:pPr>
      <w:bookmarkStart w:id="16" w:name="_Toc15377198"/>
      <w:bookmarkStart w:id="17" w:name="_Toc15378445"/>
      <w:r>
        <w:rPr>
          <w:rFonts w:hint="eastAsia" w:ascii="仿宋" w:hAnsi="仿宋" w:eastAsia="仿宋" w:cs="Times New Roman"/>
          <w:b/>
          <w:kern w:val="2"/>
          <w:sz w:val="32"/>
          <w:szCs w:val="32"/>
          <w:lang w:val="en-US" w:eastAsia="zh-CN" w:bidi="ar-SA"/>
        </w:rPr>
        <w:t>（一）主要职能。</w:t>
      </w:r>
      <w:bookmarkEnd w:id="16"/>
      <w:bookmarkEnd w:id="17"/>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贯彻执行国家有关国民经济和社会发展战略、经济体制方针政策和法律法规，拟订并组织实施全区国民经济和社会发展中长期规划和年度计划；受区政府委托向区人大作全区经济社会发展计划报告。</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统筹协调全区经济社会发展。研究分析全区经济和社会发展形势，进行宏观经济预测预警和信息引导。对发展中的重大问题和热点、难点问题，提出宏观调控对策建议，综合协调财政、金融、价格和产业政策等经济杠杆，保证全区国民经济发展规划和计划的实施。</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承担指导推进和综合协调全区经济体制改革责任。组织拟订综合性经济体制改革方案，协调有关专项经济体制改革方案，会同有关部门搞好专项经济体制改革间的衔接，组织、指导和协调综合配套改革试点和重大专项经济体制改革试点工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贯彻执行国家和省、市有关价格法律、法规和方针、政策，编制和执行价格改革、价格调整中长期规划和年度计划，组织实施年度价格总水平调控目标及价格调控措施，负责权限范围内价格的制定调整，承担行政事业性收费管理工作，负责全区价格成本调查监审、价格监测、价格认证等工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负责全区投资宏观管理和协调推进重大项目建设。拟订全社会固定资产投资总规模、投资结构的调控目标和政策措施，编制年度投资计划，安排财政性建设资金，指导和监督政策性贷款的使用方向，按规定权限审批、核准、备案或转报固定资产投资项目（企业技术改革项目除外）和资源开发利用、外资、境外投资项目。</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推进经济结构战略性调整。组织拟订全区综合性产业政策，负责协调第一、二、三产业发展重大问题，衔接平衡相关发展规划和重大政策。拟订重大产业发展规划，引导全区重大生产力合理布局，协调推进全区重大技术装备推广应用和重大产业基地建设，会同有关部门拟订服务业、现代物流业发展战略、规划和重大政策。组织拟订高技术产业发展、产业技术进步的战略规划和重大政策，推进重大科技成果产业化。</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促进城乡区域协调发展。研究分析区域经济和城镇化发展情况，组织拟订区域经济协调发展战略规划和重大政策，研究提出城镇化发展战略和统筹城乡发展的政策措施。</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8.</w:t>
      </w:r>
      <w:r>
        <w:rPr>
          <w:rFonts w:hint="eastAsia" w:ascii="仿宋_GB2312" w:hAnsi="仿宋" w:eastAsia="仿宋_GB2312"/>
          <w:sz w:val="32"/>
          <w:szCs w:val="32"/>
        </w:rPr>
        <w:t>负责重要商品的总量平衡和宏观调控。研究分析区内外市场和对外贸易运行情况，编制重要农产品、工业品和原材料进出口总量计划并监督执行。提出重要商品市场、生产要素市场的发展规划、总体布局和重大调控措施。</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9.</w:t>
      </w:r>
      <w:r>
        <w:rPr>
          <w:rFonts w:hint="eastAsia" w:ascii="仿宋_GB2312" w:hAnsi="仿宋" w:eastAsia="仿宋_GB2312"/>
          <w:sz w:val="32"/>
          <w:szCs w:val="32"/>
        </w:rPr>
        <w:t>负责全区社会发展与国民经济发展的政策衔接。组织拟订社会发展战略、总体规划和年度计划，参与拟订人口和计划生育、科学技术、教育、文化、卫生、民政等发展政策，推进社会事业建设。研究提出促进就业、调整收入分配、完善社会保障与经济协调发展的政策建议。</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10.</w:t>
      </w:r>
      <w:r>
        <w:rPr>
          <w:rFonts w:hint="eastAsia" w:ascii="仿宋_GB2312" w:hAnsi="仿宋" w:eastAsia="仿宋_GB2312"/>
          <w:sz w:val="32"/>
          <w:szCs w:val="32"/>
        </w:rPr>
        <w:t>推进可持续发展战略。负责全区节能综合协调工作，组织拟订并协调实施全区发展循环经济、能源资源节约和综合利用规划及政策措施，参与编制生态建设、环境保护规划，协调生态建设、能源资源节约和综合利用的重大问题，综合协调环保产业和清洁产业促进有关工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11.</w:t>
      </w:r>
      <w:r>
        <w:rPr>
          <w:rFonts w:hint="eastAsia" w:ascii="仿宋_GB2312" w:hAnsi="仿宋" w:eastAsia="仿宋_GB2312"/>
          <w:sz w:val="32"/>
          <w:szCs w:val="32"/>
        </w:rPr>
        <w:t>负责指导和协调全区招标投标工作。贯彻执行招标投标配套规定，核准必须进行招标投标项目的具体范围、规模标准。按照职责权限对重大建设项目建设过程中的招标投标活动实施监督检查。</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12.</w:t>
      </w:r>
      <w:r>
        <w:rPr>
          <w:rFonts w:hint="eastAsia" w:ascii="仿宋_GB2312" w:hAnsi="仿宋" w:eastAsia="仿宋_GB2312"/>
          <w:sz w:val="32"/>
          <w:szCs w:val="32"/>
        </w:rPr>
        <w:t>负责粮食流通行业管理。负责全区粮食（含食用植物油，下同）宏观调控、粮食流通管理工作；负责全区粮食流通统计和社会粮油供需平衡调查工作；负责落实地方储备粮食任务和储备粮油日常监管；负责全区粮食工业统计分析工作；负责全区粮食仓储设施和粮食流通基础设施的安全管理和粮食储藏安全工作；负责贯彻落实粮食行业食品安全法规及国家粮食质量标准，履行储备粮质量、粮食行业食品安全监管职责；负责监督指导辖区内粮油仓储单位备案管理工作；指导粮食部门安全生产工作；指导粮食综合行政执法；负责粮油库存检查；监督管理全区粮食专项扶持资金的使用；会同有关部门拟订区级储备粮财务管理制度，监督管理粮食风险基金、政策性粮食财务挂账、政策性粮食补贴资金；负责救灾物资储备、管理、调拨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13.</w:t>
      </w:r>
      <w:r>
        <w:rPr>
          <w:rFonts w:ascii="仿宋_GB2312" w:hAnsi="仿宋" w:eastAsia="仿宋_GB2312"/>
          <w:sz w:val="32"/>
          <w:szCs w:val="32"/>
        </w:rPr>
        <w:t>负责职责范围内的安全生产和职业健康、生态环境保护、审批服务便民化等工作。</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14.</w:t>
      </w:r>
      <w:r>
        <w:rPr>
          <w:rFonts w:ascii="仿宋_GB2312" w:hAnsi="仿宋" w:eastAsia="仿宋_GB2312"/>
          <w:sz w:val="32"/>
          <w:szCs w:val="32"/>
        </w:rPr>
        <w:t>完成区委、区政府交办的其他任务。</w:t>
      </w:r>
    </w:p>
    <w:bookmarkEnd w:id="14"/>
    <w:bookmarkEnd w:id="15"/>
    <w:p>
      <w:pPr>
        <w:pStyle w:val="2"/>
        <w:adjustRightInd w:val="0"/>
        <w:snapToGrid w:val="0"/>
        <w:spacing w:before="93" w:line="600" w:lineRule="exact"/>
        <w:ind w:firstLine="643" w:firstLineChars="200"/>
        <w:outlineLvl w:val="2"/>
        <w:rPr>
          <w:rFonts w:hint="eastAsia" w:ascii="仿宋" w:hAnsi="仿宋" w:eastAsia="仿宋" w:cs="Times New Roman"/>
          <w:b/>
          <w:kern w:val="2"/>
          <w:sz w:val="32"/>
          <w:szCs w:val="32"/>
          <w:lang w:val="en-US" w:eastAsia="zh-CN" w:bidi="ar-SA"/>
        </w:rPr>
      </w:pPr>
      <w:bookmarkStart w:id="18" w:name="_Toc15377199"/>
      <w:bookmarkStart w:id="19" w:name="_Toc15378446"/>
      <w:r>
        <w:rPr>
          <w:rFonts w:hint="eastAsia" w:ascii="仿宋" w:hAnsi="仿宋" w:eastAsia="仿宋" w:cs="Times New Roman"/>
          <w:b/>
          <w:kern w:val="2"/>
          <w:sz w:val="32"/>
          <w:szCs w:val="32"/>
          <w:lang w:val="en-US" w:eastAsia="zh-CN" w:bidi="ar-SA"/>
        </w:rPr>
        <w:t>（二）2021年重点工作完成情况。</w:t>
      </w:r>
      <w:bookmarkEnd w:id="18"/>
      <w:bookmarkEnd w:id="19"/>
    </w:p>
    <w:p>
      <w:pPr>
        <w:autoSpaceDE w:val="0"/>
        <w:autoSpaceDN w:val="0"/>
        <w:spacing w:line="353" w:lineRule="auto"/>
        <w:ind w:firstLine="640" w:firstLineChars="200"/>
        <w:rPr>
          <w:rFonts w:eastAsia="仿宋_GB2312"/>
          <w:bCs/>
          <w:sz w:val="32"/>
          <w:szCs w:val="32"/>
        </w:rPr>
      </w:pPr>
      <w:r>
        <w:rPr>
          <w:rFonts w:eastAsia="仿宋_GB2312"/>
          <w:bCs/>
          <w:sz w:val="32"/>
          <w:szCs w:val="32"/>
        </w:rPr>
        <w:t>202</w:t>
      </w:r>
      <w:r>
        <w:rPr>
          <w:rFonts w:hint="eastAsia" w:eastAsia="仿宋_GB2312"/>
          <w:bCs/>
          <w:sz w:val="32"/>
          <w:szCs w:val="32"/>
        </w:rPr>
        <w:t>1</w:t>
      </w:r>
      <w:r>
        <w:rPr>
          <w:rFonts w:eastAsia="仿宋_GB2312"/>
          <w:bCs/>
          <w:sz w:val="32"/>
          <w:szCs w:val="32"/>
        </w:rPr>
        <w:t>年，是“十四五”规划开局之年，也是西区开启全面建设社会主义现代化新征程的关键之年</w:t>
      </w:r>
      <w:r>
        <w:rPr>
          <w:rFonts w:hint="eastAsia" w:eastAsia="仿宋_GB2312"/>
          <w:bCs/>
          <w:sz w:val="32"/>
          <w:szCs w:val="32"/>
        </w:rPr>
        <w:t>。西</w:t>
      </w:r>
      <w:r>
        <w:rPr>
          <w:rFonts w:eastAsia="仿宋_GB2312"/>
          <w:bCs/>
          <w:sz w:val="32"/>
          <w:szCs w:val="32"/>
        </w:rPr>
        <w:t>区</w:t>
      </w:r>
      <w:r>
        <w:rPr>
          <w:rFonts w:hint="eastAsia" w:eastAsia="仿宋_GB2312"/>
          <w:bCs/>
          <w:sz w:val="32"/>
          <w:szCs w:val="32"/>
        </w:rPr>
        <w:t>发展改革</w:t>
      </w:r>
      <w:r>
        <w:rPr>
          <w:rFonts w:eastAsia="仿宋_GB2312"/>
          <w:bCs/>
          <w:sz w:val="32"/>
          <w:szCs w:val="32"/>
        </w:rPr>
        <w:t>局在区委、区政府的坚强领导下，紧密围绕市委“三个圈层”建设决策部署，认真贯彻落实区委“一二三四五”总体工作思路，</w:t>
      </w:r>
      <w:r>
        <w:rPr>
          <w:rFonts w:hint="eastAsia" w:ascii="宋体" w:hAnsi="宋体" w:cs="宋体"/>
          <w:bCs/>
          <w:sz w:val="32"/>
          <w:szCs w:val="32"/>
        </w:rPr>
        <w:t>勠</w:t>
      </w:r>
      <w:r>
        <w:rPr>
          <w:rFonts w:hint="eastAsia" w:ascii="仿宋_GB2312" w:hAnsi="仿宋_GB2312" w:eastAsia="仿宋_GB2312" w:cs="仿宋_GB2312"/>
          <w:bCs/>
          <w:sz w:val="32"/>
          <w:szCs w:val="32"/>
        </w:rPr>
        <w:t>力同心，攻坚克难，</w:t>
      </w:r>
      <w:r>
        <w:rPr>
          <w:rFonts w:eastAsia="仿宋_GB2312"/>
          <w:bCs/>
          <w:sz w:val="32"/>
          <w:szCs w:val="32"/>
        </w:rPr>
        <w:t>高质量完成</w:t>
      </w:r>
      <w:r>
        <w:rPr>
          <w:rFonts w:hint="eastAsia" w:eastAsia="仿宋_GB2312"/>
          <w:bCs/>
          <w:sz w:val="32"/>
          <w:szCs w:val="32"/>
        </w:rPr>
        <w:t>2021年</w:t>
      </w:r>
      <w:r>
        <w:rPr>
          <w:rFonts w:eastAsia="仿宋_GB2312"/>
          <w:bCs/>
          <w:sz w:val="32"/>
          <w:szCs w:val="32"/>
        </w:rPr>
        <w:t>各项工作任务</w:t>
      </w:r>
      <w:r>
        <w:rPr>
          <w:rFonts w:hint="eastAsia" w:eastAsia="仿宋_GB2312"/>
          <w:bCs/>
          <w:sz w:val="32"/>
          <w:szCs w:val="32"/>
        </w:rPr>
        <w:t>。</w:t>
      </w:r>
    </w:p>
    <w:p>
      <w:pPr>
        <w:widowControl/>
        <w:autoSpaceDE w:val="0"/>
        <w:autoSpaceDN w:val="0"/>
        <w:spacing w:line="353" w:lineRule="auto"/>
        <w:ind w:firstLine="640" w:firstLineChars="200"/>
        <w:rPr>
          <w:rFonts w:ascii="黑体" w:hAnsi="黑体" w:eastAsia="黑体" w:cs="楷体_GB2312"/>
          <w:color w:val="000000"/>
          <w:sz w:val="32"/>
          <w:szCs w:val="32"/>
        </w:rPr>
      </w:pPr>
      <w:r>
        <w:rPr>
          <w:rFonts w:hint="eastAsia" w:ascii="黑体" w:hAnsi="黑体" w:eastAsia="黑体" w:cs="楷体_GB2312"/>
          <w:color w:val="000000"/>
          <w:sz w:val="32"/>
          <w:szCs w:val="32"/>
        </w:rPr>
        <w:t>1.</w:t>
      </w:r>
      <w:r>
        <w:rPr>
          <w:rFonts w:ascii="黑体" w:hAnsi="黑体" w:eastAsia="黑体" w:cs="楷体_GB2312"/>
          <w:color w:val="000000"/>
          <w:sz w:val="32"/>
          <w:szCs w:val="32"/>
        </w:rPr>
        <w:t>目标任务完成情况</w:t>
      </w:r>
    </w:p>
    <w:p>
      <w:pPr>
        <w:autoSpaceDE w:val="0"/>
        <w:autoSpaceDN w:val="0"/>
        <w:spacing w:line="353" w:lineRule="auto"/>
        <w:ind w:firstLine="640" w:firstLineChars="200"/>
        <w:rPr>
          <w:rFonts w:hint="eastAsia" w:eastAsia="仿宋_GB2312"/>
          <w:color w:val="000000"/>
          <w:kern w:val="0"/>
          <w:sz w:val="32"/>
          <w:szCs w:val="32"/>
          <w:lang w:val="en-US" w:eastAsia="zh-CN" w:bidi="ar"/>
        </w:rPr>
      </w:pPr>
      <w:r>
        <w:rPr>
          <w:rFonts w:hint="eastAsia" w:eastAsia="仿宋_GB2312"/>
          <w:color w:val="000000"/>
          <w:kern w:val="0"/>
          <w:sz w:val="32"/>
          <w:szCs w:val="32"/>
          <w:lang w:bidi="ar"/>
        </w:rPr>
        <w:t>2021 年全区地区生产总值83.13 亿元，按可比价格计算，比上年增长7.9%。分产业看，第一产业增加值2.69 亿元，比上年增长7.3%；第二产业增加值58.84 亿元，比上年增长7.3%；第三产业增加值21.60 亿元， 比上年增长9.6% 。</w:t>
      </w:r>
      <w:r>
        <w:rPr>
          <w:rFonts w:eastAsia="仿宋_GB2312"/>
          <w:color w:val="000000"/>
          <w:kern w:val="0"/>
          <w:sz w:val="32"/>
          <w:szCs w:val="32"/>
          <w:lang w:bidi="ar"/>
        </w:rPr>
        <w:t>完成固定资产投资</w:t>
      </w:r>
      <w:r>
        <w:rPr>
          <w:rFonts w:hint="eastAsia" w:eastAsia="仿宋_GB2312"/>
          <w:color w:val="000000"/>
          <w:kern w:val="0"/>
          <w:sz w:val="32"/>
          <w:szCs w:val="32"/>
          <w:lang w:bidi="ar"/>
        </w:rPr>
        <w:t>完成投资107.9亿元，增速12.5%，全市排名第四</w:t>
      </w:r>
      <w:r>
        <w:rPr>
          <w:rFonts w:hint="eastAsia" w:eastAsia="仿宋_GB2312"/>
          <w:color w:val="000000"/>
          <w:kern w:val="0"/>
          <w:sz w:val="32"/>
          <w:szCs w:val="32"/>
          <w:lang w:eastAsia="zh-CN" w:bidi="ar"/>
        </w:rPr>
        <w:t>。</w:t>
      </w:r>
    </w:p>
    <w:p>
      <w:pPr>
        <w:widowControl/>
        <w:autoSpaceDE w:val="0"/>
        <w:autoSpaceDN w:val="0"/>
        <w:spacing w:line="353" w:lineRule="auto"/>
        <w:ind w:firstLine="640" w:firstLineChars="200"/>
        <w:rPr>
          <w:rFonts w:ascii="黑体" w:hAnsi="黑体" w:eastAsia="黑体" w:cs="楷体_GB2312"/>
          <w:color w:val="000000"/>
          <w:sz w:val="32"/>
          <w:szCs w:val="32"/>
        </w:rPr>
      </w:pPr>
      <w:r>
        <w:rPr>
          <w:rFonts w:hint="eastAsia" w:ascii="黑体" w:hAnsi="黑体" w:eastAsia="黑体" w:cs="楷体_GB2312"/>
          <w:color w:val="000000"/>
          <w:sz w:val="32"/>
          <w:szCs w:val="32"/>
        </w:rPr>
        <w:t>2.</w:t>
      </w:r>
      <w:r>
        <w:rPr>
          <w:rFonts w:ascii="黑体" w:hAnsi="黑体" w:eastAsia="黑体" w:cs="楷体_GB2312"/>
          <w:color w:val="000000"/>
          <w:sz w:val="32"/>
          <w:szCs w:val="32"/>
        </w:rPr>
        <w:t>主要成绩和特色亮点</w:t>
      </w:r>
    </w:p>
    <w:p>
      <w:pPr>
        <w:widowControl/>
        <w:autoSpaceDE w:val="0"/>
        <w:autoSpaceDN w:val="0"/>
        <w:spacing w:line="353" w:lineRule="auto"/>
        <w:ind w:firstLine="643" w:firstLineChars="200"/>
        <w:rPr>
          <w:rFonts w:hint="eastAsia" w:ascii="楷体_GB2312" w:eastAsia="楷体_GB2312"/>
          <w:b/>
          <w:color w:val="000000"/>
          <w:sz w:val="32"/>
          <w:szCs w:val="32"/>
        </w:rPr>
      </w:pPr>
      <w:r>
        <w:rPr>
          <w:rFonts w:hint="eastAsia" w:ascii="楷体_GB2312" w:eastAsia="楷体_GB2312"/>
          <w:b/>
          <w:bCs/>
          <w:sz w:val="32"/>
          <w:szCs w:val="32"/>
        </w:rPr>
        <w:t>（1）</w:t>
      </w:r>
      <w:r>
        <w:rPr>
          <w:rFonts w:hint="eastAsia" w:ascii="楷体_GB2312" w:eastAsia="楷体_GB2312"/>
          <w:b/>
          <w:sz w:val="33"/>
          <w:szCs w:val="33"/>
        </w:rPr>
        <w:t xml:space="preserve"> </w:t>
      </w:r>
      <w:r>
        <w:rPr>
          <w:rFonts w:hint="eastAsia" w:ascii="楷体_GB2312" w:eastAsia="楷体_GB2312"/>
          <w:b/>
          <w:color w:val="000000"/>
          <w:sz w:val="32"/>
          <w:szCs w:val="32"/>
        </w:rPr>
        <w:t>资金政策争取成效显著</w:t>
      </w:r>
    </w:p>
    <w:p>
      <w:pPr>
        <w:widowControl/>
        <w:autoSpaceDE w:val="0"/>
        <w:autoSpaceDN w:val="0"/>
        <w:spacing w:line="353" w:lineRule="auto"/>
        <w:ind w:firstLine="643" w:firstLineChars="200"/>
        <w:rPr>
          <w:rFonts w:hint="eastAsia" w:eastAsia="仿宋_GB2312"/>
          <w:color w:val="000000"/>
          <w:kern w:val="0"/>
          <w:sz w:val="32"/>
          <w:szCs w:val="32"/>
        </w:rPr>
      </w:pPr>
      <w:r>
        <w:rPr>
          <w:rFonts w:hint="eastAsia" w:eastAsia="仿宋_GB2312"/>
          <w:b/>
          <w:color w:val="000000"/>
          <w:kern w:val="0"/>
          <w:sz w:val="32"/>
          <w:szCs w:val="32"/>
        </w:rPr>
        <w:t>一是资金争取工作有序开展。</w:t>
      </w:r>
      <w:r>
        <w:rPr>
          <w:rFonts w:eastAsia="仿宋_GB2312"/>
          <w:color w:val="000000"/>
          <w:kern w:val="0"/>
          <w:sz w:val="32"/>
          <w:szCs w:val="32"/>
        </w:rPr>
        <w:t>2021</w:t>
      </w:r>
      <w:r>
        <w:rPr>
          <w:rFonts w:hint="eastAsia" w:eastAsia="仿宋_GB2312"/>
          <w:color w:val="000000"/>
          <w:kern w:val="0"/>
          <w:sz w:val="32"/>
          <w:szCs w:val="32"/>
        </w:rPr>
        <w:t>年，我局继续紧抓保障性安居工程配套基础设施、攀西战略资源创新开发专项资金、支持先进制造业等中央预算内资金方向，加强项目储备、加快推进项目前期工作。</w:t>
      </w:r>
      <w:r>
        <w:rPr>
          <w:rFonts w:hint="eastAsia" w:ascii="Times New Roman" w:hAnsi="Times New Roman" w:eastAsia="仿宋_GB2312" w:cs="Times New Roman"/>
          <w:color w:val="000000"/>
          <w:kern w:val="0"/>
          <w:sz w:val="32"/>
          <w:szCs w:val="32"/>
          <w:lang w:val="en-US" w:eastAsia="zh-CN"/>
        </w:rPr>
        <w:t>全年共申报17个项目，其中中央资金13项、省级资金3项、市级资金1项，获批项目11个，共计争取资金12450.31万元，全市排名第二，其中中央资金9912.31万元、省级资金2498万元、市级资金40万元。</w:t>
      </w:r>
      <w:r>
        <w:rPr>
          <w:rFonts w:hint="eastAsia" w:eastAsia="仿宋_GB2312"/>
          <w:b/>
          <w:color w:val="000000"/>
          <w:kern w:val="0"/>
          <w:sz w:val="32"/>
          <w:szCs w:val="32"/>
        </w:rPr>
        <w:t>二是政策争取工作有所突破。</w:t>
      </w:r>
      <w:r>
        <w:rPr>
          <w:rFonts w:hint="eastAsia" w:eastAsia="仿宋_GB2312"/>
          <w:color w:val="000000"/>
          <w:kern w:val="0"/>
          <w:sz w:val="32"/>
          <w:szCs w:val="32"/>
        </w:rPr>
        <w:t>紧抓全省“特色小镇”重新清理审核契机，“攀枝花市西区格里坪康复辅具特色小镇”成功纳入全省特色小镇创建清单；</w:t>
      </w:r>
      <w:r>
        <w:rPr>
          <w:rFonts w:hint="eastAsia" w:eastAsia="仿宋_GB2312"/>
          <w:bCs/>
          <w:color w:val="000000"/>
          <w:kern w:val="0"/>
          <w:sz w:val="32"/>
          <w:szCs w:val="32"/>
        </w:rPr>
        <w:t>紧抓积极应对人口老龄化工程和托育建设，配合市发展改革委完成《攀枝花市“一老一小”整体解决方案》编制工作，项目储备9个，总投资18100万元</w:t>
      </w:r>
      <w:r>
        <w:rPr>
          <w:rFonts w:hint="eastAsia" w:eastAsia="仿宋_GB2312"/>
          <w:color w:val="000000"/>
          <w:kern w:val="0"/>
          <w:sz w:val="32"/>
          <w:szCs w:val="32"/>
        </w:rPr>
        <w:t>；积极对接省、市发改委，将西区列入《四川省“十四五”特殊类型地区振兴发展规划》，经过努力，西区被成功列入老工业地区、生态退化地区、采煤沉陷区，为下一步争取更多资金和专项支持打下良好基础。</w:t>
      </w:r>
      <w:r>
        <w:rPr>
          <w:rFonts w:hint="eastAsia" w:eastAsia="仿宋_GB2312"/>
          <w:b/>
          <w:color w:val="000000"/>
          <w:kern w:val="0"/>
          <w:sz w:val="32"/>
          <w:szCs w:val="32"/>
        </w:rPr>
        <w:t>三是项目储备工作有所规范。</w:t>
      </w:r>
      <w:r>
        <w:rPr>
          <w:rFonts w:hint="eastAsia" w:eastAsia="仿宋_GB2312"/>
          <w:color w:val="000000"/>
          <w:kern w:val="0"/>
          <w:sz w:val="32"/>
          <w:szCs w:val="32"/>
        </w:rPr>
        <w:t>密切关注国家发展改革委关于“十四五”期间各类资金管理办法的修改印发工作，及时修正项目储备方向，完成污染治理和节能减碳、排水设施建设、老旧小区改造三个方向“十四五”期间项目储备28个；梳理项目储备重点领域及要求，由区政府印发《关于进一步加强重大项目储备和加快推进中央、省预算内投资项目的通知》，规范项目储备工作。</w:t>
      </w:r>
    </w:p>
    <w:p>
      <w:pPr>
        <w:autoSpaceDE w:val="0"/>
        <w:autoSpaceDN w:val="0"/>
        <w:spacing w:line="353" w:lineRule="auto"/>
        <w:ind w:firstLine="643" w:firstLineChars="200"/>
        <w:rPr>
          <w:rFonts w:hint="eastAsia" w:ascii="楷体_GB2312" w:eastAsia="楷体_GB2312"/>
          <w:b/>
          <w:bCs/>
          <w:sz w:val="32"/>
          <w:szCs w:val="32"/>
        </w:rPr>
      </w:pPr>
      <w:r>
        <w:rPr>
          <w:rFonts w:hint="eastAsia" w:ascii="楷体_GB2312" w:eastAsia="楷体_GB2312"/>
          <w:b/>
          <w:bCs/>
          <w:sz w:val="32"/>
          <w:szCs w:val="32"/>
        </w:rPr>
        <w:t>（2）重点项目建设有序推进</w:t>
      </w:r>
    </w:p>
    <w:p>
      <w:pPr>
        <w:autoSpaceDE w:val="0"/>
        <w:autoSpaceDN w:val="0"/>
        <w:spacing w:line="353" w:lineRule="auto"/>
        <w:ind w:firstLine="643" w:firstLineChars="200"/>
        <w:rPr>
          <w:rFonts w:hint="eastAsia" w:eastAsia="仿宋_GB2312"/>
          <w:bCs/>
          <w:sz w:val="32"/>
          <w:szCs w:val="32"/>
        </w:rPr>
      </w:pPr>
      <w:r>
        <w:rPr>
          <w:rFonts w:hint="eastAsia" w:eastAsia="仿宋_GB2312"/>
          <w:b/>
          <w:bCs/>
          <w:sz w:val="32"/>
          <w:szCs w:val="32"/>
        </w:rPr>
        <w:t>一是督促抓好市级重点项目。</w:t>
      </w:r>
      <w:r>
        <w:rPr>
          <w:rFonts w:hint="eastAsia" w:eastAsia="仿宋_GB2312"/>
          <w:sz w:val="32"/>
          <w:szCs w:val="32"/>
        </w:rPr>
        <w:t>草拟并以区委、区政府名义印发《攀枝花市西区重点项目调度工作实施方案》《攀枝花市西区</w:t>
      </w:r>
      <w:r>
        <w:rPr>
          <w:rFonts w:eastAsia="仿宋_GB2312"/>
          <w:sz w:val="32"/>
          <w:szCs w:val="32"/>
        </w:rPr>
        <w:t>关于建立完善重大项目协调推进机制工作方案</w:t>
      </w:r>
      <w:r>
        <w:rPr>
          <w:rFonts w:hint="eastAsia" w:eastAsia="仿宋_GB2312"/>
          <w:sz w:val="32"/>
          <w:szCs w:val="32"/>
        </w:rPr>
        <w:t>》，对重点项目实行清单管理。今年我区重点项目共36个，总投资388.95亿元，2021年计划投资23.98亿元。市级重点项目6个，总投资101.73亿元，2021年计划投资11.37亿元，</w:t>
      </w:r>
      <w:r>
        <w:rPr>
          <w:rFonts w:hint="eastAsia" w:ascii="Times New Roman" w:hAnsi="Times New Roman" w:eastAsia="仿宋_GB2312" w:cs="Times New Roman"/>
          <w:sz w:val="32"/>
          <w:szCs w:val="32"/>
          <w:lang w:val="en-US" w:eastAsia="zh-CN"/>
        </w:rPr>
        <w:t>完成投资12.64亿元，完成率111.14%。</w:t>
      </w:r>
      <w:r>
        <w:rPr>
          <w:rFonts w:hint="eastAsia" w:eastAsia="仿宋_GB2312"/>
          <w:b/>
          <w:sz w:val="32"/>
          <w:szCs w:val="32"/>
        </w:rPr>
        <w:t>二是</w:t>
      </w:r>
      <w:r>
        <w:rPr>
          <w:rFonts w:eastAsia="仿宋_GB2312"/>
          <w:b/>
          <w:sz w:val="32"/>
          <w:szCs w:val="32"/>
        </w:rPr>
        <w:t>全力以赴抓项目促投资</w:t>
      </w:r>
      <w:r>
        <w:rPr>
          <w:rFonts w:hint="eastAsia" w:eastAsia="仿宋_GB2312"/>
          <w:b/>
          <w:sz w:val="32"/>
          <w:szCs w:val="32"/>
        </w:rPr>
        <w:t>。</w:t>
      </w:r>
      <w:r>
        <w:rPr>
          <w:rFonts w:hint="eastAsia" w:eastAsia="仿宋_GB2312"/>
          <w:sz w:val="32"/>
          <w:szCs w:val="32"/>
        </w:rPr>
        <w:t>围绕全</w:t>
      </w:r>
      <w:r>
        <w:rPr>
          <w:rFonts w:eastAsia="仿宋_GB2312"/>
          <w:sz w:val="32"/>
          <w:szCs w:val="32"/>
        </w:rPr>
        <w:t>市加快建设川西南滇西北现代化区域中心城市的总目标和推动“三个圈层”联动发展的战略部署</w:t>
      </w:r>
      <w:r>
        <w:rPr>
          <w:rFonts w:hint="eastAsia" w:eastAsia="仿宋_GB2312"/>
          <w:sz w:val="32"/>
          <w:szCs w:val="32"/>
        </w:rPr>
        <w:t>以及我区“一区一城”建设目标</w:t>
      </w:r>
      <w:r>
        <w:rPr>
          <w:rFonts w:eastAsia="仿宋_GB2312"/>
          <w:sz w:val="32"/>
          <w:szCs w:val="32"/>
        </w:rPr>
        <w:t>，</w:t>
      </w:r>
      <w:r>
        <w:rPr>
          <w:rFonts w:hint="eastAsia" w:eastAsia="仿宋_GB2312"/>
          <w:sz w:val="32"/>
          <w:szCs w:val="32"/>
        </w:rPr>
        <w:t>促进投资规模稳定增长，全年新开工项目22个，续建项目86个，新投产项目20个。</w:t>
      </w:r>
      <w:r>
        <w:rPr>
          <w:rFonts w:hint="eastAsia" w:eastAsia="仿宋_GB2312"/>
          <w:b/>
          <w:sz w:val="32"/>
          <w:szCs w:val="32"/>
        </w:rPr>
        <w:t>三是有序推进</w:t>
      </w:r>
      <w:r>
        <w:rPr>
          <w:rFonts w:hint="eastAsia" w:eastAsia="仿宋_GB2312"/>
          <w:b/>
          <w:bCs/>
          <w:sz w:val="32"/>
          <w:szCs w:val="32"/>
        </w:rPr>
        <w:t>整区屋顶分布式光伏试点。</w:t>
      </w:r>
      <w:r>
        <w:rPr>
          <w:rFonts w:hint="eastAsia" w:eastAsia="仿宋_GB2312"/>
          <w:bCs/>
          <w:sz w:val="32"/>
          <w:szCs w:val="32"/>
        </w:rPr>
        <w:t>以“2030碳达峰、2060碳中和”目标为引领，聚焦“攀西工业强区”和“山水灵秀新城”建设，探索构建市级统筹、西区为主、多方合作的开发模式，加快推进屋顶分布式光伏开发试点建设。目前，已完成合作协议签订和项目备案，制定了</w:t>
      </w:r>
      <w:r>
        <w:rPr>
          <w:rFonts w:eastAsia="仿宋_GB2312"/>
          <w:bCs/>
          <w:sz w:val="32"/>
          <w:szCs w:val="32"/>
        </w:rPr>
        <w:t>屋顶光伏整</w:t>
      </w:r>
      <w:r>
        <w:rPr>
          <w:rFonts w:hint="eastAsia" w:eastAsia="仿宋_GB2312"/>
          <w:bCs/>
          <w:sz w:val="32"/>
          <w:szCs w:val="32"/>
        </w:rPr>
        <w:t>区</w:t>
      </w:r>
      <w:r>
        <w:rPr>
          <w:rFonts w:eastAsia="仿宋_GB2312"/>
          <w:bCs/>
          <w:sz w:val="32"/>
          <w:szCs w:val="32"/>
        </w:rPr>
        <w:t>推进工作专项实施</w:t>
      </w:r>
      <w:r>
        <w:rPr>
          <w:rFonts w:hint="eastAsia" w:eastAsia="仿宋_GB2312"/>
          <w:bCs/>
          <w:sz w:val="32"/>
          <w:szCs w:val="32"/>
        </w:rPr>
        <w:t>方案</w:t>
      </w:r>
      <w:r>
        <w:rPr>
          <w:rFonts w:eastAsia="仿宋_GB2312"/>
          <w:bCs/>
          <w:sz w:val="32"/>
          <w:szCs w:val="32"/>
        </w:rPr>
        <w:t>，</w:t>
      </w:r>
      <w:r>
        <w:rPr>
          <w:rFonts w:hint="eastAsia" w:eastAsia="仿宋_GB2312"/>
          <w:bCs/>
          <w:sz w:val="32"/>
          <w:szCs w:val="32"/>
        </w:rPr>
        <w:t>正在开展项目前期工作</w:t>
      </w:r>
      <w:r>
        <w:rPr>
          <w:rFonts w:eastAsia="仿宋_GB2312"/>
          <w:bCs/>
          <w:sz w:val="32"/>
          <w:szCs w:val="32"/>
        </w:rPr>
        <w:t>。</w:t>
      </w:r>
      <w:r>
        <w:rPr>
          <w:rFonts w:hint="eastAsia" w:eastAsia="仿宋_GB2312"/>
          <w:b/>
          <w:bCs/>
          <w:sz w:val="32"/>
          <w:szCs w:val="32"/>
        </w:rPr>
        <w:t>四是积极谋划重点项目用能发展空间。</w:t>
      </w:r>
      <w:r>
        <w:rPr>
          <w:rFonts w:eastAsia="仿宋_GB2312"/>
          <w:bCs/>
          <w:sz w:val="32"/>
          <w:szCs w:val="32"/>
        </w:rPr>
        <w:t>梳理</w:t>
      </w:r>
      <w:r>
        <w:rPr>
          <w:rFonts w:hint="eastAsia" w:eastAsia="仿宋_GB2312"/>
          <w:bCs/>
          <w:sz w:val="32"/>
          <w:szCs w:val="32"/>
        </w:rPr>
        <w:t>上报</w:t>
      </w:r>
      <w:r>
        <w:rPr>
          <w:rFonts w:eastAsia="仿宋_GB2312"/>
          <w:bCs/>
          <w:sz w:val="32"/>
          <w:szCs w:val="32"/>
        </w:rPr>
        <w:t>我区攀钢高炉渣提钛（</w:t>
      </w:r>
      <w:r>
        <w:rPr>
          <w:rFonts w:hint="eastAsia" w:ascii="宋体" w:hAnsi="宋体" w:cs="宋体"/>
          <w:bCs/>
          <w:sz w:val="32"/>
          <w:szCs w:val="32"/>
        </w:rPr>
        <w:t>Ⅱ</w:t>
      </w:r>
      <w:r>
        <w:rPr>
          <w:rFonts w:eastAsia="仿宋_GB2312"/>
          <w:bCs/>
          <w:sz w:val="32"/>
          <w:szCs w:val="32"/>
        </w:rPr>
        <w:t>、</w:t>
      </w:r>
      <w:r>
        <w:rPr>
          <w:rFonts w:hint="eastAsia" w:ascii="宋体" w:hAnsi="宋体" w:cs="宋体"/>
          <w:bCs/>
          <w:sz w:val="32"/>
          <w:szCs w:val="32"/>
        </w:rPr>
        <w:t>Ⅲ</w:t>
      </w:r>
      <w:r>
        <w:rPr>
          <w:rFonts w:eastAsia="仿宋_GB2312"/>
          <w:bCs/>
          <w:sz w:val="32"/>
          <w:szCs w:val="32"/>
        </w:rPr>
        <w:t>）、年产50万吨磷酸铁锂、200万吨煤系固废高值化利用、焦炉煤气制LNG制氢及新材料循环经济产业集群等8个拟建重点用能项目，能耗总量为69.2721（万吨标煤），新增能耗54.939（万吨标煤）</w:t>
      </w:r>
      <w:r>
        <w:rPr>
          <w:rFonts w:hint="eastAsia" w:eastAsia="仿宋_GB2312"/>
          <w:bCs/>
          <w:sz w:val="32"/>
          <w:szCs w:val="32"/>
        </w:rPr>
        <w:t>。</w:t>
      </w:r>
    </w:p>
    <w:p>
      <w:pPr>
        <w:autoSpaceDE w:val="0"/>
        <w:autoSpaceDN w:val="0"/>
        <w:spacing w:line="353" w:lineRule="auto"/>
        <w:ind w:firstLine="643" w:firstLineChars="200"/>
        <w:rPr>
          <w:rFonts w:hint="eastAsia" w:ascii="楷体_GB2312" w:eastAsia="楷体_GB2312"/>
          <w:b/>
          <w:bCs/>
          <w:sz w:val="32"/>
          <w:szCs w:val="32"/>
        </w:rPr>
      </w:pPr>
      <w:r>
        <w:rPr>
          <w:rFonts w:hint="eastAsia" w:ascii="楷体_GB2312" w:eastAsia="楷体_GB2312"/>
          <w:b/>
          <w:bCs/>
          <w:sz w:val="32"/>
          <w:szCs w:val="32"/>
        </w:rPr>
        <w:t>（3）</w:t>
      </w:r>
      <w:r>
        <w:rPr>
          <w:rFonts w:ascii="楷体_GB2312" w:eastAsia="楷体_GB2312"/>
          <w:b/>
          <w:bCs/>
          <w:sz w:val="32"/>
          <w:szCs w:val="32"/>
        </w:rPr>
        <w:t>粮食和救灾管理扎实有力</w:t>
      </w:r>
    </w:p>
    <w:p>
      <w:pPr>
        <w:autoSpaceDE w:val="0"/>
        <w:autoSpaceDN w:val="0"/>
        <w:spacing w:line="353" w:lineRule="auto"/>
        <w:ind w:firstLine="643" w:firstLineChars="200"/>
        <w:rPr>
          <w:rFonts w:hint="eastAsia" w:eastAsia="仿宋_GB2312"/>
          <w:color w:val="000000"/>
          <w:kern w:val="0"/>
          <w:sz w:val="32"/>
          <w:szCs w:val="32"/>
        </w:rPr>
      </w:pPr>
      <w:r>
        <w:rPr>
          <w:rFonts w:eastAsia="仿宋_GB2312"/>
          <w:b/>
          <w:bCs/>
          <w:color w:val="000000"/>
          <w:kern w:val="0"/>
          <w:sz w:val="32"/>
          <w:szCs w:val="32"/>
        </w:rPr>
        <w:t>一是</w:t>
      </w:r>
      <w:r>
        <w:rPr>
          <w:rFonts w:hint="eastAsia" w:eastAsia="仿宋_GB2312"/>
          <w:b/>
          <w:color w:val="000000"/>
          <w:kern w:val="0"/>
          <w:sz w:val="32"/>
          <w:szCs w:val="32"/>
        </w:rPr>
        <w:t>做好粮食</w:t>
      </w:r>
      <w:r>
        <w:rPr>
          <w:rFonts w:eastAsia="仿宋_GB2312"/>
          <w:b/>
          <w:color w:val="000000"/>
          <w:kern w:val="0"/>
          <w:sz w:val="32"/>
          <w:szCs w:val="32"/>
        </w:rPr>
        <w:t>储备和</w:t>
      </w:r>
      <w:r>
        <w:rPr>
          <w:rFonts w:hint="eastAsia" w:eastAsia="仿宋_GB2312"/>
          <w:b/>
          <w:color w:val="000000"/>
          <w:kern w:val="0"/>
          <w:sz w:val="32"/>
          <w:szCs w:val="32"/>
        </w:rPr>
        <w:t>轮换</w:t>
      </w:r>
      <w:r>
        <w:rPr>
          <w:rFonts w:eastAsia="仿宋_GB2312"/>
          <w:b/>
          <w:color w:val="000000"/>
          <w:kern w:val="0"/>
          <w:sz w:val="32"/>
          <w:szCs w:val="32"/>
        </w:rPr>
        <w:t>任务。</w:t>
      </w:r>
      <w:r>
        <w:rPr>
          <w:rFonts w:eastAsia="仿宋_GB2312"/>
          <w:color w:val="000000"/>
          <w:kern w:val="0"/>
          <w:sz w:val="32"/>
          <w:szCs w:val="32"/>
        </w:rPr>
        <w:t>我区现有政策性储备原粮4510吨，其中小麦2010吨，稻谷2500吨。</w:t>
      </w:r>
      <w:r>
        <w:rPr>
          <w:rFonts w:hint="eastAsia" w:eastAsia="仿宋_GB2312"/>
          <w:color w:val="000000"/>
          <w:kern w:val="0"/>
          <w:sz w:val="32"/>
          <w:szCs w:val="32"/>
        </w:rPr>
        <w:t>今年已完成</w:t>
      </w:r>
      <w:r>
        <w:rPr>
          <w:rFonts w:eastAsia="仿宋_GB2312"/>
          <w:color w:val="000000"/>
          <w:kern w:val="0"/>
          <w:sz w:val="32"/>
          <w:szCs w:val="32"/>
        </w:rPr>
        <w:t>1293.56吨</w:t>
      </w:r>
      <w:r>
        <w:rPr>
          <w:rFonts w:hint="eastAsia" w:eastAsia="仿宋_GB2312"/>
          <w:color w:val="000000"/>
          <w:kern w:val="0"/>
          <w:sz w:val="32"/>
          <w:szCs w:val="32"/>
        </w:rPr>
        <w:t>区级政策性储备小麦轮换任务。</w:t>
      </w:r>
      <w:r>
        <w:rPr>
          <w:rFonts w:hint="eastAsia" w:eastAsia="仿宋_GB2312"/>
          <w:b/>
          <w:bCs/>
          <w:color w:val="000000"/>
          <w:kern w:val="0"/>
          <w:sz w:val="32"/>
          <w:szCs w:val="32"/>
        </w:rPr>
        <w:t>二是</w:t>
      </w:r>
      <w:r>
        <w:rPr>
          <w:rFonts w:hint="eastAsia" w:eastAsia="仿宋_GB2312"/>
          <w:b/>
          <w:color w:val="000000"/>
          <w:kern w:val="0"/>
          <w:sz w:val="32"/>
          <w:szCs w:val="32"/>
        </w:rPr>
        <w:t>做好应急物资库房建设工作。</w:t>
      </w:r>
      <w:r>
        <w:rPr>
          <w:rFonts w:hint="eastAsia" w:eastAsia="仿宋_GB2312"/>
          <w:color w:val="000000"/>
          <w:kern w:val="0"/>
          <w:sz w:val="32"/>
          <w:szCs w:val="32"/>
        </w:rPr>
        <w:t>因现有应急物资库房面积小、地点分散、存在安全隐患等原因，需新建区救灾物资库房，今年7月启动了区救灾物资库房改造建设工作，新库房已于8月建成并投入使用，有效改善了应急物资储备条件。</w:t>
      </w:r>
      <w:r>
        <w:rPr>
          <w:rFonts w:hint="eastAsia" w:eastAsia="仿宋_GB2312"/>
          <w:b/>
          <w:bCs/>
          <w:color w:val="000000"/>
          <w:kern w:val="0"/>
          <w:sz w:val="32"/>
          <w:szCs w:val="32"/>
        </w:rPr>
        <w:t>三是</w:t>
      </w:r>
      <w:r>
        <w:rPr>
          <w:rFonts w:hint="eastAsia" w:eastAsia="仿宋_GB2312"/>
          <w:b/>
          <w:color w:val="000000"/>
          <w:kern w:val="0"/>
          <w:sz w:val="32"/>
          <w:szCs w:val="32"/>
        </w:rPr>
        <w:t>做好物资储备工作。</w:t>
      </w:r>
      <w:r>
        <w:rPr>
          <w:rFonts w:hint="eastAsia" w:eastAsia="仿宋_GB2312"/>
          <w:b/>
          <w:bCs/>
          <w:color w:val="000000"/>
          <w:kern w:val="0"/>
          <w:sz w:val="32"/>
          <w:szCs w:val="32"/>
        </w:rPr>
        <w:t>防疫物资储备方面，</w:t>
      </w:r>
      <w:r>
        <w:rPr>
          <w:rFonts w:hint="eastAsia" w:eastAsia="仿宋_GB2312"/>
          <w:color w:val="000000"/>
          <w:kern w:val="0"/>
          <w:sz w:val="32"/>
          <w:szCs w:val="32"/>
        </w:rPr>
        <w:t>及时跟踪掌握全区防疫物资使用和需求情况，严格按照30天预估使用量的标准采购和储备防疫物资，今年采购了近8万元防疫物资，已陆续调配到疫情防控单位。</w:t>
      </w:r>
      <w:r>
        <w:rPr>
          <w:rFonts w:hint="eastAsia" w:eastAsia="仿宋_GB2312"/>
          <w:b/>
          <w:bCs/>
          <w:color w:val="000000"/>
          <w:kern w:val="0"/>
          <w:sz w:val="32"/>
          <w:szCs w:val="32"/>
        </w:rPr>
        <w:t>应急物资储备方面，</w:t>
      </w:r>
      <w:r>
        <w:rPr>
          <w:rFonts w:hint="eastAsia" w:eastAsia="仿宋_GB2312"/>
          <w:color w:val="000000"/>
          <w:kern w:val="0"/>
          <w:sz w:val="32"/>
          <w:szCs w:val="32"/>
        </w:rPr>
        <w:t>库房内存储的物资大部分都是原区民政局和区应急管理局移交的存储年限在十年以上老旧物资，基本都已无法使用。今年7月，报区政府批准，采购了近30万元的应急救灾物资（包括帐篷、棉被、弹簧床、雨衣等），有效提升了应急保障能力。</w:t>
      </w:r>
    </w:p>
    <w:p>
      <w:pPr>
        <w:autoSpaceDE w:val="0"/>
        <w:autoSpaceDN w:val="0"/>
        <w:spacing w:line="353" w:lineRule="auto"/>
        <w:ind w:firstLine="643" w:firstLineChars="200"/>
        <w:rPr>
          <w:rFonts w:hint="eastAsia" w:ascii="楷体_GB2312" w:eastAsia="楷体_GB2312"/>
          <w:b/>
          <w:bCs/>
          <w:sz w:val="32"/>
          <w:szCs w:val="32"/>
        </w:rPr>
      </w:pPr>
      <w:r>
        <w:rPr>
          <w:rFonts w:hint="eastAsia" w:ascii="楷体_GB2312" w:eastAsia="楷体_GB2312"/>
          <w:b/>
          <w:bCs/>
          <w:sz w:val="32"/>
          <w:szCs w:val="32"/>
        </w:rPr>
        <w:t>（4）</w:t>
      </w:r>
      <w:r>
        <w:rPr>
          <w:rFonts w:ascii="楷体_GB2312" w:eastAsia="楷体_GB2312"/>
          <w:b/>
          <w:bCs/>
          <w:sz w:val="32"/>
          <w:szCs w:val="32"/>
        </w:rPr>
        <w:t>物价</w:t>
      </w:r>
      <w:r>
        <w:rPr>
          <w:rFonts w:hint="eastAsia" w:ascii="楷体_GB2312" w:eastAsia="楷体_GB2312"/>
          <w:b/>
          <w:bCs/>
          <w:sz w:val="32"/>
          <w:szCs w:val="32"/>
        </w:rPr>
        <w:t>和</w:t>
      </w:r>
      <w:r>
        <w:rPr>
          <w:rFonts w:ascii="楷体_GB2312" w:eastAsia="楷体_GB2312"/>
          <w:b/>
          <w:bCs/>
          <w:sz w:val="32"/>
          <w:szCs w:val="32"/>
        </w:rPr>
        <w:t>行政审批提质增效</w:t>
      </w:r>
    </w:p>
    <w:p>
      <w:pPr>
        <w:autoSpaceDE w:val="0"/>
        <w:autoSpaceDN w:val="0"/>
        <w:spacing w:line="353" w:lineRule="auto"/>
        <w:ind w:firstLine="640" w:firstLineChars="200"/>
        <w:rPr>
          <w:rFonts w:hint="eastAsia" w:eastAsia="仿宋_GB2312"/>
          <w:color w:val="000000"/>
          <w:kern w:val="0"/>
          <w:sz w:val="32"/>
          <w:szCs w:val="32"/>
        </w:rPr>
      </w:pPr>
      <w:r>
        <w:rPr>
          <w:rFonts w:hint="eastAsia" w:eastAsia="仿宋_GB2312"/>
          <w:color w:val="000000"/>
          <w:kern w:val="0"/>
          <w:sz w:val="32"/>
          <w:szCs w:val="32"/>
        </w:rPr>
        <w:t>截至目前，</w:t>
      </w:r>
      <w:r>
        <w:rPr>
          <w:rFonts w:eastAsia="仿宋_GB2312"/>
          <w:color w:val="000000"/>
          <w:kern w:val="0"/>
          <w:sz w:val="32"/>
          <w:szCs w:val="32"/>
        </w:rPr>
        <w:t>共受理各类价格鉴定</w:t>
      </w:r>
      <w:r>
        <w:rPr>
          <w:rFonts w:hint="eastAsia" w:eastAsia="仿宋_GB2312"/>
          <w:color w:val="000000"/>
          <w:kern w:val="0"/>
          <w:sz w:val="32"/>
          <w:szCs w:val="32"/>
        </w:rPr>
        <w:t>35</w:t>
      </w:r>
      <w:r>
        <w:rPr>
          <w:rFonts w:eastAsia="仿宋_GB2312"/>
          <w:color w:val="000000"/>
          <w:kern w:val="0"/>
          <w:sz w:val="32"/>
          <w:szCs w:val="32"/>
        </w:rPr>
        <w:t>件</w:t>
      </w:r>
      <w:r>
        <w:rPr>
          <w:rFonts w:hint="eastAsia" w:eastAsia="仿宋_GB2312"/>
          <w:color w:val="000000"/>
          <w:kern w:val="0"/>
          <w:sz w:val="32"/>
          <w:szCs w:val="32"/>
        </w:rPr>
        <w:t>、</w:t>
      </w:r>
      <w:r>
        <w:rPr>
          <w:rFonts w:eastAsia="仿宋_GB2312"/>
          <w:color w:val="000000"/>
          <w:kern w:val="0"/>
          <w:sz w:val="32"/>
          <w:szCs w:val="32"/>
        </w:rPr>
        <w:t>鉴定标的总额</w:t>
      </w:r>
      <w:r>
        <w:rPr>
          <w:rFonts w:hint="eastAsia" w:eastAsia="仿宋_GB2312"/>
          <w:color w:val="000000"/>
          <w:kern w:val="0"/>
          <w:sz w:val="32"/>
          <w:szCs w:val="32"/>
        </w:rPr>
        <w:t>520.89</w:t>
      </w:r>
      <w:r>
        <w:rPr>
          <w:rFonts w:eastAsia="仿宋_GB2312"/>
          <w:color w:val="000000"/>
          <w:kern w:val="0"/>
          <w:sz w:val="32"/>
          <w:szCs w:val="32"/>
        </w:rPr>
        <w:t>万元</w:t>
      </w:r>
      <w:r>
        <w:rPr>
          <w:rFonts w:hint="eastAsia" w:eastAsia="仿宋_GB2312"/>
          <w:color w:val="000000"/>
          <w:kern w:val="0"/>
          <w:sz w:val="32"/>
          <w:szCs w:val="32"/>
        </w:rPr>
        <w:t>，审批政府投资项目7个、总投资10725万元，已备案企业投资项目37个、总投资35.65亿元，开展招投标活动4次、招标控制总价2070万元、中标总价1920万元、节资率7%。制定印发《攀枝花市西区区本级行政审批中介服务事项清单》、《攀枝花市西区2021年“营商环境优化提升”目标责任清单》，修订《攀枝花市西区政府投资项目管理办法（2021年版）》。对部门职责分工和决策程序进行优化和细化，规范计划外项目报批的条件要求和决策程序，进一步明确不同项目的审批管理权限、不可抗力因素导致的项目概算调整办理程序和违规超概算的处理程序等内容。持续深化工程招投标领域突出问题系统治理，按照2021年度工作安排，对2019年以来的30个依法必须招标项目按照20%的比例开展项目核查。截至目前核查项目6个，发现问题项目4个，其中3个已责令立即整改或限期整改；1个涉嫌违法分包，</w:t>
      </w:r>
      <w:r>
        <w:rPr>
          <w:rFonts w:eastAsia="仿宋_GB2312"/>
          <w:color w:val="000000"/>
          <w:kern w:val="0"/>
          <w:sz w:val="32"/>
          <w:szCs w:val="32"/>
        </w:rPr>
        <w:t>已移送区综合执法局立案查处</w:t>
      </w:r>
      <w:r>
        <w:rPr>
          <w:rFonts w:hint="eastAsia" w:eastAsia="仿宋_GB2312"/>
          <w:color w:val="000000"/>
          <w:kern w:val="0"/>
          <w:sz w:val="32"/>
          <w:szCs w:val="32"/>
        </w:rPr>
        <w:t>。</w:t>
      </w:r>
    </w:p>
    <w:p>
      <w:pPr>
        <w:autoSpaceDE w:val="0"/>
        <w:autoSpaceDN w:val="0"/>
        <w:spacing w:line="353" w:lineRule="auto"/>
        <w:ind w:firstLine="643" w:firstLineChars="200"/>
        <w:rPr>
          <w:rFonts w:hint="eastAsia" w:ascii="楷体_GB2312" w:eastAsia="楷体_GB2312"/>
          <w:b/>
          <w:bCs/>
          <w:sz w:val="32"/>
          <w:szCs w:val="32"/>
        </w:rPr>
      </w:pPr>
      <w:r>
        <w:rPr>
          <w:rFonts w:hint="eastAsia" w:ascii="楷体_GB2312" w:eastAsia="楷体_GB2312"/>
          <w:b/>
          <w:bCs/>
          <w:sz w:val="32"/>
          <w:szCs w:val="32"/>
        </w:rPr>
        <w:t>（5）</w:t>
      </w:r>
      <w:r>
        <w:rPr>
          <w:rFonts w:ascii="楷体_GB2312" w:eastAsia="楷体_GB2312"/>
          <w:b/>
          <w:bCs/>
          <w:sz w:val="32"/>
          <w:szCs w:val="32"/>
        </w:rPr>
        <w:t>康养产业发展有序推进</w:t>
      </w:r>
    </w:p>
    <w:p>
      <w:pPr>
        <w:pStyle w:val="2"/>
        <w:spacing w:before="93"/>
        <w:ind w:firstLine="643" w:firstLineChars="200"/>
        <w:rPr>
          <w:rFonts w:hint="eastAsia" w:eastAsia="仿宋_GB2312"/>
          <w:color w:val="000000"/>
          <w:kern w:val="0"/>
          <w:sz w:val="32"/>
          <w:szCs w:val="32"/>
        </w:rPr>
      </w:pPr>
      <w:r>
        <w:rPr>
          <w:rFonts w:hint="eastAsia" w:eastAsia="仿宋_GB2312"/>
          <w:b/>
          <w:bCs/>
          <w:color w:val="000000"/>
          <w:kern w:val="0"/>
          <w:sz w:val="32"/>
          <w:szCs w:val="32"/>
        </w:rPr>
        <w:t>一是</w:t>
      </w:r>
      <w:r>
        <w:rPr>
          <w:rFonts w:hint="eastAsia" w:eastAsia="仿宋_GB2312"/>
          <w:color w:val="000000"/>
          <w:kern w:val="0"/>
          <w:sz w:val="32"/>
          <w:szCs w:val="32"/>
        </w:rPr>
        <w:t>编制完成的《攀枝花市西区康养进社区、进乡村专项工作方案》，被区乡镇行政区划和村级建制调整改革“后半篇”文章专项工作领导小组纳入《优化乡镇机构编制资源配置实施方案》等22 个专项工作方案。</w:t>
      </w:r>
      <w:r>
        <w:rPr>
          <w:rFonts w:hint="eastAsia" w:eastAsia="仿宋_GB2312"/>
          <w:b/>
          <w:bCs/>
          <w:color w:val="000000"/>
          <w:kern w:val="0"/>
          <w:sz w:val="32"/>
          <w:szCs w:val="32"/>
        </w:rPr>
        <w:t>二是</w:t>
      </w:r>
      <w:r>
        <w:rPr>
          <w:rFonts w:hint="eastAsia" w:eastAsia="仿宋_GB2312"/>
          <w:color w:val="000000"/>
          <w:kern w:val="0"/>
          <w:sz w:val="32"/>
          <w:szCs w:val="32"/>
        </w:rPr>
        <w:t>做好康养项目统筹协调，配合区文广旅局推进“雅阁居”项目开展；积极协同区住房城乡建设局，督促山东鲁桥建设公司完成关于大水井新区的规划设计，启动“水韵金沙”康养城项目。</w:t>
      </w:r>
      <w:r>
        <w:rPr>
          <w:rFonts w:hint="eastAsia" w:eastAsia="仿宋_GB2312"/>
          <w:b/>
          <w:bCs/>
          <w:color w:val="000000"/>
          <w:kern w:val="0"/>
          <w:sz w:val="32"/>
          <w:szCs w:val="32"/>
        </w:rPr>
        <w:t>三是</w:t>
      </w:r>
      <w:r>
        <w:rPr>
          <w:rFonts w:hint="eastAsia" w:eastAsia="仿宋_GB2312"/>
          <w:color w:val="000000"/>
          <w:kern w:val="0"/>
          <w:sz w:val="32"/>
          <w:szCs w:val="32"/>
        </w:rPr>
        <w:t>做好攀西医养康复示范中心申报市级科研项目，“构建医养结合日间照料+智慧家服务新模式”。目前蓝湖社区、金林社区、宝鼎社区3个智慧康养工作室已建成并投入使用，已为12000余人次提供康养服务。</w:t>
      </w:r>
      <w:r>
        <w:rPr>
          <w:rFonts w:hint="eastAsia" w:eastAsia="仿宋_GB2312"/>
          <w:b/>
          <w:bCs/>
          <w:color w:val="000000"/>
          <w:kern w:val="0"/>
          <w:sz w:val="32"/>
          <w:szCs w:val="32"/>
        </w:rPr>
        <w:t>四是</w:t>
      </w:r>
      <w:r>
        <w:rPr>
          <w:rFonts w:hint="eastAsia" w:eastAsia="仿宋_GB2312"/>
          <w:color w:val="000000"/>
          <w:kern w:val="0"/>
          <w:sz w:val="32"/>
          <w:szCs w:val="32"/>
        </w:rPr>
        <w:t>制定《西区关于推进攀枝花市康养产业宣传营销“擂台赛”活动的实施方案》，积极开展“擂台赛”项目推进情况报送工作。</w:t>
      </w:r>
    </w:p>
    <w:p>
      <w:pPr>
        <w:pStyle w:val="4"/>
        <w:ind w:firstLine="640" w:firstLineChars="200"/>
        <w:rPr>
          <w:rStyle w:val="31"/>
          <w:b w:val="0"/>
          <w:bCs w:val="0"/>
        </w:rPr>
      </w:pPr>
      <w:bookmarkStart w:id="20" w:name="_Toc15396601"/>
      <w:bookmarkStart w:id="21" w:name="_Toc15377200"/>
      <w:r>
        <w:rPr>
          <w:rFonts w:hint="eastAsia" w:ascii="黑体" w:eastAsia="黑体"/>
          <w:b w:val="0"/>
        </w:rPr>
        <w:t>二、</w:t>
      </w:r>
      <w:r>
        <w:rPr>
          <w:rFonts w:hint="eastAsia" w:ascii="黑体" w:hAnsi="黑体" w:eastAsia="黑体"/>
          <w:b w:val="0"/>
        </w:rPr>
        <w:t>机</w:t>
      </w:r>
      <w:r>
        <w:rPr>
          <w:rStyle w:val="31"/>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_GB2312" w:hAnsi="仿宋" w:eastAsia="仿宋_GB2312"/>
          <w:sz w:val="32"/>
          <w:szCs w:val="32"/>
        </w:rPr>
        <w:t>攀枝花市西区</w:t>
      </w:r>
      <w:r>
        <w:rPr>
          <w:rFonts w:hint="eastAsia" w:ascii="仿宋_GB2312" w:hAnsi="仿宋" w:eastAsia="仿宋_GB2312"/>
          <w:sz w:val="32"/>
          <w:szCs w:val="32"/>
          <w:lang w:eastAsia="zh-CN"/>
        </w:rPr>
        <w:t>发展和改革局</w:t>
      </w:r>
      <w:r>
        <w:rPr>
          <w:rFonts w:hint="eastAsia" w:ascii="仿宋" w:hAnsi="仿宋" w:eastAsia="仿宋"/>
          <w:sz w:val="32"/>
          <w:szCs w:val="32"/>
        </w:rPr>
        <w:t>下属二级单位</w:t>
      </w:r>
      <w:r>
        <w:rPr>
          <w:rFonts w:hint="eastAsia" w:ascii="仿宋" w:hAnsi="仿宋" w:eastAsia="仿宋"/>
          <w:sz w:val="32"/>
          <w:szCs w:val="32"/>
          <w:lang w:val="en-US" w:eastAsia="zh-CN"/>
        </w:rPr>
        <w:t>2</w:t>
      </w:r>
      <w:r>
        <w:rPr>
          <w:rFonts w:hint="eastAsia" w:ascii="仿宋" w:hAnsi="仿宋" w:eastAsia="仿宋"/>
          <w:sz w:val="32"/>
          <w:szCs w:val="32"/>
        </w:rPr>
        <w:t>个，其中行政单位0个，参照公务员法管理的事业单位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2</w:t>
      </w:r>
      <w:r>
        <w:rPr>
          <w:rFonts w:hint="eastAsia" w:ascii="仿宋" w:hAnsi="仿宋" w:eastAsia="仿宋"/>
          <w:sz w:val="32"/>
          <w:szCs w:val="32"/>
        </w:rPr>
        <w:t>个。</w:t>
      </w:r>
    </w:p>
    <w:p>
      <w:pPr>
        <w:pStyle w:val="2"/>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w:t>
      </w:r>
      <w:r>
        <w:rPr>
          <w:rFonts w:hint="eastAsia" w:hAnsi="仿宋"/>
          <w:sz w:val="32"/>
          <w:szCs w:val="32"/>
        </w:rPr>
        <w:t>攀枝花市西区</w:t>
      </w:r>
      <w:r>
        <w:rPr>
          <w:rFonts w:hint="eastAsia" w:hAnsi="仿宋"/>
          <w:sz w:val="32"/>
          <w:szCs w:val="32"/>
          <w:lang w:eastAsia="zh-CN"/>
        </w:rPr>
        <w:t>发展和改革局</w:t>
      </w:r>
      <w:r>
        <w:rPr>
          <w:rFonts w:hint="eastAsia" w:ascii="仿宋" w:hAnsi="仿宋" w:eastAsia="仿宋"/>
          <w:sz w:val="32"/>
          <w:szCs w:val="32"/>
        </w:rPr>
        <w:t>2021年度部门决算编制范围的二级预算单位包括：</w:t>
      </w:r>
    </w:p>
    <w:p>
      <w:pPr>
        <w:pStyle w:val="2"/>
        <w:numPr>
          <w:ilvl w:val="0"/>
          <w:numId w:val="1"/>
        </w:numPr>
        <w:adjustRightInd w:val="0"/>
        <w:snapToGrid w:val="0"/>
        <w:spacing w:before="93" w:line="600" w:lineRule="exact"/>
        <w:outlineLvl w:val="2"/>
        <w:rPr>
          <w:rFonts w:ascii="仿宋" w:hAnsi="仿宋" w:eastAsia="仿宋"/>
          <w:sz w:val="32"/>
          <w:szCs w:val="32"/>
        </w:rPr>
      </w:pPr>
      <w:r>
        <w:rPr>
          <w:rFonts w:hint="eastAsia" w:hAnsi="仿宋"/>
          <w:sz w:val="32"/>
          <w:szCs w:val="32"/>
          <w:lang w:eastAsia="zh-CN"/>
        </w:rPr>
        <w:t>攀枝花市西区项目协调服务中心</w:t>
      </w:r>
    </w:p>
    <w:p>
      <w:pPr>
        <w:pStyle w:val="2"/>
        <w:numPr>
          <w:ilvl w:val="0"/>
          <w:numId w:val="1"/>
        </w:numPr>
        <w:adjustRightInd w:val="0"/>
        <w:snapToGrid w:val="0"/>
        <w:spacing w:before="93" w:line="600" w:lineRule="exact"/>
        <w:outlineLvl w:val="2"/>
        <w:rPr>
          <w:rFonts w:ascii="仿宋" w:hAnsi="仿宋" w:eastAsia="仿宋"/>
          <w:sz w:val="32"/>
          <w:szCs w:val="32"/>
        </w:rPr>
      </w:pPr>
      <w:r>
        <w:rPr>
          <w:rFonts w:hint="eastAsia" w:ascii="仿宋" w:hAnsi="仿宋" w:eastAsia="仿宋"/>
          <w:sz w:val="32"/>
          <w:szCs w:val="32"/>
          <w:lang w:eastAsia="zh-CN"/>
        </w:rPr>
        <w:t>攀枝花市西区价格认证中心</w:t>
      </w:r>
    </w:p>
    <w:p>
      <w:pPr>
        <w:pStyle w:val="3"/>
        <w:ind w:right="440"/>
        <w:jc w:val="center"/>
        <w:rPr>
          <w:rFonts w:hint="eastAsia" w:ascii="黑体" w:hAnsi="黑体" w:eastAsia="黑体"/>
          <w:b w:val="0"/>
          <w:lang w:val="en-US" w:eastAsia="zh-CN"/>
        </w:rPr>
      </w:pPr>
      <w:bookmarkStart w:id="22" w:name="_Toc15396602"/>
      <w:bookmarkStart w:id="23" w:name="_Toc15377204"/>
      <w:r>
        <w:rPr>
          <w:rFonts w:hint="eastAsia" w:ascii="黑体" w:hAnsi="黑体" w:eastAsia="黑体"/>
          <w:b w:val="0"/>
          <w:lang w:val="en-US" w:eastAsia="zh-CN"/>
        </w:rPr>
        <w:t xml:space="preserve"> </w:t>
      </w:r>
    </w:p>
    <w:p>
      <w:pPr>
        <w:pStyle w:val="3"/>
        <w:ind w:right="440"/>
        <w:jc w:val="center"/>
        <w:rPr>
          <w:rFonts w:hint="eastAsia" w:ascii="黑体" w:hAnsi="黑体" w:eastAsia="黑体"/>
          <w:b w:val="0"/>
          <w:lang w:val="en-US" w:eastAsia="zh-CN"/>
        </w:rPr>
      </w:pPr>
    </w:p>
    <w:p>
      <w:pPr>
        <w:pStyle w:val="3"/>
        <w:ind w:right="440"/>
        <w:jc w:val="center"/>
        <w:rPr>
          <w:rFonts w:hint="eastAsia" w:ascii="黑体" w:hAnsi="黑体" w:eastAsia="黑体"/>
          <w:b w:val="0"/>
          <w:lang w:val="en-US" w:eastAsia="zh-CN"/>
        </w:rPr>
      </w:pPr>
    </w:p>
    <w:p>
      <w:pPr>
        <w:pStyle w:val="3"/>
        <w:ind w:right="440"/>
        <w:jc w:val="center"/>
        <w:rPr>
          <w:rFonts w:hint="eastAsia" w:ascii="黑体" w:hAnsi="黑体" w:eastAsia="黑体"/>
          <w:b w:val="0"/>
          <w:lang w:val="en-US" w:eastAsia="zh-CN"/>
        </w:rPr>
      </w:pPr>
    </w:p>
    <w:p>
      <w:pPr>
        <w:pStyle w:val="3"/>
        <w:ind w:right="440"/>
        <w:jc w:val="center"/>
        <w:rPr>
          <w:rFonts w:hint="eastAsia" w:ascii="黑体" w:hAnsi="黑体" w:eastAsia="黑体"/>
          <w:b w:val="0"/>
          <w:lang w:val="en-US" w:eastAsia="zh-CN"/>
        </w:rPr>
      </w:pPr>
    </w:p>
    <w:p>
      <w:pPr>
        <w:pStyle w:val="3"/>
        <w:ind w:right="440"/>
        <w:jc w:val="both"/>
        <w:rPr>
          <w:rFonts w:hint="eastAsia" w:ascii="黑体" w:hAnsi="黑体" w:eastAsia="黑体"/>
          <w:b w:val="0"/>
          <w:lang w:val="en-US" w:eastAsia="zh-CN"/>
        </w:rPr>
      </w:pPr>
      <w:r>
        <w:rPr>
          <w:rFonts w:hint="eastAsia" w:ascii="黑体" w:hAnsi="黑体" w:eastAsia="黑体"/>
          <w:b w:val="0"/>
          <w:lang w:val="en-US" w:eastAsia="zh-CN"/>
        </w:rPr>
        <w:t xml:space="preserve"> </w:t>
      </w:r>
      <w:bookmarkEnd w:id="22"/>
      <w:bookmarkEnd w:id="23"/>
    </w:p>
    <w:p>
      <w:pPr>
        <w:rPr>
          <w:rFonts w:hint="eastAsia" w:ascii="黑体" w:hAnsi="黑体" w:eastAsia="黑体"/>
          <w:b w:val="0"/>
          <w:lang w:val="en-US" w:eastAsia="zh-CN"/>
        </w:rPr>
      </w:pPr>
    </w:p>
    <w:p>
      <w:pPr>
        <w:pStyle w:val="2"/>
        <w:ind w:firstLine="440" w:firstLineChars="100"/>
      </w:pPr>
      <w:r>
        <w:rPr>
          <w:rStyle w:val="30"/>
          <w:rFonts w:hint="eastAsia" w:ascii="黑体" w:hAnsi="黑体" w:eastAsia="黑体" w:cstheme="minorBidi"/>
          <w:b w:val="0"/>
          <w:bCs/>
        </w:rPr>
        <w:t>第二部分 2021年度</w:t>
      </w:r>
      <w:r>
        <w:rPr>
          <w:rStyle w:val="30"/>
          <w:rFonts w:hint="eastAsia" w:ascii="黑体" w:hAnsi="黑体" w:eastAsia="黑体"/>
          <w:b w:val="0"/>
          <w:bCs/>
        </w:rPr>
        <w:t>单位决算情况说明</w:t>
      </w:r>
    </w:p>
    <w:p/>
    <w:p>
      <w:pPr>
        <w:pStyle w:val="29"/>
        <w:numPr>
          <w:ilvl w:val="0"/>
          <w:numId w:val="2"/>
        </w:numPr>
        <w:spacing w:line="600" w:lineRule="exact"/>
        <w:ind w:firstLineChars="0"/>
        <w:outlineLvl w:val="1"/>
        <w:rPr>
          <w:rStyle w:val="31"/>
          <w:rFonts w:ascii="黑体" w:hAnsi="黑体" w:eastAsia="黑体"/>
          <w:b w:val="0"/>
        </w:rPr>
      </w:pPr>
      <w:bookmarkStart w:id="24" w:name="_Toc15377205"/>
      <w:bookmarkStart w:id="25" w:name="_Toc15396603"/>
      <w:r>
        <w:rPr>
          <w:rFonts w:hint="eastAsia" w:ascii="黑体" w:hAnsi="黑体" w:eastAsia="黑体"/>
          <w:sz w:val="32"/>
          <w:szCs w:val="32"/>
        </w:rPr>
        <w:t>收</w:t>
      </w:r>
      <w:r>
        <w:rPr>
          <w:rStyle w:val="31"/>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_GB2312"/>
          <w:sz w:val="32"/>
          <w:szCs w:val="32"/>
        </w:rPr>
      </w:pPr>
      <w:r>
        <w:rPr>
          <w:rFonts w:hint="eastAsia" w:ascii="仿宋" w:hAnsi="仿宋" w:eastAsia="仿宋"/>
          <w:sz w:val="32"/>
          <w:szCs w:val="32"/>
        </w:rPr>
        <w:t>2021年度收、支总计664.9</w:t>
      </w:r>
      <w:r>
        <w:rPr>
          <w:rFonts w:hint="eastAsia" w:ascii="仿宋" w:hAnsi="仿宋" w:eastAsia="仿宋"/>
          <w:sz w:val="32"/>
          <w:szCs w:val="32"/>
          <w:lang w:val="en-US" w:eastAsia="zh-CN"/>
        </w:rPr>
        <w:t>0</w:t>
      </w:r>
      <w:r>
        <w:rPr>
          <w:rFonts w:hint="eastAsia" w:ascii="仿宋" w:hAnsi="仿宋" w:eastAsia="仿宋"/>
          <w:sz w:val="32"/>
          <w:szCs w:val="32"/>
        </w:rPr>
        <w:t>万元。与2020年相比，收、支总计各减少6</w:t>
      </w:r>
      <w:r>
        <w:rPr>
          <w:rFonts w:hint="eastAsia" w:ascii="仿宋" w:hAnsi="仿宋" w:eastAsia="仿宋"/>
          <w:sz w:val="32"/>
          <w:szCs w:val="32"/>
          <w:lang w:val="en-US" w:eastAsia="zh-CN"/>
        </w:rPr>
        <w:t>38.63</w:t>
      </w:r>
      <w:r>
        <w:rPr>
          <w:rFonts w:hint="eastAsia" w:ascii="仿宋" w:hAnsi="仿宋" w:eastAsia="仿宋"/>
          <w:sz w:val="32"/>
          <w:szCs w:val="32"/>
        </w:rPr>
        <w:t>万元，下降</w:t>
      </w:r>
      <w:r>
        <w:rPr>
          <w:rFonts w:hint="eastAsia" w:ascii="仿宋" w:hAnsi="仿宋" w:eastAsia="仿宋"/>
          <w:sz w:val="32"/>
          <w:szCs w:val="32"/>
          <w:lang w:val="en-US" w:eastAsia="zh-CN"/>
        </w:rPr>
        <w:t>49</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 w:eastAsia="仿宋_GB2312"/>
          <w:sz w:val="32"/>
          <w:szCs w:val="32"/>
        </w:rPr>
        <w:t>年初结转和结余</w:t>
      </w:r>
      <w:r>
        <w:rPr>
          <w:rFonts w:hint="eastAsia" w:ascii="仿宋_GB2312" w:hAnsi="仿宋" w:eastAsia="仿宋_GB2312"/>
          <w:sz w:val="32"/>
          <w:szCs w:val="32"/>
          <w:lang w:eastAsia="zh-CN"/>
        </w:rPr>
        <w:t>减少，</w:t>
      </w:r>
      <w:r>
        <w:rPr>
          <w:rFonts w:hint="eastAsia" w:ascii="仿宋_GB2312" w:hAnsi="仿宋" w:eastAsia="仿宋_GB2312"/>
          <w:sz w:val="32"/>
          <w:szCs w:val="32"/>
        </w:rPr>
        <w:t>收、支总计随之减少。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
        <w:spacing w:before="93"/>
        <w:rPr>
          <w:rFonts w:hint="eastAsia"/>
          <w:lang w:val="en-US" w:eastAsia="zh-CN"/>
        </w:rPr>
      </w:pPr>
      <w:r>
        <w:rPr>
          <w:rFonts w:hint="eastAsia"/>
          <w:lang w:val="en-US" w:eastAsia="zh-CN"/>
        </w:rPr>
        <w:t xml:space="preserve">   </w:t>
      </w:r>
      <w:r>
        <w:drawing>
          <wp:inline distT="0" distB="0" distL="114300" distR="114300">
            <wp:extent cx="4980305" cy="2212975"/>
            <wp:effectExtent l="0" t="0" r="3175"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4980305" cy="2212975"/>
                    </a:xfrm>
                    <a:prstGeom prst="rect">
                      <a:avLst/>
                    </a:prstGeom>
                    <a:noFill/>
                    <a:ln>
                      <a:noFill/>
                    </a:ln>
                  </pic:spPr>
                </pic:pic>
              </a:graphicData>
            </a:graphic>
          </wp:inline>
        </w:drawing>
      </w:r>
    </w:p>
    <w:p>
      <w:pPr>
        <w:pStyle w:val="29"/>
        <w:numPr>
          <w:ilvl w:val="0"/>
          <w:numId w:val="2"/>
        </w:numPr>
        <w:spacing w:line="600" w:lineRule="exact"/>
        <w:ind w:firstLineChars="0"/>
        <w:outlineLvl w:val="1"/>
        <w:rPr>
          <w:rStyle w:val="31"/>
          <w:rFonts w:ascii="黑体" w:hAnsi="黑体" w:eastAsia="黑体"/>
          <w:b w:val="0"/>
        </w:rPr>
      </w:pPr>
      <w:bookmarkStart w:id="26" w:name="_Toc15396604"/>
      <w:bookmarkStart w:id="27" w:name="_Toc15377206"/>
      <w:r>
        <w:rPr>
          <w:rFonts w:hint="eastAsia" w:ascii="黑体" w:hAnsi="黑体" w:eastAsia="黑体"/>
          <w:sz w:val="32"/>
          <w:szCs w:val="32"/>
        </w:rPr>
        <w:t>收</w:t>
      </w:r>
      <w:r>
        <w:rPr>
          <w:rStyle w:val="31"/>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21年本年收入合计581.06万元，其中：一般公共预算财政拨款收入437.74万元，占</w:t>
      </w:r>
      <w:r>
        <w:rPr>
          <w:rFonts w:hint="eastAsia" w:ascii="仿宋" w:hAnsi="仿宋" w:eastAsia="仿宋"/>
          <w:sz w:val="32"/>
          <w:szCs w:val="32"/>
          <w:lang w:val="en-US" w:eastAsia="zh-CN"/>
        </w:rPr>
        <w:t>75</w:t>
      </w:r>
      <w:r>
        <w:rPr>
          <w:rFonts w:ascii="仿宋" w:hAnsi="仿宋" w:eastAsia="仿宋"/>
          <w:sz w:val="32"/>
          <w:szCs w:val="32"/>
        </w:rPr>
        <w:t>%</w:t>
      </w:r>
      <w:r>
        <w:rPr>
          <w:rFonts w:hint="eastAsia" w:ascii="仿宋" w:hAnsi="仿宋" w:eastAsia="仿宋"/>
          <w:sz w:val="32"/>
          <w:szCs w:val="32"/>
        </w:rPr>
        <w:t>；政府性基金预算财政拨款收入143.</w:t>
      </w:r>
      <w:r>
        <w:rPr>
          <w:rFonts w:hint="eastAsia" w:ascii="仿宋" w:hAnsi="仿宋" w:eastAsia="仿宋"/>
          <w:sz w:val="32"/>
          <w:szCs w:val="32"/>
          <w:lang w:val="en-US" w:eastAsia="zh-CN"/>
        </w:rPr>
        <w:t>29</w:t>
      </w:r>
      <w:r>
        <w:rPr>
          <w:rFonts w:hint="eastAsia" w:ascii="仿宋" w:hAnsi="仿宋" w:eastAsia="仿宋"/>
          <w:sz w:val="32"/>
          <w:szCs w:val="32"/>
        </w:rPr>
        <w:t>万元，占</w:t>
      </w:r>
      <w:r>
        <w:rPr>
          <w:rFonts w:hint="eastAsia" w:ascii="仿宋" w:hAnsi="仿宋" w:eastAsia="仿宋"/>
          <w:sz w:val="32"/>
          <w:szCs w:val="32"/>
          <w:lang w:val="en-US" w:eastAsia="zh-CN"/>
        </w:rPr>
        <w:t>25</w:t>
      </w:r>
      <w:r>
        <w:rPr>
          <w:rFonts w:ascii="仿宋" w:hAnsi="仿宋" w:eastAsia="仿宋"/>
          <w:sz w:val="32"/>
          <w:szCs w:val="32"/>
        </w:rPr>
        <w:t>%</w:t>
      </w:r>
      <w:r>
        <w:rPr>
          <w:rFonts w:hint="eastAsia" w:ascii="仿宋" w:hAnsi="仿宋" w:eastAsia="仿宋"/>
          <w:sz w:val="32"/>
          <w:szCs w:val="32"/>
        </w:rPr>
        <w:t>；其他收入0.03万元，占0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w:t>
      </w:r>
    </w:p>
    <w:p>
      <w:pPr>
        <w:pStyle w:val="2"/>
        <w:spacing w:before="93"/>
        <w:rPr>
          <w:sz w:val="32"/>
          <w:szCs w:val="32"/>
        </w:rPr>
      </w:pPr>
    </w:p>
    <w:p>
      <w:pPr>
        <w:pStyle w:val="2"/>
        <w:spacing w:before="93"/>
        <w:rPr>
          <w:sz w:val="32"/>
          <w:szCs w:val="32"/>
        </w:rPr>
      </w:pPr>
    </w:p>
    <w:p>
      <w:pPr>
        <w:pStyle w:val="2"/>
        <w:spacing w:before="93"/>
        <w:rPr>
          <w:sz w:val="32"/>
          <w:szCs w:val="32"/>
        </w:rPr>
      </w:pPr>
      <w:r>
        <w:rPr>
          <w:rFonts w:hint="eastAsia"/>
          <w:lang w:val="en-US" w:eastAsia="zh-CN"/>
        </w:rPr>
        <w:t xml:space="preserve">   </w:t>
      </w:r>
      <w:r>
        <w:drawing>
          <wp:inline distT="0" distB="0" distL="114300" distR="114300">
            <wp:extent cx="4944110" cy="2322830"/>
            <wp:effectExtent l="0" t="0" r="8890" b="889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7"/>
                    <a:stretch>
                      <a:fillRect/>
                    </a:stretch>
                  </pic:blipFill>
                  <pic:spPr>
                    <a:xfrm>
                      <a:off x="0" y="0"/>
                      <a:ext cx="4944110" cy="2322830"/>
                    </a:xfrm>
                    <a:prstGeom prst="rect">
                      <a:avLst/>
                    </a:prstGeom>
                    <a:noFill/>
                    <a:ln>
                      <a:noFill/>
                    </a:ln>
                  </pic:spPr>
                </pic:pic>
              </a:graphicData>
            </a:graphic>
          </wp:inline>
        </w:drawing>
      </w:r>
    </w:p>
    <w:p>
      <w:pPr>
        <w:pStyle w:val="29"/>
        <w:numPr>
          <w:ilvl w:val="0"/>
          <w:numId w:val="2"/>
        </w:numPr>
        <w:spacing w:line="600" w:lineRule="exact"/>
        <w:ind w:firstLineChars="0"/>
        <w:outlineLvl w:val="1"/>
        <w:rPr>
          <w:rStyle w:val="31"/>
          <w:rFonts w:ascii="黑体" w:hAnsi="黑体" w:eastAsia="黑体"/>
          <w:b w:val="0"/>
        </w:rPr>
      </w:pPr>
      <w:bookmarkStart w:id="28" w:name="_Toc15396605"/>
      <w:bookmarkStart w:id="29" w:name="_Toc15377207"/>
      <w:r>
        <w:rPr>
          <w:rFonts w:hint="eastAsia" w:ascii="黑体" w:hAnsi="黑体" w:eastAsia="黑体"/>
          <w:sz w:val="32"/>
          <w:szCs w:val="32"/>
        </w:rPr>
        <w:t>支</w:t>
      </w:r>
      <w:r>
        <w:rPr>
          <w:rStyle w:val="31"/>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21年本年支出合计652.52万元，其中：基本支出434.23万元，占</w:t>
      </w:r>
      <w:r>
        <w:rPr>
          <w:rFonts w:hint="eastAsia" w:ascii="仿宋" w:hAnsi="仿宋" w:eastAsia="仿宋"/>
          <w:sz w:val="32"/>
          <w:szCs w:val="32"/>
          <w:lang w:val="en-US" w:eastAsia="zh-CN"/>
        </w:rPr>
        <w:t>67</w:t>
      </w:r>
      <w:r>
        <w:rPr>
          <w:rFonts w:ascii="仿宋" w:hAnsi="仿宋" w:eastAsia="仿宋"/>
          <w:sz w:val="32"/>
          <w:szCs w:val="32"/>
        </w:rPr>
        <w:t>%</w:t>
      </w:r>
      <w:r>
        <w:rPr>
          <w:rFonts w:hint="eastAsia" w:ascii="仿宋" w:hAnsi="仿宋" w:eastAsia="仿宋"/>
          <w:sz w:val="32"/>
          <w:szCs w:val="32"/>
        </w:rPr>
        <w:t>；项目支出218.29万元，占</w:t>
      </w:r>
      <w:r>
        <w:rPr>
          <w:rFonts w:hint="eastAsia" w:ascii="仿宋" w:hAnsi="仿宋" w:eastAsia="仿宋"/>
          <w:sz w:val="32"/>
          <w:szCs w:val="32"/>
          <w:lang w:val="en-US" w:eastAsia="zh-CN"/>
        </w:rPr>
        <w:t>33</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w:t>
      </w:r>
    </w:p>
    <w:p>
      <w:pPr>
        <w:pStyle w:val="2"/>
        <w:spacing w:before="93"/>
        <w:rPr>
          <w:sz w:val="32"/>
          <w:szCs w:val="32"/>
        </w:rPr>
      </w:pPr>
      <w:r>
        <w:rPr>
          <w:rFonts w:hint="eastAsia"/>
          <w:lang w:val="en-US" w:eastAsia="zh-CN"/>
        </w:rPr>
        <w:t xml:space="preserve">   </w:t>
      </w:r>
      <w:r>
        <w:drawing>
          <wp:inline distT="0" distB="0" distL="114300" distR="114300">
            <wp:extent cx="4949825" cy="2225040"/>
            <wp:effectExtent l="0" t="0" r="3175"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8"/>
                    <a:stretch>
                      <a:fillRect/>
                    </a:stretch>
                  </pic:blipFill>
                  <pic:spPr>
                    <a:xfrm>
                      <a:off x="0" y="0"/>
                      <a:ext cx="4949825" cy="2225040"/>
                    </a:xfrm>
                    <a:prstGeom prst="rect">
                      <a:avLst/>
                    </a:prstGeom>
                    <a:noFill/>
                    <a:ln>
                      <a:noFill/>
                    </a:ln>
                  </pic:spPr>
                </pic:pic>
              </a:graphicData>
            </a:graphic>
          </wp:inline>
        </w:drawing>
      </w:r>
    </w:p>
    <w:p>
      <w:pPr>
        <w:spacing w:line="600" w:lineRule="exact"/>
        <w:ind w:firstLine="640" w:firstLineChars="200"/>
        <w:outlineLvl w:val="1"/>
        <w:rPr>
          <w:rStyle w:val="31"/>
          <w:rFonts w:ascii="黑体" w:hAnsi="黑体" w:eastAsia="黑体"/>
          <w:b w:val="0"/>
        </w:rPr>
      </w:pPr>
      <w:bookmarkStart w:id="30" w:name="_Toc15377208"/>
      <w:bookmarkStart w:id="31" w:name="_Toc15396606"/>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21年财政拨款收、支总计664.34万元。与</w:t>
      </w:r>
      <w:r>
        <w:rPr>
          <w:rFonts w:ascii="仿宋" w:hAnsi="仿宋" w:eastAsia="仿宋"/>
          <w:sz w:val="32"/>
          <w:szCs w:val="32"/>
        </w:rPr>
        <w:t>20</w:t>
      </w:r>
      <w:r>
        <w:rPr>
          <w:rFonts w:hint="eastAsia" w:ascii="仿宋" w:hAnsi="仿宋" w:eastAsia="仿宋"/>
          <w:sz w:val="32"/>
          <w:szCs w:val="32"/>
        </w:rPr>
        <w:t>20年相比，财政拨款收、支总计各减少</w:t>
      </w:r>
      <w:r>
        <w:rPr>
          <w:rFonts w:hint="eastAsia" w:ascii="仿宋" w:hAnsi="仿宋" w:eastAsia="仿宋"/>
          <w:sz w:val="32"/>
          <w:szCs w:val="32"/>
          <w:lang w:val="en-US" w:eastAsia="zh-CN"/>
        </w:rPr>
        <w:t>635.51</w:t>
      </w:r>
      <w:r>
        <w:rPr>
          <w:rFonts w:hint="eastAsia" w:ascii="仿宋" w:hAnsi="仿宋" w:eastAsia="仿宋"/>
          <w:sz w:val="32"/>
          <w:szCs w:val="32"/>
        </w:rPr>
        <w:t>万元，下降</w:t>
      </w:r>
      <w:r>
        <w:rPr>
          <w:rFonts w:hint="eastAsia" w:ascii="仿宋" w:hAnsi="仿宋" w:eastAsia="仿宋"/>
          <w:sz w:val="32"/>
          <w:szCs w:val="32"/>
          <w:lang w:val="en-US" w:eastAsia="zh-CN"/>
        </w:rPr>
        <w:t>49</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 w:eastAsia="仿宋_GB2312"/>
          <w:sz w:val="32"/>
          <w:szCs w:val="32"/>
        </w:rPr>
        <w:t>年初结转和结余</w:t>
      </w:r>
      <w:r>
        <w:rPr>
          <w:rFonts w:hint="eastAsia" w:ascii="仿宋_GB2312" w:hAnsi="仿宋" w:eastAsia="仿宋_GB2312"/>
          <w:sz w:val="32"/>
          <w:szCs w:val="32"/>
          <w:lang w:eastAsia="zh-CN"/>
        </w:rPr>
        <w:t>减少</w:t>
      </w:r>
      <w:r>
        <w:rPr>
          <w:rFonts w:hint="eastAsia" w:ascii="仿宋_GB2312" w:hAnsi="仿宋" w:eastAsia="仿宋_GB2312"/>
          <w:sz w:val="32"/>
          <w:szCs w:val="32"/>
        </w:rPr>
        <w:t>，</w:t>
      </w:r>
      <w:r>
        <w:rPr>
          <w:rFonts w:hint="eastAsia" w:ascii="仿宋" w:hAnsi="仿宋" w:eastAsia="仿宋"/>
          <w:sz w:val="32"/>
          <w:szCs w:val="32"/>
        </w:rPr>
        <w:t>财政拨款</w:t>
      </w:r>
      <w:r>
        <w:rPr>
          <w:rFonts w:hint="eastAsia" w:ascii="仿宋_GB2312" w:hAnsi="仿宋" w:eastAsia="仿宋_GB2312"/>
          <w:sz w:val="32"/>
          <w:szCs w:val="32"/>
        </w:rPr>
        <w:t>收、支总计随之减少。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pPr>
        <w:pStyle w:val="2"/>
        <w:spacing w:before="93"/>
        <w:rPr>
          <w:rFonts w:ascii="仿宋" w:hAnsi="仿宋" w:eastAsia="仿宋"/>
          <w:b/>
          <w:sz w:val="32"/>
          <w:szCs w:val="32"/>
        </w:rPr>
      </w:pPr>
      <w:r>
        <w:rPr>
          <w:rFonts w:hint="eastAsia"/>
          <w:lang w:val="en-US" w:eastAsia="zh-CN"/>
        </w:rPr>
        <w:t xml:space="preserve">   </w:t>
      </w:r>
      <w:r>
        <w:drawing>
          <wp:inline distT="0" distB="0" distL="114300" distR="114300">
            <wp:extent cx="4931410" cy="2212975"/>
            <wp:effectExtent l="0" t="0" r="6350" b="1206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9"/>
                    <a:stretch>
                      <a:fillRect/>
                    </a:stretch>
                  </pic:blipFill>
                  <pic:spPr>
                    <a:xfrm>
                      <a:off x="0" y="0"/>
                      <a:ext cx="4931410" cy="2212975"/>
                    </a:xfrm>
                    <a:prstGeom prst="rect">
                      <a:avLst/>
                    </a:prstGeom>
                    <a:noFill/>
                    <a:ln>
                      <a:noFill/>
                    </a:ln>
                  </pic:spPr>
                </pic:pic>
              </a:graphicData>
            </a:graphic>
          </wp:inline>
        </w:drawing>
      </w:r>
    </w:p>
    <w:p>
      <w:pPr>
        <w:spacing w:line="600" w:lineRule="exact"/>
        <w:ind w:firstLine="640" w:firstLineChars="200"/>
        <w:outlineLvl w:val="1"/>
        <w:rPr>
          <w:rStyle w:val="31"/>
          <w:rFonts w:ascii="黑体" w:hAnsi="黑体" w:eastAsia="黑体"/>
          <w:b w:val="0"/>
        </w:rPr>
      </w:pPr>
      <w:bookmarkStart w:id="32" w:name="_Toc15377209"/>
      <w:bookmarkStart w:id="33" w:name="_Toc15396607"/>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21年一般公共预算财政拨款支出461.63万元，占本年支出合计的7</w:t>
      </w:r>
      <w:r>
        <w:rPr>
          <w:rFonts w:hint="eastAsia" w:ascii="仿宋" w:hAnsi="仿宋" w:eastAsia="仿宋"/>
          <w:sz w:val="32"/>
          <w:szCs w:val="32"/>
          <w:lang w:val="en-US" w:eastAsia="zh-CN"/>
        </w:rPr>
        <w:t>1</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w:t>
      </w:r>
      <w:r>
        <w:rPr>
          <w:rFonts w:hint="eastAsia" w:ascii="仿宋" w:hAnsi="仿宋" w:eastAsia="仿宋"/>
          <w:sz w:val="32"/>
          <w:szCs w:val="32"/>
          <w:lang w:val="en-US" w:eastAsia="zh-CN"/>
        </w:rPr>
        <w:t>56.67</w:t>
      </w:r>
      <w:r>
        <w:rPr>
          <w:rFonts w:hint="eastAsia" w:ascii="仿宋" w:hAnsi="仿宋" w:eastAsia="仿宋"/>
          <w:sz w:val="32"/>
          <w:szCs w:val="32"/>
        </w:rPr>
        <w:t>万元，下降</w:t>
      </w:r>
      <w:r>
        <w:rPr>
          <w:rFonts w:hint="eastAsia" w:ascii="仿宋" w:hAnsi="仿宋" w:eastAsia="仿宋"/>
          <w:sz w:val="32"/>
          <w:szCs w:val="32"/>
          <w:lang w:val="en-US" w:eastAsia="zh-CN"/>
        </w:rPr>
        <w:t>11</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 w:eastAsia="仿宋_GB2312"/>
          <w:sz w:val="32"/>
          <w:szCs w:val="32"/>
          <w:lang w:eastAsia="zh-CN"/>
        </w:rPr>
        <w:t>项目经费拨款支出减少，</w:t>
      </w:r>
      <w:r>
        <w:rPr>
          <w:rFonts w:hint="eastAsia" w:ascii="仿宋" w:hAnsi="仿宋" w:eastAsia="仿宋"/>
          <w:sz w:val="32"/>
          <w:szCs w:val="32"/>
        </w:rPr>
        <w:t>一般公共预算财政拨款</w:t>
      </w:r>
      <w:r>
        <w:rPr>
          <w:rFonts w:hint="eastAsia" w:ascii="仿宋_GB2312" w:hAnsi="仿宋" w:eastAsia="仿宋_GB2312"/>
          <w:sz w:val="32"/>
          <w:szCs w:val="32"/>
        </w:rPr>
        <w:t>支出随之减少。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pStyle w:val="2"/>
        <w:spacing w:before="93"/>
        <w:rPr>
          <w:rFonts w:ascii="仿宋" w:hAnsi="仿宋" w:eastAsia="仿宋"/>
          <w:sz w:val="32"/>
          <w:szCs w:val="32"/>
        </w:rPr>
      </w:pPr>
      <w:r>
        <w:rPr>
          <w:rFonts w:hint="eastAsia"/>
          <w:lang w:val="en-US" w:eastAsia="zh-CN"/>
        </w:rPr>
        <w:t xml:space="preserve">   </w:t>
      </w:r>
      <w:r>
        <w:drawing>
          <wp:inline distT="0" distB="0" distL="114300" distR="114300">
            <wp:extent cx="4944110" cy="2365375"/>
            <wp:effectExtent l="0" t="0" r="8890" b="1206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0"/>
                    <a:stretch>
                      <a:fillRect/>
                    </a:stretch>
                  </pic:blipFill>
                  <pic:spPr>
                    <a:xfrm>
                      <a:off x="0" y="0"/>
                      <a:ext cx="4944110" cy="2365375"/>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sz w:val="32"/>
          <w:szCs w:val="32"/>
        </w:rPr>
      </w:pPr>
      <w:bookmarkStart w:id="35" w:name="_Toc15377211"/>
      <w:r>
        <w:rPr>
          <w:rFonts w:hint="eastAsia" w:ascii="仿宋" w:hAnsi="仿宋" w:eastAsia="仿宋"/>
          <w:b/>
          <w:sz w:val="32"/>
          <w:szCs w:val="32"/>
        </w:rPr>
        <w:t>（二）一般公共预算财政拨款支出决算结构情况</w:t>
      </w:r>
      <w:bookmarkEnd w:id="35"/>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21年一般公共预算财政拨款支出461.63万元，主要用于以下方面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支出363.75万元，占</w:t>
      </w:r>
      <w:r>
        <w:rPr>
          <w:rFonts w:hint="eastAsia" w:ascii="仿宋" w:hAnsi="仿宋" w:eastAsia="仿宋"/>
          <w:sz w:val="32"/>
          <w:szCs w:val="32"/>
          <w:lang w:val="en-US" w:eastAsia="zh-CN"/>
        </w:rPr>
        <w:t>79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支出43.73万元，占</w:t>
      </w:r>
      <w:r>
        <w:rPr>
          <w:rFonts w:hint="eastAsia" w:ascii="仿宋" w:hAnsi="仿宋" w:eastAsia="仿宋"/>
          <w:sz w:val="32"/>
          <w:szCs w:val="32"/>
          <w:lang w:val="en-US" w:eastAsia="zh-CN"/>
        </w:rPr>
        <w:t>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w:t>
      </w:r>
      <w:r>
        <w:rPr>
          <w:rFonts w:hint="eastAsia" w:ascii="仿宋" w:hAnsi="仿宋" w:eastAsia="仿宋"/>
          <w:b/>
          <w:sz w:val="32"/>
          <w:szCs w:val="32"/>
        </w:rPr>
        <w:t>（类）</w:t>
      </w:r>
      <w:r>
        <w:rPr>
          <w:rFonts w:hint="eastAsia" w:ascii="仿宋" w:hAnsi="仿宋" w:eastAsia="仿宋"/>
          <w:sz w:val="32"/>
          <w:szCs w:val="32"/>
        </w:rPr>
        <w:t>支出21.45万元，占</w:t>
      </w:r>
      <w:r>
        <w:rPr>
          <w:rFonts w:hint="eastAsia" w:ascii="仿宋" w:hAnsi="仿宋" w:eastAsia="仿宋"/>
          <w:sz w:val="32"/>
          <w:szCs w:val="32"/>
          <w:lang w:val="en-US" w:eastAsia="zh-CN"/>
        </w:rPr>
        <w:t>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w:t>
      </w:r>
      <w:r>
        <w:rPr>
          <w:rFonts w:hint="eastAsia" w:ascii="仿宋" w:hAnsi="仿宋" w:eastAsia="仿宋"/>
          <w:b/>
          <w:sz w:val="32"/>
          <w:szCs w:val="32"/>
        </w:rPr>
        <w:t>（类）</w:t>
      </w:r>
      <w:r>
        <w:rPr>
          <w:rFonts w:hint="eastAsia" w:ascii="仿宋" w:hAnsi="仿宋" w:eastAsia="仿宋"/>
          <w:sz w:val="32"/>
          <w:szCs w:val="32"/>
        </w:rPr>
        <w:t>支出32.7</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7</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pStyle w:val="2"/>
        <w:spacing w:before="93"/>
        <w:rPr>
          <w:rFonts w:ascii="仿宋" w:hAnsi="仿宋" w:eastAsia="仿宋"/>
          <w:sz w:val="32"/>
          <w:szCs w:val="32"/>
        </w:rPr>
      </w:pPr>
      <w:r>
        <w:rPr>
          <w:rFonts w:hint="eastAsia"/>
          <w:lang w:val="en-US" w:eastAsia="zh-CN"/>
        </w:rPr>
        <w:t xml:space="preserve">   </w:t>
      </w:r>
      <w:r>
        <w:drawing>
          <wp:inline distT="0" distB="0" distL="114300" distR="114300">
            <wp:extent cx="4944110" cy="2255520"/>
            <wp:effectExtent l="0" t="0" r="8890" b="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1"/>
                    <a:stretch>
                      <a:fillRect/>
                    </a:stretch>
                  </pic:blipFill>
                  <pic:spPr>
                    <a:xfrm>
                      <a:off x="0" y="0"/>
                      <a:ext cx="4944110" cy="2255520"/>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sz w:val="32"/>
          <w:szCs w:val="32"/>
        </w:rPr>
      </w:pPr>
      <w:bookmarkStart w:id="36" w:name="_Toc15377212"/>
      <w:r>
        <w:rPr>
          <w:rFonts w:hint="eastAsia" w:ascii="仿宋" w:hAnsi="仿宋" w:eastAsia="仿宋"/>
          <w:b/>
          <w:sz w:val="32"/>
          <w:szCs w:val="32"/>
        </w:rPr>
        <w:t>（三）一般公共预算财政拨款支出决算具体情况</w:t>
      </w:r>
      <w:bookmarkEnd w:id="36"/>
    </w:p>
    <w:p>
      <w:pPr>
        <w:spacing w:line="600" w:lineRule="exact"/>
        <w:ind w:firstLine="643" w:firstLineChars="200"/>
        <w:outlineLvl w:val="2"/>
        <w:rPr>
          <w:rFonts w:ascii="仿宋" w:hAnsi="仿宋" w:eastAsia="仿宋"/>
          <w:sz w:val="32"/>
          <w:szCs w:val="32"/>
        </w:rPr>
      </w:pPr>
      <w:bookmarkStart w:id="37" w:name="_Toc15377444"/>
      <w:bookmarkStart w:id="38" w:name="_Toc15378460"/>
      <w:bookmarkStart w:id="39" w:name="_Toc15377213"/>
      <w:r>
        <w:rPr>
          <w:rFonts w:hint="eastAsia" w:ascii="仿宋" w:hAnsi="仿宋" w:eastAsia="仿宋"/>
          <w:b/>
          <w:sz w:val="32"/>
          <w:szCs w:val="32"/>
        </w:rPr>
        <w:t>2021年一般公共预算支出决算数为</w:t>
      </w:r>
      <w:r>
        <w:rPr>
          <w:rFonts w:hint="eastAsia" w:ascii="仿宋" w:hAnsi="仿宋" w:eastAsia="仿宋"/>
          <w:sz w:val="32"/>
          <w:szCs w:val="32"/>
        </w:rPr>
        <w:t>461.63万元，</w:t>
      </w:r>
      <w:r>
        <w:rPr>
          <w:rStyle w:val="20"/>
          <w:rFonts w:hint="eastAsia" w:ascii="仿宋" w:hAnsi="仿宋" w:eastAsia="仿宋"/>
          <w:bCs/>
          <w:sz w:val="32"/>
          <w:szCs w:val="32"/>
        </w:rPr>
        <w:t>完成预算10</w:t>
      </w:r>
      <w:r>
        <w:rPr>
          <w:rStyle w:val="20"/>
          <w:rFonts w:hint="eastAsia" w:ascii="仿宋" w:hAnsi="仿宋" w:eastAsia="仿宋"/>
          <w:bCs/>
          <w:sz w:val="32"/>
          <w:szCs w:val="32"/>
          <w:lang w:val="en-US" w:eastAsia="zh-CN"/>
        </w:rPr>
        <w:t>5</w:t>
      </w:r>
      <w:r>
        <w:rPr>
          <w:rStyle w:val="20"/>
          <w:rFonts w:ascii="仿宋" w:hAnsi="仿宋" w:eastAsia="仿宋"/>
          <w:bCs/>
          <w:sz w:val="32"/>
          <w:szCs w:val="32"/>
        </w:rPr>
        <w:t>%</w:t>
      </w:r>
      <w:r>
        <w:rPr>
          <w:rStyle w:val="20"/>
          <w:rFonts w:hint="eastAsia" w:ascii="仿宋" w:hAnsi="仿宋" w:eastAsia="仿宋"/>
          <w:bCs/>
          <w:sz w:val="32"/>
          <w:szCs w:val="32"/>
        </w:rPr>
        <w:t>。其中：</w:t>
      </w:r>
      <w:bookmarkEnd w:id="37"/>
      <w:bookmarkEnd w:id="38"/>
      <w:bookmarkEnd w:id="39"/>
    </w:p>
    <w:p>
      <w:pPr>
        <w:spacing w:line="600" w:lineRule="exact"/>
        <w:ind w:firstLine="643" w:firstLineChars="200"/>
        <w:rPr>
          <w:rFonts w:ascii="仿宋" w:hAnsi="仿宋" w:eastAsia="仿宋"/>
          <w:b/>
          <w:sz w:val="32"/>
          <w:szCs w:val="32"/>
        </w:rPr>
      </w:pPr>
      <w:r>
        <w:rPr>
          <w:rStyle w:val="20"/>
          <w:rFonts w:ascii="仿宋" w:hAnsi="仿宋" w:eastAsia="仿宋"/>
          <w:bCs/>
          <w:sz w:val="32"/>
          <w:szCs w:val="32"/>
        </w:rPr>
        <w:t>1.</w:t>
      </w:r>
      <w:r>
        <w:rPr>
          <w:rStyle w:val="20"/>
          <w:rFonts w:hint="eastAsia" w:ascii="仿宋" w:hAnsi="仿宋" w:eastAsia="仿宋"/>
          <w:bCs/>
          <w:sz w:val="32"/>
          <w:szCs w:val="32"/>
        </w:rPr>
        <w:t>一般公共服务（类）</w:t>
      </w:r>
      <w:r>
        <w:rPr>
          <w:rStyle w:val="20"/>
          <w:rFonts w:hint="eastAsia" w:ascii="仿宋" w:hAnsi="仿宋" w:eastAsia="仿宋"/>
          <w:bCs/>
          <w:color w:val="000000"/>
          <w:sz w:val="32"/>
          <w:szCs w:val="32"/>
        </w:rPr>
        <w:t>发展与改革事务（款）行政运行</w:t>
      </w:r>
      <w:r>
        <w:rPr>
          <w:rStyle w:val="20"/>
          <w:rFonts w:hint="eastAsia" w:ascii="仿宋" w:hAnsi="仿宋" w:eastAsia="仿宋"/>
          <w:bCs/>
          <w:sz w:val="32"/>
          <w:szCs w:val="32"/>
        </w:rPr>
        <w:t>（项）</w:t>
      </w:r>
      <w:r>
        <w:rPr>
          <w:rStyle w:val="20"/>
          <w:rFonts w:ascii="仿宋" w:hAnsi="仿宋" w:eastAsia="仿宋"/>
          <w:bCs/>
          <w:sz w:val="32"/>
          <w:szCs w:val="32"/>
        </w:rPr>
        <w:t>:</w:t>
      </w:r>
      <w:r>
        <w:rPr>
          <w:rStyle w:val="20"/>
          <w:rFonts w:hint="eastAsia" w:ascii="仿宋" w:hAnsi="仿宋" w:eastAsia="仿宋"/>
          <w:b w:val="0"/>
          <w:bCs/>
          <w:sz w:val="32"/>
          <w:szCs w:val="32"/>
        </w:rPr>
        <w:t>支出决算为195.78万元，完成预算100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Style w:val="20"/>
          <w:rFonts w:hint="eastAsia" w:ascii="仿宋" w:hAnsi="仿宋" w:eastAsia="仿宋"/>
          <w:bCs/>
          <w:color w:val="000000"/>
          <w:sz w:val="32"/>
          <w:szCs w:val="32"/>
        </w:rPr>
        <w:t>事业运行（项）</w:t>
      </w:r>
      <w:r>
        <w:rPr>
          <w:rStyle w:val="20"/>
          <w:rFonts w:ascii="仿宋" w:hAnsi="仿宋" w:eastAsia="仿宋"/>
          <w:bCs/>
          <w:color w:val="000000"/>
          <w:sz w:val="32"/>
          <w:szCs w:val="32"/>
        </w:rPr>
        <w:t>:</w:t>
      </w:r>
      <w:r>
        <w:rPr>
          <w:rStyle w:val="20"/>
          <w:rFonts w:hint="eastAsia" w:ascii="仿宋" w:hAnsi="仿宋" w:eastAsia="仿宋"/>
          <w:b w:val="0"/>
          <w:bCs/>
          <w:color w:val="000000"/>
          <w:sz w:val="32"/>
          <w:szCs w:val="32"/>
        </w:rPr>
        <w:t>支出决算为140.53万元，完成预算1</w:t>
      </w:r>
      <w:r>
        <w:rPr>
          <w:rStyle w:val="20"/>
          <w:rFonts w:hint="eastAsia" w:ascii="仿宋" w:hAnsi="仿宋" w:eastAsia="仿宋"/>
          <w:b w:val="0"/>
          <w:bCs/>
          <w:color w:val="000000"/>
          <w:sz w:val="32"/>
          <w:szCs w:val="32"/>
          <w:lang w:val="en-US" w:eastAsia="zh-CN"/>
        </w:rPr>
        <w:t>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lang w:eastAsia="zh-CN"/>
        </w:rPr>
        <w:t>；</w:t>
      </w:r>
      <w:r>
        <w:rPr>
          <w:rStyle w:val="20"/>
          <w:rFonts w:hint="eastAsia" w:ascii="仿宋" w:hAnsi="仿宋" w:eastAsia="仿宋"/>
          <w:b/>
          <w:bCs w:val="0"/>
          <w:color w:val="000000"/>
          <w:sz w:val="32"/>
          <w:szCs w:val="32"/>
          <w:lang w:eastAsia="zh-CN"/>
        </w:rPr>
        <w:t>其他发展与改革事务支出</w:t>
      </w:r>
      <w:r>
        <w:rPr>
          <w:rStyle w:val="20"/>
          <w:rFonts w:hint="eastAsia" w:ascii="仿宋" w:hAnsi="仿宋" w:eastAsia="仿宋"/>
          <w:bCs/>
          <w:color w:val="000000"/>
          <w:sz w:val="32"/>
          <w:szCs w:val="32"/>
        </w:rPr>
        <w:t>（项）</w:t>
      </w:r>
      <w:r>
        <w:rPr>
          <w:rStyle w:val="20"/>
          <w:rFonts w:ascii="仿宋" w:hAnsi="仿宋" w:eastAsia="仿宋"/>
          <w:bCs/>
          <w:color w:val="000000"/>
          <w:sz w:val="32"/>
          <w:szCs w:val="32"/>
        </w:rPr>
        <w:t>:</w:t>
      </w:r>
      <w:r>
        <w:rPr>
          <w:rStyle w:val="20"/>
          <w:rFonts w:hint="eastAsia" w:ascii="仿宋" w:hAnsi="仿宋" w:eastAsia="仿宋"/>
          <w:b w:val="0"/>
          <w:bCs/>
          <w:color w:val="000000"/>
          <w:sz w:val="32"/>
          <w:szCs w:val="32"/>
        </w:rPr>
        <w:t>支出决算为22.74万元，完成预算</w:t>
      </w:r>
      <w:r>
        <w:rPr>
          <w:rStyle w:val="20"/>
          <w:rFonts w:hint="eastAsia" w:ascii="仿宋" w:hAnsi="仿宋" w:eastAsia="仿宋"/>
          <w:b w:val="0"/>
          <w:bCs/>
          <w:color w:val="000000"/>
          <w:sz w:val="32"/>
          <w:szCs w:val="32"/>
          <w:lang w:val="en-US" w:eastAsia="zh-CN"/>
        </w:rPr>
        <w:t>642</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lang w:eastAsia="zh-CN"/>
        </w:rPr>
        <w:t>，决算数大于预算数是因使用部分上年结转项目经费；</w:t>
      </w:r>
      <w:r>
        <w:rPr>
          <w:rStyle w:val="20"/>
          <w:rFonts w:hint="eastAsia" w:ascii="仿宋" w:hAnsi="仿宋" w:eastAsia="仿宋"/>
          <w:b/>
          <w:bCs w:val="0"/>
          <w:color w:val="000000"/>
          <w:sz w:val="32"/>
          <w:szCs w:val="32"/>
          <w:lang w:eastAsia="zh-CN"/>
        </w:rPr>
        <w:t>其他一般公共服务支出</w:t>
      </w:r>
      <w:r>
        <w:rPr>
          <w:rStyle w:val="20"/>
          <w:rFonts w:hint="eastAsia" w:ascii="仿宋" w:hAnsi="仿宋" w:eastAsia="仿宋"/>
          <w:b/>
          <w:bCs w:val="0"/>
          <w:color w:val="000000"/>
          <w:sz w:val="32"/>
          <w:szCs w:val="32"/>
        </w:rPr>
        <w:t>（款）</w:t>
      </w:r>
      <w:r>
        <w:rPr>
          <w:rStyle w:val="20"/>
          <w:rFonts w:hint="eastAsia" w:ascii="仿宋" w:hAnsi="仿宋" w:eastAsia="仿宋"/>
          <w:b/>
          <w:bCs w:val="0"/>
          <w:color w:val="000000"/>
          <w:sz w:val="32"/>
          <w:szCs w:val="32"/>
          <w:lang w:eastAsia="zh-CN"/>
        </w:rPr>
        <w:t>其他一般公共服务支出</w:t>
      </w:r>
      <w:r>
        <w:rPr>
          <w:rStyle w:val="20"/>
          <w:rFonts w:hint="eastAsia" w:ascii="仿宋" w:hAnsi="仿宋" w:eastAsia="仿宋"/>
          <w:bCs/>
          <w:color w:val="000000"/>
          <w:sz w:val="32"/>
          <w:szCs w:val="32"/>
        </w:rPr>
        <w:t>（项）</w:t>
      </w:r>
      <w:r>
        <w:rPr>
          <w:rStyle w:val="20"/>
          <w:rFonts w:ascii="仿宋" w:hAnsi="仿宋" w:eastAsia="仿宋"/>
          <w:bCs/>
          <w:color w:val="000000"/>
          <w:sz w:val="32"/>
          <w:szCs w:val="32"/>
        </w:rPr>
        <w:t>:</w:t>
      </w:r>
      <w:r>
        <w:rPr>
          <w:rStyle w:val="20"/>
          <w:rFonts w:hint="eastAsia" w:ascii="仿宋" w:hAnsi="仿宋" w:eastAsia="仿宋"/>
          <w:b w:val="0"/>
          <w:bCs/>
          <w:color w:val="000000"/>
          <w:sz w:val="32"/>
          <w:szCs w:val="32"/>
        </w:rPr>
        <w:t>支出决算为4.7</w:t>
      </w:r>
      <w:r>
        <w:rPr>
          <w:rStyle w:val="20"/>
          <w:rFonts w:hint="eastAsia" w:ascii="仿宋" w:hAnsi="仿宋" w:eastAsia="仿宋"/>
          <w:b w:val="0"/>
          <w:bCs/>
          <w:color w:val="000000"/>
          <w:sz w:val="32"/>
          <w:szCs w:val="32"/>
          <w:lang w:val="en-US" w:eastAsia="zh-CN"/>
        </w:rPr>
        <w:t>0</w:t>
      </w:r>
      <w:r>
        <w:rPr>
          <w:rStyle w:val="20"/>
          <w:rFonts w:hint="eastAsia" w:ascii="仿宋" w:hAnsi="仿宋" w:eastAsia="仿宋"/>
          <w:b w:val="0"/>
          <w:bCs/>
          <w:color w:val="000000"/>
          <w:sz w:val="32"/>
          <w:szCs w:val="32"/>
        </w:rPr>
        <w:t>万元，</w:t>
      </w:r>
      <w:r>
        <w:rPr>
          <w:rStyle w:val="20"/>
          <w:rFonts w:hint="eastAsia" w:ascii="仿宋" w:hAnsi="仿宋" w:eastAsia="仿宋"/>
          <w:b w:val="0"/>
          <w:bCs/>
          <w:color w:val="000000"/>
          <w:sz w:val="32"/>
          <w:szCs w:val="32"/>
          <w:lang w:eastAsia="zh-CN"/>
        </w:rPr>
        <w:t>本年没有预算数，全部为使用上年结转项目经费</w:t>
      </w:r>
      <w:r>
        <w:rPr>
          <w:rStyle w:val="20"/>
          <w:rFonts w:hint="eastAsia" w:ascii="仿宋" w:hAnsi="仿宋" w:eastAsia="仿宋"/>
          <w:b w:val="0"/>
          <w:bCs/>
          <w:sz w:val="32"/>
          <w:szCs w:val="32"/>
        </w:rPr>
        <w:t>。</w:t>
      </w:r>
    </w:p>
    <w:p>
      <w:pPr>
        <w:spacing w:line="600" w:lineRule="exact"/>
        <w:ind w:firstLine="643" w:firstLineChars="200"/>
        <w:rPr>
          <w:rStyle w:val="20"/>
          <w:rFonts w:hint="eastAsia" w:ascii="仿宋_GB2312" w:hAnsi="仿宋" w:eastAsia="仿宋_GB2312"/>
          <w:b w:val="0"/>
          <w:bCs/>
          <w:color w:val="000000"/>
          <w:sz w:val="32"/>
          <w:szCs w:val="32"/>
        </w:rPr>
      </w:pPr>
      <w:r>
        <w:rPr>
          <w:rStyle w:val="20"/>
          <w:rFonts w:hint="eastAsia" w:ascii="仿宋_GB2312" w:hAnsi="仿宋" w:eastAsia="仿宋_GB2312"/>
          <w:bCs/>
          <w:color w:val="000000"/>
          <w:sz w:val="32"/>
          <w:szCs w:val="32"/>
        </w:rPr>
        <w:t>2.社会保障和就业支出（类）行政事业单位养老支出（款）行政单位离退休（项）:</w:t>
      </w:r>
      <w:r>
        <w:rPr>
          <w:rStyle w:val="20"/>
          <w:rFonts w:hint="eastAsia" w:ascii="仿宋_GB2312" w:hAnsi="仿宋" w:eastAsia="仿宋_GB2312"/>
          <w:b w:val="0"/>
          <w:bCs/>
          <w:color w:val="000000"/>
          <w:sz w:val="32"/>
          <w:szCs w:val="32"/>
        </w:rPr>
        <w:t xml:space="preserve"> 支出决算为11.39万元，完成预算100%；</w:t>
      </w:r>
      <w:r>
        <w:rPr>
          <w:rStyle w:val="20"/>
          <w:rFonts w:hint="eastAsia" w:ascii="仿宋_GB2312" w:hAnsi="仿宋" w:eastAsia="仿宋_GB2312"/>
          <w:bCs/>
          <w:color w:val="000000"/>
          <w:sz w:val="32"/>
          <w:szCs w:val="32"/>
        </w:rPr>
        <w:t>机关事业单位基本养老保险缴费支出（项）:</w:t>
      </w:r>
      <w:r>
        <w:rPr>
          <w:rStyle w:val="20"/>
          <w:rFonts w:hint="eastAsia" w:ascii="仿宋_GB2312" w:hAnsi="仿宋" w:eastAsia="仿宋_GB2312"/>
          <w:b w:val="0"/>
          <w:bCs/>
          <w:color w:val="000000"/>
          <w:sz w:val="32"/>
          <w:szCs w:val="32"/>
        </w:rPr>
        <w:t xml:space="preserve"> 支出决算为24.32万元，完成预算100%。</w:t>
      </w:r>
      <w:r>
        <w:rPr>
          <w:rStyle w:val="20"/>
          <w:rFonts w:hint="eastAsia" w:ascii="仿宋_GB2312" w:hAnsi="仿宋" w:eastAsia="仿宋_GB2312" w:cstheme="minorBidi"/>
          <w:bCs/>
          <w:color w:val="000000"/>
          <w:sz w:val="32"/>
          <w:szCs w:val="32"/>
        </w:rPr>
        <w:t>机关事业单位职业年金缴费支出</w:t>
      </w:r>
      <w:r>
        <w:rPr>
          <w:rStyle w:val="20"/>
          <w:rFonts w:hint="eastAsia" w:ascii="仿宋_GB2312" w:hAnsi="仿宋" w:eastAsia="仿宋_GB2312"/>
          <w:bCs/>
          <w:color w:val="000000"/>
          <w:sz w:val="32"/>
          <w:szCs w:val="32"/>
        </w:rPr>
        <w:t>（项）:</w:t>
      </w:r>
      <w:r>
        <w:rPr>
          <w:rStyle w:val="20"/>
          <w:rFonts w:hint="eastAsia" w:ascii="仿宋_GB2312" w:hAnsi="仿宋" w:eastAsia="仿宋_GB2312"/>
          <w:b w:val="0"/>
          <w:bCs/>
          <w:color w:val="000000"/>
          <w:sz w:val="32"/>
          <w:szCs w:val="32"/>
        </w:rPr>
        <w:t xml:space="preserve"> 支出决算为8.02万元，完成预算100%。</w:t>
      </w:r>
    </w:p>
    <w:p>
      <w:pPr>
        <w:spacing w:line="600" w:lineRule="exact"/>
        <w:ind w:firstLine="643" w:firstLineChars="200"/>
        <w:rPr>
          <w:rStyle w:val="20"/>
          <w:rFonts w:ascii="仿宋_GB2312" w:hAnsi="仿宋" w:eastAsia="仿宋_GB2312"/>
          <w:b w:val="0"/>
          <w:bCs/>
          <w:color w:val="000000"/>
          <w:sz w:val="32"/>
          <w:szCs w:val="32"/>
        </w:rPr>
      </w:pPr>
      <w:r>
        <w:rPr>
          <w:rStyle w:val="20"/>
          <w:rFonts w:hint="eastAsia" w:ascii="仿宋" w:hAnsi="仿宋" w:eastAsia="仿宋"/>
          <w:bCs/>
          <w:sz w:val="32"/>
          <w:szCs w:val="32"/>
        </w:rPr>
        <w:t>3</w:t>
      </w:r>
      <w:r>
        <w:rPr>
          <w:rStyle w:val="20"/>
          <w:rFonts w:ascii="仿宋" w:hAnsi="仿宋" w:eastAsia="仿宋"/>
          <w:bCs/>
          <w:sz w:val="32"/>
          <w:szCs w:val="32"/>
        </w:rPr>
        <w:t>.</w:t>
      </w:r>
      <w:r>
        <w:rPr>
          <w:rFonts w:hint="eastAsia" w:ascii="仿宋_GB2312" w:hAnsi="仿宋" w:eastAsia="仿宋_GB2312"/>
          <w:b/>
          <w:bCs/>
          <w:color w:val="000000"/>
          <w:sz w:val="32"/>
          <w:szCs w:val="32"/>
        </w:rPr>
        <w:t>卫生健康支出</w:t>
      </w:r>
      <w:r>
        <w:rPr>
          <w:rStyle w:val="20"/>
          <w:rFonts w:hint="eastAsia" w:ascii="仿宋_GB2312" w:hAnsi="仿宋" w:eastAsia="仿宋_GB2312"/>
          <w:bCs/>
          <w:color w:val="000000"/>
          <w:sz w:val="32"/>
          <w:szCs w:val="32"/>
        </w:rPr>
        <w:t>（类）行政事业单位医疗（款）行政单位医疗（项）:</w:t>
      </w:r>
      <w:r>
        <w:rPr>
          <w:rStyle w:val="20"/>
          <w:rFonts w:hint="eastAsia" w:ascii="仿宋_GB2312" w:hAnsi="仿宋" w:eastAsia="仿宋_GB2312"/>
          <w:b w:val="0"/>
          <w:bCs/>
          <w:color w:val="000000"/>
          <w:sz w:val="32"/>
          <w:szCs w:val="32"/>
        </w:rPr>
        <w:t>支出决算为9.06万元，完成预算100%；</w:t>
      </w:r>
      <w:r>
        <w:rPr>
          <w:rStyle w:val="20"/>
          <w:rFonts w:hint="eastAsia" w:ascii="仿宋_GB2312" w:hAnsi="仿宋" w:eastAsia="仿宋_GB2312"/>
          <w:b/>
          <w:bCs w:val="0"/>
          <w:color w:val="000000"/>
          <w:sz w:val="32"/>
          <w:szCs w:val="32"/>
        </w:rPr>
        <w:t>事业单位医疗</w:t>
      </w:r>
      <w:r>
        <w:rPr>
          <w:rStyle w:val="20"/>
          <w:rFonts w:hint="eastAsia" w:ascii="仿宋_GB2312" w:hAnsi="仿宋" w:eastAsia="仿宋_GB2312"/>
          <w:bCs/>
          <w:color w:val="000000"/>
          <w:sz w:val="32"/>
          <w:szCs w:val="32"/>
        </w:rPr>
        <w:t>（项）:</w:t>
      </w:r>
      <w:r>
        <w:rPr>
          <w:rStyle w:val="20"/>
          <w:rFonts w:hint="eastAsia" w:ascii="仿宋_GB2312" w:hAnsi="仿宋" w:eastAsia="仿宋_GB2312"/>
          <w:b w:val="0"/>
          <w:bCs/>
          <w:color w:val="000000"/>
          <w:sz w:val="32"/>
          <w:szCs w:val="32"/>
        </w:rPr>
        <w:t>支出决算为10.08万元，完成预算100%；</w:t>
      </w:r>
      <w:r>
        <w:rPr>
          <w:rStyle w:val="20"/>
          <w:rFonts w:hint="eastAsia" w:ascii="仿宋_GB2312" w:hAnsi="仿宋" w:eastAsia="仿宋_GB2312"/>
          <w:color w:val="000000"/>
          <w:sz w:val="32"/>
          <w:szCs w:val="32"/>
        </w:rPr>
        <w:t>公务员医疗补助</w:t>
      </w:r>
      <w:r>
        <w:rPr>
          <w:rStyle w:val="20"/>
          <w:rFonts w:hint="eastAsia" w:ascii="仿宋_GB2312" w:hAnsi="仿宋" w:eastAsia="仿宋_GB2312"/>
          <w:bCs/>
          <w:color w:val="000000"/>
          <w:sz w:val="32"/>
          <w:szCs w:val="32"/>
        </w:rPr>
        <w:t>（项）:</w:t>
      </w:r>
      <w:r>
        <w:rPr>
          <w:rStyle w:val="20"/>
          <w:rFonts w:hint="eastAsia" w:ascii="仿宋_GB2312" w:hAnsi="仿宋" w:eastAsia="仿宋_GB2312"/>
          <w:b w:val="0"/>
          <w:bCs/>
          <w:color w:val="000000"/>
          <w:sz w:val="32"/>
          <w:szCs w:val="32"/>
        </w:rPr>
        <w:t>支出决算为2.31万元，完成预算100%。</w:t>
      </w:r>
    </w:p>
    <w:p>
      <w:pPr>
        <w:spacing w:line="600" w:lineRule="exact"/>
        <w:ind w:firstLine="643" w:firstLineChars="200"/>
        <w:rPr>
          <w:rFonts w:ascii="仿宋" w:hAnsi="仿宋" w:eastAsia="仿宋"/>
          <w:sz w:val="32"/>
          <w:szCs w:val="32"/>
        </w:rPr>
      </w:pPr>
      <w:r>
        <w:rPr>
          <w:rStyle w:val="20"/>
          <w:rFonts w:hint="eastAsia" w:ascii="仿宋" w:hAnsi="仿宋" w:eastAsia="仿宋" w:cstheme="minorBidi"/>
          <w:bCs/>
          <w:sz w:val="32"/>
          <w:szCs w:val="32"/>
        </w:rPr>
        <w:t>4</w:t>
      </w:r>
      <w:r>
        <w:rPr>
          <w:rFonts w:hint="eastAsia" w:ascii="仿宋" w:hAnsi="仿宋" w:eastAsia="仿宋"/>
          <w:sz w:val="32"/>
          <w:szCs w:val="32"/>
        </w:rPr>
        <w:t>.</w:t>
      </w:r>
      <w:r>
        <w:rPr>
          <w:rStyle w:val="20"/>
          <w:rFonts w:hint="eastAsia" w:ascii="仿宋_GB2312" w:hAnsi="仿宋" w:eastAsia="仿宋_GB2312"/>
          <w:bCs/>
          <w:color w:val="000000"/>
          <w:sz w:val="32"/>
          <w:szCs w:val="32"/>
        </w:rPr>
        <w:t>住房保障支出（类）住房改革支出（款）住房公积金（项）:</w:t>
      </w:r>
      <w:r>
        <w:rPr>
          <w:rStyle w:val="20"/>
          <w:rFonts w:hint="eastAsia" w:ascii="仿宋_GB2312" w:hAnsi="仿宋" w:eastAsia="仿宋_GB2312"/>
          <w:b w:val="0"/>
          <w:bCs/>
          <w:color w:val="000000"/>
          <w:sz w:val="32"/>
          <w:szCs w:val="32"/>
        </w:rPr>
        <w:t>支出决算为32.7</w:t>
      </w:r>
      <w:r>
        <w:rPr>
          <w:rStyle w:val="20"/>
          <w:rFonts w:hint="eastAsia" w:ascii="仿宋_GB2312" w:hAnsi="仿宋" w:eastAsia="仿宋_GB2312"/>
          <w:b w:val="0"/>
          <w:bCs/>
          <w:color w:val="000000"/>
          <w:sz w:val="32"/>
          <w:szCs w:val="32"/>
          <w:lang w:val="en-US" w:eastAsia="zh-CN"/>
        </w:rPr>
        <w:t>0</w:t>
      </w:r>
      <w:r>
        <w:rPr>
          <w:rStyle w:val="20"/>
          <w:rFonts w:hint="eastAsia" w:ascii="仿宋_GB2312" w:hAnsi="仿宋" w:eastAsia="仿宋_GB2312"/>
          <w:b w:val="0"/>
          <w:bCs/>
          <w:color w:val="000000"/>
          <w:sz w:val="32"/>
          <w:szCs w:val="32"/>
        </w:rPr>
        <w:t>万元，完成预算100%。</w:t>
      </w:r>
    </w:p>
    <w:p>
      <w:pPr>
        <w:tabs>
          <w:tab w:val="right" w:pos="8306"/>
        </w:tabs>
        <w:spacing w:line="600" w:lineRule="exact"/>
        <w:ind w:firstLine="640"/>
        <w:outlineLvl w:val="1"/>
        <w:rPr>
          <w:rStyle w:val="31"/>
        </w:rPr>
      </w:pPr>
      <w:bookmarkStart w:id="40" w:name="_Toc15377214"/>
      <w:bookmarkStart w:id="41"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40"/>
      <w:bookmarkEnd w:id="41"/>
      <w:r>
        <w:rPr>
          <w:rStyle w:val="31"/>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21年一般公共预算财政拨款基本支出434.19万元，其中：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406.45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sz w:val="32"/>
          <w:szCs w:val="32"/>
        </w:rPr>
      </w:pPr>
      <w:r>
        <w:rPr>
          <w:rFonts w:hint="eastAsia" w:ascii="仿宋" w:hAnsi="仿宋" w:eastAsia="仿宋"/>
          <w:sz w:val="32"/>
          <w:szCs w:val="32"/>
        </w:rPr>
        <w:t>　　公用经费27.74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sz w:val="32"/>
          <w:szCs w:val="32"/>
        </w:rPr>
      </w:pPr>
    </w:p>
    <w:p>
      <w:pPr>
        <w:spacing w:line="600" w:lineRule="exact"/>
        <w:ind w:firstLine="640"/>
        <w:outlineLvl w:val="1"/>
        <w:rPr>
          <w:rStyle w:val="31"/>
          <w:rFonts w:ascii="黑体" w:hAnsi="黑体" w:eastAsia="黑体"/>
          <w:b w:val="0"/>
        </w:rPr>
      </w:pPr>
      <w:bookmarkStart w:id="42" w:name="_Toc15377215"/>
      <w:bookmarkStart w:id="43" w:name="_Toc15396609"/>
      <w:r>
        <w:rPr>
          <w:rFonts w:hint="eastAsia" w:ascii="黑体" w:eastAsia="黑体"/>
          <w:sz w:val="32"/>
          <w:szCs w:val="32"/>
        </w:rPr>
        <w:t>七、</w:t>
      </w:r>
      <w:r>
        <w:rPr>
          <w:rStyle w:val="31"/>
          <w:rFonts w:hint="eastAsia" w:ascii="黑体" w:hAnsi="黑体" w:eastAsia="黑体"/>
        </w:rPr>
        <w:t>“</w:t>
      </w:r>
      <w:r>
        <w:rPr>
          <w:rStyle w:val="31"/>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w:t>
      </w:r>
      <w:r>
        <w:rPr>
          <w:rFonts w:hint="eastAsia" w:ascii="仿宋" w:hAnsi="仿宋" w:eastAsia="仿宋"/>
          <w:sz w:val="32"/>
          <w:szCs w:val="32"/>
          <w:lang w:val="en-US" w:eastAsia="zh-CN"/>
        </w:rPr>
        <w:t>7</w:t>
      </w:r>
      <w:r>
        <w:rPr>
          <w:rFonts w:hint="eastAsia" w:ascii="仿宋" w:hAnsi="仿宋" w:eastAsia="仿宋"/>
          <w:sz w:val="32"/>
          <w:szCs w:val="32"/>
        </w:rPr>
        <w:t>6万元，完成预算100</w:t>
      </w:r>
      <w:r>
        <w:rPr>
          <w:rFonts w:ascii="仿宋" w:hAnsi="仿宋" w:eastAsia="仿宋"/>
          <w:sz w:val="32"/>
          <w:szCs w:val="32"/>
        </w:rPr>
        <w:t>%</w:t>
      </w:r>
      <w:r>
        <w:rPr>
          <w:rFonts w:hint="eastAsia" w:ascii="仿宋" w:hAnsi="仿宋" w:eastAsia="仿宋"/>
          <w:sz w:val="32"/>
          <w:szCs w:val="32"/>
        </w:rPr>
        <w:t>，决算数与预算数持平。</w:t>
      </w:r>
    </w:p>
    <w:p>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w:t>
      </w:r>
      <w:r>
        <w:rPr>
          <w:rFonts w:hint="eastAsia" w:ascii="仿宋" w:hAnsi="仿宋" w:eastAsia="仿宋"/>
          <w:sz w:val="32"/>
          <w:szCs w:val="32"/>
          <w:lang w:val="en-US" w:eastAsia="zh-CN"/>
        </w:rPr>
        <w:t>7</w:t>
      </w:r>
      <w:r>
        <w:rPr>
          <w:rFonts w:hint="eastAsia" w:ascii="仿宋" w:hAnsi="仿宋" w:eastAsia="仿宋"/>
          <w:sz w:val="32"/>
          <w:szCs w:val="32"/>
        </w:rPr>
        <w:t>6万元，占100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w:t>
      </w:r>
    </w:p>
    <w:p>
      <w:pPr>
        <w:pStyle w:val="2"/>
        <w:spacing w:before="93"/>
        <w:rPr>
          <w:rFonts w:ascii="仿宋" w:hAnsi="仿宋" w:eastAsia="仿宋"/>
          <w:sz w:val="32"/>
          <w:szCs w:val="32"/>
        </w:rPr>
      </w:pPr>
      <w:r>
        <w:rPr>
          <w:rFonts w:hint="eastAsia"/>
          <w:lang w:val="en-US" w:eastAsia="zh-CN"/>
        </w:rPr>
        <w:t xml:space="preserve">    </w:t>
      </w:r>
      <w:r>
        <w:drawing>
          <wp:inline distT="0" distB="0" distL="114300" distR="114300">
            <wp:extent cx="4852670" cy="2225040"/>
            <wp:effectExtent l="0" t="0" r="889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4852670" cy="2225040"/>
                    </a:xfrm>
                    <a:prstGeom prst="rect">
                      <a:avLst/>
                    </a:prstGeom>
                    <a:noFill/>
                    <a:ln>
                      <a:noFill/>
                    </a:ln>
                  </pic:spPr>
                </pic:pic>
              </a:graphicData>
            </a:graphic>
          </wp:inline>
        </w:drawing>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20"/>
          <w:rFonts w:hint="eastAsia" w:ascii="仿宋" w:hAnsi="仿宋" w:eastAsia="仿宋"/>
          <w:b w:val="0"/>
          <w:bCs/>
          <w:color w:val="000000"/>
          <w:sz w:val="32"/>
          <w:szCs w:val="32"/>
        </w:rPr>
        <w:t>完成预算0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w:t>
      </w:r>
      <w:r>
        <w:rPr>
          <w:rFonts w:hint="eastAsia" w:ascii="仿宋_GB2312" w:hAnsi="仿宋" w:eastAsia="仿宋_GB2312"/>
          <w:color w:val="000000"/>
          <w:sz w:val="32"/>
          <w:szCs w:val="32"/>
        </w:rPr>
        <w:t>因公出国（境）支出决算与2020年一样为0万元。</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Fonts w:ascii="仿宋_GB2312" w:eastAsia="仿宋_GB2312"/>
          <w:color w:val="000000"/>
          <w:sz w:val="32"/>
          <w:szCs w:val="32"/>
        </w:rPr>
        <w:t>,</w:t>
      </w:r>
      <w:r>
        <w:rPr>
          <w:rStyle w:val="20"/>
          <w:rFonts w:hint="eastAsia" w:ascii="仿宋" w:hAnsi="仿宋" w:eastAsia="仿宋"/>
          <w:b w:val="0"/>
          <w:bCs/>
          <w:color w:val="000000"/>
          <w:sz w:val="32"/>
          <w:szCs w:val="32"/>
        </w:rPr>
        <w:t>完成预算0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w:t>
      </w:r>
      <w:r>
        <w:rPr>
          <w:rFonts w:hint="eastAsia" w:ascii="仿宋_GB2312" w:hAnsi="仿宋" w:eastAsia="仿宋_GB2312"/>
          <w:color w:val="000000"/>
          <w:sz w:val="32"/>
          <w:szCs w:val="32"/>
        </w:rPr>
        <w:t>与2020年一样为0万元。</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w:t>
      </w:r>
    </w:p>
    <w:p>
      <w:pPr>
        <w:spacing w:line="600" w:lineRule="exact"/>
        <w:ind w:firstLine="643" w:firstLineChars="200"/>
        <w:rPr>
          <w:rFonts w:hint="eastAsia" w:eastAsia="仿宋_GB2312"/>
          <w:lang w:val="en-US" w:eastAsia="zh-CN"/>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6"/>
          <w:szCs w:val="36"/>
        </w:rPr>
        <w:t>0.</w:t>
      </w:r>
      <w:r>
        <w:rPr>
          <w:rFonts w:hint="eastAsia" w:ascii="仿宋_GB2312" w:eastAsia="仿宋_GB2312"/>
          <w:color w:val="000000"/>
          <w:sz w:val="36"/>
          <w:szCs w:val="36"/>
          <w:lang w:val="en-US" w:eastAsia="zh-CN"/>
        </w:rPr>
        <w:t>7</w:t>
      </w:r>
      <w:r>
        <w:rPr>
          <w:rFonts w:hint="eastAsia" w:ascii="仿宋_GB2312" w:eastAsia="仿宋_GB2312"/>
          <w:color w:val="000000"/>
          <w:sz w:val="36"/>
          <w:szCs w:val="36"/>
        </w:rPr>
        <w:t>6</w:t>
      </w:r>
      <w:r>
        <w:rPr>
          <w:rFonts w:hint="eastAsia" w:ascii="仿宋_GB2312" w:eastAsia="仿宋_GB2312"/>
          <w:color w:val="000000"/>
          <w:sz w:val="32"/>
          <w:szCs w:val="32"/>
        </w:rPr>
        <w:t>万元，</w:t>
      </w:r>
      <w:r>
        <w:rPr>
          <w:rStyle w:val="20"/>
          <w:rFonts w:hint="eastAsia" w:ascii="仿宋" w:hAnsi="仿宋" w:eastAsia="仿宋"/>
          <w:b w:val="0"/>
          <w:bCs/>
          <w:color w:val="000000"/>
          <w:sz w:val="32"/>
          <w:szCs w:val="32"/>
        </w:rPr>
        <w:t>完成预算100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w:t>
      </w:r>
      <w:r>
        <w:rPr>
          <w:rFonts w:hint="eastAsia" w:ascii="仿宋_GB2312" w:eastAsia="仿宋_GB2312"/>
          <w:color w:val="000000"/>
          <w:sz w:val="32"/>
          <w:szCs w:val="32"/>
        </w:rPr>
        <w:t>20年减少0.</w:t>
      </w:r>
      <w:r>
        <w:rPr>
          <w:rFonts w:hint="eastAsia" w:ascii="仿宋_GB2312" w:eastAsia="仿宋_GB2312"/>
          <w:color w:val="000000"/>
          <w:sz w:val="32"/>
          <w:szCs w:val="32"/>
          <w:lang w:val="en-US" w:eastAsia="zh-CN"/>
        </w:rPr>
        <w:t>04</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。主要原因是严格控制接待范围、接待人次、接待标准。其中：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6</w:t>
      </w:r>
      <w:r>
        <w:rPr>
          <w:rFonts w:hint="eastAsia" w:ascii="仿宋_GB2312" w:eastAsia="仿宋_GB2312"/>
          <w:color w:val="000000"/>
          <w:sz w:val="32"/>
          <w:szCs w:val="32"/>
        </w:rPr>
        <w:t>万元，主要用于执行公务、开展业务活动开支的用餐费。国内公务接待</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95</w:t>
      </w:r>
      <w:r>
        <w:rPr>
          <w:rFonts w:hint="eastAsia" w:ascii="仿宋_GB2312" w:eastAsia="仿宋_GB2312"/>
          <w:color w:val="000000"/>
          <w:sz w:val="32"/>
          <w:szCs w:val="32"/>
        </w:rPr>
        <w:t>人次，共计支出0.</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6万元，具体内容包括：</w:t>
      </w:r>
      <w:r>
        <w:rPr>
          <w:rFonts w:hint="eastAsia" w:ascii="仿宋_GB2312" w:eastAsia="仿宋_GB2312"/>
          <w:color w:val="000000"/>
          <w:sz w:val="32"/>
          <w:szCs w:val="32"/>
          <w:lang w:eastAsia="zh-CN"/>
        </w:rPr>
        <w:t>经济形势及物流</w:t>
      </w:r>
      <w:r>
        <w:rPr>
          <w:rFonts w:hint="eastAsia" w:ascii="仿宋_GB2312" w:eastAsia="仿宋_GB2312"/>
          <w:color w:val="000000"/>
          <w:sz w:val="32"/>
          <w:szCs w:val="32"/>
        </w:rPr>
        <w:t>工作</w:t>
      </w:r>
      <w:r>
        <w:rPr>
          <w:rFonts w:hint="eastAsia" w:ascii="仿宋_GB2312" w:eastAsia="仿宋_GB2312"/>
          <w:color w:val="000000"/>
          <w:sz w:val="32"/>
          <w:szCs w:val="32"/>
          <w:lang w:eastAsia="zh-CN"/>
        </w:rPr>
        <w:t>调研</w:t>
      </w:r>
      <w:r>
        <w:rPr>
          <w:rFonts w:hint="eastAsia" w:ascii="仿宋_GB2312" w:eastAsia="仿宋_GB2312"/>
          <w:color w:val="000000"/>
          <w:sz w:val="32"/>
          <w:szCs w:val="32"/>
        </w:rPr>
        <w:t>支出0.1</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人口情况及发展趋势调研</w:t>
      </w:r>
      <w:r>
        <w:rPr>
          <w:rFonts w:hint="eastAsia" w:ascii="仿宋_GB2312" w:eastAsia="仿宋_GB2312"/>
          <w:color w:val="000000"/>
          <w:sz w:val="32"/>
          <w:szCs w:val="32"/>
        </w:rPr>
        <w:t>工作支出0.</w:t>
      </w:r>
      <w:r>
        <w:rPr>
          <w:rFonts w:hint="eastAsia" w:ascii="仿宋_GB2312" w:eastAsia="仿宋_GB2312"/>
          <w:color w:val="000000"/>
          <w:sz w:val="32"/>
          <w:szCs w:val="32"/>
          <w:lang w:val="en-US" w:eastAsia="zh-CN"/>
        </w:rPr>
        <w:t>18</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节能</w:t>
      </w:r>
      <w:r>
        <w:rPr>
          <w:rFonts w:hint="eastAsia" w:ascii="仿宋_GB2312" w:eastAsia="仿宋_GB2312"/>
          <w:color w:val="000000"/>
          <w:sz w:val="32"/>
          <w:szCs w:val="32"/>
        </w:rPr>
        <w:t>工作</w:t>
      </w:r>
      <w:r>
        <w:rPr>
          <w:rFonts w:hint="eastAsia" w:ascii="仿宋_GB2312" w:eastAsia="仿宋_GB2312"/>
          <w:color w:val="000000"/>
          <w:sz w:val="32"/>
          <w:szCs w:val="32"/>
          <w:lang w:eastAsia="zh-CN"/>
        </w:rPr>
        <w:t>调研</w:t>
      </w:r>
      <w:r>
        <w:rPr>
          <w:rFonts w:hint="eastAsia" w:ascii="仿宋_GB2312" w:eastAsia="仿宋_GB2312"/>
          <w:color w:val="000000"/>
          <w:sz w:val="32"/>
          <w:szCs w:val="32"/>
        </w:rPr>
        <w:t>支出</w:t>
      </w:r>
      <w:r>
        <w:rPr>
          <w:rFonts w:hint="eastAsia" w:ascii="仿宋_GB2312" w:eastAsia="仿宋_GB2312"/>
          <w:color w:val="000000"/>
          <w:sz w:val="32"/>
          <w:szCs w:val="32"/>
          <w:lang w:val="en-US" w:eastAsia="zh-CN"/>
        </w:rPr>
        <w:t>0.09</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，攀西战略资源创新开发项目核查工作支出</w:t>
      </w:r>
      <w:r>
        <w:rPr>
          <w:rFonts w:hint="eastAsia" w:ascii="仿宋_GB2312" w:eastAsia="仿宋_GB2312"/>
          <w:color w:val="000000"/>
          <w:sz w:val="32"/>
          <w:szCs w:val="32"/>
          <w:lang w:val="en-US" w:eastAsia="zh-CN"/>
        </w:rPr>
        <w:t>0.11万元，水资源综合开发利用规划编制调研工作支出0.13万元，工程招标领域突出问题系统治理调研工作支出0.13万元</w:t>
      </w:r>
      <w:r>
        <w:rPr>
          <w:rFonts w:hint="eastAsia" w:ascii="仿宋_GB2312" w:eastAsia="仿宋_GB2312"/>
          <w:color w:val="000000"/>
          <w:sz w:val="32"/>
          <w:szCs w:val="32"/>
        </w:rPr>
        <w:t>。</w:t>
      </w:r>
    </w:p>
    <w:p>
      <w:pPr>
        <w:spacing w:line="600" w:lineRule="exact"/>
        <w:ind w:firstLine="643" w:firstLineChars="200"/>
        <w:rPr>
          <w:rFonts w:ascii="仿宋_GB2312" w:eastAsia="仿宋_GB2312"/>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万元，外事接待0批次，0人。</w:t>
      </w:r>
    </w:p>
    <w:p>
      <w:pPr>
        <w:spacing w:line="600" w:lineRule="exact"/>
        <w:ind w:firstLine="640"/>
        <w:outlineLvl w:val="1"/>
        <w:rPr>
          <w:rStyle w:val="31"/>
          <w:rFonts w:ascii="黑体" w:hAnsi="黑体" w:eastAsia="黑体"/>
        </w:rPr>
      </w:pPr>
      <w:bookmarkStart w:id="46" w:name="_Toc15377218"/>
      <w:bookmarkStart w:id="47" w:name="_Toc15396610"/>
      <w:r>
        <w:rPr>
          <w:rFonts w:hint="eastAsia" w:ascii="黑体" w:eastAsia="黑体"/>
          <w:sz w:val="32"/>
          <w:szCs w:val="32"/>
        </w:rPr>
        <w:t>八、</w:t>
      </w:r>
      <w:r>
        <w:rPr>
          <w:rStyle w:val="31"/>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21年政府性基金预算财政拨款支出190.84万元。</w:t>
      </w:r>
    </w:p>
    <w:p>
      <w:pPr>
        <w:numPr>
          <w:ilvl w:val="0"/>
          <w:numId w:val="3"/>
        </w:numPr>
        <w:spacing w:line="600" w:lineRule="exact"/>
        <w:ind w:firstLine="640"/>
        <w:outlineLvl w:val="1"/>
        <w:rPr>
          <w:rStyle w:val="31"/>
          <w:rFonts w:ascii="黑体" w:hAnsi="黑体" w:eastAsia="黑体"/>
          <w:b w:val="0"/>
        </w:rPr>
      </w:pPr>
      <w:bookmarkStart w:id="48" w:name="_Toc15377219"/>
      <w:bookmarkStart w:id="49" w:name="_Toc15396611"/>
      <w:r>
        <w:rPr>
          <w:rStyle w:val="31"/>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3"/>
        </w:numPr>
        <w:spacing w:line="600" w:lineRule="exact"/>
        <w:ind w:firstLine="640"/>
        <w:outlineLvl w:val="1"/>
        <w:rPr>
          <w:rStyle w:val="31"/>
          <w:rFonts w:ascii="黑体" w:hAnsi="黑体" w:eastAsia="黑体"/>
          <w:b w:val="0"/>
        </w:rPr>
      </w:pPr>
      <w:bookmarkStart w:id="50" w:name="_Toc15396612"/>
      <w:bookmarkStart w:id="51" w:name="_Toc15377221"/>
      <w:r>
        <w:rPr>
          <w:rStyle w:val="31"/>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color w:val="000000"/>
          <w:sz w:val="32"/>
          <w:szCs w:val="32"/>
        </w:rPr>
        <w:t>攀枝花市西区</w:t>
      </w:r>
      <w:r>
        <w:rPr>
          <w:rFonts w:hint="eastAsia" w:ascii="仿宋_GB2312" w:eastAsia="仿宋_GB2312"/>
          <w:color w:val="000000"/>
          <w:sz w:val="32"/>
          <w:szCs w:val="32"/>
          <w:lang w:eastAsia="zh-CN"/>
        </w:rPr>
        <w:t>发展和改革</w:t>
      </w:r>
      <w:r>
        <w:rPr>
          <w:rFonts w:hint="eastAsia" w:ascii="仿宋_GB2312" w:eastAsia="仿宋_GB2312"/>
          <w:color w:val="000000"/>
          <w:sz w:val="32"/>
          <w:szCs w:val="32"/>
        </w:rPr>
        <w:t>局</w:t>
      </w:r>
      <w:r>
        <w:rPr>
          <w:rFonts w:hint="eastAsia" w:ascii="仿宋_GB2312" w:eastAsia="仿宋_GB2312"/>
          <w:sz w:val="32"/>
          <w:szCs w:val="32"/>
        </w:rPr>
        <w:t>机关运行经费支出</w:t>
      </w:r>
      <w:r>
        <w:rPr>
          <w:rFonts w:hint="eastAsia" w:ascii="仿宋_GB2312" w:eastAsia="仿宋_GB2312"/>
          <w:sz w:val="32"/>
          <w:szCs w:val="32"/>
          <w:lang w:val="en-US" w:eastAsia="zh-CN"/>
        </w:rPr>
        <w:t>27.74</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20年</w:t>
      </w:r>
      <w:r>
        <w:rPr>
          <w:rFonts w:hint="eastAsia" w:ascii="仿宋_GB2312" w:eastAsia="仿宋_GB2312"/>
          <w:sz w:val="32"/>
          <w:szCs w:val="32"/>
          <w:lang w:eastAsia="zh-CN"/>
        </w:rPr>
        <w:t>增加</w:t>
      </w:r>
      <w:r>
        <w:rPr>
          <w:rFonts w:hint="eastAsia" w:ascii="仿宋_GB2312" w:eastAsia="仿宋_GB2312"/>
          <w:sz w:val="32"/>
          <w:szCs w:val="32"/>
          <w:lang w:val="en-US" w:eastAsia="zh-CN"/>
        </w:rPr>
        <w:t>1.66</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。主要原因是</w:t>
      </w:r>
      <w:r>
        <w:rPr>
          <w:rFonts w:hint="eastAsia" w:ascii="仿宋_GB2312" w:hAnsi="仿宋" w:eastAsia="仿宋_GB2312"/>
          <w:sz w:val="32"/>
          <w:szCs w:val="32"/>
          <w:lang w:eastAsia="zh-CN"/>
        </w:rPr>
        <w:t>人员增加</w:t>
      </w:r>
      <w:r>
        <w:rPr>
          <w:rFonts w:hint="eastAsia" w:ascii="仿宋_GB2312" w:hAnsi="仿宋" w:eastAsia="仿宋_GB2312"/>
          <w:sz w:val="32"/>
          <w:szCs w:val="32"/>
        </w:rPr>
        <w:t>，</w:t>
      </w:r>
      <w:r>
        <w:rPr>
          <w:rFonts w:hint="eastAsia" w:ascii="仿宋_GB2312" w:eastAsia="仿宋_GB2312"/>
          <w:sz w:val="32"/>
          <w:szCs w:val="32"/>
        </w:rPr>
        <w:t>机关运行经费</w:t>
      </w:r>
      <w:r>
        <w:rPr>
          <w:rFonts w:hint="eastAsia" w:ascii="仿宋_GB2312" w:hAnsi="仿宋" w:eastAsia="仿宋_GB2312"/>
          <w:sz w:val="32"/>
          <w:szCs w:val="32"/>
        </w:rPr>
        <w:t>支出随之</w:t>
      </w:r>
      <w:r>
        <w:rPr>
          <w:rFonts w:hint="eastAsia" w:ascii="仿宋_GB2312" w:hAnsi="仿宋" w:eastAsia="仿宋_GB2312"/>
          <w:sz w:val="32"/>
          <w:szCs w:val="32"/>
          <w:lang w:eastAsia="zh-CN"/>
        </w:rPr>
        <w:t>增加</w:t>
      </w:r>
      <w:r>
        <w:rPr>
          <w:rFonts w:hint="eastAsia" w:ascii="仿宋_GB2312" w:hAnsi="仿宋"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3" w:name="_Toc15377223"/>
      <w:r>
        <w:rPr>
          <w:rFonts w:hint="eastAsia" w:ascii="仿宋" w:hAnsi="仿宋" w:eastAsia="仿宋"/>
          <w:b/>
          <w:sz w:val="32"/>
          <w:szCs w:val="32"/>
        </w:rPr>
        <w:t>（二）政府采购支出情况</w:t>
      </w:r>
      <w:bookmarkEnd w:id="53"/>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color w:val="000000"/>
          <w:sz w:val="32"/>
          <w:szCs w:val="32"/>
        </w:rPr>
        <w:t>攀枝花市西区</w:t>
      </w:r>
      <w:r>
        <w:rPr>
          <w:rFonts w:hint="eastAsia" w:ascii="仿宋_GB2312" w:eastAsia="仿宋_GB2312"/>
          <w:color w:val="000000"/>
          <w:sz w:val="32"/>
          <w:szCs w:val="32"/>
          <w:lang w:eastAsia="zh-CN"/>
        </w:rPr>
        <w:t>发展和改革</w:t>
      </w:r>
      <w:r>
        <w:rPr>
          <w:rFonts w:hint="eastAsia" w:ascii="仿宋_GB2312" w:eastAsia="仿宋_GB2312"/>
          <w:color w:val="000000"/>
          <w:sz w:val="32"/>
          <w:szCs w:val="32"/>
        </w:rPr>
        <w:t>局</w:t>
      </w:r>
      <w:r>
        <w:rPr>
          <w:rFonts w:hint="eastAsia" w:ascii="仿宋_GB2312" w:eastAsia="仿宋_GB2312"/>
          <w:sz w:val="32"/>
          <w:szCs w:val="32"/>
        </w:rPr>
        <w:t>政府采购支出总额</w:t>
      </w:r>
      <w:r>
        <w:rPr>
          <w:rFonts w:hint="eastAsia" w:ascii="仿宋_GB2312" w:eastAsia="仿宋_GB2312"/>
          <w:sz w:val="32"/>
          <w:szCs w:val="32"/>
          <w:lang w:val="en-US" w:eastAsia="zh-CN"/>
        </w:rPr>
        <w:t>81</w:t>
      </w:r>
      <w:r>
        <w:rPr>
          <w:rFonts w:hint="eastAsia" w:ascii="仿宋_GB2312" w:eastAsia="仿宋_GB2312"/>
          <w:sz w:val="32"/>
          <w:szCs w:val="32"/>
        </w:rPr>
        <w:t>.39万元，其中：政府采购货物支出</w:t>
      </w:r>
      <w:r>
        <w:rPr>
          <w:rFonts w:hint="eastAsia" w:ascii="仿宋_GB2312" w:eastAsia="仿宋_GB2312"/>
          <w:sz w:val="32"/>
          <w:szCs w:val="32"/>
          <w:lang w:val="en-US" w:eastAsia="zh-CN"/>
        </w:rPr>
        <w:t>2.</w:t>
      </w:r>
      <w:r>
        <w:rPr>
          <w:rFonts w:hint="eastAsia" w:ascii="仿宋_GB2312" w:eastAsia="仿宋_GB2312"/>
          <w:sz w:val="32"/>
          <w:szCs w:val="32"/>
        </w:rPr>
        <w:t>39万元、政府采购工程支出0万元、政府采购服务支出</w:t>
      </w:r>
      <w:r>
        <w:rPr>
          <w:rFonts w:hint="eastAsia" w:ascii="仿宋_GB2312" w:eastAsia="仿宋_GB2312"/>
          <w:sz w:val="32"/>
          <w:szCs w:val="32"/>
          <w:lang w:val="en-US" w:eastAsia="zh-CN"/>
        </w:rPr>
        <w:t>79</w:t>
      </w:r>
      <w:r>
        <w:rPr>
          <w:rFonts w:hint="eastAsia" w:ascii="仿宋_GB2312" w:eastAsia="仿宋_GB2312"/>
          <w:sz w:val="32"/>
          <w:szCs w:val="32"/>
        </w:rPr>
        <w:t>万元。主要用于</w:t>
      </w:r>
      <w:r>
        <w:rPr>
          <w:rFonts w:hint="eastAsia" w:ascii="仿宋" w:hAnsi="仿宋" w:eastAsia="仿宋"/>
          <w:color w:val="000000"/>
          <w:sz w:val="32"/>
          <w:szCs w:val="32"/>
        </w:rPr>
        <w:t>办公设备更新、补充</w:t>
      </w:r>
      <w:r>
        <w:rPr>
          <w:rFonts w:hint="eastAsia" w:ascii="仿宋_GB2312" w:eastAsia="仿宋_GB2312"/>
          <w:sz w:val="32"/>
          <w:szCs w:val="32"/>
        </w:rPr>
        <w:t>。授予中小企业合同金额</w:t>
      </w:r>
      <w:r>
        <w:rPr>
          <w:rFonts w:hint="eastAsia" w:ascii="仿宋_GB2312" w:eastAsia="仿宋_GB2312"/>
          <w:sz w:val="32"/>
          <w:szCs w:val="32"/>
          <w:lang w:val="en-US" w:eastAsia="zh-CN"/>
        </w:rPr>
        <w:t>81</w:t>
      </w:r>
      <w:r>
        <w:rPr>
          <w:rFonts w:hint="eastAsia" w:ascii="仿宋_GB2312" w:eastAsia="仿宋_GB2312"/>
          <w:sz w:val="32"/>
          <w:szCs w:val="32"/>
        </w:rPr>
        <w:t>.39万元，占政府采购支出总额的100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81</w:t>
      </w:r>
      <w:r>
        <w:rPr>
          <w:rFonts w:hint="eastAsia" w:ascii="仿宋_GB2312" w:eastAsia="仿宋_GB2312"/>
          <w:sz w:val="32"/>
          <w:szCs w:val="32"/>
        </w:rPr>
        <w:t>.39万元，占政府采购支出总额的100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color w:val="000000"/>
          <w:sz w:val="32"/>
          <w:szCs w:val="32"/>
        </w:rPr>
        <w:t>攀枝花市西区</w:t>
      </w:r>
      <w:r>
        <w:rPr>
          <w:rFonts w:hint="eastAsia" w:ascii="仿宋_GB2312" w:eastAsia="仿宋_GB2312"/>
          <w:color w:val="000000"/>
          <w:sz w:val="32"/>
          <w:szCs w:val="32"/>
          <w:lang w:eastAsia="zh-CN"/>
        </w:rPr>
        <w:t>发展和改革</w:t>
      </w:r>
      <w:r>
        <w:rPr>
          <w:rFonts w:hint="eastAsia" w:ascii="仿宋_GB2312" w:eastAsia="仿宋_GB2312"/>
          <w:color w:val="000000"/>
          <w:sz w:val="32"/>
          <w:szCs w:val="32"/>
        </w:rPr>
        <w:t>局</w:t>
      </w:r>
      <w:r>
        <w:rPr>
          <w:rFonts w:hint="eastAsia" w:ascii="仿宋_GB2312" w:eastAsia="仿宋_GB2312"/>
          <w:sz w:val="32"/>
          <w:szCs w:val="32"/>
        </w:rPr>
        <w:t>没有公务车辆,也没有单价</w:t>
      </w:r>
      <w:r>
        <w:rPr>
          <w:rFonts w:ascii="仿宋_GB2312" w:eastAsia="仿宋_GB2312"/>
          <w:sz w:val="32"/>
          <w:szCs w:val="32"/>
        </w:rPr>
        <w:t>50</w:t>
      </w:r>
      <w:r>
        <w:rPr>
          <w:rFonts w:hint="eastAsia" w:ascii="仿宋_GB2312" w:eastAsia="仿宋_GB2312"/>
          <w:sz w:val="32"/>
          <w:szCs w:val="32"/>
        </w:rPr>
        <w:t>万元以上通用设备和单价100万元以上专用设备。</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根据预算绩效管理要求，本部门（单位）在年初预算编制阶段，组织对项目包装及“十四五”规划编制经费项目</w:t>
      </w:r>
      <w:r>
        <w:rPr>
          <w:rFonts w:hint="eastAsia" w:ascii="仿宋_GB2312" w:hAnsi="仿宋_GB2312" w:eastAsia="仿宋_GB2312" w:cs="仿宋_GB2312"/>
          <w:sz w:val="32"/>
          <w:szCs w:val="32"/>
          <w:lang w:eastAsia="zh-CN"/>
        </w:rPr>
        <w:t>、区级节能审查项目及政府投资项目可行性研究报告评估咨询工作经费项目、2021年固定资产投资及康养产业工作经费项目、区级重点项目工作经费项目、2021年区级粮食储备经费项目、国家重大项目库项目可行性研究报告及前期工作经费项目等经费项目</w:t>
      </w:r>
      <w:r>
        <w:rPr>
          <w:rFonts w:hint="eastAsia" w:ascii="仿宋_GB2312" w:hAnsi="仿宋_GB2312" w:eastAsia="仿宋_GB2312" w:cs="仿宋_GB2312"/>
          <w:sz w:val="32"/>
          <w:szCs w:val="32"/>
        </w:rPr>
        <w:t>开展了预算事前绩效评估，编制了绩效目标，预算执行过程中，选取</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2021年特定目标类部门预算项目绩效目标自评表见附件（第四部分）。</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76"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spacing w:line="580" w:lineRule="exact"/>
        <w:ind w:firstLine="640" w:firstLineChars="200"/>
        <w:rPr>
          <w:rFonts w:hint="eastAsia" w:ascii="仿宋_GB2312" w:hAnsi="仿宋" w:eastAsia="仿宋_GB2312" w:cs="仿宋_GB2312"/>
          <w:sz w:val="32"/>
          <w:szCs w:val="32"/>
          <w:lang w:val="en-US"/>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年部门整体支出开展绩效自评，从评价情况来看</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kern w:val="2"/>
          <w:sz w:val="32"/>
          <w:szCs w:val="32"/>
          <w:lang w:val="en-US" w:eastAsia="zh-CN" w:bidi="ar"/>
        </w:rPr>
        <w:t>我局严格按照区委区政府及区财政工作要求，于年初制定专项资金计划，不断完善资金绩效评价管理工作。一是目标与实施效果比较。年初申报资金计划的同时，列明项目资金实施相关性及绩效目标，于年终实施完毕后，与实施效果进行比较；二是成本及效益比较。明确项目资金预算成本，于年终实施完毕后，比较资金使用率及实现的经济、社会、环境等效益情况。通过以上方式确保绩效评价管理规范、科学及有效性。</w:t>
      </w:r>
    </w:p>
    <w:p>
      <w:pPr>
        <w:widowControl/>
        <w:numPr>
          <w:ilvl w:val="0"/>
          <w:numId w:val="0"/>
        </w:numPr>
        <w:adjustRightInd w:val="0"/>
        <w:snapToGrid w:val="0"/>
        <w:spacing w:line="576" w:lineRule="exact"/>
        <w:ind w:firstLine="640" w:firstLineChars="200"/>
        <w:contextualSpacing/>
        <w:jc w:val="left"/>
        <w:rPr>
          <w:rFonts w:hint="eastAsia" w:ascii="仿宋_GB2312" w:hAnsi="宋体" w:eastAsia="仿宋_GB2312" w:cs="宋体"/>
          <w:kern w:val="0"/>
          <w:sz w:val="32"/>
          <w:szCs w:val="32"/>
          <w:shd w:val="clear" w:color="auto" w:fill="FFFFFF"/>
          <w:lang w:val="zh-CN"/>
        </w:rPr>
      </w:pPr>
      <w:bookmarkStart w:id="55" w:name="_Toc15396613"/>
      <w:bookmarkStart w:id="56" w:name="_Toc15377225"/>
      <w:r>
        <w:rPr>
          <w:rFonts w:hint="eastAsia" w:ascii="仿宋_GB2312" w:hAnsi="宋体" w:eastAsia="仿宋_GB2312" w:cs="宋体"/>
          <w:kern w:val="0"/>
          <w:sz w:val="32"/>
          <w:szCs w:val="32"/>
          <w:shd w:val="clear" w:color="auto" w:fill="FFFFFF"/>
          <w:lang w:val="zh-CN"/>
        </w:rPr>
        <w:t>（二）存在问题。</w:t>
      </w:r>
    </w:p>
    <w:p>
      <w:pPr>
        <w:pStyle w:val="6"/>
        <w:rPr>
          <w:rFonts w:hint="eastAsia" w:ascii="仿宋_GB2312" w:hAnsi="宋体" w:eastAsia="仿宋_GB2312" w:cs="宋体"/>
          <w:kern w:val="0"/>
          <w:sz w:val="32"/>
          <w:szCs w:val="32"/>
          <w:shd w:val="clear" w:color="auto" w:fill="FFFFFF"/>
          <w:lang w:val="zh-CN" w:eastAsia="zh-CN" w:bidi="ar-SA"/>
        </w:rPr>
      </w:pPr>
      <w:r>
        <w:rPr>
          <w:rFonts w:hint="eastAsia" w:ascii="仿宋_GB2312" w:hAnsi="宋体" w:eastAsia="仿宋_GB2312" w:cs="宋体"/>
          <w:kern w:val="0"/>
          <w:sz w:val="32"/>
          <w:szCs w:val="32"/>
          <w:shd w:val="clear" w:color="auto" w:fill="FFFFFF"/>
          <w:lang w:val="en-US" w:eastAsia="zh-CN" w:bidi="ar-SA"/>
        </w:rPr>
        <w:t xml:space="preserve">    自主预算绩效监控意识不够，未及时对各项目经费进行预算绩效监控。</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w:t>
      </w:r>
    </w:p>
    <w:p>
      <w:pPr>
        <w:pStyle w:val="2"/>
        <w:spacing w:before="72"/>
        <w:ind w:firstLine="640"/>
        <w:rPr>
          <w:rFonts w:hint="eastAsia" w:ascii="仿宋_GB2312" w:hAnsi="宋体" w:eastAsia="仿宋_GB2312" w:cs="宋体"/>
          <w:kern w:val="0"/>
          <w:sz w:val="32"/>
          <w:szCs w:val="32"/>
          <w:shd w:val="clear" w:color="auto" w:fill="FFFFFF"/>
          <w:lang w:val="en-US" w:eastAsia="zh-CN" w:bidi="ar-SA"/>
        </w:rPr>
      </w:pPr>
      <w:r>
        <w:rPr>
          <w:rFonts w:hint="eastAsia" w:ascii="仿宋_GB2312" w:hAnsi="宋体" w:eastAsia="仿宋_GB2312" w:cs="宋体"/>
          <w:kern w:val="0"/>
          <w:sz w:val="32"/>
          <w:szCs w:val="32"/>
          <w:shd w:val="clear" w:color="auto" w:fill="FFFFFF"/>
          <w:lang w:val="en-US" w:eastAsia="zh-CN" w:bidi="ar-SA"/>
        </w:rPr>
        <w:t>及时做好各项目资金的预算绩效监控工作，即要确保各项工作顺利的开展，又要做好厉行节约，力争把成本降低。</w:t>
      </w:r>
    </w:p>
    <w:p>
      <w:pPr>
        <w:pStyle w:val="2"/>
        <w:spacing w:before="72"/>
        <w:ind w:firstLine="640"/>
        <w:rPr>
          <w:rFonts w:hint="eastAsia" w:ascii="仿宋_GB2312" w:hAnsi="宋体" w:eastAsia="仿宋_GB2312" w:cs="宋体"/>
          <w:kern w:val="0"/>
          <w:sz w:val="32"/>
          <w:szCs w:val="32"/>
          <w:shd w:val="clear" w:color="auto" w:fill="FFFFFF"/>
          <w:lang w:val="en-US" w:eastAsia="zh-CN" w:bidi="ar-SA"/>
        </w:rPr>
      </w:pPr>
    </w:p>
    <w:p>
      <w:pPr>
        <w:pStyle w:val="2"/>
        <w:spacing w:before="72"/>
        <w:ind w:firstLine="640"/>
        <w:rPr>
          <w:rFonts w:hint="eastAsia" w:ascii="仿宋_GB2312" w:hAnsi="宋体" w:eastAsia="仿宋_GB2312" w:cs="宋体"/>
          <w:kern w:val="0"/>
          <w:sz w:val="32"/>
          <w:szCs w:val="32"/>
          <w:shd w:val="clear" w:color="auto" w:fill="FFFFFF"/>
          <w:lang w:val="en-US" w:eastAsia="zh-CN" w:bidi="ar-SA"/>
        </w:rPr>
      </w:pPr>
    </w:p>
    <w:p>
      <w:pPr>
        <w:pStyle w:val="2"/>
        <w:spacing w:before="72"/>
        <w:ind w:firstLine="640"/>
        <w:rPr>
          <w:rFonts w:hint="eastAsia" w:ascii="仿宋_GB2312" w:hAnsi="宋体" w:eastAsia="仿宋_GB2312" w:cs="宋体"/>
          <w:kern w:val="0"/>
          <w:sz w:val="32"/>
          <w:szCs w:val="32"/>
          <w:shd w:val="clear" w:color="auto" w:fill="FFFFFF"/>
          <w:lang w:val="en-US" w:eastAsia="zh-CN" w:bidi="ar-SA"/>
        </w:rPr>
      </w:pPr>
    </w:p>
    <w:p>
      <w:pPr>
        <w:numPr>
          <w:ilvl w:val="0"/>
          <w:numId w:val="4"/>
        </w:numPr>
        <w:spacing w:line="600" w:lineRule="exact"/>
        <w:ind w:firstLine="660" w:firstLineChars="150"/>
        <w:jc w:val="center"/>
        <w:outlineLvl w:val="0"/>
        <w:rPr>
          <w:rStyle w:val="30"/>
          <w:rFonts w:ascii="黑体" w:hAnsi="黑体" w:eastAsia="黑体"/>
          <w:b w:val="0"/>
        </w:rPr>
      </w:pPr>
      <w:r>
        <w:rPr>
          <w:rFonts w:hint="eastAsia" w:ascii="黑体" w:hAnsi="黑体" w:eastAsia="黑体"/>
          <w:sz w:val="44"/>
          <w:szCs w:val="44"/>
        </w:rPr>
        <w:t>名</w:t>
      </w:r>
      <w:r>
        <w:rPr>
          <w:rStyle w:val="30"/>
          <w:rFonts w:hint="eastAsia" w:ascii="黑体" w:hAnsi="黑体" w:eastAsia="黑体"/>
          <w:b w:val="0"/>
        </w:rPr>
        <w:t>词解释</w:t>
      </w:r>
      <w:bookmarkEnd w:id="55"/>
      <w:bookmarkEnd w:id="56"/>
    </w:p>
    <w:p>
      <w:pPr>
        <w:spacing w:line="600" w:lineRule="exact"/>
        <w:jc w:val="left"/>
        <w:rPr>
          <w:rFonts w:ascii="宋体"/>
          <w:b/>
          <w:sz w:val="44"/>
          <w:szCs w:val="44"/>
        </w:rPr>
      </w:pPr>
    </w:p>
    <w:p>
      <w:pPr>
        <w:pStyle w:val="28"/>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其他收入：指单位取得的除上述收入以外的各项收入。主要是利息收入。</w:t>
      </w:r>
    </w:p>
    <w:p>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p>
    <w:p>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、年末结转和结余：指单位按有关规定结转到下年或以后年度继续使用的资金。</w:t>
      </w:r>
    </w:p>
    <w:p>
      <w:pPr>
        <w:spacing w:line="600" w:lineRule="exact"/>
        <w:ind w:firstLine="640" w:firstLineChars="200"/>
        <w:rPr>
          <w:rFonts w:ascii="仿宋" w:hAnsi="仿宋" w:eastAsia="仿宋"/>
          <w:color w:val="000000"/>
          <w:sz w:val="32"/>
          <w:szCs w:val="32"/>
        </w:rPr>
      </w:pP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 xml:space="preserve"> 一般公共服务（类）财政事务（款）行政运行（项）：反映行政单位（包括实行公务员管理的事业单位）的基本支出；一般行政管理事务（项）：反映行政单位（包括实行公务员管理的事业单位）未单独设置项级科目的其他项目支出；</w:t>
      </w:r>
      <w:r>
        <w:rPr>
          <w:rFonts w:hint="eastAsia" w:ascii="仿宋" w:hAnsi="仿宋" w:eastAsia="仿宋"/>
          <w:color w:val="000000"/>
          <w:sz w:val="32"/>
          <w:szCs w:val="32"/>
        </w:rPr>
        <w:t>事业运行（项）：反映事业单位的基本支出，不包括行政单位（包括实行公务员管理的事业单位）后勤服务中心、医务室等附属事业单位；其他财政事务支出（项）：反映除上述项目以外其他财政事务方面的支出。</w:t>
      </w:r>
    </w:p>
    <w:p>
      <w:pPr>
        <w:spacing w:line="600" w:lineRule="exact"/>
        <w:ind w:firstLine="640" w:firstLineChars="200"/>
        <w:rPr>
          <w:rFonts w:ascii="仿宋" w:hAnsi="仿宋" w:eastAsia="仿宋"/>
          <w:color w:val="000000"/>
          <w:sz w:val="32"/>
          <w:szCs w:val="32"/>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.社会保障和就业支出（类）行政事业单位养老支出（款）</w:t>
      </w:r>
      <w:r>
        <w:rPr>
          <w:rFonts w:hint="eastAsia" w:ascii="仿宋" w:hAnsi="仿宋" w:eastAsia="仿宋"/>
          <w:color w:val="000000"/>
          <w:sz w:val="32"/>
          <w:szCs w:val="32"/>
        </w:rPr>
        <w:t>行政单位离退休（项）：反映行政单位（包括实行公务员管理的事业单位）开支的离退休经费；</w:t>
      </w:r>
      <w:r>
        <w:rPr>
          <w:rFonts w:hint="eastAsia" w:ascii="仿宋_GB2312" w:eastAsia="仿宋_GB2312"/>
          <w:color w:val="000000"/>
          <w:sz w:val="32"/>
          <w:szCs w:val="32"/>
        </w:rPr>
        <w:t>机关事业单位基本养老保险缴费支出（项）：反映机关事业单位实施养老保险制度由单位缴纳的基本养老保险费支出；机关事业单位职业年金缴费支出（项）：反映机关事业单位实施养老保险制度由单位实际缴纳的职业年金支出。</w:t>
      </w:r>
      <w:r>
        <w:rPr>
          <w:rFonts w:hint="eastAsia" w:ascii="仿宋" w:hAnsi="仿宋" w:eastAsia="仿宋"/>
          <w:color w:val="000000"/>
          <w:sz w:val="32"/>
          <w:szCs w:val="32"/>
        </w:rPr>
        <w:t>残疾人事业（款）其他残疾人事业支出（项）：反映其他用于残疾人事业方面的支出。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 卫生健康支出（类）行政事业单位医疗（款）行政单位医疗（项）：反映财政部门集中安排的行政单位基本医疗保险缴费经费，未参加医疗保险的行政单位的公费医疗保险经费，按国家规定享受离休人员和红军老战士待遇人员的医疗经费；</w:t>
      </w:r>
      <w:r>
        <w:rPr>
          <w:rFonts w:hint="eastAsia" w:ascii="仿宋" w:hAnsi="仿宋" w:eastAsia="仿宋"/>
          <w:color w:val="000000"/>
          <w:sz w:val="32"/>
          <w:szCs w:val="32"/>
        </w:rPr>
        <w:t>事业单位医疗（项）：反映财政部门集中安排的事业单位基本医疗保险缴费经费，未参加医疗保险的事业单位公费医疗经费，按国家规定享受离休人员待遇人员的医疗经费；</w:t>
      </w:r>
      <w:r>
        <w:rPr>
          <w:rFonts w:hint="eastAsia" w:ascii="仿宋_GB2312" w:eastAsia="仿宋_GB2312"/>
          <w:color w:val="000000"/>
          <w:sz w:val="32"/>
          <w:szCs w:val="32"/>
        </w:rPr>
        <w:t>公务员医疗补助（项）：反映财政部门集中安排的公务员医疗补助经费。</w:t>
      </w:r>
    </w:p>
    <w:p>
      <w:pPr>
        <w:ind w:firstLine="640" w:firstLineChars="200"/>
        <w:rPr>
          <w:rFonts w:ascii="仿宋_GB2312" w:eastAsia="仿宋_GB2312"/>
          <w:color w:val="000000"/>
          <w:sz w:val="32"/>
          <w:szCs w:val="32"/>
        </w:rPr>
      </w:pP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 城乡社区支出（类）国有土地使用权出让收入及对应专项债务收入安排的支出（款）土地开发支出（项）：反映新疆生产建设兵团和地方政府用于前期土地开发性支出以及与前期土地开发相关的费用等支出。</w:t>
      </w:r>
      <w:r>
        <w:rPr>
          <w:rFonts w:hint="eastAsia" w:ascii="仿宋_GB2312" w:eastAsia="仿宋_GB2312"/>
          <w:color w:val="000000"/>
          <w:sz w:val="32"/>
          <w:szCs w:val="32"/>
        </w:rPr>
        <w:tab/>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.住房保障支出（类）住房改革支出（款）住房公积金（项）：指行政事业单位按人力资源和社会保障部、财政部规定的基本工资和津贴补贴以及规定比例为职工缴纳的住房公积金。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黑体" w:hAnsi="黑体" w:eastAsia="黑体"/>
          <w:sz w:val="44"/>
          <w:szCs w:val="44"/>
        </w:rPr>
      </w:pPr>
      <w:bookmarkStart w:id="57" w:name="_Toc15396614"/>
    </w:p>
    <w:p>
      <w:pPr>
        <w:spacing w:line="600" w:lineRule="exact"/>
        <w:jc w:val="center"/>
        <w:outlineLvl w:val="0"/>
        <w:rPr>
          <w:rFonts w:ascii="黑体" w:hAnsi="黑体" w:eastAsia="黑体"/>
          <w:sz w:val="44"/>
          <w:szCs w:val="44"/>
        </w:rPr>
      </w:pPr>
    </w:p>
    <w:p>
      <w:pPr>
        <w:pStyle w:val="15"/>
        <w:rPr>
          <w:rFonts w:ascii="黑体" w:hAnsi="黑体" w:eastAsia="黑体"/>
          <w:sz w:val="44"/>
          <w:szCs w:val="44"/>
        </w:rPr>
      </w:pPr>
    </w:p>
    <w:p>
      <w:pPr>
        <w:spacing w:line="600" w:lineRule="exact"/>
        <w:jc w:val="center"/>
        <w:outlineLvl w:val="0"/>
        <w:rPr>
          <w:rStyle w:val="30"/>
          <w:rFonts w:ascii="黑体" w:hAnsi="黑体" w:eastAsia="黑体"/>
          <w:b w:val="0"/>
        </w:rPr>
      </w:pPr>
      <w:r>
        <w:rPr>
          <w:rFonts w:hint="eastAsia" w:ascii="黑体" w:hAnsi="黑体" w:eastAsia="黑体"/>
          <w:sz w:val="44"/>
          <w:szCs w:val="44"/>
        </w:rPr>
        <w:t>第</w:t>
      </w:r>
      <w:r>
        <w:rPr>
          <w:rStyle w:val="30"/>
          <w:rFonts w:hint="eastAsia" w:ascii="黑体" w:hAnsi="黑体" w:eastAsia="黑体"/>
          <w:b w:val="0"/>
        </w:rPr>
        <w:t>四部分 附件</w:t>
      </w:r>
      <w:bookmarkEnd w:id="57"/>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spacing w:line="572" w:lineRule="exact"/>
        <w:jc w:val="center"/>
        <w:rPr>
          <w:rFonts w:hint="eastAsia" w:ascii="方正小标宋简体" w:hAnsi="宋体" w:eastAsia="方正小标宋简体"/>
          <w:kern w:val="0"/>
          <w:sz w:val="40"/>
          <w:szCs w:val="44"/>
          <w:lang w:eastAsia="zh-CN"/>
        </w:rPr>
      </w:pPr>
      <w:r>
        <w:rPr>
          <w:rFonts w:hint="eastAsia" w:ascii="方正小标宋简体" w:hAnsi="宋体" w:eastAsia="方正小标宋简体"/>
          <w:kern w:val="0"/>
          <w:sz w:val="40"/>
          <w:szCs w:val="44"/>
        </w:rPr>
        <w:t>2021年</w:t>
      </w:r>
      <w:r>
        <w:rPr>
          <w:rFonts w:hint="eastAsia" w:ascii="方正小标宋简体" w:hAnsi="宋体" w:eastAsia="方正小标宋简体"/>
          <w:kern w:val="0"/>
          <w:sz w:val="40"/>
          <w:szCs w:val="44"/>
          <w:lang w:val="en-US" w:eastAsia="zh-CN"/>
        </w:rPr>
        <w:t>攀枝花市西区</w:t>
      </w:r>
      <w:r>
        <w:rPr>
          <w:rFonts w:hint="eastAsia" w:ascii="方正小标宋简体" w:hAnsi="宋体" w:eastAsia="方正小标宋简体"/>
          <w:kern w:val="0"/>
          <w:sz w:val="40"/>
          <w:szCs w:val="44"/>
          <w:lang w:eastAsia="zh-CN"/>
        </w:rPr>
        <w:t>发展和改革局</w:t>
      </w:r>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整体绩效评价报告</w:t>
      </w: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spacing w:line="353" w:lineRule="auto"/>
        <w:ind w:firstLine="640" w:firstLineChars="200"/>
        <w:rPr>
          <w:lang w:val="zh-CN"/>
        </w:rPr>
      </w:pPr>
      <w:r>
        <w:rPr>
          <w:rFonts w:ascii="Times New Roman" w:hAnsi="Times New Roman" w:eastAsia="方正仿宋_GBK"/>
          <w:sz w:val="32"/>
          <w:szCs w:val="32"/>
        </w:rPr>
        <w:t>区发展改革局机关设办公室、综合股、行政审批股、体改股、物价股五个内设机构，下设两个二级单位：攀枝花市西区物价局价格认证中心和攀枝花市西区项目协调服务中心，为其他事业单位。</w:t>
      </w:r>
    </w:p>
    <w:p>
      <w:pPr>
        <w:widowControl/>
        <w:numPr>
          <w:ilvl w:val="0"/>
          <w:numId w:val="5"/>
        </w:numPr>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机构职能。</w:t>
      </w:r>
    </w:p>
    <w:p>
      <w:pPr>
        <w:spacing w:line="353" w:lineRule="auto"/>
        <w:ind w:firstLine="480" w:firstLineChars="150"/>
        <w:rPr>
          <w:rFonts w:ascii="Times New Roman" w:hAnsi="Times New Roman" w:eastAsia="方正仿宋_GBK"/>
          <w:sz w:val="32"/>
          <w:szCs w:val="32"/>
        </w:rPr>
      </w:pPr>
      <w:r>
        <w:rPr>
          <w:rFonts w:ascii="Times New Roman" w:hAnsi="Times New Roman" w:eastAsia="方正仿宋_GBK"/>
          <w:sz w:val="32"/>
          <w:szCs w:val="32"/>
        </w:rPr>
        <w:t>1.贯彻执行国家有关国民经济和社会发展的战略、经济体制的方针、政策和法律、法规，拟订并组织实施全区国民经济和社会发展的中长期规划和年度计划；受区政府委托向区人大作全区经济社会发展计划的报告。</w:t>
      </w:r>
    </w:p>
    <w:p>
      <w:pPr>
        <w:spacing w:line="353"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2.统筹协调全区经济社会发展。研究分析全区经济和社会发展形势，进行宏观经济的预测预警和信息引导。</w:t>
      </w:r>
    </w:p>
    <w:p>
      <w:pPr>
        <w:spacing w:line="353"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3.承担指导推进和综合协调全区经济体制改革的责任。</w:t>
      </w:r>
    </w:p>
    <w:p>
      <w:pPr>
        <w:spacing w:line="353"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4.贯彻执行国家和省价格法律、法规和方针、政策，编制和执行价格调整改革规划，组织实施年度价格总水平调控目标及价格调控措施，负责权限范围内价格的制定调整和重要商品价格的管理，监管实行市场调节价的商品和服务价格，承担行政事业性收费管理工作，负责全区价格监督检查、价格成本调查监审、价格监测、价格认证等工作。</w:t>
      </w:r>
    </w:p>
    <w:p>
      <w:pPr>
        <w:spacing w:line="353"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5.负责全区投资宏观管理和协调推进重大项目建设。</w:t>
      </w:r>
    </w:p>
    <w:p>
      <w:pPr>
        <w:spacing w:line="353"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6.推进经济结构战略性调整。</w:t>
      </w:r>
    </w:p>
    <w:p>
      <w:pPr>
        <w:spacing w:line="353"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7.促进城乡区域协调发展。</w:t>
      </w:r>
    </w:p>
    <w:p>
      <w:pPr>
        <w:spacing w:line="353"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8.负责重要商品的总量平衡和宏观调控。</w:t>
      </w:r>
    </w:p>
    <w:p>
      <w:pPr>
        <w:spacing w:line="353"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9.负责全区社会发展与国民经济发展的政策衔接。</w:t>
      </w:r>
    </w:p>
    <w:p>
      <w:pPr>
        <w:spacing w:line="353"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10.推进可持续发展战略。</w:t>
      </w:r>
    </w:p>
    <w:p>
      <w:pPr>
        <w:spacing w:line="353"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11.负责指导和协调全区招标投标工作。</w:t>
      </w:r>
    </w:p>
    <w:p>
      <w:pPr>
        <w:spacing w:line="353"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12.承担区政府公布的有关行政审批事项。</w:t>
      </w:r>
    </w:p>
    <w:p>
      <w:pPr>
        <w:spacing w:line="353" w:lineRule="auto"/>
        <w:ind w:firstLine="640" w:firstLineChars="200"/>
        <w:rPr>
          <w:lang w:val="zh-CN"/>
        </w:rPr>
      </w:pPr>
      <w:r>
        <w:rPr>
          <w:rFonts w:ascii="Times New Roman" w:hAnsi="Times New Roman" w:eastAsia="方正仿宋_GBK"/>
          <w:sz w:val="32"/>
          <w:szCs w:val="32"/>
        </w:rPr>
        <w:t>13.承办区政府交办的其他事项。</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（三）人员概况。</w:t>
      </w:r>
    </w:p>
    <w:p>
      <w:pPr>
        <w:spacing w:line="353" w:lineRule="auto"/>
        <w:ind w:firstLine="640" w:firstLineChars="200"/>
        <w:rPr>
          <w:lang w:val="zh-CN"/>
        </w:rPr>
      </w:pPr>
      <w:r>
        <w:rPr>
          <w:rFonts w:ascii="Times New Roman" w:hAnsi="Times New Roman" w:eastAsia="方正仿宋_GBK"/>
          <w:sz w:val="32"/>
          <w:szCs w:val="32"/>
        </w:rPr>
        <w:t>三定方案核定行政人员编制8人，实有</w:t>
      </w:r>
      <w:r>
        <w:rPr>
          <w:rFonts w:hint="eastAsia" w:ascii="Times New Roman" w:hAnsi="Times New Roman" w:eastAsia="方正仿宋_GBK"/>
          <w:sz w:val="32"/>
          <w:szCs w:val="32"/>
          <w:lang w:val="en-US" w:eastAsia="zh-CN"/>
        </w:rPr>
        <w:t>8</w:t>
      </w:r>
      <w:r>
        <w:rPr>
          <w:rFonts w:ascii="Times New Roman" w:hAnsi="Times New Roman" w:eastAsia="方正仿宋_GBK"/>
          <w:sz w:val="32"/>
          <w:szCs w:val="32"/>
        </w:rPr>
        <w:t>人；事业人员编制12人，实有12人；编内聘用人员编制12人，实有9人。</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spacing w:line="353" w:lineRule="auto"/>
        <w:ind w:firstLine="640" w:firstLineChars="200"/>
        <w:rPr>
          <w:lang w:val="zh-CN"/>
        </w:rPr>
      </w:pP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年财政资金收入</w:t>
      </w:r>
      <w:r>
        <w:rPr>
          <w:rFonts w:hint="eastAsia" w:ascii="Times New Roman" w:hAnsi="Times New Roman" w:eastAsia="方正仿宋_GBK"/>
          <w:sz w:val="32"/>
          <w:szCs w:val="32"/>
          <w:lang w:val="en-US" w:eastAsia="zh-CN"/>
        </w:rPr>
        <w:t>973.97</w:t>
      </w:r>
      <w:r>
        <w:rPr>
          <w:rFonts w:ascii="Times New Roman" w:hAnsi="Times New Roman" w:eastAsia="方正仿宋_GBK"/>
          <w:sz w:val="32"/>
          <w:szCs w:val="32"/>
        </w:rPr>
        <w:t>万元，其中：一般公共预算拨款收入</w:t>
      </w:r>
      <w:r>
        <w:rPr>
          <w:rFonts w:hint="eastAsia" w:ascii="Times New Roman" w:hAnsi="Times New Roman" w:eastAsia="方正仿宋_GBK"/>
          <w:sz w:val="32"/>
          <w:szCs w:val="32"/>
          <w:lang w:val="en-US" w:eastAsia="zh-CN"/>
        </w:rPr>
        <w:t>444.6</w:t>
      </w:r>
      <w:r>
        <w:rPr>
          <w:rFonts w:ascii="Times New Roman" w:hAnsi="Times New Roman" w:eastAsia="方正仿宋_GBK"/>
          <w:sz w:val="32"/>
          <w:szCs w:val="32"/>
        </w:rPr>
        <w:t>万元，占</w:t>
      </w:r>
      <w:r>
        <w:rPr>
          <w:rFonts w:hint="eastAsia" w:ascii="Times New Roman" w:hAnsi="Times New Roman" w:eastAsia="方正仿宋_GBK"/>
          <w:sz w:val="32"/>
          <w:szCs w:val="32"/>
          <w:lang w:val="en-US" w:eastAsia="zh-CN"/>
        </w:rPr>
        <w:t>45.65</w:t>
      </w:r>
      <w:r>
        <w:rPr>
          <w:rFonts w:ascii="Times New Roman" w:hAnsi="Times New Roman" w:eastAsia="方正仿宋_GBK"/>
          <w:sz w:val="32"/>
          <w:szCs w:val="32"/>
        </w:rPr>
        <w:t>%。政府性基金预算拨款收入</w:t>
      </w:r>
      <w:r>
        <w:rPr>
          <w:rFonts w:hint="eastAsia" w:ascii="Times New Roman" w:hAnsi="Times New Roman" w:eastAsia="方正仿宋_GBK"/>
          <w:sz w:val="32"/>
          <w:szCs w:val="32"/>
          <w:lang w:val="en-US" w:eastAsia="zh-CN"/>
        </w:rPr>
        <w:t>529.37</w:t>
      </w:r>
      <w:r>
        <w:rPr>
          <w:rFonts w:ascii="Times New Roman" w:hAnsi="Times New Roman" w:eastAsia="方正仿宋_GBK"/>
          <w:sz w:val="32"/>
          <w:szCs w:val="32"/>
        </w:rPr>
        <w:t>万元，占</w:t>
      </w:r>
      <w:r>
        <w:rPr>
          <w:rFonts w:hint="eastAsia" w:ascii="Times New Roman" w:hAnsi="Times New Roman" w:eastAsia="方正仿宋_GBK"/>
          <w:sz w:val="32"/>
          <w:szCs w:val="32"/>
          <w:lang w:val="en-US" w:eastAsia="zh-CN"/>
        </w:rPr>
        <w:t>54.35</w:t>
      </w:r>
      <w:r>
        <w:rPr>
          <w:rFonts w:ascii="Times New Roman" w:hAnsi="Times New Roman" w:eastAsia="方正仿宋_GBK"/>
          <w:sz w:val="32"/>
          <w:szCs w:val="32"/>
        </w:rPr>
        <w:t>%。</w:t>
      </w:r>
    </w:p>
    <w:p>
      <w:pPr>
        <w:widowControl/>
        <w:numPr>
          <w:ilvl w:val="0"/>
          <w:numId w:val="0"/>
        </w:numPr>
        <w:adjustRightInd w:val="0"/>
        <w:snapToGrid w:val="0"/>
        <w:spacing w:line="572" w:lineRule="exact"/>
        <w:ind w:leftChars="200" w:firstLine="320" w:firstLineChars="1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（二）部门财政资金支出情况。</w:t>
      </w:r>
    </w:p>
    <w:p>
      <w:pPr>
        <w:pStyle w:val="6"/>
        <w:numPr>
          <w:ilvl w:val="0"/>
          <w:numId w:val="0"/>
        </w:numPr>
        <w:ind w:leftChars="200" w:firstLine="320" w:firstLineChars="100"/>
        <w:rPr>
          <w:rFonts w:ascii="Times New Roman" w:hAnsi="Times New Roman" w:eastAsia="方正仿宋_GBK"/>
          <w:sz w:val="32"/>
          <w:szCs w:val="32"/>
        </w:rPr>
      </w:pPr>
      <w:r>
        <w:rPr>
          <w:rFonts w:hint="eastAsia" w:ascii="Times New Roman" w:hAnsi="Times New Roman" w:eastAsia="方正仿宋_GBK"/>
          <w:sz w:val="32"/>
          <w:szCs w:val="32"/>
          <w:lang w:val="en-US" w:eastAsia="zh-CN"/>
        </w:rPr>
        <w:t>2021</w:t>
      </w:r>
      <w:r>
        <w:rPr>
          <w:rFonts w:ascii="Times New Roman" w:hAnsi="Times New Roman" w:eastAsia="方正仿宋_GBK"/>
          <w:sz w:val="32"/>
          <w:szCs w:val="32"/>
        </w:rPr>
        <w:t>年财政资金支出</w:t>
      </w:r>
      <w:r>
        <w:rPr>
          <w:rFonts w:hint="eastAsia" w:ascii="Times New Roman" w:hAnsi="Times New Roman" w:eastAsia="方正仿宋_GBK"/>
          <w:sz w:val="32"/>
          <w:szCs w:val="32"/>
          <w:lang w:val="en-US" w:eastAsia="zh-CN"/>
        </w:rPr>
        <w:t>633.28</w:t>
      </w:r>
      <w:r>
        <w:rPr>
          <w:rFonts w:ascii="Times New Roman" w:hAnsi="Times New Roman" w:eastAsia="方正仿宋_GBK"/>
          <w:sz w:val="32"/>
          <w:szCs w:val="32"/>
        </w:rPr>
        <w:t>万元，其中：基本支出</w:t>
      </w:r>
    </w:p>
    <w:p>
      <w:pPr>
        <w:pStyle w:val="6"/>
        <w:numPr>
          <w:ilvl w:val="0"/>
          <w:numId w:val="0"/>
        </w:numPr>
        <w:rPr>
          <w:lang w:val="zh-CN"/>
        </w:rPr>
      </w:pPr>
      <w:r>
        <w:rPr>
          <w:rFonts w:hint="eastAsia" w:ascii="Times New Roman" w:hAnsi="Times New Roman" w:eastAsia="方正仿宋_GBK"/>
          <w:sz w:val="32"/>
          <w:szCs w:val="32"/>
          <w:lang w:val="en-US" w:eastAsia="zh-CN"/>
        </w:rPr>
        <w:t>437.74</w:t>
      </w:r>
      <w:r>
        <w:rPr>
          <w:rFonts w:ascii="Times New Roman" w:hAnsi="Times New Roman" w:eastAsia="方正仿宋_GBK"/>
          <w:sz w:val="32"/>
          <w:szCs w:val="32"/>
        </w:rPr>
        <w:t>万元，占</w:t>
      </w:r>
      <w:r>
        <w:rPr>
          <w:rFonts w:hint="eastAsia" w:ascii="Times New Roman" w:hAnsi="Times New Roman" w:eastAsia="方正仿宋_GBK"/>
          <w:sz w:val="32"/>
          <w:szCs w:val="32"/>
          <w:lang w:val="en-US" w:eastAsia="zh-CN"/>
        </w:rPr>
        <w:t>69.12</w:t>
      </w:r>
      <w:r>
        <w:rPr>
          <w:rFonts w:ascii="Times New Roman" w:hAnsi="Times New Roman" w:eastAsia="方正仿宋_GBK"/>
          <w:sz w:val="32"/>
          <w:szCs w:val="32"/>
        </w:rPr>
        <w:t>%；项目支出</w:t>
      </w:r>
      <w:r>
        <w:rPr>
          <w:rFonts w:hint="eastAsia" w:ascii="Times New Roman" w:hAnsi="Times New Roman" w:eastAsia="方正仿宋_GBK"/>
          <w:sz w:val="32"/>
          <w:szCs w:val="32"/>
          <w:lang w:val="en-US" w:eastAsia="zh-CN"/>
        </w:rPr>
        <w:t>195.54</w:t>
      </w:r>
      <w:r>
        <w:rPr>
          <w:rFonts w:ascii="Times New Roman" w:hAnsi="Times New Roman" w:eastAsia="方正仿宋_GBK"/>
          <w:sz w:val="32"/>
          <w:szCs w:val="32"/>
        </w:rPr>
        <w:t>万元，占</w:t>
      </w:r>
      <w:r>
        <w:rPr>
          <w:rFonts w:hint="eastAsia" w:ascii="Times New Roman" w:hAnsi="Times New Roman" w:eastAsia="方正仿宋_GBK"/>
          <w:sz w:val="32"/>
          <w:szCs w:val="32"/>
          <w:lang w:val="en-US" w:eastAsia="zh-CN"/>
        </w:rPr>
        <w:t>30.88</w:t>
      </w:r>
      <w:r>
        <w:rPr>
          <w:rFonts w:ascii="Times New Roman" w:hAnsi="Times New Roman" w:eastAsia="方正仿宋_GBK"/>
          <w:sz w:val="32"/>
          <w:szCs w:val="32"/>
        </w:rPr>
        <w:t>%。其中基本支出行政运行</w:t>
      </w:r>
      <w:r>
        <w:rPr>
          <w:rFonts w:hint="eastAsia" w:ascii="Times New Roman" w:hAnsi="Times New Roman" w:eastAsia="方正仿宋_GBK"/>
          <w:sz w:val="32"/>
          <w:szCs w:val="32"/>
          <w:lang w:val="en-US" w:eastAsia="zh-CN"/>
        </w:rPr>
        <w:t>195.02</w:t>
      </w:r>
      <w:r>
        <w:rPr>
          <w:rFonts w:ascii="Times New Roman" w:hAnsi="Times New Roman" w:eastAsia="方正仿宋_GBK"/>
          <w:sz w:val="32"/>
          <w:szCs w:val="32"/>
        </w:rPr>
        <w:t>万元、事业运行</w:t>
      </w:r>
      <w:r>
        <w:rPr>
          <w:rFonts w:hint="eastAsia" w:ascii="Times New Roman" w:hAnsi="Times New Roman" w:eastAsia="方正仿宋_GBK"/>
          <w:sz w:val="32"/>
          <w:szCs w:val="32"/>
          <w:lang w:val="en-US" w:eastAsia="zh-CN"/>
        </w:rPr>
        <w:t>144.82</w:t>
      </w:r>
      <w:r>
        <w:rPr>
          <w:rFonts w:ascii="Times New Roman" w:hAnsi="Times New Roman" w:eastAsia="方正仿宋_GBK"/>
          <w:sz w:val="32"/>
          <w:szCs w:val="32"/>
        </w:rPr>
        <w:t>万元、退休费</w:t>
      </w:r>
      <w:r>
        <w:rPr>
          <w:rFonts w:hint="eastAsia" w:ascii="Times New Roman" w:hAnsi="Times New Roman" w:eastAsia="方正仿宋_GBK"/>
          <w:sz w:val="32"/>
          <w:szCs w:val="32"/>
          <w:lang w:val="en-US" w:eastAsia="zh-CN"/>
        </w:rPr>
        <w:t>11.41</w:t>
      </w:r>
      <w:r>
        <w:rPr>
          <w:rFonts w:ascii="Times New Roman" w:hAnsi="Times New Roman" w:eastAsia="方正仿宋_GBK"/>
          <w:sz w:val="32"/>
          <w:szCs w:val="32"/>
        </w:rPr>
        <w:t>万元、行政单位医疗</w:t>
      </w:r>
      <w:r>
        <w:rPr>
          <w:rFonts w:hint="eastAsia" w:ascii="Times New Roman" w:hAnsi="Times New Roman" w:eastAsia="方正仿宋_GBK"/>
          <w:sz w:val="32"/>
          <w:szCs w:val="32"/>
          <w:lang w:val="en-US" w:eastAsia="zh-CN"/>
        </w:rPr>
        <w:t>9.06</w:t>
      </w:r>
      <w:r>
        <w:rPr>
          <w:rFonts w:ascii="Times New Roman" w:hAnsi="Times New Roman" w:eastAsia="方正仿宋_GBK"/>
          <w:sz w:val="32"/>
          <w:szCs w:val="32"/>
        </w:rPr>
        <w:t>万元、事业单位医疗</w:t>
      </w:r>
      <w:r>
        <w:rPr>
          <w:rFonts w:hint="eastAsia" w:ascii="Times New Roman" w:hAnsi="Times New Roman" w:eastAsia="方正仿宋_GBK"/>
          <w:sz w:val="32"/>
          <w:szCs w:val="32"/>
          <w:lang w:val="en-US" w:eastAsia="zh-CN"/>
        </w:rPr>
        <w:t>10.08</w:t>
      </w:r>
      <w:r>
        <w:rPr>
          <w:rFonts w:ascii="Times New Roman" w:hAnsi="Times New Roman" w:eastAsia="方正仿宋_GBK"/>
          <w:sz w:val="32"/>
          <w:szCs w:val="32"/>
        </w:rPr>
        <w:t>万元、医疗补助</w:t>
      </w:r>
      <w:r>
        <w:rPr>
          <w:rFonts w:hint="eastAsia" w:ascii="Times New Roman" w:hAnsi="Times New Roman" w:eastAsia="方正仿宋_GBK"/>
          <w:sz w:val="32"/>
          <w:szCs w:val="32"/>
          <w:lang w:val="en-US" w:eastAsia="zh-CN"/>
        </w:rPr>
        <w:t>2.31</w:t>
      </w:r>
      <w:r>
        <w:rPr>
          <w:rFonts w:ascii="Times New Roman" w:hAnsi="Times New Roman" w:eastAsia="方正仿宋_GBK"/>
          <w:sz w:val="32"/>
          <w:szCs w:val="32"/>
        </w:rPr>
        <w:t>万元、机关事业单位基本养老保险缴费支出</w:t>
      </w:r>
      <w:r>
        <w:rPr>
          <w:rFonts w:hint="eastAsia" w:ascii="Times New Roman" w:hAnsi="Times New Roman" w:eastAsia="方正仿宋_GBK"/>
          <w:sz w:val="32"/>
          <w:szCs w:val="32"/>
          <w:lang w:val="en-US" w:eastAsia="zh-CN"/>
        </w:rPr>
        <w:t>24.32</w:t>
      </w:r>
      <w:r>
        <w:rPr>
          <w:rFonts w:ascii="Times New Roman" w:hAnsi="Times New Roman" w:eastAsia="方正仿宋_GBK"/>
          <w:sz w:val="32"/>
          <w:szCs w:val="32"/>
        </w:rPr>
        <w:t>万元、住房公积金</w:t>
      </w:r>
      <w:r>
        <w:rPr>
          <w:rFonts w:hint="eastAsia" w:ascii="Times New Roman" w:hAnsi="Times New Roman" w:eastAsia="方正仿宋_GBK"/>
          <w:sz w:val="32"/>
          <w:szCs w:val="32"/>
          <w:lang w:val="en-US" w:eastAsia="zh-CN"/>
        </w:rPr>
        <w:t>32.70</w:t>
      </w:r>
      <w:r>
        <w:rPr>
          <w:rFonts w:ascii="Times New Roman" w:hAnsi="Times New Roman" w:eastAsia="方正仿宋_GBK"/>
          <w:sz w:val="32"/>
          <w:szCs w:val="32"/>
        </w:rPr>
        <w:t>万元。</w:t>
      </w:r>
    </w:p>
    <w:p>
      <w:pPr>
        <w:widowControl/>
        <w:numPr>
          <w:ilvl w:val="0"/>
          <w:numId w:val="6"/>
        </w:numPr>
        <w:adjustRightInd w:val="0"/>
        <w:snapToGrid w:val="0"/>
        <w:spacing w:line="572" w:lineRule="exact"/>
        <w:ind w:firstLine="640" w:firstLineChars="200"/>
        <w:contextualSpacing/>
        <w:jc w:val="left"/>
        <w:rPr>
          <w:rFonts w:hint="eastAsia"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部门整体预算绩效管理情况</w:t>
      </w:r>
    </w:p>
    <w:p>
      <w:pPr>
        <w:pStyle w:val="9"/>
        <w:spacing w:line="600" w:lineRule="exact"/>
        <w:ind w:firstLine="640" w:firstLineChars="200"/>
        <w:jc w:val="left"/>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rPr>
        <w:t>根据绩效目标及指标值逐项分析。</w:t>
      </w:r>
    </w:p>
    <w:p>
      <w:pPr>
        <w:pStyle w:val="9"/>
        <w:spacing w:line="600" w:lineRule="exact"/>
        <w:ind w:firstLine="640" w:firstLineChars="200"/>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w:t>
      </w:r>
      <w:r>
        <w:rPr>
          <w:rFonts w:hint="default" w:ascii="Times New Roman" w:hAnsi="Times New Roman" w:eastAsia="楷体" w:cs="Times New Roman"/>
          <w:sz w:val="32"/>
          <w:szCs w:val="32"/>
          <w:lang w:eastAsia="zh-CN"/>
        </w:rPr>
        <w:t>区</w:t>
      </w:r>
      <w:r>
        <w:rPr>
          <w:rFonts w:hint="default" w:ascii="Times New Roman" w:hAnsi="Times New Roman" w:eastAsia="楷体" w:cs="Times New Roman"/>
          <w:sz w:val="32"/>
          <w:szCs w:val="32"/>
        </w:rPr>
        <w:t>级财政资金绩效目标完成情况</w:t>
      </w:r>
    </w:p>
    <w:p>
      <w:pPr>
        <w:pStyle w:val="9"/>
        <w:spacing w:line="600" w:lineRule="exact"/>
        <w:ind w:firstLine="640" w:firstLineChars="200"/>
        <w:jc w:val="left"/>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rPr>
        <w:t>1.年初部门预算绩效目标完成情况</w:t>
      </w:r>
    </w:p>
    <w:p>
      <w:pPr>
        <w:pStyle w:val="9"/>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（1）产出指标完成情况分析。</w:t>
      </w:r>
    </w:p>
    <w:p>
      <w:pPr>
        <w:pStyle w:val="9"/>
        <w:spacing w:line="60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年初部门预算产出指标完成情况：数量指标、成本指标、时效指标和质量指标均按计划完成，保障机构正常开展业务工作，17个项目按年初计划完成任务，完成基本支出437.74万元，项目支出195.54万元，64%完成绩效目标。</w:t>
      </w:r>
    </w:p>
    <w:p>
      <w:pPr>
        <w:pStyle w:val="9"/>
        <w:numPr>
          <w:ilvl w:val="0"/>
          <w:numId w:val="7"/>
        </w:num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效益指标完成情况分析。</w:t>
      </w:r>
    </w:p>
    <w:p>
      <w:pPr>
        <w:pStyle w:val="9"/>
        <w:numPr>
          <w:ilvl w:val="0"/>
          <w:numId w:val="0"/>
        </w:numPr>
        <w:spacing w:line="600" w:lineRule="exact"/>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Cs/>
          <w:sz w:val="32"/>
          <w:szCs w:val="32"/>
        </w:rPr>
        <w:t>2021年，是“十四五”规划开局之年，也是西区开启全面建设社会主义现代化新征程的关键之年。区发展改革局在区委、区政府的坚强领导下，紧密围绕市委“三个圈层”建设决策部署，认真贯彻落实区委“一二三四五”总体工作思路，</w:t>
      </w:r>
      <w:r>
        <w:rPr>
          <w:rFonts w:hint="default" w:ascii="Times New Roman" w:hAnsi="Times New Roman" w:cs="Times New Roman"/>
          <w:bCs/>
          <w:sz w:val="32"/>
          <w:szCs w:val="32"/>
        </w:rPr>
        <w:t>勠</w:t>
      </w:r>
      <w:r>
        <w:rPr>
          <w:rFonts w:hint="default" w:ascii="Times New Roman" w:hAnsi="Times New Roman" w:eastAsia="仿宋_GB2312" w:cs="Times New Roman"/>
          <w:bCs/>
          <w:sz w:val="32"/>
          <w:szCs w:val="32"/>
        </w:rPr>
        <w:t>力同心，攻坚克难，高质量完成2021年各项工作任务。</w:t>
      </w:r>
    </w:p>
    <w:p>
      <w:pPr>
        <w:pStyle w:val="9"/>
        <w:numPr>
          <w:ilvl w:val="0"/>
          <w:numId w:val="0"/>
        </w:num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满意度指标完成情况分析。</w:t>
      </w:r>
    </w:p>
    <w:p>
      <w:pPr>
        <w:pStyle w:val="9"/>
        <w:numPr>
          <w:ilvl w:val="0"/>
          <w:numId w:val="0"/>
        </w:numPr>
        <w:spacing w:line="600" w:lineRule="exact"/>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服务对象及职工抽样满意度达到基本满意以上。</w:t>
      </w:r>
    </w:p>
    <w:p>
      <w:pPr>
        <w:pStyle w:val="9"/>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级专项（项目）资金绩效目标完成情况</w:t>
      </w:r>
    </w:p>
    <w:p>
      <w:pPr>
        <w:pStyle w:val="9"/>
        <w:numPr>
          <w:ilvl w:val="0"/>
          <w:numId w:val="0"/>
        </w:num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（1）产出指标完成情况分析。</w:t>
      </w:r>
    </w:p>
    <w:p>
      <w:pPr>
        <w:spacing w:line="353"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年部门预算</w:t>
      </w:r>
      <w:r>
        <w:rPr>
          <w:rFonts w:hint="eastAsia" w:ascii="Times New Roman" w:hAnsi="Times New Roman" w:eastAsia="方正仿宋_GBK"/>
          <w:sz w:val="32"/>
          <w:szCs w:val="32"/>
          <w:lang w:eastAsia="zh-CN"/>
        </w:rPr>
        <w:t>批复、追加和上年结转的</w:t>
      </w:r>
      <w:r>
        <w:rPr>
          <w:rFonts w:ascii="Times New Roman" w:hAnsi="Times New Roman" w:eastAsia="方正仿宋_GBK"/>
          <w:sz w:val="32"/>
          <w:szCs w:val="32"/>
        </w:rPr>
        <w:t>绩效目标管理项目</w:t>
      </w:r>
      <w:r>
        <w:rPr>
          <w:rFonts w:hint="eastAsia" w:ascii="Times New Roman" w:hAnsi="Times New Roman" w:eastAsia="方正仿宋_GBK"/>
          <w:sz w:val="32"/>
          <w:szCs w:val="32"/>
          <w:lang w:val="en-US" w:eastAsia="zh-CN"/>
        </w:rPr>
        <w:t>17</w:t>
      </w:r>
      <w:r>
        <w:rPr>
          <w:rFonts w:ascii="Times New Roman" w:hAnsi="Times New Roman" w:eastAsia="方正仿宋_GBK"/>
          <w:sz w:val="32"/>
          <w:szCs w:val="32"/>
        </w:rPr>
        <w:t>个，涉及项目资金共计</w:t>
      </w:r>
      <w:r>
        <w:rPr>
          <w:rFonts w:hint="eastAsia" w:ascii="Times New Roman" w:hAnsi="Times New Roman" w:eastAsia="方正仿宋_GBK"/>
          <w:sz w:val="32"/>
          <w:szCs w:val="32"/>
          <w:lang w:val="en-US" w:eastAsia="zh-CN"/>
        </w:rPr>
        <w:t>539.37</w:t>
      </w:r>
      <w:r>
        <w:rPr>
          <w:rFonts w:ascii="Times New Roman" w:hAnsi="Times New Roman" w:eastAsia="方正仿宋_GBK"/>
          <w:sz w:val="32"/>
          <w:szCs w:val="32"/>
        </w:rPr>
        <w:t>万元，资金使用率达到</w:t>
      </w:r>
      <w:r>
        <w:rPr>
          <w:rFonts w:hint="eastAsia" w:ascii="Times New Roman" w:hAnsi="Times New Roman" w:eastAsia="方正仿宋_GBK"/>
          <w:sz w:val="32"/>
          <w:szCs w:val="32"/>
          <w:lang w:val="en-US" w:eastAsia="zh-CN"/>
        </w:rPr>
        <w:t xml:space="preserve">36 </w:t>
      </w:r>
      <w:r>
        <w:rPr>
          <w:rFonts w:ascii="Times New Roman" w:hAnsi="Times New Roman" w:eastAsia="方正仿宋_GBK"/>
          <w:sz w:val="32"/>
          <w:szCs w:val="32"/>
        </w:rPr>
        <w:t>%，均按照预算事前绩效评估安排项目支出，全部完成年初绩效目标，财政支出规范合理，既确保了重点项目开支又保障部门正常运行，财政支出绩效良好。</w:t>
      </w:r>
    </w:p>
    <w:p>
      <w:pPr>
        <w:pStyle w:val="11"/>
        <w:ind w:firstLine="640" w:firstLineChars="200"/>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）效益指标完成情况分析。</w:t>
      </w:r>
    </w:p>
    <w:p>
      <w:pPr>
        <w:spacing w:line="353"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年度我局预算整体绩效执行情况良好，各项支出绩效目标均在预算内按时保质保量完成，财政支出规范合理，既确保了重点项目开支又保障部门正常运行，财政支出绩效良好。</w:t>
      </w:r>
    </w:p>
    <w:p>
      <w:pPr>
        <w:pStyle w:val="9"/>
        <w:numPr>
          <w:ilvl w:val="0"/>
          <w:numId w:val="0"/>
        </w:numPr>
        <w:spacing w:line="600" w:lineRule="exact"/>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）满意度指标完成情况分析。</w:t>
      </w:r>
    </w:p>
    <w:p>
      <w:pPr>
        <w:pStyle w:val="9"/>
        <w:numPr>
          <w:ilvl w:val="0"/>
          <w:numId w:val="0"/>
        </w:numPr>
        <w:spacing w:line="600" w:lineRule="exact"/>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服务对象及职工抽样满意度达到95%以上。</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76"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spacing w:line="353" w:lineRule="auto"/>
        <w:ind w:firstLine="640" w:firstLineChars="200"/>
        <w:rPr>
          <w:lang w:val="zh-CN"/>
        </w:rPr>
      </w:pPr>
      <w:r>
        <w:rPr>
          <w:rFonts w:hint="eastAsia" w:ascii="仿宋_GB2312" w:hAnsi="宋体" w:eastAsia="仿宋_GB2312" w:cs="宋体"/>
          <w:kern w:val="0"/>
          <w:sz w:val="32"/>
          <w:szCs w:val="32"/>
          <w:shd w:val="clear" w:color="auto" w:fill="FFFFFF"/>
          <w:lang w:val="en-US" w:eastAsia="zh-CN" w:bidi="ar-SA"/>
        </w:rPr>
        <w:t>从整体上看，</w:t>
      </w:r>
      <w:r>
        <w:rPr>
          <w:rFonts w:ascii="Times New Roman" w:hAnsi="Times New Roman" w:eastAsia="方正仿宋_GBK"/>
          <w:sz w:val="32"/>
          <w:szCs w:val="32"/>
        </w:rPr>
        <w:t>我局及时对202</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年财政支出展开绩效运行跟踪监控工作，督促预算股室对照年初批复的绩效目标，同步对202</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年度财政资金的项目实施进度及预期实现程度进行跟踪监控，同时，每月5-10日及时向主要领导及财务分管领导汇报绩效资金使用情况。</w:t>
      </w:r>
    </w:p>
    <w:p>
      <w:pPr>
        <w:widowControl/>
        <w:adjustRightInd w:val="0"/>
        <w:snapToGrid w:val="0"/>
        <w:spacing w:line="576"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（二）存在问题。</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仿宋_GB2312" w:eastAsia="仿宋_GB2312" w:cs="仿宋_GB2312"/>
          <w:sz w:val="32"/>
          <w:szCs w:val="32"/>
          <w:lang w:val="en-US" w:eastAsia="zh-CN"/>
        </w:rPr>
        <w:t>在项目实施工作中，因财政资金紧张，部分项目已走完报账程序，未能及时支付。</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w:t>
      </w:r>
    </w:p>
    <w:p>
      <w:pPr>
        <w:pStyle w:val="2"/>
        <w:spacing w:before="72"/>
        <w:ind w:firstLine="640" w:firstLineChars="200"/>
        <w:rPr>
          <w:rFonts w:hAnsi="宋体" w:cs="宋体"/>
          <w:sz w:val="32"/>
          <w:szCs w:val="32"/>
          <w:shd w:val="clear" w:color="auto" w:fill="FFFFFF"/>
          <w:lang w:val="zh-CN"/>
        </w:rPr>
      </w:pPr>
      <w:r>
        <w:rPr>
          <w:rFonts w:hint="eastAsia" w:ascii="仿宋_GB2312" w:hAnsi="仿宋_GB2312" w:eastAsia="仿宋_GB2312" w:cs="仿宋_GB2312"/>
          <w:sz w:val="32"/>
          <w:szCs w:val="32"/>
          <w:lang w:val="en-US" w:eastAsia="zh-CN"/>
        </w:rPr>
        <w:t>在下一步工作中做好年初预算特别是项目预算的编制工作，对项目任务要提前计划，及时分解、落实，合理安排项目预算执行，切实提高财政资金使用效率，确保能安工作职能高效运行。</w:t>
      </w:r>
    </w:p>
    <w:p>
      <w:pPr>
        <w:spacing w:line="600" w:lineRule="exact"/>
        <w:jc w:val="center"/>
        <w:outlineLvl w:val="0"/>
        <w:rPr>
          <w:rFonts w:ascii="黑体" w:hAnsi="黑体" w:eastAsia="黑体"/>
          <w:sz w:val="44"/>
          <w:szCs w:val="44"/>
        </w:rPr>
      </w:pPr>
    </w:p>
    <w:p>
      <w:pPr>
        <w:pStyle w:val="6"/>
        <w:rPr>
          <w:rFonts w:ascii="黑体" w:hAnsi="黑体" w:eastAsia="黑体"/>
          <w:sz w:val="44"/>
          <w:szCs w:val="44"/>
        </w:rPr>
      </w:pPr>
    </w:p>
    <w:p>
      <w:pPr>
        <w:rPr>
          <w:rFonts w:ascii="黑体" w:hAnsi="黑体" w:eastAsia="黑体"/>
          <w:sz w:val="44"/>
          <w:szCs w:val="44"/>
        </w:rPr>
      </w:pPr>
    </w:p>
    <w:p>
      <w:pPr>
        <w:pStyle w:val="6"/>
        <w:rPr>
          <w:rFonts w:ascii="黑体" w:hAnsi="黑体" w:eastAsia="黑体"/>
          <w:sz w:val="44"/>
          <w:szCs w:val="44"/>
        </w:rPr>
      </w:pPr>
    </w:p>
    <w:p>
      <w:pPr>
        <w:rPr>
          <w:rFonts w:ascii="黑体" w:hAnsi="黑体" w:eastAsia="黑体"/>
          <w:sz w:val="44"/>
          <w:szCs w:val="44"/>
        </w:rPr>
      </w:pPr>
    </w:p>
    <w:p>
      <w:pPr>
        <w:pStyle w:val="6"/>
        <w:rPr>
          <w:rFonts w:ascii="黑体" w:hAnsi="黑体" w:eastAsia="黑体"/>
          <w:sz w:val="44"/>
          <w:szCs w:val="44"/>
        </w:rPr>
      </w:pPr>
    </w:p>
    <w:p>
      <w:pPr>
        <w:rPr>
          <w:rFonts w:ascii="黑体" w:hAnsi="黑体" w:eastAsia="黑体"/>
          <w:sz w:val="44"/>
          <w:szCs w:val="44"/>
        </w:rPr>
      </w:pPr>
    </w:p>
    <w:p>
      <w:pPr>
        <w:pStyle w:val="6"/>
        <w:rPr>
          <w:rFonts w:ascii="黑体" w:hAnsi="黑体" w:eastAsia="黑体"/>
          <w:sz w:val="44"/>
          <w:szCs w:val="44"/>
        </w:rPr>
      </w:pPr>
    </w:p>
    <w:p>
      <w:pPr>
        <w:rPr>
          <w:rFonts w:ascii="黑体" w:hAnsi="黑体" w:eastAsia="黑体"/>
          <w:sz w:val="44"/>
          <w:szCs w:val="44"/>
        </w:rPr>
      </w:pPr>
    </w:p>
    <w:p>
      <w:pPr>
        <w:pStyle w:val="6"/>
        <w:rPr>
          <w:rFonts w:ascii="黑体" w:hAnsi="黑体" w:eastAsia="黑体"/>
          <w:sz w:val="44"/>
          <w:szCs w:val="44"/>
        </w:rPr>
      </w:pPr>
    </w:p>
    <w:p>
      <w:pPr>
        <w:rPr>
          <w:rFonts w:ascii="黑体" w:hAnsi="黑体" w:eastAsia="黑体"/>
          <w:sz w:val="44"/>
          <w:szCs w:val="44"/>
        </w:rPr>
      </w:pPr>
    </w:p>
    <w:p>
      <w:pPr>
        <w:pStyle w:val="6"/>
        <w:rPr>
          <w:rFonts w:ascii="黑体" w:hAnsi="黑体" w:eastAsia="黑体"/>
          <w:sz w:val="44"/>
          <w:szCs w:val="44"/>
        </w:rPr>
      </w:pPr>
    </w:p>
    <w:p>
      <w:pPr>
        <w:rPr>
          <w:rFonts w:ascii="黑体" w:hAnsi="黑体" w:eastAsia="黑体"/>
          <w:sz w:val="44"/>
          <w:szCs w:val="44"/>
        </w:rPr>
      </w:pPr>
    </w:p>
    <w:p>
      <w:pPr>
        <w:pStyle w:val="6"/>
        <w:rPr>
          <w:rFonts w:ascii="黑体" w:hAnsi="黑体" w:eastAsia="黑体"/>
          <w:sz w:val="44"/>
          <w:szCs w:val="44"/>
        </w:rPr>
      </w:pPr>
    </w:p>
    <w:p>
      <w:pPr>
        <w:rPr>
          <w:rFonts w:ascii="黑体" w:hAnsi="黑体" w:eastAsia="黑体"/>
          <w:sz w:val="44"/>
          <w:szCs w:val="44"/>
        </w:rPr>
      </w:pPr>
    </w:p>
    <w:p>
      <w:pPr>
        <w:pStyle w:val="6"/>
        <w:rPr>
          <w:rFonts w:ascii="黑体" w:hAnsi="黑体" w:eastAsia="黑体"/>
          <w:sz w:val="44"/>
          <w:szCs w:val="44"/>
        </w:rPr>
      </w:pPr>
    </w:p>
    <w:p>
      <w:pPr>
        <w:rPr>
          <w:rFonts w:ascii="黑体" w:hAnsi="黑体" w:eastAsia="黑体"/>
          <w:sz w:val="44"/>
          <w:szCs w:val="44"/>
        </w:rPr>
      </w:pPr>
    </w:p>
    <w:p>
      <w:pPr>
        <w:pStyle w:val="2"/>
        <w:spacing w:before="72"/>
        <w:rPr>
          <w:lang w:val="zh-CN"/>
        </w:rPr>
      </w:pPr>
      <w:r>
        <w:rPr>
          <w:rFonts w:hint="eastAsia" w:hAnsi="宋体" w:cs="宋体"/>
          <w:sz w:val="32"/>
          <w:szCs w:val="32"/>
          <w:shd w:val="clear" w:color="auto" w:fill="FFFFFF"/>
          <w:lang w:val="zh-CN"/>
        </w:rPr>
        <w:t>附件</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专项预算项目支出绩效自评报告范本</w:t>
      </w:r>
    </w:p>
    <w:p>
      <w:pPr>
        <w:spacing w:line="600" w:lineRule="exact"/>
        <w:ind w:firstLine="883"/>
        <w:jc w:val="center"/>
        <w:rPr>
          <w:rFonts w:ascii="仿宋_GB2312" w:hAnsi="宋体" w:eastAsia="仿宋_GB2312"/>
          <w:sz w:val="32"/>
          <w:szCs w:val="32"/>
          <w:lang w:val="zh-CN"/>
        </w:rPr>
      </w:pPr>
      <w:r>
        <w:rPr>
          <w:rFonts w:hint="eastAsia" w:ascii="仿宋_GB2312" w:hAnsi="宋体" w:eastAsia="仿宋_GB2312"/>
          <w:sz w:val="32"/>
          <w:szCs w:val="32"/>
          <w:lang w:val="zh-CN"/>
        </w:rPr>
        <w:t>（区级重点项目工作经费）</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spacing w:line="353" w:lineRule="auto"/>
        <w:ind w:firstLine="640" w:firstLineChars="200"/>
        <w:rPr>
          <w:rFonts w:hint="eastAsia" w:ascii="Times New Roman" w:hAnsi="Times New Roman" w:eastAsia="仿宋_GB2312" w:cs="Times New Roman"/>
          <w:sz w:val="32"/>
          <w:szCs w:val="32"/>
          <w:lang w:val="en-US" w:eastAsia="zh-CN"/>
        </w:rPr>
      </w:pPr>
      <w:r>
        <w:rPr>
          <w:rFonts w:hint="eastAsia" w:ascii="仿宋_GB2312" w:hAnsi="宋体" w:eastAsia="仿宋_GB2312"/>
          <w:sz w:val="32"/>
          <w:szCs w:val="32"/>
          <w:lang w:val="zh-CN"/>
        </w:rPr>
        <w:tab/>
      </w:r>
      <w:r>
        <w:rPr>
          <w:rFonts w:hint="eastAsia" w:ascii="Times New Roman" w:hAnsi="Times New Roman" w:eastAsia="仿宋_GB2312" w:cs="Times New Roman"/>
          <w:sz w:val="32"/>
          <w:szCs w:val="32"/>
          <w:lang w:eastAsia="zh-CN"/>
        </w:rPr>
        <w:t>统筹谋划</w:t>
      </w:r>
      <w:r>
        <w:rPr>
          <w:rFonts w:hint="eastAsia" w:ascii="Times New Roman" w:hAnsi="Times New Roman" w:eastAsia="仿宋_GB2312" w:cs="Times New Roman"/>
          <w:sz w:val="32"/>
          <w:szCs w:val="32"/>
          <w:lang w:val="en-US" w:eastAsia="zh-CN"/>
        </w:rPr>
        <w:t>2021年市级、区级重点项目，全市项目竞进拉练活动、牵头召开全区项目调度会、牵头做好全区项目“红黑榜”调度工作、参加每季度项目集中开工、全市重点项目督察迎检工作。</w:t>
      </w:r>
    </w:p>
    <w:p>
      <w:pPr>
        <w:tabs>
          <w:tab w:val="left" w:pos="700"/>
        </w:tabs>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spacing w:line="353" w:lineRule="auto"/>
        <w:ind w:firstLine="640" w:firstLineChars="200"/>
        <w:rPr>
          <w:rFonts w:ascii="仿宋_GB2312" w:hAnsi="宋体" w:eastAsia="仿宋_GB2312"/>
          <w:sz w:val="32"/>
          <w:szCs w:val="32"/>
          <w:lang w:val="zh-CN"/>
        </w:rPr>
      </w:pPr>
      <w:r>
        <w:rPr>
          <w:rFonts w:hint="eastAsia" w:ascii="Times New Roman" w:hAnsi="Times New Roman" w:eastAsia="仿宋_GB2312" w:cs="Times New Roman"/>
          <w:sz w:val="32"/>
          <w:szCs w:val="32"/>
          <w:lang w:val="en-US" w:eastAsia="zh-CN"/>
        </w:rPr>
        <w:t>认真征求区级项目部门意见建议，制定年度目标任务，做到提早分解任务、明确项目牵头主任单位、严格过程督促；牵头做好重点项目、全区“四个一批”项目推进情况、细化项目建设时间节点，项目年度投资计划，健全项目调度督促机制，定期召开项目调度推进会，梳理项目推进中存在的问题，对进展缓慢项目实行倒排工期进行督促，确保项目按期推进。</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spacing w:line="353" w:lineRule="auto"/>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按照科室职责分工，确定项目协调中心职能职责，应</w:t>
      </w:r>
      <w:r>
        <w:rPr>
          <w:rFonts w:hint="eastAsia" w:eastAsia="仿宋_GB2312" w:cs="Times New Roman"/>
          <w:sz w:val="32"/>
          <w:szCs w:val="32"/>
          <w:lang w:eastAsia="zh-CN"/>
        </w:rPr>
        <w:t>用</w:t>
      </w:r>
      <w:r>
        <w:rPr>
          <w:rFonts w:hint="eastAsia" w:ascii="Times New Roman" w:hAnsi="Times New Roman" w:eastAsia="仿宋_GB2312" w:cs="Times New Roman"/>
          <w:sz w:val="32"/>
          <w:szCs w:val="32"/>
          <w:lang w:eastAsia="zh-CN"/>
        </w:rPr>
        <w:t>财政资金投资</w:t>
      </w:r>
      <w:r>
        <w:rPr>
          <w:rFonts w:hint="eastAsia" w:eastAsia="仿宋_GB2312" w:cs="Times New Roman"/>
          <w:sz w:val="32"/>
          <w:szCs w:val="32"/>
          <w:lang w:eastAsia="zh-CN"/>
        </w:rPr>
        <w:t>情况进行评价。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该项目在上年末进行预算工作时申报，年初西区财政局下达批复及下达经费等事宜。</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1．资金计划。该项目属区级预算项目经费，区级预算计划</w:t>
      </w:r>
      <w:r>
        <w:rPr>
          <w:rFonts w:hint="eastAsia" w:ascii="楷体_GB2312" w:hAnsi="宋体" w:eastAsia="楷体_GB2312"/>
          <w:sz w:val="32"/>
          <w:szCs w:val="32"/>
          <w:lang w:val="en-US" w:eastAsia="zh-CN"/>
        </w:rPr>
        <w:t>5万</w:t>
      </w:r>
      <w:r>
        <w:rPr>
          <w:rFonts w:hint="eastAsia" w:ascii="仿宋_GB2312" w:hAnsi="宋体" w:eastAsia="仿宋_GB2312"/>
          <w:sz w:val="32"/>
          <w:szCs w:val="32"/>
          <w:lang w:val="zh-CN"/>
        </w:rPr>
        <w:t>。</w:t>
      </w:r>
    </w:p>
    <w:p>
      <w:pPr>
        <w:adjustRightInd w:val="0"/>
        <w:snapToGrid w:val="0"/>
        <w:spacing w:line="600" w:lineRule="exact"/>
        <w:ind w:firstLine="720"/>
        <w:rPr>
          <w:rFonts w:hint="eastAsia" w:ascii="楷体_GB2312" w:hAnsi="宋体" w:eastAsia="楷体_GB2312"/>
          <w:sz w:val="32"/>
          <w:szCs w:val="32"/>
          <w:lang w:val="en-US" w:eastAsia="zh-CN"/>
        </w:rPr>
      </w:pPr>
      <w:r>
        <w:rPr>
          <w:rFonts w:hint="eastAsia" w:ascii="楷体_GB2312" w:hAnsi="宋体" w:eastAsia="楷体_GB2312"/>
          <w:sz w:val="32"/>
          <w:szCs w:val="32"/>
          <w:lang w:val="zh-CN"/>
        </w:rPr>
        <w:t>2．资金到位。实际下达</w:t>
      </w:r>
      <w:r>
        <w:rPr>
          <w:rFonts w:hint="eastAsia" w:ascii="楷体_GB2312" w:hAnsi="宋体" w:eastAsia="楷体_GB2312"/>
          <w:sz w:val="32"/>
          <w:szCs w:val="32"/>
          <w:lang w:val="en-US" w:eastAsia="zh-CN"/>
        </w:rPr>
        <w:t>5万。</w:t>
      </w:r>
    </w:p>
    <w:p>
      <w:pPr>
        <w:adjustRightInd w:val="0"/>
        <w:snapToGrid w:val="0"/>
        <w:spacing w:line="600" w:lineRule="exact"/>
        <w:ind w:firstLine="720"/>
        <w:rPr>
          <w:rFonts w:hint="eastAsia"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单位根据项目预算情况列支费用，</w:t>
      </w:r>
      <w:r>
        <w:rPr>
          <w:rFonts w:hint="default" w:ascii="仿宋_GB2312" w:hAnsi="宋体" w:eastAsia="仿宋_GB2312"/>
          <w:sz w:val="32"/>
          <w:szCs w:val="32"/>
          <w:lang w:val="zh-CN"/>
        </w:rPr>
        <w:t>该项目资金财政已在202</w:t>
      </w:r>
      <w:r>
        <w:rPr>
          <w:rFonts w:hint="eastAsia" w:ascii="仿宋_GB2312" w:hAnsi="宋体" w:eastAsia="仿宋_GB2312"/>
          <w:sz w:val="32"/>
          <w:szCs w:val="32"/>
          <w:lang w:val="en-US" w:eastAsia="zh-CN"/>
        </w:rPr>
        <w:t>1</w:t>
      </w:r>
      <w:r>
        <w:rPr>
          <w:rFonts w:hint="default" w:ascii="仿宋_GB2312" w:hAnsi="宋体" w:eastAsia="仿宋_GB2312"/>
          <w:sz w:val="32"/>
          <w:szCs w:val="32"/>
          <w:lang w:val="zh-CN"/>
        </w:rPr>
        <w:t>年内按规定要求使用完。资金的支付范围、支付标准、支付依据等是合规合法、与预算相符</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default" w:ascii="仿宋_GB2312" w:hAnsi="宋体" w:eastAsia="仿宋_GB2312"/>
          <w:sz w:val="32"/>
          <w:szCs w:val="32"/>
          <w:lang w:val="zh-CN"/>
        </w:rPr>
        <w:t>有健全的财务制度，项目预算、资金拨付严格按照财务管理制度进行管理。保证专款专用，资金发放复查由财务人员按照财务制度进行资金的审核、支付和核算，在具体支付时，手续是完善的，不存在虚假会计凭证的情况，会计严格执行财务管理制度，财务处理及时，核算规范</w:t>
      </w:r>
      <w:r>
        <w:rPr>
          <w:rFonts w:hint="eastAsia" w:ascii="仿宋_GB2312" w:hAnsi="宋体" w:eastAsia="仿宋_GB2312"/>
          <w:sz w:val="32"/>
          <w:szCs w:val="32"/>
          <w:lang w:val="zh-CN"/>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eastAsia="zh-CN"/>
        </w:rPr>
        <w:t>西</w:t>
      </w:r>
      <w:r>
        <w:rPr>
          <w:rFonts w:hint="eastAsia" w:ascii="仿宋_GB2312" w:hAnsi="宋体" w:eastAsia="仿宋_GB2312"/>
          <w:sz w:val="32"/>
          <w:szCs w:val="32"/>
          <w:lang w:val="zh-CN"/>
        </w:rPr>
        <w:t>区财政局根据预算项目批复，下达项目经费，预算单位进行项目实施计划。</w:t>
      </w:r>
    </w:p>
    <w:p>
      <w:pPr>
        <w:pStyle w:val="6"/>
        <w:rPr>
          <w:lang w:val="zh-CN"/>
        </w:rPr>
      </w:pPr>
      <w:r>
        <w:rPr>
          <w:rFonts w:hint="eastAsia" w:ascii="仿宋_GB2312" w:hAnsi="宋体" w:eastAsia="仿宋_GB2312"/>
          <w:sz w:val="32"/>
          <w:szCs w:val="32"/>
          <w:lang w:val="en-US" w:eastAsia="zh-CN"/>
        </w:rPr>
        <w:t xml:space="preserve">     2.</w:t>
      </w:r>
      <w:r>
        <w:rPr>
          <w:rFonts w:hint="eastAsia" w:ascii="仿宋_GB2312" w:hAnsi="宋体" w:eastAsia="仿宋_GB2312"/>
          <w:sz w:val="32"/>
          <w:szCs w:val="32"/>
          <w:lang w:val="zh-CN"/>
        </w:rPr>
        <w:t>拨付时根据项目工作实施情况，报分管领导审批同意，呈报主要负责人审核并批复同意支付。</w:t>
      </w:r>
    </w:p>
    <w:p>
      <w:pPr>
        <w:numPr>
          <w:ilvl w:val="0"/>
          <w:numId w:val="0"/>
        </w:numPr>
        <w:adjustRightInd w:val="0"/>
        <w:snapToGrid w:val="0"/>
        <w:spacing w:line="600" w:lineRule="exact"/>
        <w:rPr>
          <w:rFonts w:hint="eastAsia" w:ascii="楷体_GB2312" w:hAnsi="宋体" w:eastAsia="楷体_GB2312"/>
          <w:b/>
          <w:sz w:val="32"/>
          <w:szCs w:val="32"/>
          <w:lang w:val="zh-CN"/>
        </w:rPr>
      </w:pPr>
      <w:r>
        <w:rPr>
          <w:rFonts w:hint="eastAsia" w:ascii="楷体_GB2312" w:hAnsi="宋体" w:eastAsia="楷体_GB2312"/>
          <w:b/>
          <w:sz w:val="32"/>
          <w:szCs w:val="32"/>
          <w:lang w:val="en-US" w:eastAsia="zh-CN"/>
        </w:rPr>
        <w:t xml:space="preserve">    （二）</w:t>
      </w:r>
      <w:r>
        <w:rPr>
          <w:rFonts w:hint="eastAsia" w:ascii="楷体_GB2312" w:hAnsi="宋体" w:eastAsia="楷体_GB2312"/>
          <w:b/>
          <w:sz w:val="32"/>
          <w:szCs w:val="32"/>
          <w:lang w:val="zh-CN"/>
        </w:rPr>
        <w:t>项目管理情况。</w:t>
      </w:r>
    </w:p>
    <w:p>
      <w:pPr>
        <w:numPr>
          <w:ilvl w:val="0"/>
          <w:numId w:val="0"/>
        </w:numPr>
        <w:adjustRightInd w:val="0"/>
        <w:snapToGrid w:val="0"/>
        <w:spacing w:line="600" w:lineRule="exact"/>
        <w:rPr>
          <w:rFonts w:ascii="仿宋_GB2312" w:hAnsi="宋体" w:eastAsia="仿宋_GB2312"/>
          <w:sz w:val="32"/>
          <w:szCs w:val="32"/>
          <w:lang w:val="zh-CN"/>
        </w:rPr>
      </w:pPr>
      <w:r>
        <w:rPr>
          <w:rFonts w:hint="eastAsia" w:ascii="仿宋_GB2312" w:hAnsi="宋体" w:eastAsia="仿宋_GB2312" w:cs="Times New Roman"/>
          <w:kern w:val="2"/>
          <w:sz w:val="32"/>
          <w:szCs w:val="32"/>
          <w:lang w:val="en-US" w:eastAsia="zh-CN" w:bidi="ar-SA"/>
        </w:rPr>
        <w:t xml:space="preserve">     </w:t>
      </w:r>
      <w:r>
        <w:rPr>
          <w:rFonts w:hint="eastAsia" w:ascii="仿宋_GB2312" w:hAnsi="宋体" w:eastAsia="仿宋_GB2312" w:cs="Times New Roman"/>
          <w:kern w:val="2"/>
          <w:sz w:val="32"/>
          <w:szCs w:val="32"/>
          <w:lang w:val="zh-CN" w:eastAsia="zh-CN" w:bidi="ar-SA"/>
        </w:rPr>
        <w:t>项目是区财政纳入年度预算，严格安照项目要求及财经法律法规等要求落实的</w:t>
      </w:r>
      <w:r>
        <w:rPr>
          <w:rFonts w:hint="eastAsia" w:ascii="仿宋_GB2312" w:hAnsi="宋体" w:eastAsia="仿宋_GB2312"/>
          <w:sz w:val="32"/>
          <w:szCs w:val="32"/>
          <w:lang w:val="zh-CN"/>
        </w:rPr>
        <w:t>。</w:t>
      </w:r>
    </w:p>
    <w:p>
      <w:pPr>
        <w:numPr>
          <w:ilvl w:val="0"/>
          <w:numId w:val="0"/>
        </w:numPr>
        <w:adjustRightInd w:val="0"/>
        <w:snapToGrid w:val="0"/>
        <w:spacing w:line="600" w:lineRule="exact"/>
        <w:rPr>
          <w:rFonts w:hint="eastAsia" w:ascii="楷体_GB2312" w:hAnsi="宋体" w:eastAsia="楷体_GB2312"/>
          <w:b/>
          <w:sz w:val="32"/>
          <w:szCs w:val="32"/>
          <w:lang w:val="zh-CN"/>
        </w:rPr>
      </w:pPr>
      <w:r>
        <w:rPr>
          <w:rFonts w:hint="eastAsia" w:ascii="楷体_GB2312" w:hAnsi="宋体" w:eastAsia="楷体_GB2312"/>
          <w:b/>
          <w:sz w:val="32"/>
          <w:szCs w:val="32"/>
          <w:lang w:val="en-US" w:eastAsia="zh-CN"/>
        </w:rPr>
        <w:t xml:space="preserve">    </w:t>
      </w:r>
      <w:r>
        <w:rPr>
          <w:rFonts w:hint="eastAsia" w:ascii="楷体_GB2312" w:hAnsi="宋体" w:eastAsia="楷体_GB2312"/>
          <w:b/>
          <w:sz w:val="32"/>
          <w:szCs w:val="32"/>
          <w:lang w:val="zh-CN"/>
        </w:rPr>
        <w:t>（三）项目监管情况。</w:t>
      </w:r>
    </w:p>
    <w:p>
      <w:pPr>
        <w:numPr>
          <w:ilvl w:val="0"/>
          <w:numId w:val="0"/>
        </w:numPr>
        <w:adjustRightInd w:val="0"/>
        <w:snapToGrid w:val="0"/>
        <w:spacing w:line="600" w:lineRule="exact"/>
        <w:rPr>
          <w:rFonts w:ascii="仿宋_GB2312" w:hAnsi="宋体" w:eastAsia="仿宋_GB2312"/>
          <w:sz w:val="32"/>
          <w:szCs w:val="32"/>
          <w:lang w:val="zh-CN"/>
        </w:rPr>
      </w:pPr>
      <w:r>
        <w:rPr>
          <w:rFonts w:ascii="微软雅黑" w:hAnsi="微软雅黑" w:eastAsia="微软雅黑" w:cs="微软雅黑"/>
          <w:i w:val="0"/>
          <w:caps w:val="0"/>
          <w:color w:val="333333"/>
          <w:spacing w:val="0"/>
          <w:sz w:val="32"/>
          <w:szCs w:val="32"/>
          <w:shd w:val="clear" w:fill="FFFFFF"/>
        </w:rPr>
        <w:t> </w:t>
      </w:r>
      <w:r>
        <w:rPr>
          <w:rFonts w:hint="eastAsia" w:ascii="微软雅黑" w:hAnsi="微软雅黑" w:eastAsia="微软雅黑" w:cs="微软雅黑"/>
          <w:i w:val="0"/>
          <w:caps w:val="0"/>
          <w:color w:val="333333"/>
          <w:spacing w:val="0"/>
          <w:sz w:val="32"/>
          <w:szCs w:val="32"/>
          <w:shd w:val="clear" w:fill="FFFFFF"/>
          <w:lang w:val="en-US" w:eastAsia="zh-CN"/>
        </w:rPr>
        <w:t xml:space="preserve">    </w:t>
      </w:r>
      <w:r>
        <w:rPr>
          <w:rFonts w:hint="eastAsia" w:ascii="仿宋_GB2312" w:hAnsi="宋体" w:eastAsia="仿宋_GB2312" w:cs="Times New Roman"/>
          <w:kern w:val="2"/>
          <w:sz w:val="32"/>
          <w:szCs w:val="32"/>
          <w:lang w:val="zh-CN" w:eastAsia="zh-CN" w:bidi="ar-SA"/>
        </w:rPr>
        <w:t>项目完成情况每年都要向上级财政部门填写相关的绩效分析评价，并上报相关对口管理部门检查</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1.数理指标：1次</w:t>
      </w:r>
    </w:p>
    <w:p>
      <w:pPr>
        <w:pStyle w:val="6"/>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2.质量指标：增强交流、吸引成功经验，提高我联服务能力和水平。</w:t>
      </w:r>
    </w:p>
    <w:p>
      <w:pP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3.时效指标：项目实施时间为2021年1月至12月。</w:t>
      </w:r>
    </w:p>
    <w:p>
      <w:pPr>
        <w:pStyle w:val="6"/>
        <w:rPr>
          <w:lang w:val="en-US"/>
        </w:rPr>
      </w:pPr>
      <w:r>
        <w:rPr>
          <w:rFonts w:hint="eastAsia" w:ascii="仿宋_GB2312" w:hAnsi="宋体" w:eastAsia="仿宋_GB2312"/>
          <w:sz w:val="32"/>
          <w:szCs w:val="32"/>
          <w:lang w:val="en-US" w:eastAsia="zh-CN"/>
        </w:rPr>
        <w:t xml:space="preserve">     4.成本指标：预算指标为5万元，实际支出4.99万元。</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spacing w:line="353" w:lineRule="auto"/>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重点项目推进中</w:t>
      </w:r>
      <w:r>
        <w:rPr>
          <w:rFonts w:hint="eastAsia" w:eastAsia="仿宋_GB2312" w:cs="Times New Roman"/>
          <w:sz w:val="32"/>
          <w:szCs w:val="32"/>
          <w:lang w:eastAsia="zh-CN"/>
        </w:rPr>
        <w:t>提供</w:t>
      </w:r>
      <w:r>
        <w:rPr>
          <w:rFonts w:hint="eastAsia" w:ascii="Times New Roman" w:hAnsi="Times New Roman" w:eastAsia="仿宋_GB2312" w:cs="Times New Roman"/>
          <w:sz w:val="32"/>
          <w:szCs w:val="32"/>
          <w:lang w:eastAsia="zh-CN"/>
        </w:rPr>
        <w:t>财力保障，</w:t>
      </w:r>
      <w:r>
        <w:rPr>
          <w:rFonts w:hint="eastAsia" w:eastAsia="仿宋_GB2312" w:cs="Times New Roman"/>
          <w:sz w:val="32"/>
          <w:szCs w:val="32"/>
          <w:lang w:eastAsia="zh-CN"/>
        </w:rPr>
        <w:t>由</w:t>
      </w:r>
      <w:r>
        <w:rPr>
          <w:rFonts w:hint="eastAsia" w:ascii="Times New Roman" w:hAnsi="Times New Roman" w:eastAsia="仿宋_GB2312" w:cs="Times New Roman"/>
          <w:sz w:val="32"/>
          <w:szCs w:val="32"/>
          <w:lang w:eastAsia="zh-CN"/>
        </w:rPr>
        <w:t>项目办牵头</w:t>
      </w:r>
      <w:r>
        <w:rPr>
          <w:rFonts w:hint="eastAsia" w:eastAsia="仿宋_GB2312" w:cs="Times New Roman"/>
          <w:sz w:val="32"/>
          <w:szCs w:val="32"/>
          <w:lang w:eastAsia="zh-CN"/>
        </w:rPr>
        <w:t>开展全市</w:t>
      </w:r>
      <w:r>
        <w:rPr>
          <w:rFonts w:hint="eastAsia" w:ascii="Times New Roman" w:hAnsi="Times New Roman" w:eastAsia="仿宋_GB2312" w:cs="Times New Roman"/>
          <w:sz w:val="32"/>
          <w:szCs w:val="32"/>
          <w:lang w:eastAsia="zh-CN"/>
        </w:rPr>
        <w:t>项目竞进拉练活动，制作全区参展项目展板、项目</w:t>
      </w:r>
      <w:r>
        <w:rPr>
          <w:rFonts w:hint="eastAsia" w:ascii="Times New Roman" w:hAnsi="Times New Roman" w:eastAsia="仿宋_GB2312" w:cs="Times New Roman"/>
          <w:sz w:val="32"/>
          <w:szCs w:val="32"/>
          <w:lang w:val="en-US" w:eastAsia="zh-CN"/>
        </w:rPr>
        <w:t>VCR短片、项目简介手册、LED展示屏等相关配套要件，投资项目现场核查，项目初审会和项目投资调度会工作费用。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spacing w:line="353" w:lineRule="auto"/>
        <w:ind w:firstLine="660" w:firstLineChars="200"/>
        <w:rPr>
          <w:rFonts w:hint="eastAsia" w:eastAsia="方正仿宋_GBK"/>
          <w:sz w:val="33"/>
          <w:szCs w:val="33"/>
          <w:lang w:eastAsia="zh-CN"/>
        </w:rPr>
      </w:pPr>
      <w:r>
        <w:rPr>
          <w:rFonts w:hint="eastAsia" w:eastAsia="方正仿宋_GBK"/>
          <w:sz w:val="33"/>
          <w:szCs w:val="33"/>
          <w:lang w:eastAsia="zh-CN"/>
        </w:rPr>
        <w:t>积极推动全区重点项目推进工作，完成好全市项目竞进拉练和重点项目集中开工工作，重点推动市、区重点项目建设投资。</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一是本项目依规立项；二是本项目严格按相关要求执行；三是本项目资金使用合理合规；四是本项目在产出数量、产出质量、产出时效、产出成本方面均达到绩效目标，经济效益、社会效益成果显著。</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spacing w:line="580" w:lineRule="exact"/>
        <w:ind w:firstLine="640" w:firstLineChars="200"/>
        <w:rPr>
          <w:rFonts w:eastAsia="仿宋"/>
          <w:sz w:val="32"/>
          <w:szCs w:val="32"/>
        </w:rPr>
      </w:pPr>
      <w:r>
        <w:rPr>
          <w:rFonts w:eastAsia="仿宋"/>
          <w:sz w:val="32"/>
          <w:szCs w:val="32"/>
        </w:rPr>
        <w:t>1.预算编制时间短，任务重，需要财政做更系统的培训和指导。</w:t>
      </w:r>
    </w:p>
    <w:p>
      <w:pPr>
        <w:spacing w:line="580" w:lineRule="exact"/>
        <w:ind w:firstLine="640" w:firstLineChars="200"/>
        <w:rPr>
          <w:rFonts w:eastAsia="仿宋"/>
          <w:sz w:val="32"/>
          <w:szCs w:val="32"/>
        </w:rPr>
      </w:pPr>
      <w:r>
        <w:rPr>
          <w:rFonts w:eastAsia="仿宋"/>
          <w:sz w:val="32"/>
          <w:szCs w:val="32"/>
        </w:rPr>
        <w:t>2.绩效从制定、评价到使用都缺少系统性训练。</w:t>
      </w:r>
    </w:p>
    <w:p>
      <w:pPr>
        <w:spacing w:line="580" w:lineRule="exact"/>
        <w:ind w:firstLine="640" w:firstLineChars="200"/>
        <w:rPr>
          <w:rFonts w:ascii="仿宋_GB2312" w:hAnsi="宋体" w:eastAsia="仿宋_GB2312"/>
          <w:sz w:val="32"/>
          <w:szCs w:val="32"/>
          <w:lang w:val="zh-CN"/>
        </w:rPr>
      </w:pPr>
      <w:r>
        <w:rPr>
          <w:rFonts w:eastAsia="仿宋"/>
          <w:sz w:val="32"/>
          <w:szCs w:val="32"/>
        </w:rPr>
        <w:t>3.预算编制的合理性需要提高</w:t>
      </w:r>
      <w:r>
        <w:rPr>
          <w:rFonts w:hint="eastAsia" w:ascii="仿宋_GB2312" w:hAnsi="宋体" w:eastAsia="仿宋_GB2312"/>
          <w:sz w:val="32"/>
          <w:szCs w:val="32"/>
          <w:lang w:val="zh-CN"/>
        </w:rPr>
        <w:t>。</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hint="eastAsia" w:ascii="仿宋_GB2312" w:hAnsi="宋体" w:eastAsia="仿宋_GB2312"/>
          <w:sz w:val="32"/>
          <w:szCs w:val="32"/>
          <w:lang w:val="zh-CN"/>
        </w:rPr>
      </w:pPr>
      <w:r>
        <w:rPr>
          <w:rFonts w:eastAsia="仿宋"/>
          <w:sz w:val="32"/>
          <w:szCs w:val="32"/>
        </w:rPr>
        <w:t>加强预算编制的合理性，平衡预算配置。加强对预算编制和绩效的培训，绩效不仅是在绩效填报上培训，还需要从绩效编制、绩效编制、绩效评价（自评和第三方评价）、绩效结果应用上做一体化培训，促进绩效系统的成熟和稳定</w:t>
      </w:r>
      <w:r>
        <w:rPr>
          <w:rFonts w:hint="eastAsia" w:ascii="仿宋_GB2312" w:hAnsi="宋体" w:eastAsia="仿宋_GB2312"/>
          <w:sz w:val="32"/>
          <w:szCs w:val="32"/>
          <w:lang w:val="zh-CN"/>
        </w:rPr>
        <w:t>。</w:t>
      </w: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Pr>
        <w:pageBreakBefore w:val="0"/>
        <w:widowControl/>
        <w:kinsoku/>
        <w:wordWrap/>
        <w:overflowPunct/>
        <w:topLinePunct w:val="0"/>
        <w:autoSpaceDE/>
        <w:autoSpaceDN/>
        <w:bidi w:val="0"/>
        <w:adjustRightInd w:val="0"/>
        <w:snapToGrid w:val="0"/>
        <w:spacing w:line="353" w:lineRule="auto"/>
        <w:ind w:left="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353" w:lineRule="auto"/>
        <w:ind w:left="0"/>
        <w:contextualSpacing/>
        <w:jc w:val="left"/>
        <w:textAlignment w:val="auto"/>
        <w:rPr>
          <w:rFonts w:hint="eastAsia" w:ascii="仿宋_GB2312" w:hAnsi="宋体" w:eastAsia="仿宋_GB2312"/>
          <w:sz w:val="32"/>
          <w:szCs w:val="32"/>
          <w:lang w:val="zh-CN"/>
        </w:rPr>
      </w:pPr>
      <w:r>
        <w:rPr>
          <w:rFonts w:hint="eastAsia" w:ascii="仿宋_GB2312" w:hAnsi="宋体" w:eastAsia="仿宋_GB2312" w:cs="宋体"/>
          <w:kern w:val="0"/>
          <w:sz w:val="32"/>
          <w:szCs w:val="32"/>
          <w:shd w:val="clear" w:color="auto" w:fill="FFFFFF"/>
          <w:lang w:val="zh-CN"/>
        </w:rPr>
        <w:t>附表：</w:t>
      </w:r>
    </w:p>
    <w:p>
      <w:pPr>
        <w:spacing w:line="572" w:lineRule="exact"/>
        <w:jc w:val="center"/>
      </w:pPr>
    </w:p>
    <w:p>
      <w:pPr>
        <w:pStyle w:val="6"/>
      </w:pPr>
      <w:r>
        <w:rPr>
          <w:rFonts w:hint="eastAsia" w:eastAsia="宋体"/>
          <w:lang w:eastAsia="zh-CN"/>
        </w:rPr>
        <w:drawing>
          <wp:inline distT="0" distB="0" distL="114300" distR="114300">
            <wp:extent cx="5422265" cy="7622540"/>
            <wp:effectExtent l="0" t="0" r="6985" b="16510"/>
            <wp:docPr id="1" name="图片 1" descr="166522719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5227196332"/>
                    <pic:cNvPicPr>
                      <a:picLocks noChangeAspect="1"/>
                    </pic:cNvPicPr>
                  </pic:nvPicPr>
                  <pic:blipFill>
                    <a:blip r:embed="rId13"/>
                    <a:stretch>
                      <a:fillRect/>
                    </a:stretch>
                  </pic:blipFill>
                  <pic:spPr>
                    <a:xfrm>
                      <a:off x="0" y="0"/>
                      <a:ext cx="5422265" cy="7622540"/>
                    </a:xfrm>
                    <a:prstGeom prst="rect">
                      <a:avLst/>
                    </a:prstGeom>
                  </pic:spPr>
                </pic:pic>
              </a:graphicData>
            </a:graphic>
          </wp:inline>
        </w:drawing>
      </w:r>
    </w:p>
    <w:p>
      <w:pPr>
        <w:pStyle w:val="15"/>
        <w:rPr>
          <w:rFonts w:hint="eastAsia" w:eastAsia="黑体"/>
          <w:lang w:eastAsia="zh-CN"/>
        </w:rPr>
      </w:pPr>
      <w:r>
        <w:rPr>
          <w:rFonts w:hint="eastAsia" w:eastAsia="黑体"/>
          <w:lang w:eastAsia="zh-CN"/>
        </w:rPr>
        <w:drawing>
          <wp:inline distT="0" distB="0" distL="114300" distR="114300">
            <wp:extent cx="5645785" cy="6808470"/>
            <wp:effectExtent l="0" t="0" r="12065" b="11430"/>
            <wp:docPr id="2" name="图片 2" descr="166522167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5221677585"/>
                    <pic:cNvPicPr>
                      <a:picLocks noChangeAspect="1"/>
                    </pic:cNvPicPr>
                  </pic:nvPicPr>
                  <pic:blipFill>
                    <a:blip r:embed="rId14"/>
                    <a:stretch>
                      <a:fillRect/>
                    </a:stretch>
                  </pic:blipFill>
                  <pic:spPr>
                    <a:xfrm>
                      <a:off x="0" y="0"/>
                      <a:ext cx="5645785" cy="6808470"/>
                    </a:xfrm>
                    <a:prstGeom prst="rect">
                      <a:avLst/>
                    </a:prstGeom>
                  </pic:spPr>
                </pic:pic>
              </a:graphicData>
            </a:graphic>
          </wp:inline>
        </w:drawing>
      </w:r>
    </w:p>
    <w:p>
      <w:pPr>
        <w:pStyle w:val="15"/>
        <w:rPr>
          <w:rFonts w:hint="eastAsia" w:eastAsia="黑体"/>
          <w:lang w:eastAsia="zh-CN"/>
        </w:rPr>
      </w:pPr>
      <w:r>
        <w:rPr>
          <w:rFonts w:hint="eastAsia" w:eastAsia="黑体"/>
          <w:lang w:eastAsia="zh-CN"/>
        </w:rPr>
        <w:drawing>
          <wp:inline distT="0" distB="0" distL="114300" distR="114300">
            <wp:extent cx="5650230" cy="8646160"/>
            <wp:effectExtent l="0" t="0" r="7620" b="2540"/>
            <wp:docPr id="4" name="图片 4" descr="1665221993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65221993084"/>
                    <pic:cNvPicPr>
                      <a:picLocks noChangeAspect="1"/>
                    </pic:cNvPicPr>
                  </pic:nvPicPr>
                  <pic:blipFill>
                    <a:blip r:embed="rId15"/>
                    <a:stretch>
                      <a:fillRect/>
                    </a:stretch>
                  </pic:blipFill>
                  <pic:spPr>
                    <a:xfrm>
                      <a:off x="0" y="0"/>
                      <a:ext cx="5650230" cy="8646160"/>
                    </a:xfrm>
                    <a:prstGeom prst="rect">
                      <a:avLst/>
                    </a:prstGeom>
                  </pic:spPr>
                </pic:pic>
              </a:graphicData>
            </a:graphic>
          </wp:inline>
        </w:drawing>
      </w:r>
    </w:p>
    <w:p>
      <w:pPr>
        <w:pStyle w:val="15"/>
        <w:rPr>
          <w:rFonts w:hint="eastAsia" w:ascii="黑体" w:hAnsi="黑体" w:eastAsia="黑体"/>
          <w:sz w:val="44"/>
          <w:szCs w:val="44"/>
          <w:lang w:eastAsia="zh-CN"/>
        </w:rPr>
      </w:pPr>
      <w:r>
        <w:rPr>
          <w:rFonts w:hint="eastAsia" w:eastAsia="黑体"/>
          <w:lang w:eastAsia="zh-CN"/>
        </w:rPr>
        <w:drawing>
          <wp:inline distT="0" distB="0" distL="114300" distR="114300">
            <wp:extent cx="5523230" cy="8592185"/>
            <wp:effectExtent l="0" t="0" r="1270" b="18415"/>
            <wp:docPr id="5" name="图片 5" descr="1665222059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65222059511"/>
                    <pic:cNvPicPr>
                      <a:picLocks noChangeAspect="1"/>
                    </pic:cNvPicPr>
                  </pic:nvPicPr>
                  <pic:blipFill>
                    <a:blip r:embed="rId16"/>
                    <a:stretch>
                      <a:fillRect/>
                    </a:stretch>
                  </pic:blipFill>
                  <pic:spPr>
                    <a:xfrm>
                      <a:off x="0" y="0"/>
                      <a:ext cx="5523230" cy="8592185"/>
                    </a:xfrm>
                    <a:prstGeom prst="rect">
                      <a:avLst/>
                    </a:prstGeom>
                  </pic:spPr>
                </pic:pic>
              </a:graphicData>
            </a:graphic>
          </wp:inline>
        </w:drawing>
      </w:r>
    </w:p>
    <w:p>
      <w:pPr>
        <w:pStyle w:val="15"/>
        <w:rPr>
          <w:rFonts w:hint="eastAsia"/>
          <w:lang w:eastAsia="zh-CN"/>
        </w:rPr>
      </w:pPr>
      <w:r>
        <w:rPr>
          <w:rFonts w:hint="eastAsia"/>
          <w:lang w:eastAsia="zh-CN"/>
        </w:rPr>
        <w:drawing>
          <wp:inline distT="0" distB="0" distL="114300" distR="114300">
            <wp:extent cx="5440680" cy="8633460"/>
            <wp:effectExtent l="0" t="0" r="7620" b="15240"/>
            <wp:docPr id="7" name="图片 7" descr="166522211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65222119657"/>
                    <pic:cNvPicPr>
                      <a:picLocks noChangeAspect="1"/>
                    </pic:cNvPicPr>
                  </pic:nvPicPr>
                  <pic:blipFill>
                    <a:blip r:embed="rId17"/>
                    <a:stretch>
                      <a:fillRect/>
                    </a:stretch>
                  </pic:blipFill>
                  <pic:spPr>
                    <a:xfrm>
                      <a:off x="0" y="0"/>
                      <a:ext cx="5440680" cy="8633460"/>
                    </a:xfrm>
                    <a:prstGeom prst="rect">
                      <a:avLst/>
                    </a:prstGeom>
                  </pic:spPr>
                </pic:pic>
              </a:graphicData>
            </a:graphic>
          </wp:inline>
        </w:drawing>
      </w:r>
    </w:p>
    <w:p>
      <w:pPr>
        <w:pStyle w:val="15"/>
        <w:rPr>
          <w:rFonts w:hint="eastAsia"/>
          <w:lang w:eastAsia="zh-CN"/>
        </w:rPr>
      </w:pPr>
      <w:r>
        <w:rPr>
          <w:rFonts w:hint="eastAsia"/>
          <w:lang w:eastAsia="zh-CN"/>
        </w:rPr>
        <w:drawing>
          <wp:inline distT="0" distB="0" distL="114300" distR="114300">
            <wp:extent cx="5440045" cy="8548370"/>
            <wp:effectExtent l="0" t="0" r="8255" b="5080"/>
            <wp:docPr id="14" name="图片 14" descr="1665222243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65222243197"/>
                    <pic:cNvPicPr>
                      <a:picLocks noChangeAspect="1"/>
                    </pic:cNvPicPr>
                  </pic:nvPicPr>
                  <pic:blipFill>
                    <a:blip r:embed="rId18"/>
                    <a:stretch>
                      <a:fillRect/>
                    </a:stretch>
                  </pic:blipFill>
                  <pic:spPr>
                    <a:xfrm>
                      <a:off x="0" y="0"/>
                      <a:ext cx="5440045" cy="8548370"/>
                    </a:xfrm>
                    <a:prstGeom prst="rect">
                      <a:avLst/>
                    </a:prstGeom>
                  </pic:spPr>
                </pic:pic>
              </a:graphicData>
            </a:graphic>
          </wp:inline>
        </w:drawing>
      </w:r>
    </w:p>
    <w:p>
      <w:pPr>
        <w:pStyle w:val="15"/>
        <w:rPr>
          <w:rFonts w:ascii="仿宋" w:hAnsi="仿宋" w:eastAsia="仿宋"/>
          <w:b/>
          <w:sz w:val="32"/>
          <w:szCs w:val="32"/>
        </w:rPr>
      </w:pPr>
      <w:r>
        <w:rPr>
          <w:rFonts w:hint="eastAsia"/>
          <w:lang w:eastAsia="zh-CN"/>
        </w:rPr>
        <w:drawing>
          <wp:inline distT="0" distB="0" distL="114300" distR="114300">
            <wp:extent cx="5416550" cy="8579485"/>
            <wp:effectExtent l="0" t="0" r="12700" b="12065"/>
            <wp:docPr id="15" name="图片 15" descr="1665222295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65222295972"/>
                    <pic:cNvPicPr>
                      <a:picLocks noChangeAspect="1"/>
                    </pic:cNvPicPr>
                  </pic:nvPicPr>
                  <pic:blipFill>
                    <a:blip r:embed="rId19"/>
                    <a:stretch>
                      <a:fillRect/>
                    </a:stretch>
                  </pic:blipFill>
                  <pic:spPr>
                    <a:xfrm>
                      <a:off x="0" y="0"/>
                      <a:ext cx="5416550" cy="8579485"/>
                    </a:xfrm>
                    <a:prstGeom prst="rect">
                      <a:avLst/>
                    </a:prstGeom>
                  </pic:spPr>
                </pic:pic>
              </a:graphicData>
            </a:graphic>
          </wp:inline>
        </w:drawing>
      </w:r>
    </w:p>
    <w:p>
      <w:pPr>
        <w:spacing w:line="600" w:lineRule="exact"/>
        <w:jc w:val="center"/>
        <w:outlineLvl w:val="0"/>
        <w:rPr>
          <w:rFonts w:ascii="仿宋" w:hAnsi="仿宋" w:eastAsia="仿宋"/>
        </w:rPr>
      </w:pPr>
      <w:bookmarkStart w:id="58" w:name="_Toc15396619"/>
      <w:r>
        <w:rPr>
          <w:rFonts w:hint="eastAsia" w:ascii="黑体" w:hAnsi="黑体" w:eastAsia="黑体"/>
          <w:sz w:val="44"/>
          <w:szCs w:val="44"/>
        </w:rPr>
        <w:t>第</w:t>
      </w:r>
      <w:r>
        <w:rPr>
          <w:rStyle w:val="30"/>
          <w:rFonts w:hint="eastAsia" w:ascii="黑体" w:hAnsi="黑体" w:eastAsia="黑体"/>
          <w:b w:val="0"/>
        </w:rPr>
        <w:t>五部分 附表</w:t>
      </w:r>
    </w:p>
    <w:p>
      <w:pPr>
        <w:pStyle w:val="4"/>
        <w:rPr>
          <w:rFonts w:ascii="仿宋" w:hAnsi="仿宋" w:eastAsia="仿宋"/>
        </w:rPr>
      </w:pPr>
      <w:r>
        <w:rPr>
          <w:rFonts w:hint="eastAsia" w:ascii="仿宋" w:hAnsi="仿宋" w:eastAsia="仿宋"/>
          <w:b w:val="0"/>
        </w:rPr>
        <w:t>一、收</w:t>
      </w:r>
      <w:r>
        <w:rPr>
          <w:rStyle w:val="31"/>
          <w:rFonts w:hint="eastAsia" w:ascii="仿宋" w:hAnsi="仿宋" w:eastAsia="仿宋"/>
          <w:b w:val="0"/>
          <w:bCs w:val="0"/>
        </w:rPr>
        <w:t>入支出决算总表</w:t>
      </w:r>
      <w:bookmarkEnd w:id="58"/>
    </w:p>
    <w:p>
      <w:pPr>
        <w:pStyle w:val="4"/>
        <w:rPr>
          <w:rFonts w:ascii="仿宋" w:hAnsi="仿宋" w:eastAsia="仿宋"/>
        </w:rPr>
      </w:pPr>
      <w:bookmarkStart w:id="59" w:name="_Toc15396620"/>
      <w:r>
        <w:rPr>
          <w:rFonts w:hint="eastAsia" w:ascii="仿宋" w:hAnsi="仿宋" w:eastAsia="仿宋"/>
          <w:b w:val="0"/>
        </w:rPr>
        <w:t>二、收</w:t>
      </w:r>
      <w:r>
        <w:rPr>
          <w:rStyle w:val="31"/>
          <w:rFonts w:hint="eastAsia" w:ascii="仿宋" w:hAnsi="仿宋" w:eastAsia="仿宋"/>
          <w:b w:val="0"/>
          <w:bCs w:val="0"/>
        </w:rPr>
        <w:t>入决算表</w:t>
      </w:r>
      <w:bookmarkEnd w:id="59"/>
    </w:p>
    <w:p>
      <w:pPr>
        <w:pStyle w:val="4"/>
        <w:rPr>
          <w:rFonts w:ascii="仿宋" w:hAnsi="仿宋" w:eastAsia="仿宋"/>
        </w:rPr>
      </w:pPr>
      <w:bookmarkStart w:id="60" w:name="_Toc15396621"/>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出决算表</w:t>
      </w:r>
      <w:bookmarkEnd w:id="60"/>
    </w:p>
    <w:p>
      <w:pPr>
        <w:pStyle w:val="4"/>
        <w:rPr>
          <w:rFonts w:ascii="仿宋" w:hAnsi="仿宋" w:eastAsia="仿宋"/>
          <w:b w:val="0"/>
        </w:rPr>
      </w:pPr>
      <w:bookmarkStart w:id="61" w:name="_Toc15396622"/>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政拨款收入支出决算总表</w:t>
      </w:r>
      <w:bookmarkEnd w:id="61"/>
    </w:p>
    <w:p>
      <w:pPr>
        <w:pStyle w:val="4"/>
        <w:rPr>
          <w:rStyle w:val="31"/>
          <w:rFonts w:ascii="仿宋" w:hAnsi="仿宋" w:eastAsia="仿宋"/>
          <w:b w:val="0"/>
          <w:bCs w:val="0"/>
        </w:rPr>
      </w:pPr>
      <w:bookmarkStart w:id="62" w:name="_Toc15396623"/>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政拨款支出决算明细表</w:t>
      </w:r>
      <w:bookmarkEnd w:id="62"/>
      <w:bookmarkStart w:id="63" w:name="_Toc15396624"/>
    </w:p>
    <w:p>
      <w:pPr>
        <w:pStyle w:val="4"/>
        <w:rPr>
          <w:rFonts w:ascii="仿宋" w:hAnsi="仿宋" w:eastAsia="仿宋"/>
        </w:rPr>
      </w:pPr>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般公共预算财政拨款支出决算表</w:t>
      </w:r>
      <w:bookmarkEnd w:id="63"/>
    </w:p>
    <w:p>
      <w:pPr>
        <w:pStyle w:val="4"/>
        <w:rPr>
          <w:rFonts w:ascii="仿宋" w:hAnsi="仿宋" w:eastAsia="仿宋"/>
        </w:rPr>
      </w:pPr>
      <w:bookmarkStart w:id="64" w:name="_Toc15396625"/>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般公共预算财政拨款支出决算明细表</w:t>
      </w:r>
      <w:bookmarkEnd w:id="64"/>
    </w:p>
    <w:p>
      <w:pPr>
        <w:pStyle w:val="4"/>
        <w:rPr>
          <w:rFonts w:ascii="仿宋" w:hAnsi="仿宋" w:eastAsia="仿宋"/>
        </w:rPr>
      </w:pPr>
      <w:bookmarkStart w:id="65" w:name="_Toc15396626"/>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般公共预算财政拨款基本支出决算表</w:t>
      </w:r>
      <w:bookmarkEnd w:id="65"/>
    </w:p>
    <w:p>
      <w:pPr>
        <w:pStyle w:val="4"/>
        <w:rPr>
          <w:rFonts w:ascii="仿宋" w:hAnsi="仿宋" w:eastAsia="仿宋"/>
        </w:rPr>
      </w:pPr>
      <w:bookmarkStart w:id="66" w:name="_Toc15396627"/>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般公共预算财政拨款项目支出决算表</w:t>
      </w:r>
      <w:bookmarkEnd w:id="66"/>
    </w:p>
    <w:p>
      <w:pPr>
        <w:pStyle w:val="4"/>
        <w:rPr>
          <w:rFonts w:ascii="仿宋" w:hAnsi="仿宋" w:eastAsia="仿宋"/>
        </w:rPr>
      </w:pPr>
      <w:bookmarkStart w:id="67" w:name="_Toc15396628"/>
      <w:r>
        <w:rPr>
          <w:rStyle w:val="31"/>
          <w:rFonts w:hint="eastAsia" w:ascii="仿宋" w:hAnsi="仿宋" w:eastAsia="仿宋"/>
          <w:b w:val="0"/>
          <w:bCs w:val="0"/>
        </w:rPr>
        <w:t>十、</w:t>
      </w:r>
      <w:r>
        <w:rPr>
          <w:rFonts w:hint="eastAsia" w:ascii="仿宋" w:hAnsi="仿宋" w:eastAsia="仿宋"/>
          <w:b w:val="0"/>
        </w:rPr>
        <w:t>一</w:t>
      </w:r>
      <w:r>
        <w:rPr>
          <w:rStyle w:val="31"/>
          <w:rFonts w:hint="eastAsia" w:ascii="仿宋" w:hAnsi="仿宋" w:eastAsia="仿宋"/>
          <w:b w:val="0"/>
          <w:bCs w:val="0"/>
        </w:rPr>
        <w:t>般公共预算财政拨款“三公”经费支出决算表</w:t>
      </w:r>
      <w:bookmarkEnd w:id="67"/>
    </w:p>
    <w:p>
      <w:pPr>
        <w:pStyle w:val="4"/>
        <w:rPr>
          <w:rFonts w:ascii="仿宋" w:hAnsi="仿宋" w:eastAsia="仿宋"/>
        </w:rPr>
      </w:pPr>
      <w:bookmarkStart w:id="68" w:name="_Toc15396629"/>
      <w:r>
        <w:rPr>
          <w:rStyle w:val="31"/>
          <w:rFonts w:hint="eastAsia" w:ascii="仿宋" w:hAnsi="仿宋" w:eastAsia="仿宋"/>
          <w:b w:val="0"/>
          <w:bCs w:val="0"/>
        </w:rPr>
        <w:t>十一、</w:t>
      </w:r>
      <w:r>
        <w:rPr>
          <w:rFonts w:hint="eastAsia" w:ascii="仿宋" w:hAnsi="仿宋" w:eastAsia="仿宋"/>
          <w:b w:val="0"/>
        </w:rPr>
        <w:t>政</w:t>
      </w:r>
      <w:r>
        <w:rPr>
          <w:rStyle w:val="31"/>
          <w:rFonts w:hint="eastAsia" w:ascii="仿宋" w:hAnsi="仿宋" w:eastAsia="仿宋"/>
          <w:b w:val="0"/>
          <w:bCs w:val="0"/>
        </w:rPr>
        <w:t>府性基金预算财政拨款收入支出决算表</w:t>
      </w:r>
      <w:bookmarkEnd w:id="68"/>
    </w:p>
    <w:p>
      <w:pPr>
        <w:pStyle w:val="4"/>
        <w:rPr>
          <w:rFonts w:ascii="仿宋" w:hAnsi="仿宋" w:eastAsia="仿宋"/>
        </w:rPr>
      </w:pPr>
      <w:bookmarkStart w:id="69" w:name="_Toc15396630"/>
      <w:r>
        <w:rPr>
          <w:rStyle w:val="31"/>
          <w:rFonts w:hint="eastAsia" w:ascii="仿宋" w:hAnsi="仿宋" w:eastAsia="仿宋"/>
          <w:b w:val="0"/>
          <w:bCs w:val="0"/>
        </w:rPr>
        <w:t>十二、</w:t>
      </w:r>
      <w:r>
        <w:rPr>
          <w:rFonts w:hint="eastAsia" w:ascii="仿宋" w:hAnsi="仿宋" w:eastAsia="仿宋"/>
          <w:b w:val="0"/>
        </w:rPr>
        <w:t>政</w:t>
      </w:r>
      <w:r>
        <w:rPr>
          <w:rStyle w:val="31"/>
          <w:rFonts w:hint="eastAsia" w:ascii="仿宋" w:hAnsi="仿宋" w:eastAsia="仿宋"/>
          <w:b w:val="0"/>
          <w:bCs w:val="0"/>
        </w:rPr>
        <w:t>府性基金预算财政拨款“三公”经费支出决算表</w:t>
      </w:r>
      <w:bookmarkEnd w:id="69"/>
    </w:p>
    <w:p>
      <w:pPr>
        <w:pStyle w:val="4"/>
        <w:rPr>
          <w:rStyle w:val="31"/>
          <w:rFonts w:ascii="仿宋" w:hAnsi="仿宋" w:eastAsia="仿宋"/>
          <w:b w:val="0"/>
          <w:bCs w:val="0"/>
        </w:rPr>
      </w:pPr>
      <w:bookmarkStart w:id="70" w:name="_Toc15396631"/>
      <w:r>
        <w:rPr>
          <w:rStyle w:val="31"/>
          <w:rFonts w:hint="eastAsia" w:ascii="仿宋" w:hAnsi="仿宋" w:eastAsia="仿宋"/>
          <w:b w:val="0"/>
          <w:bCs w:val="0"/>
        </w:rPr>
        <w:t>十三、</w:t>
      </w:r>
      <w:r>
        <w:rPr>
          <w:rFonts w:hint="eastAsia" w:ascii="仿宋" w:hAnsi="仿宋" w:eastAsia="仿宋"/>
          <w:b w:val="0"/>
        </w:rPr>
        <w:t>国</w:t>
      </w:r>
      <w:r>
        <w:rPr>
          <w:rStyle w:val="31"/>
          <w:rFonts w:hint="eastAsia" w:ascii="仿宋" w:hAnsi="仿宋" w:eastAsia="仿宋"/>
          <w:b w:val="0"/>
          <w:bCs w:val="0"/>
        </w:rPr>
        <w:t>有资本经营预算财政拨款收入支出决算表</w:t>
      </w:r>
      <w:bookmarkEnd w:id="70"/>
    </w:p>
    <w:p>
      <w:pPr>
        <w:rPr>
          <w:rFonts w:eastAsia="仿宋"/>
        </w:rPr>
      </w:pPr>
      <w:r>
        <w:rPr>
          <w:rStyle w:val="31"/>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23</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6B50F59"/>
    <w:multiLevelType w:val="singleLevel"/>
    <w:tmpl w:val="26B50F59"/>
    <w:lvl w:ilvl="0" w:tentative="0">
      <w:start w:val="2"/>
      <w:numFmt w:val="chineseCounting"/>
      <w:suff w:val="nothing"/>
      <w:lvlText w:val="（%1）"/>
      <w:lvlJc w:val="left"/>
      <w:rPr>
        <w:rFonts w:hint="eastAsia"/>
      </w:rPr>
    </w:lvl>
  </w:abstractNum>
  <w:abstractNum w:abstractNumId="4">
    <w:nsid w:val="36D83071"/>
    <w:multiLevelType w:val="singleLevel"/>
    <w:tmpl w:val="36D83071"/>
    <w:lvl w:ilvl="0" w:tentative="0">
      <w:start w:val="3"/>
      <w:numFmt w:val="chineseCounting"/>
      <w:suff w:val="nothing"/>
      <w:lvlText w:val="%1、"/>
      <w:lvlJc w:val="left"/>
      <w:rPr>
        <w:rFonts w:hint="eastAsia"/>
      </w:rPr>
    </w:lvl>
  </w:abstractNum>
  <w:abstractNum w:abstractNumId="5">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abstractNum w:abstractNumId="6">
    <w:nsid w:val="72AE8E29"/>
    <w:multiLevelType w:val="singleLevel"/>
    <w:tmpl w:val="72AE8E29"/>
    <w:lvl w:ilvl="0" w:tentative="0">
      <w:start w:val="2"/>
      <w:numFmt w:val="decimal"/>
      <w:suff w:val="nothing"/>
      <w:lvlText w:val="（%1）"/>
      <w:lvlJc w:val="left"/>
    </w:lvl>
  </w:abstractNum>
  <w:num w:numId="1">
    <w:abstractNumId w:val="5"/>
  </w:num>
  <w:num w:numId="2">
    <w:abstractNumId w:val="2"/>
  </w:num>
  <w:num w:numId="3">
    <w:abstractNumId w:val="0"/>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5ZTY3NmRlY2Y1YjljNzhjODY0YzAyM2FlNjNhZG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A1F8F"/>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7911"/>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E31716"/>
    <w:rsid w:val="0A2032A3"/>
    <w:rsid w:val="0B8A37D8"/>
    <w:rsid w:val="0BE0446D"/>
    <w:rsid w:val="10C055FF"/>
    <w:rsid w:val="110411AB"/>
    <w:rsid w:val="118107EC"/>
    <w:rsid w:val="11DD6519"/>
    <w:rsid w:val="16BB723D"/>
    <w:rsid w:val="18015F3F"/>
    <w:rsid w:val="1BE8440E"/>
    <w:rsid w:val="1CB710C0"/>
    <w:rsid w:val="1D155CEE"/>
    <w:rsid w:val="20395134"/>
    <w:rsid w:val="20F57F95"/>
    <w:rsid w:val="21102020"/>
    <w:rsid w:val="21711A3C"/>
    <w:rsid w:val="23AB3D0B"/>
    <w:rsid w:val="240371BF"/>
    <w:rsid w:val="25C741E6"/>
    <w:rsid w:val="27842671"/>
    <w:rsid w:val="29FD04D3"/>
    <w:rsid w:val="2ABE7A3E"/>
    <w:rsid w:val="2EFA178C"/>
    <w:rsid w:val="30B46D73"/>
    <w:rsid w:val="319F7F4E"/>
    <w:rsid w:val="33993780"/>
    <w:rsid w:val="39AE70AB"/>
    <w:rsid w:val="3C0C0783"/>
    <w:rsid w:val="3C1D5032"/>
    <w:rsid w:val="3C3D6F54"/>
    <w:rsid w:val="3CE65D2B"/>
    <w:rsid w:val="3F9F3A96"/>
    <w:rsid w:val="41EE4ADF"/>
    <w:rsid w:val="422D3379"/>
    <w:rsid w:val="431E5BF5"/>
    <w:rsid w:val="463229D9"/>
    <w:rsid w:val="47A95F9F"/>
    <w:rsid w:val="493C27E9"/>
    <w:rsid w:val="496F39ED"/>
    <w:rsid w:val="49FF41D3"/>
    <w:rsid w:val="4A753F0F"/>
    <w:rsid w:val="4BE068DB"/>
    <w:rsid w:val="4BF6002B"/>
    <w:rsid w:val="4ECE2238"/>
    <w:rsid w:val="509C774A"/>
    <w:rsid w:val="51DB4B86"/>
    <w:rsid w:val="55333C3E"/>
    <w:rsid w:val="5807636A"/>
    <w:rsid w:val="5A035F2E"/>
    <w:rsid w:val="5DE14469"/>
    <w:rsid w:val="5E3622F8"/>
    <w:rsid w:val="64CA39A1"/>
    <w:rsid w:val="671A7B28"/>
    <w:rsid w:val="6722754E"/>
    <w:rsid w:val="6C4A05C8"/>
    <w:rsid w:val="72734D90"/>
    <w:rsid w:val="74357F8F"/>
    <w:rsid w:val="76FC1502"/>
    <w:rsid w:val="77A9129E"/>
    <w:rsid w:val="79E7B28D"/>
    <w:rsid w:val="7B2953E8"/>
    <w:rsid w:val="7C882627"/>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99"/>
    <w:pPr>
      <w:spacing w:beforeLines="30"/>
    </w:pPr>
    <w:rPr>
      <w:rFonts w:ascii="仿宋_GB2312" w:eastAsia="仿宋_GB2312"/>
      <w:kern w:val="0"/>
      <w:sz w:val="30"/>
    </w:rPr>
  </w:style>
  <w:style w:type="paragraph" w:styleId="6">
    <w:name w:val="Salutation"/>
    <w:basedOn w:val="1"/>
    <w:next w:val="1"/>
    <w:unhideWhenUsed/>
    <w:qFormat/>
    <w:uiPriority w:val="99"/>
    <w:rPr>
      <w:rFonts w:ascii="Times New Roman" w:hAnsi="Times New Roman"/>
    </w:rPr>
  </w:style>
  <w:style w:type="paragraph" w:styleId="7">
    <w:name w:val="Body Text Indent"/>
    <w:basedOn w:val="1"/>
    <w:unhideWhenUsed/>
    <w:uiPriority w:val="99"/>
    <w:pPr>
      <w:adjustRightInd w:val="0"/>
      <w:snapToGrid w:val="0"/>
      <w:spacing w:line="400" w:lineRule="exact"/>
      <w:ind w:firstLine="480" w:firstLineChars="200"/>
    </w:pPr>
    <w:rPr>
      <w:rFonts w:ascii="宋体" w:hAnsi="宋体" w:cs="宋体"/>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unhideWhenUsed/>
    <w:qFormat/>
    <w:uiPriority w:val="99"/>
    <w:rPr>
      <w:rFonts w:ascii="宋体" w:hAnsi="Courier New" w:cs="宋体"/>
      <w:szCs w:val="21"/>
    </w:rPr>
  </w:style>
  <w:style w:type="paragraph" w:styleId="10">
    <w:name w:val="Balloon Text"/>
    <w:basedOn w:val="1"/>
    <w:link w:val="33"/>
    <w:semiHidden/>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Title"/>
    <w:basedOn w:val="1"/>
    <w:qFormat/>
    <w:uiPriority w:val="0"/>
    <w:pPr>
      <w:spacing w:before="240" w:after="60"/>
      <w:jc w:val="center"/>
      <w:outlineLvl w:val="0"/>
    </w:pPr>
    <w:rPr>
      <w:rFonts w:ascii="Arial" w:hAnsi="Arial" w:cs="Arial"/>
      <w:b/>
      <w:bCs/>
      <w:sz w:val="32"/>
      <w:szCs w:val="32"/>
    </w:rPr>
  </w:style>
  <w:style w:type="paragraph" w:styleId="16">
    <w:name w:val="Body Text First Indent"/>
    <w:basedOn w:val="2"/>
    <w:next w:val="17"/>
    <w:unhideWhenUsed/>
    <w:qFormat/>
    <w:uiPriority w:val="99"/>
    <w:pPr>
      <w:ind w:firstLine="420" w:firstLineChars="100"/>
    </w:pPr>
    <w:rPr>
      <w:rFonts w:eastAsia="仿宋_GB2312"/>
    </w:rPr>
  </w:style>
  <w:style w:type="paragraph" w:styleId="17">
    <w:name w:val="Body Text First Indent 2"/>
    <w:basedOn w:val="7"/>
    <w:unhideWhenUsed/>
    <w:qFormat/>
    <w:uiPriority w:val="99"/>
    <w:pPr>
      <w:ind w:firstLine="420" w:firstLineChars="200"/>
    </w:p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rPr>
  </w:style>
  <w:style w:type="character" w:customStyle="1" w:styleId="22">
    <w:name w:val="Header Char"/>
    <w:basedOn w:val="19"/>
    <w:semiHidden/>
    <w:qFormat/>
    <w:uiPriority w:val="99"/>
    <w:rPr>
      <w:rFonts w:ascii="Times New Roman" w:hAnsi="Times New Roman"/>
      <w:sz w:val="18"/>
      <w:szCs w:val="18"/>
    </w:rPr>
  </w:style>
  <w:style w:type="character" w:customStyle="1" w:styleId="23">
    <w:name w:val="页眉 Char"/>
    <w:link w:val="12"/>
    <w:semiHidden/>
    <w:qFormat/>
    <w:locked/>
    <w:uiPriority w:val="99"/>
    <w:rPr>
      <w:sz w:val="18"/>
    </w:rPr>
  </w:style>
  <w:style w:type="character" w:customStyle="1" w:styleId="24">
    <w:name w:val="Footer Char"/>
    <w:basedOn w:val="19"/>
    <w:semiHidden/>
    <w:qFormat/>
    <w:uiPriority w:val="99"/>
    <w:rPr>
      <w:rFonts w:ascii="Times New Roman" w:hAnsi="Times New Roman"/>
      <w:sz w:val="18"/>
      <w:szCs w:val="18"/>
    </w:rPr>
  </w:style>
  <w:style w:type="character" w:customStyle="1" w:styleId="25">
    <w:name w:val="页脚 Char"/>
    <w:link w:val="11"/>
    <w:qFormat/>
    <w:locked/>
    <w:uiPriority w:val="99"/>
    <w:rPr>
      <w:sz w:val="18"/>
    </w:rPr>
  </w:style>
  <w:style w:type="character" w:customStyle="1" w:styleId="26">
    <w:name w:val="Body Text Char"/>
    <w:basedOn w:val="19"/>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9"/>
    <w:link w:val="3"/>
    <w:qFormat/>
    <w:uiPriority w:val="9"/>
    <w:rPr>
      <w:rFonts w:ascii="Times New Roman" w:hAnsi="Times New Roman"/>
      <w:b/>
      <w:bCs/>
      <w:kern w:val="44"/>
      <w:sz w:val="44"/>
      <w:szCs w:val="44"/>
    </w:rPr>
  </w:style>
  <w:style w:type="character" w:customStyle="1" w:styleId="31">
    <w:name w:val="标题 2 Char"/>
    <w:basedOn w:val="19"/>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批注框文本 Char"/>
    <w:basedOn w:val="19"/>
    <w:link w:val="10"/>
    <w:semiHidden/>
    <w:qFormat/>
    <w:uiPriority w:val="99"/>
    <w:rPr>
      <w:rFonts w:ascii="Times New Roman" w:hAnsi="Times New Roman"/>
      <w:kern w:val="2"/>
      <w:sz w:val="18"/>
      <w:szCs w:val="18"/>
    </w:rPr>
  </w:style>
  <w:style w:type="character" w:customStyle="1" w:styleId="34">
    <w:name w:val="标题 3 Char"/>
    <w:basedOn w:val="19"/>
    <w:link w:val="5"/>
    <w:qFormat/>
    <w:uiPriority w:val="9"/>
    <w:rPr>
      <w:rFonts w:ascii="Times New Roman" w:hAnsi="Times New Roman"/>
      <w:b/>
      <w:bCs/>
      <w:kern w:val="2"/>
      <w:sz w:val="32"/>
      <w:szCs w:val="32"/>
    </w:rPr>
  </w:style>
  <w:style w:type="paragraph" w:customStyle="1" w:styleId="3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30</Pages>
  <Words>9430</Words>
  <Characters>10068</Characters>
  <Lines>8</Lines>
  <Paragraphs>16</Paragraphs>
  <TotalTime>2</TotalTime>
  <ScaleCrop>false</ScaleCrop>
  <LinksUpToDate>false</LinksUpToDate>
  <CharactersWithSpaces>10151</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微微微微亮</cp:lastModifiedBy>
  <cp:lastPrinted>2022-09-21T03:54:00Z</cp:lastPrinted>
  <dcterms:modified xsi:type="dcterms:W3CDTF">2023-10-07T10:36:26Z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D6041E2DC1F64342BCBD384BF75945C3</vt:lpwstr>
  </property>
</Properties>
</file>