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96597"/>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7194"/>
      <w:bookmarkStart w:id="7" w:name="_Toc15378442"/>
      <w:bookmarkStart w:id="8" w:name="_Toc15396476"/>
      <w:bookmarkStart w:id="9" w:name="_Toc15377426"/>
      <w:bookmarkStart w:id="10" w:name="_Toc15396598"/>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val="en-US" w:eastAsia="zh-CN"/>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审计局部门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公开时间：2022年</w:t>
      </w:r>
      <w:r>
        <w:rPr>
          <w:rFonts w:hint="eastAsia"/>
          <w:lang w:val="en-US" w:eastAsia="zh-CN"/>
        </w:rPr>
        <w:t>9</w:t>
      </w:r>
      <w:r>
        <w:rPr>
          <w:rFonts w:hint="eastAsia"/>
        </w:rPr>
        <w:t>月</w:t>
      </w:r>
      <w:r>
        <w:rPr>
          <w:rFonts w:hint="eastAsia"/>
          <w:lang w:val="en-US" w:eastAsia="zh-CN"/>
        </w:rPr>
        <w:t>30</w:t>
      </w:r>
      <w:r>
        <w:rPr>
          <w:rFonts w:hint="eastAsia"/>
        </w:rPr>
        <w:t>日</w:t>
      </w:r>
    </w:p>
    <w:p/>
    <w:p>
      <w:pPr>
        <w:pStyle w:val="14"/>
        <w:adjustRightInd w:val="0"/>
        <w:snapToGrid w:val="0"/>
        <w:spacing w:before="0" w:line="440" w:lineRule="exact"/>
        <w:jc w:val="left"/>
        <w:rPr>
          <w:rFonts w:cstheme="minorBidi"/>
          <w:sz w:val="24"/>
          <w:szCs w:val="24"/>
          <w:highlight w:val="none"/>
        </w:rPr>
      </w:pPr>
      <w:r>
        <w:rPr>
          <w:rFonts w:hint="eastAsia"/>
          <w:sz w:val="24"/>
          <w:highlight w:val="none"/>
        </w:rPr>
        <w:t>第一部分</w:t>
      </w:r>
      <w:r>
        <w:rPr>
          <w:sz w:val="24"/>
          <w:highlight w:val="none"/>
        </w:rPr>
        <w:t xml:space="preserve"> </w:t>
      </w:r>
      <w:r>
        <w:rPr>
          <w:rFonts w:hint="eastAsia"/>
          <w:sz w:val="24"/>
          <w:highlight w:val="none"/>
        </w:rPr>
        <w:t>部门概况</w:t>
      </w:r>
    </w:p>
    <w:p>
      <w:pPr>
        <w:pStyle w:val="15"/>
        <w:adjustRightInd w:val="0"/>
        <w:snapToGrid w:val="0"/>
        <w:spacing w:line="440" w:lineRule="exact"/>
        <w:jc w:val="left"/>
        <w:rPr>
          <w:rFonts w:hint="eastAsia" w:ascii="仿宋" w:hAnsi="仿宋" w:eastAsia="方正仿宋_GBK"/>
          <w:sz w:val="24"/>
          <w:highlight w:val="none"/>
          <w:lang w:val="en-US" w:eastAsia="zh-CN"/>
        </w:rPr>
      </w:pPr>
      <w:r>
        <w:rPr>
          <w:rFonts w:hint="eastAsia"/>
          <w:sz w:val="24"/>
          <w:highlight w:val="none"/>
        </w:rPr>
        <w:t>一、基本职能及主要工作</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4</w:t>
      </w:r>
    </w:p>
    <w:p>
      <w:pPr>
        <w:pStyle w:val="15"/>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二、机构设置</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................7</w:t>
      </w:r>
    </w:p>
    <w:p>
      <w:pPr>
        <w:pStyle w:val="14"/>
        <w:adjustRightInd w:val="0"/>
        <w:snapToGrid w:val="0"/>
        <w:spacing w:before="0" w:line="440" w:lineRule="exact"/>
        <w:jc w:val="left"/>
        <w:rPr>
          <w:sz w:val="24"/>
          <w:szCs w:val="24"/>
          <w:highlight w:val="none"/>
        </w:rPr>
      </w:pPr>
      <w:r>
        <w:rPr>
          <w:rFonts w:hint="eastAsia"/>
          <w:sz w:val="24"/>
          <w:highlight w:val="none"/>
        </w:rPr>
        <w:t>第二部分 2021年度部门决算情况说明</w:t>
      </w:r>
    </w:p>
    <w:p>
      <w:pPr>
        <w:pStyle w:val="15"/>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一、收入支出决算总体情况说明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...8</w:t>
      </w:r>
    </w:p>
    <w:p>
      <w:pPr>
        <w:pStyle w:val="15"/>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二、收入决算情况说明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8</w:t>
      </w:r>
    </w:p>
    <w:p>
      <w:pPr>
        <w:pStyle w:val="15"/>
        <w:adjustRightInd w:val="0"/>
        <w:snapToGrid w:val="0"/>
        <w:spacing w:line="440" w:lineRule="exact"/>
        <w:jc w:val="left"/>
        <w:rPr>
          <w:rFonts w:hint="eastAsia" w:ascii="仿宋" w:hAnsi="仿宋" w:eastAsia="方正仿宋_GBK" w:cstheme="minorBidi"/>
          <w:sz w:val="24"/>
          <w:highlight w:val="none"/>
          <w:lang w:val="en-US" w:eastAsia="zh-CN"/>
        </w:rPr>
      </w:pPr>
      <w:r>
        <w:rPr>
          <w:rFonts w:hint="eastAsia"/>
          <w:sz w:val="24"/>
          <w:highlight w:val="none"/>
        </w:rPr>
        <w:t>三、支出决算情况说明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9</w:t>
      </w:r>
    </w:p>
    <w:p>
      <w:pPr>
        <w:pStyle w:val="15"/>
        <w:adjustRightInd w:val="0"/>
        <w:snapToGrid w:val="0"/>
        <w:spacing w:line="440" w:lineRule="exact"/>
        <w:jc w:val="left"/>
        <w:rPr>
          <w:rFonts w:hint="default" w:ascii="仿宋" w:hAnsi="仿宋" w:eastAsia="方正仿宋_GBK" w:cstheme="minorBidi"/>
          <w:sz w:val="24"/>
          <w:highlight w:val="none"/>
          <w:lang w:val="en-US" w:eastAsia="zh-CN"/>
        </w:rPr>
      </w:pPr>
      <w:r>
        <w:rPr>
          <w:rFonts w:hint="eastAsia"/>
          <w:sz w:val="24"/>
          <w:highlight w:val="none"/>
        </w:rPr>
        <w:t>四、财政拨款收入支出决算总体情况说明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..10</w:t>
      </w:r>
    </w:p>
    <w:p>
      <w:pPr>
        <w:pStyle w:val="15"/>
        <w:adjustRightInd w:val="0"/>
        <w:snapToGrid w:val="0"/>
        <w:spacing w:line="440" w:lineRule="exact"/>
        <w:jc w:val="left"/>
        <w:rPr>
          <w:rFonts w:hint="default" w:ascii="仿宋" w:hAnsi="仿宋" w:eastAsia="方正仿宋_GBK" w:cstheme="minorBidi"/>
          <w:sz w:val="24"/>
          <w:highlight w:val="none"/>
          <w:lang w:val="en-US" w:eastAsia="zh-CN"/>
        </w:rPr>
      </w:pPr>
      <w:r>
        <w:rPr>
          <w:rFonts w:hint="eastAsia"/>
          <w:sz w:val="24"/>
          <w:highlight w:val="none"/>
        </w:rPr>
        <w:t>五、一般公共预算财政拨款支出决算情况说明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..10</w:t>
      </w:r>
    </w:p>
    <w:p>
      <w:pPr>
        <w:pStyle w:val="15"/>
        <w:adjustRightInd w:val="0"/>
        <w:snapToGrid w:val="0"/>
        <w:spacing w:line="440" w:lineRule="exact"/>
        <w:jc w:val="left"/>
        <w:rPr>
          <w:rFonts w:hint="default" w:ascii="仿宋" w:hAnsi="仿宋" w:eastAsia="方正仿宋_GBK" w:cstheme="minorBidi"/>
          <w:sz w:val="24"/>
          <w:highlight w:val="none"/>
          <w:lang w:val="en-US" w:eastAsia="zh-CN"/>
        </w:rPr>
      </w:pPr>
      <w:r>
        <w:rPr>
          <w:rFonts w:hint="eastAsia"/>
          <w:sz w:val="24"/>
          <w:highlight w:val="none"/>
        </w:rPr>
        <w:t>六、一般公共预算财政拨款基本支出决算情况说明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..13</w:t>
      </w:r>
    </w:p>
    <w:p>
      <w:pPr>
        <w:pStyle w:val="15"/>
        <w:adjustRightInd w:val="0"/>
        <w:snapToGrid w:val="0"/>
        <w:spacing w:line="440" w:lineRule="exact"/>
        <w:jc w:val="left"/>
        <w:rPr>
          <w:rFonts w:hint="default" w:ascii="仿宋" w:hAnsi="仿宋" w:eastAsia="方正仿宋_GBK" w:cstheme="minorBidi"/>
          <w:sz w:val="24"/>
          <w:highlight w:val="none"/>
          <w:lang w:val="en-US" w:eastAsia="zh-CN"/>
        </w:rPr>
      </w:pPr>
      <w:r>
        <w:rPr>
          <w:rFonts w:hint="eastAsia"/>
          <w:sz w:val="24"/>
          <w:highlight w:val="none"/>
        </w:rPr>
        <w:t>七、“三公”经费财政拨款支出决算情况说明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..14</w:t>
      </w:r>
    </w:p>
    <w:p>
      <w:pPr>
        <w:pStyle w:val="15"/>
        <w:adjustRightInd w:val="0"/>
        <w:snapToGrid w:val="0"/>
        <w:spacing w:line="440" w:lineRule="exact"/>
        <w:jc w:val="left"/>
        <w:rPr>
          <w:rFonts w:hint="default" w:ascii="Times New Roman" w:hAnsi="Times New Roman" w:eastAsia="方正仿宋_GBK" w:cs="Times New Roman"/>
          <w:sz w:val="24"/>
          <w:szCs w:val="24"/>
          <w:highlight w:val="none"/>
          <w:lang w:val="en-US" w:eastAsia="zh-CN"/>
        </w:rPr>
      </w:pPr>
      <w:r>
        <w:rPr>
          <w:rFonts w:hint="eastAsia"/>
          <w:sz w:val="24"/>
        </w:rPr>
        <w:t>八、政府性基金预算支出决算情况说明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......15</w:t>
      </w:r>
    </w:p>
    <w:p>
      <w:pPr>
        <w:pStyle w:val="15"/>
        <w:adjustRightInd w:val="0"/>
        <w:snapToGrid w:val="0"/>
        <w:spacing w:line="440" w:lineRule="exact"/>
        <w:jc w:val="left"/>
        <w:rPr>
          <w:rFonts w:hint="default" w:ascii="Times New Roman" w:hAnsi="Times New Roman" w:eastAsia="方正仿宋_GBK" w:cs="Times New Roman"/>
          <w:sz w:val="24"/>
          <w:szCs w:val="24"/>
          <w:highlight w:val="none"/>
          <w:lang w:val="en-US" w:eastAsia="zh-CN"/>
        </w:rPr>
      </w:pPr>
      <w:r>
        <w:rPr>
          <w:rFonts w:hint="eastAsia" w:asciiTheme="minorEastAsia" w:hAnsiTheme="minorEastAsia" w:eastAsiaTheme="minorEastAsia" w:cstheme="minorEastAsia"/>
          <w:sz w:val="24"/>
        </w:rPr>
        <w:t>九、国有资本经营预算支出决算情况说明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..15</w:t>
      </w:r>
    </w:p>
    <w:p>
      <w:pPr>
        <w:pStyle w:val="15"/>
        <w:adjustRightInd w:val="0"/>
        <w:snapToGrid w:val="0"/>
        <w:spacing w:line="440" w:lineRule="exact"/>
        <w:jc w:val="left"/>
        <w:rPr>
          <w:rFonts w:hint="default" w:ascii="Times New Roman" w:hAnsi="Times New Roman" w:eastAsia="方正仿宋_GBK" w:cs="Times New Roman"/>
          <w:sz w:val="24"/>
          <w:szCs w:val="24"/>
          <w:highlight w:val="none"/>
          <w:lang w:val="en-US" w:eastAsia="zh-CN"/>
        </w:rPr>
      </w:pPr>
      <w:r>
        <w:rPr>
          <w:rStyle w:val="20"/>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w:t>
      </w:r>
      <w:r>
        <w:rPr>
          <w:rFonts w:ascii="Times New Roman" w:hAnsi="Times New Roman" w:eastAsia="方正仿宋_GBK" w:cs="Times New Roman"/>
          <w:sz w:val="24"/>
          <w:szCs w:val="24"/>
          <w:highlight w:val="none"/>
        </w:rPr>
        <w:t>……</w:t>
      </w:r>
      <w:r>
        <w:rPr>
          <w:rFonts w:hint="eastAsia" w:eastAsia="方正仿宋_GBK" w:cs="Times New Roman"/>
          <w:sz w:val="24"/>
          <w:szCs w:val="24"/>
          <w:highlight w:val="none"/>
          <w:lang w:val="en-US" w:eastAsia="zh-CN"/>
        </w:rPr>
        <w:t>15</w:t>
      </w:r>
    </w:p>
    <w:p>
      <w:pPr>
        <w:pStyle w:val="14"/>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4"/>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4"/>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5"/>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6"/>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7"/>
        <w:rPr>
          <w:rStyle w:val="30"/>
          <w:rFonts w:ascii="仿宋" w:hAnsi="仿宋" w:eastAsia="仿宋"/>
          <w:b w:val="0"/>
          <w:bCs w:val="0"/>
        </w:rPr>
      </w:pPr>
      <w:bookmarkStart w:id="14" w:name="_Toc15377197"/>
      <w:bookmarkStart w:id="15" w:name="_Toc15396600"/>
      <w:r>
        <w:rPr>
          <w:rFonts w:hint="eastAsia" w:ascii="黑体" w:hAnsi="黑体" w:eastAsia="黑体"/>
          <w:b w:val="0"/>
        </w:rPr>
        <w:t>一、基</w:t>
      </w:r>
      <w:r>
        <w:rPr>
          <w:rStyle w:val="30"/>
          <w:rFonts w:hint="eastAsia" w:ascii="黑体" w:hAnsi="黑体" w:eastAsia="黑体"/>
          <w:b w:val="0"/>
          <w:bCs w:val="0"/>
        </w:rPr>
        <w:t>本职能及主要工作</w:t>
      </w:r>
      <w:bookmarkEnd w:id="14"/>
      <w:bookmarkEnd w:id="15"/>
    </w:p>
    <w:p>
      <w:pPr>
        <w:pStyle w:val="3"/>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pStyle w:val="10"/>
        <w:spacing w:line="353" w:lineRule="auto"/>
        <w:ind w:firstLine="624" w:firstLineChars="200"/>
        <w:rPr>
          <w:rFonts w:hint="eastAsia" w:ascii="仿宋_GB2312" w:hAnsi="Times New Roman" w:eastAsia="仿宋_GB2312"/>
          <w:spacing w:val="-4"/>
          <w:sz w:val="32"/>
          <w:szCs w:val="32"/>
        </w:rPr>
      </w:pPr>
      <w:bookmarkStart w:id="18" w:name="_Toc15378446"/>
      <w:bookmarkStart w:id="19" w:name="_Toc15377199"/>
      <w:r>
        <w:rPr>
          <w:rFonts w:hint="eastAsia" w:ascii="仿宋_GB2312" w:hAnsi="Times New Roman" w:eastAsia="仿宋_GB2312"/>
          <w:spacing w:val="-4"/>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2.贯彻执行国家、省、市有关审计工作的方针政策和法律法规。起草地方性审计规章草案、规范性文件。制定并组织实施全区专业领域审计工作规划。参与起草地方性财政经济及相关规章草案、规范性文件。组织对全区性重大投资项目、重大突发性公共事项、重要专项资金的审计和专项审计调查。对直接审计、调查和核查的事项依法进行审计评价，作出审计决定或提出审计建议。</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3.向区委审计委员会提出年度区级预算执行和其他财政支出情况审计报告。向区政府和市审计局提出年度区级预算执行及其他财政收支情况的审计结果报告。受区政府委托向区人大常委会提出区级预算执行及其他财政收支情况的审计工作报告、审计查出问题整改情况报告。向区委、区政府报告对其他事项的审计和专项审计调查情况及结果。依法向社会公布审计结果。向区级有关部门、街道（镇）通报审计情况和审计结果。</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4.直接审计下列事项，出具审计报告，在法定职权范围内作出审计决定，包括国家和省市区有关重大政策措施贯彻落实情况；区级预算执行情况和其它财政收支，区级各部门、各街道办事处预算执行情况、决算草案和其他财政收支，区级各部门、各街道办事处预算执行情况、决算草案和其他财政收支；镇级政府预算执行情况、决算草案和其他财政收支，区级财政转移支付资金；使用区级财政资金的事业单位（含直属单位）和社会团体的财务收支；区政府投资和以区政府投资为主的建设项目的预算执行情况和决算，区级重大公共工程项目的资金管理使用和建设运营情况；自然资源管理、污染防治和生态保护与修复情况；区属国有企业和地方金融机构、区属国有资本占控股或主导地位的企业和金融机构境内外资产、负债和损益，区政府及有关部门、街道（镇）驻外非经营性机构的财务收支；有关社会保障基金、社会捐赠资金、安全生产和职业健康财政资金以及其他基金、资金的财务收支；国际组织和外国政府援助、贷款项目；法律法规规定的其他事项。</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5.按规定对区管党政主要领导干部及其他单位主要负责人实施经济责任审计和自然资源资产离任审计。</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6.组织实施对国家财经法律法规、规章、政策和宏观调控措施执行情况、财政预算管理及国有资产管理使用等与区级财政收支有关的特定事项进行专项审计调查。</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8.指导和监督内部审计工作，核查社会审计机构对依法属于审计监督对象的单位出具的相关审计报告。</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9.组织开展审计领域内的交流与合作，指导和组织开展信息技术在审计领域的应用。</w:t>
      </w:r>
    </w:p>
    <w:p>
      <w:pPr>
        <w:pStyle w:val="10"/>
        <w:spacing w:line="353" w:lineRule="auto"/>
        <w:ind w:firstLine="624" w:firstLineChars="200"/>
        <w:rPr>
          <w:rFonts w:hint="eastAsia" w:ascii="仿宋_GB2312" w:hAnsi="Times New Roman" w:eastAsia="仿宋_GB2312"/>
          <w:spacing w:val="-4"/>
          <w:sz w:val="32"/>
          <w:szCs w:val="32"/>
        </w:rPr>
      </w:pPr>
      <w:r>
        <w:rPr>
          <w:rFonts w:hint="eastAsia" w:ascii="仿宋_GB2312" w:hAnsi="Times New Roman" w:eastAsia="仿宋_GB2312"/>
          <w:spacing w:val="-4"/>
          <w:sz w:val="32"/>
          <w:szCs w:val="32"/>
        </w:rPr>
        <w:t>10.负责职责范围内的安全生产和职业健康、生态环境保护等工作。</w:t>
      </w:r>
    </w:p>
    <w:p>
      <w:pPr>
        <w:pStyle w:val="3"/>
        <w:adjustRightInd w:val="0"/>
        <w:snapToGrid w:val="0"/>
        <w:spacing w:before="93" w:line="600" w:lineRule="exact"/>
        <w:ind w:firstLine="655" w:firstLineChars="210"/>
        <w:outlineLvl w:val="2"/>
        <w:rPr>
          <w:rFonts w:hint="eastAsia"/>
          <w:spacing w:val="-4"/>
          <w:sz w:val="32"/>
          <w:szCs w:val="32"/>
          <w:lang w:eastAsia="zh-CN"/>
        </w:rPr>
      </w:pPr>
      <w:r>
        <w:rPr>
          <w:rFonts w:hint="eastAsia" w:ascii="仿宋_GB2312" w:hAnsi="Times New Roman" w:eastAsia="仿宋_GB2312"/>
          <w:spacing w:val="-4"/>
          <w:sz w:val="32"/>
          <w:szCs w:val="32"/>
        </w:rPr>
        <w:t>11.完成区委和区政府交办的其他任务</w:t>
      </w:r>
      <w:r>
        <w:rPr>
          <w:rFonts w:hint="eastAsia"/>
          <w:spacing w:val="-4"/>
          <w:sz w:val="32"/>
          <w:szCs w:val="32"/>
          <w:lang w:eastAsia="zh-CN"/>
        </w:rPr>
        <w:t>。</w:t>
      </w:r>
    </w:p>
    <w:p>
      <w:pPr>
        <w:pStyle w:val="3"/>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仿宋_GB2312" w:hAnsi="仿宋_GB2312" w:eastAsia="仿宋_GB2312" w:cs="仿宋_GB2312"/>
          <w:b/>
          <w:bCs/>
          <w:sz w:val="32"/>
          <w:szCs w:val="32"/>
          <w:lang w:val="en-US" w:eastAsia="zh-CN"/>
        </w:rPr>
      </w:pPr>
      <w:r>
        <w:rPr>
          <w:rFonts w:hint="eastAsia" w:hAnsi="仿宋_GB2312" w:cs="仿宋_GB2312"/>
          <w:sz w:val="32"/>
          <w:szCs w:val="32"/>
          <w:lang w:val="en-US" w:eastAsia="zh-CN"/>
        </w:rPr>
        <w:t>2021年，</w:t>
      </w:r>
      <w:r>
        <w:rPr>
          <w:rFonts w:hint="eastAsia" w:ascii="仿宋_GB2312" w:hAnsi="仿宋_GB2312" w:eastAsia="仿宋_GB2312" w:cs="仿宋_GB2312"/>
          <w:sz w:val="32"/>
          <w:szCs w:val="32"/>
        </w:rPr>
        <w:t>完成审计项目</w:t>
      </w:r>
      <w:r>
        <w:rPr>
          <w:rFonts w:hint="eastAsia" w:hAnsi="仿宋_GB2312" w:cs="仿宋_GB2312"/>
          <w:sz w:val="32"/>
          <w:szCs w:val="32"/>
          <w:lang w:val="en-US" w:eastAsia="zh-CN"/>
        </w:rPr>
        <w:t>15</w:t>
      </w:r>
      <w:r>
        <w:rPr>
          <w:rFonts w:hint="eastAsia" w:ascii="仿宋_GB2312" w:hAnsi="仿宋_GB2312" w:eastAsia="仿宋_GB2312" w:cs="仿宋_GB2312"/>
          <w:sz w:val="32"/>
          <w:szCs w:val="32"/>
        </w:rPr>
        <w:t>个，</w:t>
      </w:r>
      <w:r>
        <w:rPr>
          <w:rFonts w:hint="default" w:ascii="仿宋_GB2312" w:hAnsi="仿宋_GB2312" w:eastAsia="仿宋_GB2312" w:cs="仿宋_GB2312"/>
          <w:sz w:val="32"/>
          <w:szCs w:val="32"/>
          <w:lang w:val="en-US" w:eastAsia="zh-CN"/>
        </w:rPr>
        <w:t>调查</w:t>
      </w:r>
      <w:r>
        <w:rPr>
          <w:rFonts w:hint="eastAsia" w:ascii="仿宋_GB2312" w:hAnsi="仿宋_GB2312" w:eastAsia="仿宋_GB2312" w:cs="仿宋_GB2312"/>
          <w:sz w:val="32"/>
          <w:szCs w:val="32"/>
        </w:rPr>
        <w:t>审计查出各类问题</w:t>
      </w:r>
      <w:r>
        <w:rPr>
          <w:rFonts w:hint="eastAsia" w:hAnsi="仿宋_GB2312" w:cs="仿宋_GB2312"/>
          <w:sz w:val="32"/>
          <w:szCs w:val="32"/>
          <w:lang w:val="en-US" w:eastAsia="zh-CN"/>
        </w:rPr>
        <w:t>71</w:t>
      </w:r>
      <w:r>
        <w:rPr>
          <w:rFonts w:hint="eastAsia" w:ascii="仿宋_GB2312" w:hAnsi="仿宋_GB2312" w:eastAsia="仿宋_GB2312" w:cs="仿宋_GB2312"/>
          <w:sz w:val="32"/>
          <w:szCs w:val="32"/>
        </w:rPr>
        <w:t>个，涉及管理不规范资金</w:t>
      </w:r>
      <w:r>
        <w:rPr>
          <w:rFonts w:hint="eastAsia" w:hAnsi="仿宋_GB2312" w:cs="仿宋_GB2312"/>
          <w:sz w:val="32"/>
          <w:szCs w:val="32"/>
          <w:lang w:val="en-US" w:eastAsia="zh-CN"/>
        </w:rPr>
        <w:t>44658.16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，提出审计建议</w:t>
      </w:r>
      <w:r>
        <w:rPr>
          <w:rFonts w:hint="eastAsia" w:hAnsi="仿宋_GB2312" w:cs="仿宋_GB2312"/>
          <w:sz w:val="32"/>
          <w:szCs w:val="32"/>
          <w:lang w:val="en-US" w:eastAsia="zh-CN"/>
        </w:rPr>
        <w:t>65</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1.总结经验，扩宽思路，强化政府投资项目全过程监督。</w:t>
      </w:r>
      <w:r>
        <w:rPr>
          <w:rFonts w:hint="default" w:ascii="仿宋_GB2312" w:hAnsi="仿宋_GB2312" w:eastAsia="仿宋_GB2312" w:cs="仿宋_GB2312"/>
          <w:sz w:val="32"/>
          <w:szCs w:val="32"/>
          <w:lang w:val="en-US" w:eastAsia="zh-CN"/>
        </w:rPr>
        <w:t>加大审计信息化力度，构建“以在线实时监</w:t>
      </w:r>
      <w:r>
        <w:rPr>
          <w:rFonts w:hint="eastAsia" w:ascii="仿宋_GB2312" w:hAnsi="仿宋_GB2312" w:eastAsia="仿宋_GB2312" w:cs="仿宋_GB2312"/>
          <w:sz w:val="32"/>
          <w:szCs w:val="32"/>
          <w:lang w:val="en-US" w:eastAsia="zh-CN"/>
        </w:rPr>
        <w:t>督</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审计</w:t>
      </w:r>
      <w:r>
        <w:rPr>
          <w:rFonts w:hint="default" w:ascii="仿宋_GB2312" w:hAnsi="仿宋_GB2312" w:eastAsia="仿宋_GB2312" w:cs="仿宋_GB2312"/>
          <w:sz w:val="32"/>
          <w:szCs w:val="32"/>
          <w:lang w:val="en-US" w:eastAsia="zh-CN"/>
        </w:rPr>
        <w:t>平台，以大数据分析为审计手段，以风险管理预警为审计目标”的政府投资风险管控信息系统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加强监督管理平台的运行管理，对21家重点单位开展了平台业务培训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对政府投资建设项目进行了</w:t>
      </w:r>
      <w:r>
        <w:rPr>
          <w:rFonts w:hint="eastAsia" w:ascii="仿宋_GB2312" w:hAnsi="仿宋_GB2312" w:eastAsia="仿宋_GB2312" w:cs="仿宋_GB2312"/>
          <w:sz w:val="32"/>
          <w:szCs w:val="32"/>
          <w:lang w:val="en-US" w:eastAsia="zh-CN"/>
        </w:rPr>
        <w:t>全面的</w:t>
      </w:r>
      <w:r>
        <w:rPr>
          <w:rFonts w:hint="default" w:ascii="仿宋_GB2312" w:hAnsi="仿宋_GB2312" w:eastAsia="仿宋_GB2312" w:cs="仿宋_GB2312"/>
          <w:sz w:val="32"/>
          <w:szCs w:val="32"/>
          <w:lang w:val="en-US" w:eastAsia="zh-CN"/>
        </w:rPr>
        <w:t>梳理分析，发现</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建设手续不齐、关键程序缺失、投资规模失控等共性问题107个，向10家单位（部门）发出审计整改通知书督促整改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积极探索，大胆实践，强化区属国有企业的监督管理。</w:t>
      </w:r>
      <w:r>
        <w:rPr>
          <w:rFonts w:hint="eastAsia" w:ascii="仿宋_GB2312" w:hAnsi="仿宋_GB2312" w:eastAsia="仿宋_GB2312" w:cs="仿宋_GB2312"/>
          <w:sz w:val="32"/>
          <w:szCs w:val="32"/>
          <w:lang w:val="en-US" w:eastAsia="zh-CN"/>
        </w:rPr>
        <w:t>积</w:t>
      </w:r>
      <w:r>
        <w:rPr>
          <w:rFonts w:hint="default" w:ascii="仿宋_GB2312" w:hAnsi="仿宋_GB2312" w:eastAsia="仿宋_GB2312" w:cs="仿宋_GB2312"/>
          <w:sz w:val="32"/>
          <w:szCs w:val="32"/>
          <w:lang w:val="en-US" w:eastAsia="zh-CN"/>
        </w:rPr>
        <w:t>极落实审计管理体制改革要求，理顺工作体制机制，强化对区属国有企业的监督管理，率先在全市各区县审计局中设立国有企业监事专职机构，设立国有企业监事股，向企业派驻监事会，明确了国有企业监事职能职责，有效推动了西区国有企业监事工作。</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eastAsia" w:ascii="仿宋" w:hAnsi="仿宋" w:eastAsia="仿宋"/>
          <w:bCs/>
          <w:sz w:val="32"/>
          <w:szCs w:val="32"/>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巡审结合，磨砺干部，提</w:t>
      </w:r>
      <w:r>
        <w:rPr>
          <w:rFonts w:hint="eastAsia" w:ascii="仿宋_GB2312" w:hAnsi="仿宋_GB2312" w:eastAsia="仿宋_GB2312" w:cs="仿宋_GB2312"/>
          <w:b/>
          <w:bCs/>
          <w:sz w:val="32"/>
          <w:szCs w:val="32"/>
          <w:lang w:val="en-US" w:eastAsia="zh-CN"/>
        </w:rPr>
        <w:t>升审计</w:t>
      </w:r>
      <w:r>
        <w:rPr>
          <w:rFonts w:hint="default" w:ascii="仿宋_GB2312" w:hAnsi="仿宋_GB2312" w:eastAsia="仿宋_GB2312" w:cs="仿宋_GB2312"/>
          <w:b/>
          <w:bCs/>
          <w:sz w:val="32"/>
          <w:szCs w:val="32"/>
          <w:lang w:val="en-US" w:eastAsia="zh-CN"/>
        </w:rPr>
        <w:t>干部监督水平。</w:t>
      </w:r>
      <w:r>
        <w:rPr>
          <w:rFonts w:hint="default" w:ascii="仿宋_GB2312" w:hAnsi="仿宋_GB2312" w:eastAsia="仿宋_GB2312" w:cs="仿宋_GB2312"/>
          <w:sz w:val="32"/>
          <w:szCs w:val="32"/>
          <w:lang w:val="en-US" w:eastAsia="zh-CN"/>
        </w:rPr>
        <w:t>先后派出干部3人次参与市、区两级巡察，累计时长3个月；1人参加为期3个月的省委巡视；1人参加为期3个月的交叉审计；同时积极开展巡审结合工作，对</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检察院部门预算执行审计进行巡审结合</w:t>
      </w:r>
      <w:r>
        <w:rPr>
          <w:rFonts w:hint="eastAsia" w:ascii="仿宋_GB2312" w:hAnsi="仿宋_GB2312" w:eastAsia="仿宋_GB2312" w:cs="仿宋_GB2312"/>
          <w:sz w:val="32"/>
          <w:szCs w:val="32"/>
          <w:lang w:val="en-US" w:eastAsia="zh-CN"/>
        </w:rPr>
        <w:t>试点；</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区委</w:t>
      </w:r>
      <w:r>
        <w:rPr>
          <w:rFonts w:hint="default" w:ascii="仿宋_GB2312" w:hAnsi="仿宋_GB2312" w:eastAsia="仿宋_GB2312" w:cs="仿宋_GB2312"/>
          <w:sz w:val="32"/>
          <w:szCs w:val="32"/>
          <w:lang w:val="en-US" w:eastAsia="zh-CN"/>
        </w:rPr>
        <w:t>巡察办就区属国有企业审计调查中，审计发现的问题线索进行座谈交流，为下一步区委巡察区属国有企业明确了切入点和侧重点。</w:t>
      </w:r>
    </w:p>
    <w:p>
      <w:pPr>
        <w:pStyle w:val="7"/>
        <w:ind w:firstLine="640" w:firstLineChars="200"/>
        <w:rPr>
          <w:rStyle w:val="30"/>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20"/>
      <w:bookmarkEnd w:id="21"/>
    </w:p>
    <w:p>
      <w:pPr>
        <w:ind w:firstLine="640" w:firstLineChars="200"/>
        <w:rPr>
          <w:rFonts w:hint="eastAsia" w:ascii="仿宋" w:hAnsi="仿宋" w:eastAsia="仿宋"/>
          <w:sz w:val="32"/>
          <w:szCs w:val="32"/>
        </w:rPr>
      </w:pPr>
      <w:r>
        <w:rPr>
          <w:rFonts w:hint="eastAsia" w:ascii="仿宋" w:hAnsi="仿宋" w:eastAsia="仿宋"/>
          <w:sz w:val="32"/>
          <w:szCs w:val="32"/>
        </w:rPr>
        <w:t>西区审计局下属二级单位1个，其中行政单位0个，参照公务员法管理的事业单位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个，其他事业单位0个。</w:t>
      </w:r>
    </w:p>
    <w:p>
      <w:pPr>
        <w:ind w:firstLine="640" w:firstLineChars="200"/>
        <w:rPr>
          <w:rFonts w:ascii="仿宋" w:hAnsi="仿宋" w:eastAsia="仿宋"/>
          <w:sz w:val="32"/>
          <w:szCs w:val="32"/>
        </w:rPr>
      </w:pPr>
      <w:r>
        <w:rPr>
          <w:rFonts w:hint="eastAsia" w:ascii="仿宋" w:hAnsi="仿宋" w:eastAsia="仿宋"/>
          <w:sz w:val="32"/>
          <w:szCs w:val="32"/>
        </w:rPr>
        <w:t>纳入西区审计局</w:t>
      </w:r>
      <w:r>
        <w:rPr>
          <w:rFonts w:hint="eastAsia" w:ascii="仿宋" w:hAnsi="仿宋" w:eastAsia="仿宋"/>
          <w:sz w:val="32"/>
          <w:szCs w:val="32"/>
          <w:lang w:val="en-US" w:eastAsia="zh-CN"/>
        </w:rPr>
        <w:t>2021</w:t>
      </w:r>
      <w:r>
        <w:rPr>
          <w:rFonts w:hint="eastAsia" w:ascii="仿宋" w:hAnsi="仿宋" w:eastAsia="仿宋"/>
          <w:sz w:val="32"/>
          <w:szCs w:val="32"/>
        </w:rPr>
        <w:t>年度部门决算编制范围的二级单位包括区经责审计事务中心。</w:t>
      </w:r>
    </w:p>
    <w:p>
      <w:pPr>
        <w:pStyle w:val="6"/>
        <w:ind w:right="440"/>
        <w:jc w:val="center"/>
        <w:rPr>
          <w:rStyle w:val="29"/>
          <w:rFonts w:ascii="黑体" w:hAnsi="黑体" w:eastAsia="黑体"/>
          <w:b w:val="0"/>
          <w:bCs/>
        </w:rPr>
      </w:pPr>
      <w:bookmarkStart w:id="22" w:name="_Toc15396602"/>
      <w:bookmarkStart w:id="23" w:name="_Toc15377204"/>
      <w:r>
        <w:rPr>
          <w:rFonts w:hint="eastAsia" w:ascii="黑体" w:hAnsi="黑体" w:eastAsia="黑体"/>
          <w:b w:val="0"/>
        </w:rPr>
        <w:t>第二部分 2021年度</w:t>
      </w:r>
      <w:r>
        <w:rPr>
          <w:rStyle w:val="29"/>
          <w:rFonts w:hint="eastAsia" w:ascii="黑体" w:hAnsi="黑体" w:eastAsia="黑体"/>
          <w:b w:val="0"/>
          <w:bCs/>
        </w:rPr>
        <w:t>部门决算情况说明</w:t>
      </w:r>
      <w:bookmarkEnd w:id="22"/>
      <w:bookmarkEnd w:id="23"/>
    </w:p>
    <w:p/>
    <w:p>
      <w:pPr>
        <w:pStyle w:val="28"/>
        <w:numPr>
          <w:ilvl w:val="0"/>
          <w:numId w:val="1"/>
        </w:numPr>
        <w:spacing w:line="600" w:lineRule="exact"/>
        <w:ind w:left="1350" w:leftChars="0" w:firstLineChars="0"/>
        <w:outlineLvl w:val="1"/>
        <w:rPr>
          <w:rStyle w:val="30"/>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210.37</w:t>
      </w:r>
      <w:r>
        <w:rPr>
          <w:rFonts w:hint="eastAsia" w:ascii="仿宋" w:hAnsi="仿宋" w:eastAsia="仿宋"/>
          <w:sz w:val="32"/>
          <w:szCs w:val="32"/>
        </w:rPr>
        <w:t>万元。与2020年相比，收、支总计各</w:t>
      </w:r>
      <w:r>
        <w:rPr>
          <w:rFonts w:hint="eastAsia" w:ascii="仿宋" w:hAnsi="仿宋" w:eastAsia="仿宋"/>
          <w:sz w:val="32"/>
          <w:szCs w:val="32"/>
          <w:lang w:val="en-US" w:eastAsia="zh-CN"/>
        </w:rPr>
        <w:t>减少23.80</w:t>
      </w:r>
      <w:r>
        <w:rPr>
          <w:rFonts w:hint="eastAsia" w:ascii="仿宋" w:hAnsi="仿宋" w:eastAsia="仿宋"/>
          <w:sz w:val="32"/>
          <w:szCs w:val="32"/>
        </w:rPr>
        <w:t>万元，</w:t>
      </w:r>
      <w:r>
        <w:rPr>
          <w:rFonts w:hint="eastAsia" w:ascii="仿宋" w:hAnsi="仿宋" w:eastAsia="仿宋"/>
          <w:sz w:val="32"/>
          <w:szCs w:val="32"/>
          <w:lang w:val="en-US" w:eastAsia="zh-CN"/>
        </w:rPr>
        <w:t>下降10.16</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val="en-US" w:eastAsia="zh-CN"/>
        </w:rPr>
        <w:t>2021支付审计项目支出减少。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hint="eastAsia" w:ascii="仿宋_GB2312" w:eastAsia="仿宋_GB2312"/>
          <w:sz w:val="32"/>
          <w:szCs w:val="32"/>
          <w:lang w:eastAsia="zh-CN"/>
        </w:rPr>
      </w:pPr>
    </w:p>
    <w:p>
      <w:pPr>
        <w:pStyle w:val="3"/>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689600" cy="2698750"/>
            <wp:effectExtent l="4445" t="4445" r="82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1"/>
        </w:numPr>
        <w:spacing w:line="600" w:lineRule="exact"/>
        <w:ind w:left="1350" w:leftChars="0" w:firstLineChars="0"/>
        <w:outlineLvl w:val="1"/>
        <w:rPr>
          <w:rStyle w:val="30"/>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30"/>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210.37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193.42</w:t>
      </w:r>
      <w:r>
        <w:rPr>
          <w:rFonts w:hint="eastAsia" w:ascii="仿宋" w:hAnsi="仿宋" w:eastAsia="仿宋"/>
          <w:sz w:val="32"/>
          <w:szCs w:val="32"/>
        </w:rPr>
        <w:t>万元，占</w:t>
      </w:r>
      <w:r>
        <w:rPr>
          <w:rFonts w:hint="eastAsia" w:ascii="仿宋" w:hAnsi="仿宋" w:eastAsia="仿宋"/>
          <w:sz w:val="32"/>
          <w:szCs w:val="32"/>
          <w:lang w:val="en-US" w:eastAsia="zh-CN"/>
        </w:rPr>
        <w:t>91.94</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16.40</w:t>
      </w:r>
      <w:r>
        <w:rPr>
          <w:rFonts w:hint="eastAsia" w:ascii="仿宋" w:hAnsi="仿宋" w:eastAsia="仿宋"/>
          <w:sz w:val="32"/>
          <w:szCs w:val="32"/>
        </w:rPr>
        <w:t>万元，占</w:t>
      </w:r>
      <w:r>
        <w:rPr>
          <w:rFonts w:hint="eastAsia" w:ascii="仿宋" w:hAnsi="仿宋" w:eastAsia="仿宋"/>
          <w:sz w:val="32"/>
          <w:szCs w:val="32"/>
          <w:lang w:val="en-US" w:eastAsia="zh-CN"/>
        </w:rPr>
        <w:t>7.80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hint="eastAsia" w:ascii="仿宋_GB2312" w:eastAsia="仿宋_GB2312"/>
          <w:sz w:val="32"/>
          <w:szCs w:val="32"/>
          <w:lang w:eastAsia="zh-CN"/>
        </w:rPr>
      </w:pPr>
    </w:p>
    <w:p>
      <w:pPr>
        <w:pStyle w:val="2"/>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617085" cy="3073400"/>
            <wp:effectExtent l="4445" t="4445" r="13970"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1"/>
        </w:numPr>
        <w:spacing w:line="600" w:lineRule="exact"/>
        <w:ind w:left="1350" w:leftChars="0" w:firstLineChars="0"/>
        <w:outlineLvl w:val="1"/>
        <w:rPr>
          <w:rStyle w:val="30"/>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30"/>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210.37</w:t>
      </w:r>
      <w:r>
        <w:rPr>
          <w:rFonts w:hint="eastAsia" w:ascii="仿宋" w:hAnsi="仿宋" w:eastAsia="仿宋"/>
          <w:sz w:val="32"/>
          <w:szCs w:val="32"/>
        </w:rPr>
        <w:t>万元，其中：基本支出</w:t>
      </w:r>
      <w:r>
        <w:rPr>
          <w:rFonts w:hint="eastAsia" w:ascii="仿宋" w:hAnsi="仿宋" w:eastAsia="仿宋"/>
          <w:sz w:val="32"/>
          <w:szCs w:val="32"/>
          <w:lang w:val="en-US" w:eastAsia="zh-CN"/>
        </w:rPr>
        <w:t>193.42</w:t>
      </w:r>
      <w:r>
        <w:rPr>
          <w:rFonts w:hint="eastAsia" w:ascii="仿宋" w:hAnsi="仿宋" w:eastAsia="仿宋"/>
          <w:sz w:val="32"/>
          <w:szCs w:val="32"/>
        </w:rPr>
        <w:t>万元，占</w:t>
      </w:r>
      <w:r>
        <w:rPr>
          <w:rFonts w:hint="eastAsia" w:ascii="仿宋" w:hAnsi="仿宋" w:eastAsia="仿宋"/>
          <w:sz w:val="32"/>
          <w:szCs w:val="32"/>
          <w:lang w:val="en-US" w:eastAsia="zh-CN"/>
        </w:rPr>
        <w:t>91.94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16.95</w:t>
      </w:r>
      <w:r>
        <w:rPr>
          <w:rFonts w:hint="eastAsia" w:ascii="仿宋" w:hAnsi="仿宋" w:eastAsia="仿宋"/>
          <w:sz w:val="32"/>
          <w:szCs w:val="32"/>
        </w:rPr>
        <w:t>万元，占</w:t>
      </w:r>
      <w:r>
        <w:rPr>
          <w:rFonts w:hint="eastAsia" w:ascii="仿宋" w:hAnsi="仿宋" w:eastAsia="仿宋"/>
          <w:sz w:val="32"/>
          <w:szCs w:val="32"/>
          <w:lang w:val="en-US" w:eastAsia="zh-CN"/>
        </w:rPr>
        <w:t>8.06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4"/>
        <w:rPr>
          <w:rFonts w:hint="eastAsia" w:ascii="黑体" w:hAnsi="黑体" w:eastAsia="黑体"/>
          <w:sz w:val="32"/>
          <w:szCs w:val="32"/>
        </w:rPr>
      </w:pPr>
      <w:bookmarkStart w:id="30" w:name="_Toc15377208"/>
      <w:bookmarkStart w:id="31" w:name="_Toc15396606"/>
      <w:r>
        <w:rPr>
          <w:rFonts w:hint="eastAsia" w:ascii="仿宋_GB2312" w:eastAsia="仿宋_GB2312"/>
          <w:sz w:val="32"/>
          <w:szCs w:val="32"/>
          <w:lang w:eastAsia="zh-CN"/>
        </w:rPr>
        <w:drawing>
          <wp:inline distT="0" distB="0" distL="114300" distR="114300">
            <wp:extent cx="3582035" cy="3467100"/>
            <wp:effectExtent l="5080" t="4445" r="698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0"/>
          <w:rFonts w:ascii="黑体" w:hAnsi="黑体" w:eastAsia="黑体"/>
          <w:b w:val="0"/>
        </w:rPr>
      </w:pPr>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209.82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20年相比，财政拨款收、支总计减少</w:t>
      </w:r>
      <w:r>
        <w:rPr>
          <w:rFonts w:hint="eastAsia" w:ascii="仿宋" w:hAnsi="仿宋" w:eastAsia="仿宋"/>
          <w:sz w:val="32"/>
          <w:szCs w:val="32"/>
          <w:lang w:val="en-US" w:eastAsia="zh-CN"/>
        </w:rPr>
        <w:t>20.64</w:t>
      </w:r>
      <w:r>
        <w:rPr>
          <w:rFonts w:hint="eastAsia" w:ascii="仿宋" w:hAnsi="仿宋" w:eastAsia="仿宋"/>
          <w:sz w:val="32"/>
          <w:szCs w:val="32"/>
        </w:rPr>
        <w:t>万元，下降</w:t>
      </w:r>
      <w:r>
        <w:rPr>
          <w:rFonts w:hint="eastAsia" w:ascii="仿宋" w:hAnsi="仿宋" w:eastAsia="仿宋"/>
          <w:sz w:val="32"/>
          <w:szCs w:val="32"/>
          <w:lang w:val="en-US" w:eastAsia="zh-CN"/>
        </w:rPr>
        <w:t>8.96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2021支付审计项目支出减少。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Style w:val="30"/>
          <w:rFonts w:ascii="黑体" w:hAnsi="黑体" w:eastAsia="黑体"/>
          <w:b w:val="0"/>
        </w:rPr>
      </w:pPr>
      <w:r>
        <w:rPr>
          <w:rFonts w:hint="eastAsia" w:ascii="黑体" w:hAnsi="黑体" w:eastAsia="黑体"/>
          <w:sz w:val="32"/>
          <w:szCs w:val="32"/>
        </w:rPr>
        <w:drawing>
          <wp:anchor distT="0" distB="0" distL="114300" distR="114300" simplePos="0" relativeHeight="251659264" behindDoc="1" locked="0" layoutInCell="1" allowOverlap="1">
            <wp:simplePos x="0" y="0"/>
            <wp:positionH relativeFrom="column">
              <wp:posOffset>309245</wp:posOffset>
            </wp:positionH>
            <wp:positionV relativeFrom="paragraph">
              <wp:posOffset>269875</wp:posOffset>
            </wp:positionV>
            <wp:extent cx="4991100" cy="3689985"/>
            <wp:effectExtent l="4445" t="4445" r="46355" b="52070"/>
            <wp:wrapTight wrapText="bothSides">
              <wp:wrapPolygon>
                <wp:start x="-19" y="-26"/>
                <wp:lineTo x="-19" y="21533"/>
                <wp:lineTo x="21581" y="21533"/>
                <wp:lineTo x="21581" y="-26"/>
                <wp:lineTo x="-19" y="-26"/>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193.42</w:t>
      </w:r>
      <w:r>
        <w:rPr>
          <w:rFonts w:hint="eastAsia" w:ascii="仿宋" w:hAnsi="仿宋" w:eastAsia="仿宋"/>
          <w:sz w:val="32"/>
          <w:szCs w:val="32"/>
        </w:rPr>
        <w:t>万元，占本年支出合计的</w:t>
      </w:r>
      <w:r>
        <w:rPr>
          <w:rFonts w:hint="eastAsia" w:ascii="仿宋" w:hAnsi="仿宋" w:eastAsia="仿宋"/>
          <w:sz w:val="32"/>
          <w:szCs w:val="32"/>
          <w:lang w:val="en-US" w:eastAsia="zh-CN"/>
        </w:rPr>
        <w:t>92.18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2.97</w:t>
      </w:r>
      <w:r>
        <w:rPr>
          <w:rFonts w:hint="eastAsia" w:ascii="仿宋" w:hAnsi="仿宋" w:eastAsia="仿宋"/>
          <w:sz w:val="32"/>
          <w:szCs w:val="32"/>
        </w:rPr>
        <w:t>万元，增长</w:t>
      </w:r>
      <w:r>
        <w:rPr>
          <w:rFonts w:hint="eastAsia" w:ascii="仿宋" w:hAnsi="仿宋" w:eastAsia="仿宋"/>
          <w:sz w:val="32"/>
          <w:szCs w:val="32"/>
          <w:lang w:val="en-US" w:eastAsia="zh-CN"/>
        </w:rPr>
        <w:t>1.56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人员支出增加。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1" locked="0" layoutInCell="1" allowOverlap="1">
            <wp:simplePos x="0" y="0"/>
            <wp:positionH relativeFrom="column">
              <wp:posOffset>620395</wp:posOffset>
            </wp:positionH>
            <wp:positionV relativeFrom="paragraph">
              <wp:posOffset>176530</wp:posOffset>
            </wp:positionV>
            <wp:extent cx="4692650" cy="4031615"/>
            <wp:effectExtent l="4445" t="4445" r="14605" b="15240"/>
            <wp:wrapTight wrapText="bothSides">
              <wp:wrapPolygon>
                <wp:start x="-20" y="-24"/>
                <wp:lineTo x="-20" y="21546"/>
                <wp:lineTo x="21550" y="21546"/>
                <wp:lineTo x="21550" y="-24"/>
                <wp:lineTo x="-20" y="-24"/>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eastAsia" w:ascii="仿宋" w:hAnsi="仿宋" w:eastAsia="仿宋"/>
          <w:b/>
          <w:sz w:val="32"/>
          <w:szCs w:val="32"/>
        </w:rPr>
      </w:pPr>
      <w:bookmarkStart w:id="35" w:name="_Toc15377211"/>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209.82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149.99</w:t>
      </w:r>
      <w:r>
        <w:rPr>
          <w:rFonts w:hint="eastAsia" w:ascii="仿宋" w:hAnsi="仿宋" w:eastAsia="仿宋"/>
          <w:sz w:val="32"/>
          <w:szCs w:val="32"/>
        </w:rPr>
        <w:t>万元，占</w:t>
      </w:r>
      <w:r>
        <w:rPr>
          <w:rFonts w:hint="eastAsia" w:ascii="仿宋" w:hAnsi="仿宋" w:eastAsia="仿宋"/>
          <w:sz w:val="32"/>
          <w:szCs w:val="32"/>
          <w:lang w:val="en-US" w:eastAsia="zh-CN"/>
        </w:rPr>
        <w:t>71.49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15.68</w:t>
      </w:r>
      <w:r>
        <w:rPr>
          <w:rFonts w:hint="eastAsia" w:ascii="仿宋" w:hAnsi="仿宋" w:eastAsia="仿宋"/>
          <w:sz w:val="32"/>
          <w:szCs w:val="32"/>
        </w:rPr>
        <w:t>万元，占</w:t>
      </w:r>
      <w:r>
        <w:rPr>
          <w:rFonts w:hint="eastAsia" w:ascii="仿宋" w:hAnsi="仿宋" w:eastAsia="仿宋"/>
          <w:sz w:val="32"/>
          <w:szCs w:val="32"/>
          <w:lang w:val="en-US" w:eastAsia="zh-CN"/>
        </w:rPr>
        <w:t>7.47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10.23</w:t>
      </w:r>
      <w:r>
        <w:rPr>
          <w:rFonts w:hint="eastAsia" w:ascii="仿宋" w:hAnsi="仿宋" w:eastAsia="仿宋"/>
          <w:sz w:val="32"/>
          <w:szCs w:val="32"/>
        </w:rPr>
        <w:t>万元，占</w:t>
      </w:r>
      <w:r>
        <w:rPr>
          <w:rFonts w:hint="eastAsia" w:ascii="仿宋" w:hAnsi="仿宋" w:eastAsia="仿宋"/>
          <w:sz w:val="32"/>
          <w:szCs w:val="32"/>
          <w:lang w:val="en-US" w:eastAsia="zh-CN"/>
        </w:rPr>
        <w:t>4.88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城乡社区支出</w:t>
      </w:r>
      <w:r>
        <w:rPr>
          <w:rFonts w:hint="eastAsia" w:ascii="仿宋" w:hAnsi="仿宋" w:eastAsia="仿宋"/>
          <w:b w:val="0"/>
          <w:bCs w:val="0"/>
          <w:sz w:val="32"/>
          <w:szCs w:val="32"/>
          <w:lang w:val="en-US" w:eastAsia="zh-CN"/>
        </w:rPr>
        <w:t>16.40万元，</w:t>
      </w:r>
      <w:r>
        <w:rPr>
          <w:rFonts w:hint="eastAsia" w:ascii="仿宋" w:hAnsi="仿宋" w:eastAsia="仿宋"/>
          <w:sz w:val="32"/>
          <w:szCs w:val="32"/>
        </w:rPr>
        <w:t>占</w:t>
      </w:r>
      <w:r>
        <w:rPr>
          <w:rFonts w:hint="eastAsia" w:ascii="仿宋" w:hAnsi="仿宋" w:eastAsia="仿宋"/>
          <w:sz w:val="32"/>
          <w:szCs w:val="32"/>
          <w:lang w:val="en-US" w:eastAsia="zh-CN"/>
        </w:rPr>
        <w:t>7.82</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17.52</w:t>
      </w:r>
      <w:r>
        <w:rPr>
          <w:rFonts w:hint="eastAsia" w:ascii="仿宋" w:hAnsi="仿宋" w:eastAsia="仿宋"/>
          <w:sz w:val="32"/>
          <w:szCs w:val="32"/>
        </w:rPr>
        <w:t>万元，占</w:t>
      </w:r>
      <w:r>
        <w:rPr>
          <w:rFonts w:hint="eastAsia" w:ascii="仿宋" w:hAnsi="仿宋" w:eastAsia="仿宋"/>
          <w:sz w:val="32"/>
          <w:szCs w:val="32"/>
          <w:lang w:val="en-US" w:eastAsia="zh-CN"/>
        </w:rPr>
        <w:t>8.34</w:t>
      </w:r>
      <w:r>
        <w:rPr>
          <w:rFonts w:ascii="仿宋" w:hAnsi="仿宋" w:eastAsia="仿宋"/>
          <w:sz w:val="32"/>
          <w:szCs w:val="32"/>
        </w:rPr>
        <w:t>%</w:t>
      </w:r>
      <w:r>
        <w:rPr>
          <w:rFonts w:hint="eastAsia" w:ascii="仿宋" w:hAnsi="仿宋" w:eastAsia="仿宋"/>
          <w:sz w:val="32"/>
          <w:szCs w:val="32"/>
        </w:rPr>
        <w:t>。</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hint="eastAsia" w:ascii="仿宋" w:hAnsi="仿宋" w:eastAsia="仿宋"/>
          <w:b/>
          <w:sz w:val="32"/>
          <w:szCs w:val="32"/>
        </w:rPr>
      </w:pPr>
      <w:bookmarkStart w:id="36" w:name="_Toc15377212"/>
    </w:p>
    <w:p>
      <w:pPr>
        <w:spacing w:line="600" w:lineRule="exact"/>
        <w:ind w:firstLine="643" w:firstLineChars="200"/>
        <w:outlineLvl w:val="2"/>
        <w:rPr>
          <w:rFonts w:hint="eastAsia" w:ascii="仿宋" w:hAnsi="仿宋" w:eastAsia="仿宋"/>
          <w:b/>
          <w:sz w:val="32"/>
          <w:szCs w:val="32"/>
          <w:lang w:eastAsia="zh-CN"/>
        </w:rPr>
      </w:pPr>
      <w:r>
        <w:rPr>
          <w:rFonts w:hint="eastAsia" w:ascii="仿宋" w:hAnsi="仿宋" w:eastAsia="仿宋"/>
          <w:b/>
          <w:sz w:val="32"/>
          <w:szCs w:val="32"/>
          <w:lang w:eastAsia="zh-CN"/>
        </w:rPr>
        <w:drawing>
          <wp:anchor distT="0" distB="0" distL="114300" distR="114300" simplePos="0" relativeHeight="251661312" behindDoc="1" locked="0" layoutInCell="1" allowOverlap="1">
            <wp:simplePos x="0" y="0"/>
            <wp:positionH relativeFrom="column">
              <wp:posOffset>569595</wp:posOffset>
            </wp:positionH>
            <wp:positionV relativeFrom="paragraph">
              <wp:posOffset>-280670</wp:posOffset>
            </wp:positionV>
            <wp:extent cx="4819650" cy="3676650"/>
            <wp:effectExtent l="4445" t="4445" r="14605" b="14605"/>
            <wp:wrapTight wrapText="bothSides">
              <wp:wrapPolygon>
                <wp:start x="-20" y="-26"/>
                <wp:lineTo x="-20" y="21537"/>
                <wp:lineTo x="21552" y="21537"/>
                <wp:lineTo x="21552" y="-26"/>
                <wp:lineTo x="-20" y="-2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193.42万元</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37"/>
      <w:bookmarkEnd w:id="38"/>
      <w:bookmarkEnd w:id="39"/>
    </w:p>
    <w:p>
      <w:pPr>
        <w:spacing w:line="600" w:lineRule="exact"/>
        <w:ind w:firstLine="643" w:firstLineChars="200"/>
        <w:rPr>
          <w:rStyle w:val="19"/>
          <w:rFonts w:hint="eastAsia" w:ascii="仿宋" w:hAnsi="仿宋" w:eastAsia="仿宋"/>
          <w:b w:val="0"/>
          <w:bCs/>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一般公共服务（类）</w:t>
      </w:r>
      <w:r>
        <w:rPr>
          <w:rStyle w:val="19"/>
          <w:rFonts w:hint="eastAsia" w:ascii="仿宋" w:hAnsi="仿宋" w:eastAsia="仿宋"/>
          <w:bCs/>
          <w:sz w:val="32"/>
          <w:szCs w:val="32"/>
          <w:lang w:val="en-US" w:eastAsia="zh-CN"/>
        </w:rPr>
        <w:t>审计事务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行政运行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128.38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pPr>
      <w:r>
        <w:rPr>
          <w:rStyle w:val="19"/>
          <w:rFonts w:hint="eastAsia" w:ascii="仿宋" w:hAnsi="仿宋" w:eastAsia="仿宋"/>
          <w:bCs/>
          <w:sz w:val="32"/>
          <w:szCs w:val="32"/>
          <w:lang w:val="en-US" w:eastAsia="zh-CN"/>
        </w:rPr>
        <w:t>2</w:t>
      </w:r>
      <w:r>
        <w:rPr>
          <w:rStyle w:val="19"/>
          <w:rFonts w:ascii="仿宋" w:hAnsi="仿宋" w:eastAsia="仿宋"/>
          <w:bCs/>
          <w:sz w:val="32"/>
          <w:szCs w:val="32"/>
        </w:rPr>
        <w:t>.</w:t>
      </w:r>
      <w:r>
        <w:rPr>
          <w:rStyle w:val="19"/>
          <w:rFonts w:hint="eastAsia" w:ascii="仿宋" w:hAnsi="仿宋" w:eastAsia="仿宋"/>
          <w:bCs/>
          <w:sz w:val="32"/>
          <w:szCs w:val="32"/>
        </w:rPr>
        <w:t>一般公共服务（类）</w:t>
      </w:r>
      <w:r>
        <w:rPr>
          <w:rStyle w:val="19"/>
          <w:rFonts w:hint="eastAsia" w:ascii="仿宋" w:hAnsi="仿宋" w:eastAsia="仿宋"/>
          <w:bCs/>
          <w:sz w:val="32"/>
          <w:szCs w:val="32"/>
          <w:lang w:val="en-US" w:eastAsia="zh-CN"/>
        </w:rPr>
        <w:t>审计事务</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事业运行</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21.61</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3</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  行政单位离退休（项）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2.45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4</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  机关事业单位基本养老保险缴费支出（项）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13.23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lang w:val="en-US" w:eastAsia="zh-CN"/>
        </w:rPr>
        <w:t>5</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7.49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6</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w:t>
      </w:r>
      <w:r>
        <w:rPr>
          <w:rStyle w:val="19"/>
          <w:rFonts w:hint="eastAsia" w:ascii="仿宋" w:hAnsi="仿宋" w:eastAsia="仿宋"/>
          <w:bCs/>
          <w:sz w:val="32"/>
          <w:szCs w:val="32"/>
          <w:lang w:val="en-US" w:eastAsia="zh-CN"/>
        </w:rPr>
        <w:t>事业</w:t>
      </w:r>
      <w:r>
        <w:rPr>
          <w:rStyle w:val="19"/>
          <w:rFonts w:hint="eastAsia" w:ascii="仿宋" w:hAnsi="仿宋" w:eastAsia="仿宋"/>
          <w:bCs/>
          <w:sz w:val="32"/>
          <w:szCs w:val="32"/>
        </w:rPr>
        <w:t>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1.58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2"/>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7</w:t>
      </w:r>
      <w:r>
        <w:rPr>
          <w:rStyle w:val="19"/>
          <w:rFonts w:ascii="仿宋" w:hAnsi="仿宋" w:eastAsia="仿宋"/>
          <w:bCs/>
          <w:sz w:val="32"/>
          <w:szCs w:val="32"/>
        </w:rPr>
        <w:t>.</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w:t>
      </w:r>
      <w:r>
        <w:rPr>
          <w:rStyle w:val="19"/>
          <w:rFonts w:hint="eastAsia" w:ascii="仿宋" w:hAnsi="仿宋" w:eastAsia="仿宋"/>
          <w:bCs/>
          <w:sz w:val="32"/>
          <w:szCs w:val="32"/>
          <w:lang w:val="en-US" w:eastAsia="zh-CN"/>
        </w:rPr>
        <w:t>公务员医疗补助</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1.17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Style w:val="4"/>
        <w:ind w:left="0" w:leftChars="0" w:firstLine="643" w:firstLineChars="200"/>
        <w:rPr>
          <w:rFonts w:ascii="仿宋" w:hAnsi="仿宋" w:eastAsia="仿宋"/>
          <w:b/>
          <w:sz w:val="32"/>
          <w:szCs w:val="32"/>
        </w:rPr>
      </w:pPr>
      <w:r>
        <w:rPr>
          <w:rStyle w:val="19"/>
          <w:rFonts w:hint="eastAsia" w:ascii="仿宋" w:hAnsi="仿宋" w:eastAsia="仿宋"/>
          <w:bCs/>
          <w:sz w:val="32"/>
          <w:szCs w:val="32"/>
          <w:lang w:val="en-US" w:eastAsia="zh-CN"/>
        </w:rPr>
        <w:t>8</w:t>
      </w:r>
      <w:r>
        <w:rPr>
          <w:rStyle w:val="19"/>
          <w:rFonts w:ascii="仿宋" w:hAnsi="仿宋" w:eastAsia="仿宋"/>
          <w:bCs/>
          <w:sz w:val="32"/>
          <w:szCs w:val="32"/>
        </w:rPr>
        <w:t>.</w:t>
      </w:r>
      <w:r>
        <w:rPr>
          <w:rFonts w:hint="eastAsia" w:ascii="仿宋" w:hAnsi="仿宋" w:eastAsia="仿宋" w:cs="Times New Roman"/>
          <w:b/>
          <w:bCs/>
          <w:kern w:val="0"/>
          <w:sz w:val="32"/>
          <w:szCs w:val="32"/>
          <w:lang w:val="en-US" w:eastAsia="zh-CN" w:bidi="ar-SA"/>
        </w:rPr>
        <w:t>住房保障支出（类</w:t>
      </w:r>
      <w:r>
        <w:rPr>
          <w:rStyle w:val="19"/>
          <w:rFonts w:hint="eastAsia" w:ascii="仿宋" w:hAnsi="仿宋" w:eastAsia="仿宋"/>
          <w:bCs/>
          <w:sz w:val="32"/>
          <w:szCs w:val="32"/>
        </w:rPr>
        <w:t>）住房改革支出（款）</w:t>
      </w:r>
      <w:r>
        <w:rPr>
          <w:rStyle w:val="19"/>
          <w:rFonts w:hint="eastAsia" w:ascii="仿宋" w:hAnsi="仿宋" w:eastAsia="仿宋"/>
          <w:bCs/>
          <w:sz w:val="32"/>
          <w:szCs w:val="32"/>
          <w:lang w:val="en-US" w:eastAsia="zh-CN"/>
        </w:rPr>
        <w:t xml:space="preserve"> 住房公积金</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17.52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tabs>
          <w:tab w:val="right" w:pos="8306"/>
        </w:tabs>
        <w:spacing w:line="600" w:lineRule="exact"/>
        <w:ind w:firstLine="640"/>
        <w:outlineLvl w:val="1"/>
        <w:rPr>
          <w:rStyle w:val="30"/>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0"/>
      <w:bookmarkEnd w:id="41"/>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193.42</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170.04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14.38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rPr>
      </w:pPr>
      <w:bookmarkStart w:id="42" w:name="_Toc15377215"/>
      <w:bookmarkStart w:id="43" w:name="_Toc15396609"/>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0.05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0.05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2"/>
        <w:rPr>
          <w:rFonts w:hint="eastAsia"/>
          <w:lang w:val="en-US" w:eastAsia="zh-CN"/>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"C:\\Users\\w\\AppData\\Roaming\\Tencent\\Users\\248301485\\QQ\\WinTemp\\RichOle\\FJC8B(%ELMKEP$5YOHZ9H$B.png"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860290" cy="2619375"/>
            <wp:effectExtent l="0" t="0" r="3810"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2"/>
                    <a:stretch>
                      <a:fillRect/>
                    </a:stretch>
                  </pic:blipFill>
                  <pic:spPr>
                    <a:xfrm>
                      <a:off x="0" y="0"/>
                      <a:ext cx="4860290" cy="2619375"/>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hint="eastAsia" w:ascii="仿宋_GB2312" w:eastAsia="仿宋_GB2312"/>
          <w:b/>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w:t>
      </w:r>
      <w:bookmarkStart w:id="73" w:name="_GoBack"/>
      <w:bookmarkEnd w:id="73"/>
      <w:r>
        <w:rPr>
          <w:rFonts w:hint="eastAsia" w:ascii="仿宋_GB2312" w:eastAsia="仿宋_GB2312"/>
          <w:sz w:val="32"/>
          <w:szCs w:val="32"/>
        </w:rPr>
        <w:t>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0.05</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_GB2312" w:eastAsia="仿宋_GB2312"/>
          <w:sz w:val="32"/>
          <w:szCs w:val="32"/>
          <w:lang w:val="en-US" w:eastAsia="zh-CN"/>
        </w:rPr>
        <w:t>0.05</w:t>
      </w:r>
      <w:r>
        <w:rPr>
          <w:rFonts w:hint="eastAsia" w:ascii="仿宋_GB2312" w:eastAsia="仿宋_GB2312"/>
          <w:sz w:val="32"/>
          <w:szCs w:val="32"/>
        </w:rPr>
        <w:t>万元，</w:t>
      </w:r>
      <w:r>
        <w:rPr>
          <w:rFonts w:hint="eastAsia" w:ascii="仿宋_GB2312" w:eastAsia="仿宋_GB2312"/>
          <w:sz w:val="32"/>
          <w:szCs w:val="32"/>
          <w:lang w:val="en-US" w:eastAsia="zh-CN"/>
        </w:rPr>
        <w:t>主要用于开展业务活动开支的用餐费。</w:t>
      </w:r>
      <w:r>
        <w:rPr>
          <w:rFonts w:hint="eastAsia" w:ascii="仿宋_GB2312" w:eastAsia="仿宋_GB2312"/>
          <w:sz w:val="32"/>
          <w:szCs w:val="32"/>
        </w:rPr>
        <w:t>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6</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0.05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具体内容包括：</w:t>
      </w:r>
      <w:r>
        <w:rPr>
          <w:rFonts w:hint="eastAsia" w:ascii="仿宋_GB2312" w:eastAsia="仿宋_GB2312"/>
          <w:sz w:val="32"/>
          <w:szCs w:val="32"/>
          <w:lang w:val="en-US" w:eastAsia="zh-CN"/>
        </w:rPr>
        <w:t>审计监督平台建设情况交流餐费0.05万元</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6" w:name="_Toc15396610"/>
      <w:bookmarkStart w:id="47" w:name="_Toc15377218"/>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48" w:name="_Toc15377219"/>
      <w:bookmarkStart w:id="49" w:name="_Toc15396611"/>
      <w:r>
        <w:rPr>
          <w:rStyle w:val="30"/>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50" w:name="_Toc15377221"/>
      <w:bookmarkStart w:id="51" w:name="_Toc15396612"/>
      <w:r>
        <w:rPr>
          <w:rStyle w:val="30"/>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攀枝花市西区审计局</w:t>
      </w:r>
      <w:r>
        <w:rPr>
          <w:rFonts w:hint="eastAsia" w:ascii="仿宋_GB2312" w:eastAsia="仿宋_GB2312"/>
          <w:sz w:val="32"/>
          <w:szCs w:val="32"/>
        </w:rPr>
        <w:t>机关运行经费支出</w:t>
      </w:r>
      <w:r>
        <w:rPr>
          <w:rFonts w:hint="eastAsia" w:ascii="仿宋_GB2312" w:eastAsia="仿宋_GB2312" w:cstheme="minorBidi"/>
          <w:spacing w:val="-4"/>
          <w:kern w:val="2"/>
          <w:sz w:val="32"/>
          <w:szCs w:val="32"/>
          <w:lang w:val="en-US" w:eastAsia="zh-CN" w:bidi="ar-SA"/>
        </w:rPr>
        <w:t>14.38</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1.26</w:t>
      </w:r>
      <w:r>
        <w:rPr>
          <w:rFonts w:hint="eastAsia" w:ascii="仿宋_GB2312" w:eastAsia="仿宋_GB2312"/>
          <w:sz w:val="32"/>
          <w:szCs w:val="32"/>
        </w:rPr>
        <w:t>万元，下降</w:t>
      </w:r>
      <w:r>
        <w:rPr>
          <w:rFonts w:hint="eastAsia" w:ascii="仿宋_GB2312" w:eastAsia="仿宋_GB2312" w:cstheme="minorBidi"/>
          <w:spacing w:val="-4"/>
          <w:kern w:val="2"/>
          <w:sz w:val="32"/>
          <w:szCs w:val="32"/>
          <w:lang w:val="en-US" w:eastAsia="zh-CN" w:bidi="ar-SA"/>
        </w:rPr>
        <w:t>8.06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2021年职工出差较少，差旅费支付下降。</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攀枝花市</w:t>
      </w:r>
      <w:r>
        <w:rPr>
          <w:rFonts w:hint="eastAsia" w:ascii="仿宋_GB2312" w:eastAsia="仿宋_GB2312"/>
          <w:sz w:val="32"/>
          <w:szCs w:val="32"/>
        </w:rPr>
        <w:t>政府采购支出总额</w:t>
      </w:r>
      <w:r>
        <w:rPr>
          <w:rFonts w:hint="eastAsia" w:ascii="仿宋_GB2312" w:eastAsia="仿宋_GB2312"/>
          <w:sz w:val="32"/>
          <w:szCs w:val="32"/>
          <w:lang w:val="en-US" w:eastAsia="zh-CN"/>
        </w:rPr>
        <w:t>0万</w:t>
      </w:r>
      <w:r>
        <w:rPr>
          <w:rFonts w:hint="eastAsia" w:ascii="仿宋_GB2312" w:eastAsia="仿宋_GB2312"/>
          <w:sz w:val="32"/>
          <w:szCs w:val="32"/>
        </w:rPr>
        <w:t>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攀枝花市西区审计局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根据预算绩效管理要求，本部门在2021年度预算编制阶段，组织对平台开发建设及维护经费项目</w:t>
      </w:r>
      <w:r>
        <w:rPr>
          <w:rFonts w:hint="eastAsia" w:ascii="仿宋_GB2312" w:hAnsi="仿宋_GB2312" w:eastAsia="仿宋_GB2312" w:cs="仿宋_GB2312"/>
          <w:sz w:val="32"/>
          <w:szCs w:val="32"/>
          <w:lang w:eastAsia="zh-CN"/>
        </w:rPr>
        <w:t>、审计专项经费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val="en-US" w:eastAsia="zh-CN"/>
        </w:rPr>
        <w:t>西区审计局</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9"/>
          <w:rFonts w:hint="eastAsia" w:ascii="黑体" w:hAnsi="黑体" w:eastAsia="黑体"/>
          <w:b w:val="0"/>
        </w:rPr>
        <w:t>词解释</w:t>
      </w:r>
      <w:bookmarkEnd w:id="55"/>
      <w:bookmarkEnd w:id="56"/>
    </w:p>
    <w:p>
      <w:pPr>
        <w:spacing w:line="600" w:lineRule="exact"/>
        <w:jc w:val="left"/>
        <w:rPr>
          <w:rFonts w:ascii="宋体"/>
          <w:b/>
          <w:sz w:val="44"/>
          <w:szCs w:val="44"/>
        </w:rPr>
      </w:pPr>
    </w:p>
    <w:p>
      <w:pPr>
        <w:pStyle w:val="27"/>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审计事务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审计事务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未归口管理的行政单位离退休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未实行归口管理的行政单位（包括实行公务员管理的事业单位）开支的离退休支出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（款）机关事业单位职业年金缴费支出（项）：指</w:t>
      </w:r>
      <w:r>
        <w:rPr>
          <w:rFonts w:hint="eastAsia" w:ascii="仿宋_GB2312" w:eastAsia="仿宋_GB2312"/>
          <w:color w:val="000000"/>
          <w:sz w:val="32"/>
          <w:szCs w:val="32"/>
          <w:lang w:eastAsia="zh-CN"/>
        </w:rPr>
        <w:t>机关事业单位实施养老保险制度由单位缴纳的职业年金支出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卫生健康支出（类）行政事业单位医疗（款）行政单位医疗（项）：指</w:t>
      </w:r>
      <w:r>
        <w:rPr>
          <w:rFonts w:hint="eastAsia" w:ascii="仿宋_GB2312" w:eastAsia="仿宋_GB2312"/>
          <w:color w:val="000000"/>
          <w:sz w:val="32"/>
          <w:szCs w:val="32"/>
          <w:lang w:eastAsia="zh-CN"/>
        </w:rPr>
        <w:t>财政部门集中安排的行政单位基本医疗保险缴费经费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单位医疗（项）：指</w:t>
      </w:r>
      <w:r>
        <w:rPr>
          <w:rFonts w:hint="eastAsia" w:ascii="仿宋_GB2312" w:eastAsia="仿宋_GB2312"/>
          <w:color w:val="000000"/>
          <w:sz w:val="32"/>
          <w:szCs w:val="32"/>
          <w:lang w:eastAsia="zh-CN"/>
        </w:rPr>
        <w:t>财政部门集中安排的事业单位基本医疗保险缴费经费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卫生健康支出（类）行政事业单位医疗（款）公务员医疗补助（项）：指</w:t>
      </w:r>
      <w:r>
        <w:rPr>
          <w:rFonts w:hint="eastAsia" w:ascii="仿宋_GB2312" w:eastAsia="仿宋_GB2312"/>
          <w:color w:val="000000"/>
          <w:sz w:val="32"/>
          <w:szCs w:val="32"/>
          <w:lang w:eastAsia="zh-CN"/>
        </w:rPr>
        <w:t>财政部门集中安排的公务员医疗补助经费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住房保障支出（类）住房改革支出（款）住房公积金（项）：指</w:t>
      </w:r>
      <w:r>
        <w:rPr>
          <w:rFonts w:hint="eastAsia" w:ascii="仿宋_GB2312" w:eastAsia="仿宋_GB2312"/>
          <w:color w:val="000000"/>
          <w:sz w:val="32"/>
          <w:szCs w:val="32"/>
          <w:lang w:eastAsia="zh-CN"/>
        </w:rPr>
        <w:t>反映行政事业单位按人事、财政部门规定的基本工资和津贴补贴以及规定比例为职工缴纳的住房公积金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城乡社区支出（类）国有土地使用权出让收入安排的支出（款）土地开发支出（项）：</w:t>
      </w:r>
      <w:r>
        <w:rPr>
          <w:rFonts w:hint="eastAsia" w:ascii="仿宋_GB2312" w:eastAsia="仿宋_GB2312"/>
          <w:color w:val="000000"/>
          <w:sz w:val="32"/>
          <w:szCs w:val="32"/>
          <w:lang w:eastAsia="zh-CN"/>
        </w:rPr>
        <w:t>指新疆生产建设兵团和地方政府用于前期土地开发性支出以及与前期土地开发相关的费用等支出。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left"/>
        <w:outlineLvl w:val="0"/>
        <w:rPr>
          <w:rStyle w:val="29"/>
          <w:rFonts w:ascii="黑体" w:hAnsi="黑体" w:eastAsia="黑体"/>
          <w:b w:val="0"/>
        </w:rPr>
      </w:pPr>
      <w:r>
        <w:rPr>
          <w:rFonts w:hint="eastAsia" w:ascii="仿宋_GB2312" w:eastAsia="仿宋_GB2312"/>
          <w:sz w:val="32"/>
          <w:szCs w:val="32"/>
          <w:lang w:val="en-US" w:eastAsia="zh-CN"/>
        </w:rPr>
        <w:t xml:space="preserve">    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lang w:eastAsia="zh-CN"/>
        </w:rPr>
        <w:t>。</w:t>
      </w:r>
      <w:r>
        <w:rPr>
          <w:rFonts w:ascii="宋体"/>
          <w:b/>
          <w:sz w:val="44"/>
          <w:szCs w:val="44"/>
        </w:rPr>
        <w:br w:type="page"/>
      </w:r>
      <w:bookmarkStart w:id="58" w:name="_Toc15396614"/>
      <w:r>
        <w:rPr>
          <w:rFonts w:hint="eastAsia" w:ascii="黑体" w:hAnsi="黑体" w:eastAsia="黑体"/>
          <w:sz w:val="44"/>
          <w:szCs w:val="44"/>
        </w:rPr>
        <w:t>第</w:t>
      </w:r>
      <w:r>
        <w:rPr>
          <w:rStyle w:val="29"/>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西区审计局</w:t>
      </w:r>
      <w:r>
        <w:rPr>
          <w:rFonts w:hint="eastAsia" w:ascii="方正小标宋简体" w:hAnsi="宋体" w:eastAsia="方正小标宋简体"/>
          <w:kern w:val="0"/>
          <w:sz w:val="40"/>
          <w:szCs w:val="44"/>
        </w:rPr>
        <w:t>整体绩效评价报告</w:t>
      </w:r>
    </w:p>
    <w:p>
      <w:pPr>
        <w:widowControl/>
        <w:adjustRightInd w:val="0"/>
        <w:snapToGrid w:val="0"/>
        <w:spacing w:line="572" w:lineRule="exact"/>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rPr>
          <w:rFonts w:hint="eastAsia" w:ascii="仿宋_GB2312" w:hAnsi="宋体" w:eastAsia="仿宋_GB2312" w:cs="宋体"/>
          <w:kern w:val="0"/>
          <w:sz w:val="32"/>
          <w:szCs w:val="32"/>
          <w:shd w:val="clear" w:color="auto" w:fill="FFFFFF"/>
          <w:lang w:val="zh-CN"/>
        </w:rPr>
      </w:pPr>
      <w:r>
        <w:rPr>
          <w:rFonts w:hint="eastAsia" w:ascii="仿宋_GB2312" w:hAnsi="Calibri" w:eastAsia="仿宋_GB2312" w:cs="仿宋"/>
          <w:color w:val="000000"/>
          <w:kern w:val="0"/>
          <w:sz w:val="32"/>
          <w:szCs w:val="32"/>
        </w:rPr>
        <w:t>根据《中共攀枝花市西区区委办公室攀枝花市西区人民政府办公室关于印发&lt;攀枝花市西区审计局职能配置、内设机构和人员编制规定&gt;的通知》（攀西委办〔2019〕23号），“三定方案”的内设机构为：</w:t>
      </w:r>
      <w:r>
        <w:rPr>
          <w:rFonts w:ascii="仿宋_GB2312" w:hAnsi="Calibri" w:eastAsia="仿宋_GB2312" w:cs="仿宋"/>
          <w:color w:val="000000"/>
          <w:kern w:val="0"/>
          <w:sz w:val="32"/>
          <w:szCs w:val="32"/>
        </w:rPr>
        <w:t>西区</w:t>
      </w:r>
      <w:r>
        <w:rPr>
          <w:rFonts w:hint="eastAsia" w:ascii="仿宋_GB2312" w:hAnsi="Calibri" w:eastAsia="仿宋_GB2312" w:cs="仿宋"/>
          <w:color w:val="000000"/>
          <w:kern w:val="0"/>
          <w:sz w:val="32"/>
          <w:szCs w:val="32"/>
        </w:rPr>
        <w:t>审计</w:t>
      </w:r>
      <w:r>
        <w:rPr>
          <w:rFonts w:ascii="仿宋_GB2312" w:hAnsi="Calibri" w:eastAsia="仿宋_GB2312" w:cs="仿宋"/>
          <w:color w:val="000000"/>
          <w:kern w:val="0"/>
          <w:sz w:val="32"/>
          <w:szCs w:val="32"/>
        </w:rPr>
        <w:t>局</w:t>
      </w:r>
      <w:r>
        <w:rPr>
          <w:rFonts w:hint="eastAsia" w:ascii="仿宋_GB2312" w:hAnsi="Calibri" w:eastAsia="仿宋_GB2312" w:cs="仿宋"/>
          <w:color w:val="000000"/>
          <w:kern w:val="0"/>
          <w:sz w:val="32"/>
          <w:szCs w:val="32"/>
        </w:rPr>
        <w:t>下设办公室、财政和重大政策跟踪审计股、投资和社会保障审计股、自然资源和经济责任审计股、下设参公事业单位西区经济责任审计事务中心</w:t>
      </w:r>
      <w:r>
        <w:rPr>
          <w:rFonts w:hint="eastAsia" w:hAnsi="Calibri" w:cs="仿宋"/>
          <w:color w:val="000000"/>
          <w:kern w:val="0"/>
          <w:sz w:val="32"/>
          <w:szCs w:val="32"/>
          <w:lang w:eastAsia="zh-CN"/>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pStyle w:val="2"/>
        <w:rPr>
          <w:lang w:val="zh-CN"/>
        </w:rPr>
      </w:pPr>
      <w:r>
        <w:rPr>
          <w:rFonts w:hint="eastAsia" w:hAnsi="仿宋_GB2312" w:cs="仿宋_GB2312"/>
          <w:sz w:val="32"/>
          <w:szCs w:val="32"/>
          <w:lang w:val="en-US" w:eastAsia="zh-CN"/>
        </w:rPr>
        <w:t xml:space="preserve"> </w:t>
      </w:r>
      <w:r>
        <w:rPr>
          <w:rFonts w:hint="eastAsia" w:hAnsi="仿宋_GB2312" w:cs="仿宋_GB2312"/>
          <w:sz w:val="32"/>
          <w:szCs w:val="32"/>
        </w:rPr>
        <w:t>主要负责重大政策措施落实情况跟踪审计、预算执行审计、专项审计、领导干部自然资源资产离任审计、经济责任审计、固定资产投资审计等审计事项。</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line="353" w:lineRule="auto"/>
        <w:ind w:firstLine="640" w:firstLineChars="200"/>
        <w:rPr>
          <w:rFonts w:hint="eastAsia"/>
          <w:sz w:val="32"/>
          <w:szCs w:val="32"/>
          <w:lang w:val="en-US" w:eastAsia="zh-CN"/>
        </w:rPr>
      </w:pPr>
      <w:r>
        <w:rPr>
          <w:rFonts w:hint="eastAsia" w:ascii="仿宋" w:hAnsi="仿宋" w:eastAsia="仿宋" w:cs="宋体"/>
          <w:color w:val="000000"/>
          <w:kern w:val="0"/>
          <w:sz w:val="32"/>
          <w:szCs w:val="32"/>
        </w:rPr>
        <w:t>截至20</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年末有</w:t>
      </w:r>
      <w:r>
        <w:rPr>
          <w:rFonts w:hint="eastAsia" w:ascii="仿宋_GB2312" w:hAnsi="Times New Roman" w:eastAsia="仿宋_GB2312"/>
          <w:spacing w:val="-4"/>
          <w:sz w:val="32"/>
          <w:szCs w:val="32"/>
          <w:lang w:val="en-US" w:eastAsia="zh-CN"/>
        </w:rPr>
        <w:t>在职职工13人。其中，行政编制5人，事业参公编制4人，编制在区人才中心的事业人员2人、临聘2人。</w:t>
      </w:r>
    </w:p>
    <w:p>
      <w:pPr>
        <w:pStyle w:val="2"/>
        <w:numPr>
          <w:ilvl w:val="0"/>
          <w:numId w:val="0"/>
        </w:numPr>
        <w:rPr>
          <w:lang w:val="zh-CN"/>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600" w:lineRule="exact"/>
        <w:ind w:firstLine="640" w:firstLineChars="200"/>
        <w:rPr>
          <w:rFonts w:hint="default" w:eastAsia="仿宋_GB2312"/>
          <w:lang w:val="en-US" w:eastAsia="zh-CN"/>
        </w:rPr>
      </w:pPr>
      <w:r>
        <w:rPr>
          <w:rFonts w:hint="eastAsia" w:ascii="仿宋" w:hAnsi="仿宋" w:eastAsia="仿宋"/>
          <w:sz w:val="32"/>
          <w:szCs w:val="32"/>
          <w:lang w:val="en-US" w:eastAsia="zh-CN"/>
        </w:rPr>
        <w:t>2021年财政收入209.82万元，</w:t>
      </w:r>
      <w:r>
        <w:rPr>
          <w:rFonts w:hint="eastAsia" w:ascii="仿宋" w:hAnsi="仿宋" w:eastAsia="仿宋"/>
          <w:sz w:val="32"/>
          <w:szCs w:val="32"/>
        </w:rPr>
        <w:t>与2020年相比，财政拨款收</w:t>
      </w:r>
      <w:r>
        <w:rPr>
          <w:rFonts w:hint="eastAsia" w:ascii="仿宋" w:hAnsi="仿宋" w:eastAsia="仿宋"/>
          <w:sz w:val="32"/>
          <w:szCs w:val="32"/>
          <w:lang w:val="en-US" w:eastAsia="zh-CN"/>
        </w:rPr>
        <w:t>入</w:t>
      </w:r>
      <w:r>
        <w:rPr>
          <w:rFonts w:hint="eastAsia" w:ascii="仿宋" w:hAnsi="仿宋" w:eastAsia="仿宋"/>
          <w:sz w:val="32"/>
          <w:szCs w:val="32"/>
        </w:rPr>
        <w:t>总计减少</w:t>
      </w:r>
      <w:r>
        <w:rPr>
          <w:rFonts w:hint="eastAsia" w:ascii="仿宋" w:hAnsi="仿宋" w:eastAsia="仿宋"/>
          <w:sz w:val="32"/>
          <w:szCs w:val="32"/>
          <w:lang w:val="en-US" w:eastAsia="zh-CN"/>
        </w:rPr>
        <w:t>20.64</w:t>
      </w:r>
      <w:r>
        <w:rPr>
          <w:rFonts w:hint="eastAsia" w:ascii="仿宋" w:hAnsi="仿宋" w:eastAsia="仿宋"/>
          <w:sz w:val="32"/>
          <w:szCs w:val="32"/>
        </w:rPr>
        <w:t>万元，下降</w:t>
      </w:r>
      <w:r>
        <w:rPr>
          <w:rFonts w:hint="eastAsia" w:ascii="仿宋" w:hAnsi="仿宋" w:eastAsia="仿宋"/>
          <w:sz w:val="32"/>
          <w:szCs w:val="32"/>
          <w:lang w:val="en-US" w:eastAsia="zh-CN"/>
        </w:rPr>
        <w:t>8.96</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2"/>
        <w:rPr>
          <w:lang w:val="zh-CN"/>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210.37</w:t>
      </w:r>
      <w:r>
        <w:rPr>
          <w:rFonts w:hint="eastAsia" w:ascii="仿宋" w:hAnsi="仿宋" w:eastAsia="仿宋"/>
          <w:sz w:val="32"/>
          <w:szCs w:val="32"/>
        </w:rPr>
        <w:t>万元，其中：基本支出</w:t>
      </w:r>
      <w:r>
        <w:rPr>
          <w:rFonts w:hint="eastAsia" w:ascii="仿宋" w:hAnsi="仿宋" w:eastAsia="仿宋"/>
          <w:sz w:val="32"/>
          <w:szCs w:val="32"/>
          <w:lang w:val="en-US" w:eastAsia="zh-CN"/>
        </w:rPr>
        <w:t>193.42</w:t>
      </w:r>
      <w:r>
        <w:rPr>
          <w:rFonts w:hint="eastAsia" w:ascii="仿宋" w:hAnsi="仿宋" w:eastAsia="仿宋"/>
          <w:sz w:val="32"/>
          <w:szCs w:val="32"/>
        </w:rPr>
        <w:t>万元，占</w:t>
      </w:r>
      <w:r>
        <w:rPr>
          <w:rFonts w:hint="eastAsia" w:ascii="仿宋" w:hAnsi="仿宋" w:eastAsia="仿宋"/>
          <w:sz w:val="32"/>
          <w:szCs w:val="32"/>
          <w:lang w:val="en-US" w:eastAsia="zh-CN"/>
        </w:rPr>
        <w:t>91.94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16.95</w:t>
      </w:r>
      <w:r>
        <w:rPr>
          <w:rFonts w:hint="eastAsia" w:ascii="仿宋" w:hAnsi="仿宋" w:eastAsia="仿宋"/>
          <w:sz w:val="32"/>
          <w:szCs w:val="32"/>
        </w:rPr>
        <w:t>万元，占</w:t>
      </w:r>
      <w:r>
        <w:rPr>
          <w:rFonts w:hint="eastAsia" w:ascii="仿宋" w:hAnsi="仿宋" w:eastAsia="仿宋"/>
          <w:sz w:val="32"/>
          <w:szCs w:val="32"/>
          <w:lang w:val="en-US" w:eastAsia="zh-CN"/>
        </w:rPr>
        <w:t>8.06</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 w:hAnsi="仿宋" w:eastAsia="仿宋" w:cs="宋体"/>
          <w:color w:val="333333"/>
          <w:kern w:val="0"/>
          <w:sz w:val="32"/>
          <w:szCs w:val="32"/>
        </w:rPr>
        <w:t>西区审计局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西区审计局进行了自评质量、绩效目标公开和自评公开、评价结果整改和应用结果反馈。</w:t>
      </w:r>
    </w:p>
    <w:p>
      <w:pPr>
        <w:widowControl/>
        <w:numPr>
          <w:ilvl w:val="0"/>
          <w:numId w:val="4"/>
        </w:numPr>
        <w:adjustRightInd w:val="0"/>
        <w:snapToGrid w:val="0"/>
        <w:spacing w:line="580" w:lineRule="exact"/>
        <w:ind w:firstLine="640" w:firstLineChars="200"/>
        <w:contextualSpacing/>
        <w:jc w:val="left"/>
        <w:rPr>
          <w:rFonts w:ascii="微软雅黑" w:hAnsi="微软雅黑" w:eastAsia="微软雅黑" w:cs="宋体"/>
          <w:color w:val="333333"/>
          <w:kern w:val="0"/>
          <w:sz w:val="23"/>
          <w:szCs w:val="23"/>
        </w:rPr>
      </w:pPr>
      <w:r>
        <w:rPr>
          <w:rFonts w:hint="eastAsia" w:ascii="仿宋_GB2312" w:hAnsi="宋体" w:eastAsia="仿宋_GB2312" w:cs="宋体"/>
          <w:kern w:val="0"/>
          <w:sz w:val="32"/>
          <w:szCs w:val="32"/>
          <w:shd w:val="clear" w:color="auto" w:fill="FFFFFF"/>
          <w:lang w:val="zh-CN"/>
        </w:rPr>
        <w:t>自评质量。</w:t>
      </w:r>
    </w:p>
    <w:p>
      <w:pPr>
        <w:widowControl/>
        <w:numPr>
          <w:ilvl w:val="0"/>
          <w:numId w:val="0"/>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 w:hAnsi="仿宋" w:eastAsia="仿宋" w:cs="宋体"/>
          <w:color w:val="333333"/>
          <w:kern w:val="0"/>
          <w:sz w:val="32"/>
          <w:szCs w:val="32"/>
        </w:rPr>
        <w:t>20</w:t>
      </w:r>
      <w:r>
        <w:rPr>
          <w:rFonts w:hint="eastAsia" w:ascii="仿宋" w:hAnsi="仿宋" w:eastAsia="仿宋" w:cs="宋体"/>
          <w:color w:val="333333"/>
          <w:kern w:val="0"/>
          <w:sz w:val="32"/>
          <w:szCs w:val="32"/>
          <w:lang w:val="en-US" w:eastAsia="zh-CN"/>
        </w:rPr>
        <w:t>21</w:t>
      </w:r>
      <w:r>
        <w:rPr>
          <w:rFonts w:hint="eastAsia" w:ascii="仿宋" w:hAnsi="仿宋" w:eastAsia="仿宋" w:cs="宋体"/>
          <w:color w:val="333333"/>
          <w:kern w:val="0"/>
          <w:sz w:val="32"/>
          <w:szCs w:val="32"/>
        </w:rPr>
        <w:t>年度西区审计局各项经费达到对应的绩效目标，圆满完成各项目规定工作任务。</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
        <w:rPr>
          <w:lang w:val="zh-CN"/>
        </w:rPr>
      </w:pPr>
      <w:r>
        <w:rPr>
          <w:rFonts w:eastAsia="方正仿宋_GBK"/>
          <w:sz w:val="33"/>
          <w:szCs w:val="33"/>
        </w:rPr>
        <w:t>202</w:t>
      </w:r>
      <w:r>
        <w:rPr>
          <w:rFonts w:hint="eastAsia" w:eastAsia="方正仿宋_GBK"/>
          <w:sz w:val="33"/>
          <w:szCs w:val="33"/>
          <w:lang w:val="en-US" w:eastAsia="zh-CN"/>
        </w:rPr>
        <w:t>1</w:t>
      </w:r>
      <w:r>
        <w:rPr>
          <w:rFonts w:eastAsia="方正仿宋_GBK"/>
          <w:sz w:val="33"/>
          <w:szCs w:val="33"/>
        </w:rPr>
        <w:t>年，</w:t>
      </w:r>
      <w:r>
        <w:rPr>
          <w:rFonts w:hint="eastAsia" w:eastAsia="方正仿宋_GBK"/>
          <w:sz w:val="33"/>
          <w:szCs w:val="33"/>
          <w:lang w:val="en-US" w:eastAsia="zh-CN"/>
        </w:rPr>
        <w:t>西区审计局</w:t>
      </w:r>
      <w:r>
        <w:rPr>
          <w:rFonts w:eastAsia="方正仿宋_GBK"/>
          <w:sz w:val="33"/>
          <w:szCs w:val="33"/>
        </w:rPr>
        <w:t>较好地完成了绩效评价工作。</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
        <w:rPr>
          <w:lang w:val="zh-CN"/>
        </w:rPr>
      </w:pPr>
      <w:r>
        <w:rPr>
          <w:rFonts w:hint="eastAsia" w:ascii="仿宋" w:hAnsi="仿宋" w:eastAsia="仿宋" w:cs="宋体"/>
          <w:color w:val="333333"/>
          <w:kern w:val="0"/>
          <w:sz w:val="32"/>
          <w:szCs w:val="32"/>
        </w:rPr>
        <w:t>主要体现在经费保障始终维持在较低水平线。</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建议加大预算的投入。</w:t>
      </w: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int="eastAsia" w:eastAsia="仿宋_GB2312"/>
          <w:lang w:val="en-US"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2</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平台开发建设及维护经费</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．攀枝花市西区审计局是该项目的具体实施主体。</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．项目立项、资金申报的依据是：本项目用于完成平台建设的升级改造及日常维护相关工作等。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．资金管理办法制定情况，资金支持具体项目的条件、范围与支持方式概况：此项目资金用于完成平台建设的升级改造及日常维护相关工作。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．资金分配的原则及考虑因素：资金分配用于升级更新信息系统设备。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1．项目主要内容。完成平台建设的升级改造及日常维护，将区政府投资项目全部录入监管平台、进行全流程监督管理。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val="zh-CN"/>
        </w:rPr>
        <w:t>完成</w:t>
      </w:r>
      <w:r>
        <w:rPr>
          <w:rFonts w:hint="eastAsia" w:ascii="仿宋_GB2312" w:hAnsi="宋体" w:eastAsia="仿宋_GB2312"/>
          <w:sz w:val="32"/>
          <w:szCs w:val="32"/>
          <w:lang w:val="en-US" w:eastAsia="zh-CN"/>
        </w:rPr>
        <w:t>1个</w:t>
      </w:r>
      <w:r>
        <w:rPr>
          <w:rFonts w:hint="eastAsia" w:ascii="仿宋_GB2312" w:hAnsi="宋体" w:eastAsia="仿宋_GB2312"/>
          <w:sz w:val="32"/>
          <w:szCs w:val="32"/>
          <w:lang w:val="zh-CN"/>
        </w:rPr>
        <w:t>平台建设的升级改造及日常维护，将区政府投资项目全部录入监管平台、进行全流程监督管理。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按照区财政下达的项目支出绩效评价指标体系，针对申报内容、实施情况、资金兑现、财务管理、社会效益等做出自我评价。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hint="eastAsia" w:ascii="仿宋_GB2312" w:hAnsi="宋体" w:eastAsia="仿宋_GB2312"/>
          <w:kern w:val="2"/>
          <w:sz w:val="32"/>
          <w:szCs w:val="32"/>
          <w:lang w:val="zh-CN" w:eastAsia="zh-CN" w:bidi="ar-SA"/>
        </w:rPr>
      </w:pPr>
      <w:r>
        <w:rPr>
          <w:rFonts w:hint="eastAsia" w:ascii="楷体_GB2312" w:hAnsi="宋体" w:eastAsia="楷体_GB2312"/>
          <w:sz w:val="32"/>
          <w:szCs w:val="32"/>
          <w:lang w:val="zh-CN"/>
        </w:rPr>
        <w:t>1．资金计划。</w:t>
      </w: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该项目属区级预算项目经费。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hint="eastAsia" w:ascii="仿宋_GB2312" w:hAnsi="宋体" w:eastAsia="仿宋_GB2312"/>
          <w:kern w:val="2"/>
          <w:sz w:val="32"/>
          <w:szCs w:val="32"/>
          <w:lang w:val="zh-CN" w:eastAsia="zh-CN" w:bidi="ar-SA"/>
        </w:rPr>
      </w:pPr>
      <w:r>
        <w:rPr>
          <w:rFonts w:hint="eastAsia" w:ascii="楷体_GB2312" w:hAnsi="宋体" w:eastAsia="楷体_GB2312"/>
          <w:sz w:val="32"/>
          <w:szCs w:val="32"/>
          <w:lang w:val="zh-CN"/>
        </w:rPr>
        <w:t>2．资金到位。</w:t>
      </w:r>
      <w:r>
        <w:rPr>
          <w:rFonts w:hint="eastAsia" w:ascii="仿宋_GB2312" w:hAnsi="宋体" w:eastAsia="仿宋_GB2312"/>
          <w:kern w:val="2"/>
          <w:sz w:val="32"/>
          <w:szCs w:val="32"/>
          <w:lang w:val="zh-CN" w:eastAsia="zh-CN" w:bidi="ar-SA"/>
        </w:rPr>
        <w:t>已全部到位。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kern w:val="2"/>
          <w:sz w:val="32"/>
          <w:szCs w:val="32"/>
          <w:lang w:val="zh-CN" w:eastAsia="zh-CN" w:bidi="ar-SA"/>
        </w:rPr>
        <w:t>该项目资金已在2</w:t>
      </w:r>
      <w:r>
        <w:rPr>
          <w:rFonts w:hint="eastAsia" w:ascii="仿宋_GB2312" w:hAnsi="宋体" w:eastAsia="仿宋_GB2312"/>
          <w:kern w:val="2"/>
          <w:sz w:val="32"/>
          <w:szCs w:val="32"/>
          <w:lang w:val="en-US" w:eastAsia="zh-CN" w:bidi="ar-SA"/>
        </w:rPr>
        <w:t>021</w:t>
      </w:r>
      <w:r>
        <w:rPr>
          <w:rFonts w:hint="eastAsia" w:ascii="仿宋_GB2312" w:hAnsi="宋体" w:eastAsia="仿宋_GB2312"/>
          <w:kern w:val="2"/>
          <w:sz w:val="32"/>
          <w:szCs w:val="32"/>
          <w:lang w:val="zh-CN" w:eastAsia="zh-CN" w:bidi="ar-SA"/>
        </w:rPr>
        <w:t>年内按相关规定全部使用，资金的支付范围、支付标准、支付依据合法合规、与预算相符。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kern w:val="2"/>
          <w:sz w:val="32"/>
          <w:szCs w:val="32"/>
          <w:lang w:val="zh-CN" w:eastAsia="zh-CN" w:bidi="ar-SA"/>
        </w:rPr>
        <w:t>结合我局实际情况建立健全了财务管理制度和约束机制，项目预算、资金拨付严格执行财务管理制度，保证专款专用。财务人员按照相关规定进行资金的审核、支付和核算，财务处理及时，核算规范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1.区财政根据预算项目批复，下达项目经费，预算单位进行项目实施计划。</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2.资金支付时根据实际情况，报分管领导审批同意，呈报主要负责人审核并批复同意支付。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kern w:val="2"/>
          <w:sz w:val="32"/>
          <w:szCs w:val="32"/>
          <w:lang w:val="zh-CN" w:eastAsia="zh-CN" w:bidi="ar-SA"/>
        </w:rPr>
        <w:t>项目是区财政纳入年度预算，我局严格安照项目要求及财经法律法规等要求落实的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kern w:val="2"/>
          <w:sz w:val="32"/>
          <w:szCs w:val="32"/>
          <w:lang w:val="zh-CN" w:eastAsia="zh-CN" w:bidi="ar-SA"/>
        </w:rPr>
        <w:t>项目完成情况每年都要向财政部门填写相关的绩效分析评价，并上报相关对口管理部门检查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1.</w:t>
      </w:r>
      <w:r>
        <w:rPr>
          <w:rFonts w:hint="eastAsia" w:ascii="仿宋_GB2312" w:hAnsi="宋体" w:eastAsia="仿宋_GB2312"/>
          <w:kern w:val="2"/>
          <w:sz w:val="32"/>
          <w:szCs w:val="32"/>
          <w:lang w:val="zh-CN" w:eastAsia="zh-CN" w:bidi="ar-SA"/>
        </w:rPr>
        <w:t>数量指标：已按进度完成2</w:t>
      </w:r>
      <w:r>
        <w:rPr>
          <w:rFonts w:hint="eastAsia" w:ascii="仿宋_GB2312" w:hAnsi="宋体" w:eastAsia="仿宋_GB2312"/>
          <w:kern w:val="2"/>
          <w:sz w:val="32"/>
          <w:szCs w:val="32"/>
          <w:lang w:val="en-US" w:eastAsia="zh-CN" w:bidi="ar-SA"/>
        </w:rPr>
        <w:t>021</w:t>
      </w:r>
      <w:r>
        <w:rPr>
          <w:rFonts w:hint="eastAsia" w:ascii="仿宋_GB2312" w:hAnsi="宋体" w:eastAsia="仿宋_GB2312"/>
          <w:kern w:val="2"/>
          <w:sz w:val="32"/>
          <w:szCs w:val="32"/>
          <w:lang w:val="zh-CN" w:eastAsia="zh-CN" w:bidi="ar-SA"/>
        </w:rPr>
        <w:t>年平台升级与日常维护。</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64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2.</w:t>
      </w:r>
      <w:r>
        <w:rPr>
          <w:rFonts w:hint="eastAsia" w:ascii="仿宋_GB2312" w:hAnsi="宋体" w:eastAsia="仿宋_GB2312"/>
          <w:kern w:val="2"/>
          <w:sz w:val="32"/>
          <w:szCs w:val="32"/>
          <w:lang w:val="zh-CN" w:eastAsia="zh-CN" w:bidi="ar-SA"/>
        </w:rPr>
        <w:t>质量指标：保障系统运行环境、安全措施；完成平台各功能的模块改进。</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3.</w:t>
      </w:r>
      <w:r>
        <w:rPr>
          <w:rFonts w:hint="eastAsia" w:ascii="仿宋_GB2312" w:hAnsi="宋体" w:eastAsia="仿宋_GB2312"/>
          <w:kern w:val="2"/>
          <w:sz w:val="32"/>
          <w:szCs w:val="32"/>
          <w:lang w:val="zh-CN" w:eastAsia="zh-CN" w:bidi="ar-SA"/>
        </w:rPr>
        <w:t>时效指标：已按时完成。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楷体_GB2312" w:hAnsi="宋体" w:eastAsia="楷体_GB2312"/>
          <w:b/>
          <w:sz w:val="32"/>
          <w:szCs w:val="32"/>
          <w:lang w:val="zh-CN"/>
        </w:rPr>
      </w:pPr>
      <w:r>
        <w:rPr>
          <w:rFonts w:hint="eastAsia" w:ascii="仿宋_GB2312" w:hAnsi="宋体" w:eastAsia="仿宋_GB2312"/>
          <w:kern w:val="2"/>
          <w:sz w:val="32"/>
          <w:szCs w:val="32"/>
          <w:lang w:val="en-US" w:eastAsia="zh-CN" w:bidi="ar-SA"/>
        </w:rPr>
        <w:t xml:space="preserve">    4.</w:t>
      </w:r>
      <w:r>
        <w:rPr>
          <w:rFonts w:hint="eastAsia" w:ascii="仿宋_GB2312" w:hAnsi="宋体" w:eastAsia="仿宋_GB2312"/>
          <w:kern w:val="2"/>
          <w:sz w:val="32"/>
          <w:szCs w:val="32"/>
          <w:lang w:val="zh-CN" w:eastAsia="zh-CN" w:bidi="ar-SA"/>
        </w:rPr>
        <w:t>成本指标：已完成相关费用支付</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经济效益指标：优化政府投资项目资金，实时跟踪项目建设情况，为项目建设资金合理使用提供意见。</w:t>
      </w:r>
    </w:p>
    <w:p>
      <w:pPr>
        <w:pStyle w:val="2"/>
        <w:ind w:firstLine="640" w:firstLineChars="200"/>
        <w:rPr>
          <w:rFonts w:hint="eastAsia" w:hAnsi="宋体"/>
          <w:sz w:val="32"/>
          <w:szCs w:val="32"/>
          <w:lang w:val="en-US" w:eastAsia="zh-CN"/>
        </w:rPr>
      </w:pPr>
      <w:r>
        <w:rPr>
          <w:rFonts w:hint="eastAsia" w:hAnsi="宋体"/>
          <w:sz w:val="32"/>
          <w:szCs w:val="32"/>
          <w:lang w:val="en-US" w:eastAsia="zh-CN"/>
        </w:rPr>
        <w:t>2.社会效益指标：推动国家重大政策措施贯彻落实、更好地为党委政府投资决策服务、督促项目投资和建设管理单位落实责任。</w:t>
      </w:r>
    </w:p>
    <w:p>
      <w:pPr>
        <w:pStyle w:val="2"/>
        <w:ind w:firstLine="640" w:firstLineChars="200"/>
        <w:rPr>
          <w:rFonts w:hint="default" w:hAnsi="宋体"/>
          <w:sz w:val="32"/>
          <w:szCs w:val="32"/>
          <w:lang w:val="en-US" w:eastAsia="zh-CN"/>
        </w:rPr>
      </w:pPr>
      <w:r>
        <w:rPr>
          <w:rFonts w:hint="eastAsia" w:hAnsi="宋体"/>
          <w:sz w:val="32"/>
          <w:szCs w:val="32"/>
          <w:lang w:val="en-US" w:eastAsia="zh-CN"/>
        </w:rPr>
        <w:t>3.生态效益指标：为推进生态文明建设提供有力保障。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1.投入指标：资金设计落实权重10分，各项指标均达到预期目标值，自评得分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2.产出与效益指标：权重80分，得分80分。分别为：产出数量权重20%，自评得分</w:t>
      </w:r>
      <w:r>
        <w:rPr>
          <w:rFonts w:hint="eastAsia" w:ascii="仿宋_GB2312" w:hAnsi="宋体" w:eastAsia="仿宋_GB2312"/>
          <w:kern w:val="2"/>
          <w:sz w:val="32"/>
          <w:szCs w:val="32"/>
          <w:lang w:val="en-US" w:eastAsia="zh-CN" w:bidi="ar-SA"/>
        </w:rPr>
        <w:t>20</w:t>
      </w:r>
      <w:r>
        <w:rPr>
          <w:rFonts w:hint="eastAsia" w:ascii="仿宋_GB2312" w:hAnsi="宋体" w:eastAsia="仿宋_GB2312"/>
          <w:kern w:val="2"/>
          <w:sz w:val="32"/>
          <w:szCs w:val="32"/>
          <w:lang w:val="zh-CN" w:eastAsia="zh-CN" w:bidi="ar-SA"/>
        </w:rPr>
        <w:t>分；产出质量设计权重10%，自评得分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分；产出时效设计权重10%，自评得分10分；产出成本设计权重10%，自评得分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分；社会效益设计权重15%，自评得分15分；可持续影响设计权重15%，自评得分15分。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3.满意度指标：满意度指标设计权重10%，自评得分10分。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仿宋_GB2312" w:hAnsi="宋体" w:eastAsia="仿宋_GB2312"/>
          <w:sz w:val="32"/>
          <w:szCs w:val="32"/>
          <w:bdr w:val="single" w:color="auto" w:sz="4" w:space="0"/>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根据对20</w:t>
      </w:r>
      <w:r>
        <w:rPr>
          <w:rFonts w:hint="eastAsia" w:ascii="仿宋_GB2312" w:hAnsi="宋体" w:eastAsia="仿宋_GB2312"/>
          <w:kern w:val="2"/>
          <w:sz w:val="32"/>
          <w:szCs w:val="32"/>
          <w:lang w:val="en-US" w:eastAsia="zh-CN" w:bidi="ar-SA"/>
        </w:rPr>
        <w:t>21</w:t>
      </w:r>
      <w:r>
        <w:rPr>
          <w:rFonts w:hint="eastAsia" w:ascii="仿宋_GB2312" w:hAnsi="宋体" w:eastAsia="仿宋_GB2312"/>
          <w:kern w:val="2"/>
          <w:sz w:val="32"/>
          <w:szCs w:val="32"/>
          <w:lang w:val="zh-CN" w:eastAsia="zh-CN" w:bidi="ar-SA"/>
        </w:rPr>
        <w:t>年“平台开发建设及维护经费”项目总结和自查，项目支出绩效自评成绩为</w:t>
      </w:r>
      <w:r>
        <w:rPr>
          <w:rFonts w:hint="eastAsia" w:ascii="仿宋_GB2312" w:hAnsi="宋体" w:eastAsia="仿宋_GB2312"/>
          <w:kern w:val="2"/>
          <w:sz w:val="32"/>
          <w:szCs w:val="32"/>
          <w:lang w:val="en-US" w:eastAsia="zh-CN" w:bidi="ar-SA"/>
        </w:rPr>
        <w:t>100</w:t>
      </w:r>
      <w:r>
        <w:rPr>
          <w:rFonts w:hint="eastAsia" w:ascii="仿宋_GB2312" w:hAnsi="宋体" w:eastAsia="仿宋_GB2312"/>
          <w:kern w:val="2"/>
          <w:sz w:val="32"/>
          <w:szCs w:val="32"/>
          <w:lang w:val="zh-CN" w:eastAsia="zh-CN" w:bidi="ar-SA"/>
        </w:rPr>
        <w:t>分</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 w:hAnsi="仿宋" w:eastAsia="仿宋" w:cs="宋体"/>
          <w:color w:val="333333"/>
          <w:kern w:val="0"/>
          <w:sz w:val="32"/>
          <w:szCs w:val="32"/>
        </w:rPr>
        <w:t>主要是项目经费下达不能完全保障业务支出</w:t>
      </w:r>
      <w:r>
        <w:rPr>
          <w:rFonts w:hint="eastAsia" w:ascii="仿宋_GB2312" w:hAnsi="宋体" w:eastAsia="仿宋_GB2312"/>
          <w:sz w:val="32"/>
          <w:szCs w:val="32"/>
          <w:lang w:val="zh-CN"/>
        </w:rPr>
        <w:t>。</w:t>
      </w:r>
      <w:r>
        <w:rPr>
          <w:rFonts w:ascii="仿宋_GB2312" w:hAnsi="宋体" w:eastAsia="仿宋_GB2312"/>
          <w:sz w:val="32"/>
          <w:szCs w:val="32"/>
          <w:lang w:val="zh-CN"/>
        </w:rPr>
        <w:tab/>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 w:hAnsi="仿宋" w:eastAsia="仿宋" w:cs="宋体"/>
          <w:color w:val="333333"/>
          <w:kern w:val="0"/>
          <w:sz w:val="32"/>
          <w:szCs w:val="32"/>
        </w:rPr>
        <w:t>严格控制各项支出，提高经费使用效率，保障业务目标的顺利完成，达到保稳定、保运转的工作目标</w:t>
      </w:r>
      <w:r>
        <w:rPr>
          <w:rFonts w:hint="eastAsia" w:ascii="仿宋_GB2312" w:hAnsi="宋体" w:eastAsia="仿宋_GB2312"/>
          <w:sz w:val="32"/>
          <w:szCs w:val="32"/>
          <w:lang w:val="zh-CN"/>
        </w:rPr>
        <w:t>。</w:t>
      </w:r>
    </w:p>
    <w:p>
      <w:pPr>
        <w:spacing w:line="580" w:lineRule="exact"/>
        <w:ind w:firstLine="640"/>
        <w:rPr>
          <w:rFonts w:ascii="仿宋_GB2312" w:hAnsi="仿宋_GB2312" w:eastAsia="仿宋_GB2312" w:cs="仿宋_GB2312"/>
          <w:sz w:val="32"/>
          <w:szCs w:val="32"/>
        </w:rPr>
      </w:pPr>
    </w:p>
    <w:p>
      <w:pPr>
        <w:pStyle w:val="3"/>
        <w:spacing w:before="93"/>
        <w:rPr>
          <w:lang w:val="zh-CN"/>
        </w:rPr>
      </w:pPr>
    </w:p>
    <w:p>
      <w:pPr>
        <w:pStyle w:val="3"/>
        <w:spacing w:before="93"/>
        <w:rPr>
          <w:rFonts w:hint="eastAsia" w:eastAsia="仿宋_GB2312"/>
          <w:lang w:val="en-US"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3</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政府投资审计经费</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．攀枝花市西区审计局是该项目的具体实施主体。</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．项目立项、资金申报的依据是：为保障全局工作正常运转，本项目委托第三方中介机构审核项目相关工作等。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．资金管理办法制定情况，资金支持具体项目的条件、范围与支持方式概况：此项目资金用于委托第三方中介机构审核项目相关工作。</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．资金分配的原则及考虑因素：通过购买第三方审计服务，促进全区政府投资项目审计监管，更好的履行审计职责，提高审计工作质量和效率。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1．项目主要内容。过购买第三方审计服务，促进全区政府投资项目审计监管，更好的履行审计职责，提高审计工作质量和效率。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2．项目应实现的具体绩效目标，履行</w:t>
      </w:r>
      <w:r>
        <w:rPr>
          <w:rFonts w:hint="eastAsia" w:ascii="仿宋_GB2312" w:hAnsi="宋体" w:eastAsia="仿宋_GB2312"/>
          <w:sz w:val="32"/>
          <w:szCs w:val="32"/>
          <w:lang w:val="en-US" w:eastAsia="zh-CN"/>
        </w:rPr>
        <w:t>政府投资项目</w:t>
      </w:r>
      <w:r>
        <w:rPr>
          <w:rFonts w:hint="eastAsia" w:ascii="仿宋_GB2312" w:hAnsi="宋体" w:eastAsia="仿宋_GB2312"/>
          <w:sz w:val="32"/>
          <w:szCs w:val="32"/>
          <w:lang w:val="zh-CN"/>
        </w:rPr>
        <w:t>审计职责，提高审计工作质量和效率。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按照区财政下达的项目支出绩效评价指标体系，针对申报内容、实施情况、资金兑现、财务管理、社会效益等做出自我评价。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hint="eastAsia" w:ascii="仿宋_GB2312" w:hAnsi="宋体" w:eastAsia="仿宋_GB2312"/>
          <w:kern w:val="2"/>
          <w:sz w:val="32"/>
          <w:szCs w:val="32"/>
          <w:lang w:val="zh-CN" w:eastAsia="zh-CN" w:bidi="ar-SA"/>
        </w:rPr>
      </w:pPr>
      <w:r>
        <w:rPr>
          <w:rFonts w:hint="eastAsia" w:ascii="楷体_GB2312" w:hAnsi="宋体" w:eastAsia="楷体_GB2312"/>
          <w:sz w:val="32"/>
          <w:szCs w:val="32"/>
          <w:lang w:val="zh-CN"/>
        </w:rPr>
        <w:t>1．资金计划。</w:t>
      </w: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该项目属区级预算项目经费。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hint="eastAsia" w:ascii="仿宋_GB2312" w:hAnsi="宋体" w:eastAsia="仿宋_GB2312"/>
          <w:kern w:val="2"/>
          <w:sz w:val="32"/>
          <w:szCs w:val="32"/>
          <w:lang w:val="zh-CN" w:eastAsia="zh-CN" w:bidi="ar-SA"/>
        </w:rPr>
      </w:pPr>
      <w:r>
        <w:rPr>
          <w:rFonts w:hint="eastAsia" w:ascii="楷体_GB2312" w:hAnsi="宋体" w:eastAsia="楷体_GB2312"/>
          <w:sz w:val="32"/>
          <w:szCs w:val="32"/>
          <w:lang w:val="zh-CN"/>
        </w:rPr>
        <w:t>2．资金到位。</w:t>
      </w:r>
      <w:r>
        <w:rPr>
          <w:rFonts w:hint="eastAsia" w:ascii="仿宋_GB2312" w:hAnsi="宋体" w:eastAsia="仿宋_GB2312"/>
          <w:kern w:val="2"/>
          <w:sz w:val="32"/>
          <w:szCs w:val="32"/>
          <w:lang w:val="zh-CN" w:eastAsia="zh-CN" w:bidi="ar-SA"/>
        </w:rPr>
        <w:t>已全部到位。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kern w:val="2"/>
          <w:sz w:val="32"/>
          <w:szCs w:val="32"/>
          <w:lang w:val="zh-CN" w:eastAsia="zh-CN" w:bidi="ar-SA"/>
        </w:rPr>
        <w:t>该项目资金已在2</w:t>
      </w:r>
      <w:r>
        <w:rPr>
          <w:rFonts w:hint="eastAsia" w:ascii="仿宋_GB2312" w:hAnsi="宋体" w:eastAsia="仿宋_GB2312"/>
          <w:kern w:val="2"/>
          <w:sz w:val="32"/>
          <w:szCs w:val="32"/>
          <w:lang w:val="en-US" w:eastAsia="zh-CN" w:bidi="ar-SA"/>
        </w:rPr>
        <w:t>021</w:t>
      </w:r>
      <w:r>
        <w:rPr>
          <w:rFonts w:hint="eastAsia" w:ascii="仿宋_GB2312" w:hAnsi="宋体" w:eastAsia="仿宋_GB2312"/>
          <w:kern w:val="2"/>
          <w:sz w:val="32"/>
          <w:szCs w:val="32"/>
          <w:lang w:val="zh-CN" w:eastAsia="zh-CN" w:bidi="ar-SA"/>
        </w:rPr>
        <w:t>年内按相关规定全部使用，资金的支付范围、支付标准、支付依据合法合规、与预算相符。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kern w:val="2"/>
          <w:sz w:val="32"/>
          <w:szCs w:val="32"/>
          <w:lang w:val="zh-CN" w:eastAsia="zh-CN" w:bidi="ar-SA"/>
        </w:rPr>
        <w:t>结合我局实际情况建立健全了财务管理制度和约束机制，项目预算、资金拨付严格执行财务管理制度，保证专款专用。财务人员按照相关规定进行资金的审核、支付和核算，财务处理及时，核算规范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1.区财政根据预算项目批复，下达项目经费，预算单位进行项目实施计划。</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2.资金支付时根据实际情况，报分管领导审批同意，呈报主要负责人审核并批复同意支付。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kern w:val="2"/>
          <w:sz w:val="32"/>
          <w:szCs w:val="32"/>
          <w:lang w:val="zh-CN" w:eastAsia="zh-CN" w:bidi="ar-SA"/>
        </w:rPr>
        <w:t>项目是区财政纳入年度预算，我局严格安照项目要求及财经法律法规等要求落实的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kern w:val="2"/>
          <w:sz w:val="32"/>
          <w:szCs w:val="32"/>
          <w:lang w:val="zh-CN" w:eastAsia="zh-CN" w:bidi="ar-SA"/>
        </w:rPr>
        <w:t>项目完成情况每年都要向财政部门填写相关的绩效分析评价，并上报相关对口管理部门检查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firstLine="640" w:firstLineChars="200"/>
        <w:rPr>
          <w:rFonts w:hint="default" w:ascii="仿宋_GB2312" w:hAnsi="宋体" w:eastAsia="仿宋_GB2312"/>
          <w:kern w:val="2"/>
          <w:sz w:val="32"/>
          <w:szCs w:val="32"/>
          <w:lang w:val="en-US" w:eastAsia="zh-CN" w:bidi="ar-SA"/>
        </w:rPr>
      </w:pPr>
      <w:r>
        <w:rPr>
          <w:rFonts w:hint="eastAsia" w:ascii="仿宋_GB2312" w:hAnsi="宋体" w:eastAsia="仿宋_GB2312"/>
          <w:kern w:val="2"/>
          <w:sz w:val="32"/>
          <w:szCs w:val="32"/>
          <w:lang w:val="en-US" w:eastAsia="zh-CN" w:bidi="ar-SA"/>
        </w:rPr>
        <w:t>1.</w:t>
      </w:r>
      <w:r>
        <w:rPr>
          <w:rFonts w:hint="eastAsia" w:ascii="仿宋_GB2312" w:hAnsi="宋体" w:eastAsia="仿宋_GB2312"/>
          <w:kern w:val="2"/>
          <w:sz w:val="32"/>
          <w:szCs w:val="32"/>
          <w:lang w:val="zh-CN" w:eastAsia="zh-CN" w:bidi="ar-SA"/>
        </w:rPr>
        <w:t>数量指标：</w:t>
      </w:r>
      <w:r>
        <w:rPr>
          <w:rFonts w:hint="eastAsia" w:ascii="仿宋_GB2312" w:hAnsi="宋体" w:eastAsia="仿宋_GB2312"/>
          <w:kern w:val="2"/>
          <w:sz w:val="32"/>
          <w:szCs w:val="32"/>
          <w:lang w:val="en-US" w:eastAsia="zh-CN" w:bidi="ar-SA"/>
        </w:rPr>
        <w:t>完成2个委托第三方中介机构审核项目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64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2.</w:t>
      </w:r>
      <w:r>
        <w:rPr>
          <w:rFonts w:hint="eastAsia" w:ascii="仿宋_GB2312" w:hAnsi="宋体" w:eastAsia="仿宋_GB2312"/>
          <w:kern w:val="2"/>
          <w:sz w:val="32"/>
          <w:szCs w:val="32"/>
          <w:lang w:val="zh-CN" w:eastAsia="zh-CN" w:bidi="ar-SA"/>
        </w:rPr>
        <w:t>质量指标：完成协议约定的服务内容，确保所委托的审计项目出具审计（审核）报告。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right="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3.</w:t>
      </w:r>
      <w:r>
        <w:rPr>
          <w:rFonts w:hint="eastAsia" w:ascii="仿宋_GB2312" w:hAnsi="宋体" w:eastAsia="仿宋_GB2312"/>
          <w:kern w:val="2"/>
          <w:sz w:val="32"/>
          <w:szCs w:val="32"/>
          <w:lang w:val="zh-CN" w:eastAsia="zh-CN" w:bidi="ar-SA"/>
        </w:rPr>
        <w:t>时效指标：已按时完成。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楷体_GB2312" w:hAnsi="宋体" w:eastAsia="楷体_GB2312"/>
          <w:b/>
          <w:sz w:val="32"/>
          <w:szCs w:val="32"/>
          <w:lang w:val="zh-CN"/>
        </w:rPr>
      </w:pPr>
      <w:r>
        <w:rPr>
          <w:rFonts w:hint="eastAsia" w:ascii="仿宋_GB2312" w:hAnsi="宋体" w:eastAsia="仿宋_GB2312"/>
          <w:kern w:val="2"/>
          <w:sz w:val="32"/>
          <w:szCs w:val="32"/>
          <w:lang w:val="en-US" w:eastAsia="zh-CN" w:bidi="ar-SA"/>
        </w:rPr>
        <w:t xml:space="preserve">    4.</w:t>
      </w:r>
      <w:r>
        <w:rPr>
          <w:rFonts w:hint="eastAsia" w:ascii="仿宋_GB2312" w:hAnsi="宋体" w:eastAsia="仿宋_GB2312"/>
          <w:kern w:val="2"/>
          <w:sz w:val="32"/>
          <w:szCs w:val="32"/>
          <w:lang w:val="zh-CN" w:eastAsia="zh-CN" w:bidi="ar-SA"/>
        </w:rPr>
        <w:t>成本指标：已完成相关费用支付</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经济效益指标：完成2个政府投资项目审计。</w:t>
      </w:r>
    </w:p>
    <w:p>
      <w:pPr>
        <w:pStyle w:val="2"/>
        <w:ind w:firstLine="640" w:firstLineChars="200"/>
        <w:rPr>
          <w:rFonts w:hint="eastAsia" w:hAnsi="宋体"/>
          <w:sz w:val="32"/>
          <w:szCs w:val="32"/>
          <w:lang w:val="en-US" w:eastAsia="zh-CN"/>
        </w:rPr>
      </w:pPr>
      <w:r>
        <w:rPr>
          <w:rFonts w:hint="eastAsia" w:hAnsi="宋体"/>
          <w:sz w:val="32"/>
          <w:szCs w:val="32"/>
          <w:lang w:val="en-US" w:eastAsia="zh-CN"/>
        </w:rPr>
        <w:t>2.社会效益指标：优化政府投资项目资金。</w:t>
      </w:r>
    </w:p>
    <w:p>
      <w:pPr>
        <w:pStyle w:val="2"/>
        <w:ind w:firstLine="640" w:firstLineChars="200"/>
        <w:rPr>
          <w:rFonts w:hint="default" w:hAnsi="宋体"/>
          <w:sz w:val="32"/>
          <w:szCs w:val="32"/>
          <w:lang w:val="en-US" w:eastAsia="zh-CN"/>
        </w:rPr>
      </w:pPr>
      <w:r>
        <w:rPr>
          <w:rFonts w:hint="eastAsia" w:hAnsi="宋体"/>
          <w:sz w:val="32"/>
          <w:szCs w:val="32"/>
          <w:lang w:val="en-US" w:eastAsia="zh-CN"/>
        </w:rPr>
        <w:t>3.生态效益指标：为推进生态文明建设提供有力保障。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1.投入指标：资金设计落实权重10分，各项指标均达到预期目标值，自评得分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2.产出与效益指标：权重80分，得分80分。分别为：产出数量权重20%，自评得分</w:t>
      </w:r>
      <w:r>
        <w:rPr>
          <w:rFonts w:hint="eastAsia" w:ascii="仿宋_GB2312" w:hAnsi="宋体" w:eastAsia="仿宋_GB2312"/>
          <w:kern w:val="2"/>
          <w:sz w:val="32"/>
          <w:szCs w:val="32"/>
          <w:lang w:val="en-US" w:eastAsia="zh-CN" w:bidi="ar-SA"/>
        </w:rPr>
        <w:t>20</w:t>
      </w:r>
      <w:r>
        <w:rPr>
          <w:rFonts w:hint="eastAsia" w:ascii="仿宋_GB2312" w:hAnsi="宋体" w:eastAsia="仿宋_GB2312"/>
          <w:kern w:val="2"/>
          <w:sz w:val="32"/>
          <w:szCs w:val="32"/>
          <w:lang w:val="zh-CN" w:eastAsia="zh-CN" w:bidi="ar-SA"/>
        </w:rPr>
        <w:t>分；产出质量设计权重10%，自评得分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分；产出时效设计权重10%，自评得分10分；产出成本设计权重10%，自评得分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分；社会效益设计权重15%，自评得分15分；可持续影响设计权重15%，自评得分15分。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3.满意度指标：满意度指标设计权重10%，自评得分10分。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仿宋_GB2312" w:hAnsi="宋体" w:eastAsia="仿宋_GB2312"/>
          <w:sz w:val="32"/>
          <w:szCs w:val="32"/>
          <w:bdr w:val="single" w:color="auto" w:sz="4" w:space="0"/>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根据对20</w:t>
      </w:r>
      <w:r>
        <w:rPr>
          <w:rFonts w:hint="eastAsia" w:ascii="仿宋_GB2312" w:hAnsi="宋体" w:eastAsia="仿宋_GB2312"/>
          <w:kern w:val="2"/>
          <w:sz w:val="32"/>
          <w:szCs w:val="32"/>
          <w:lang w:val="en-US" w:eastAsia="zh-CN" w:bidi="ar-SA"/>
        </w:rPr>
        <w:t>21</w:t>
      </w:r>
      <w:r>
        <w:rPr>
          <w:rFonts w:hint="eastAsia" w:ascii="仿宋_GB2312" w:hAnsi="宋体" w:eastAsia="仿宋_GB2312"/>
          <w:kern w:val="2"/>
          <w:sz w:val="32"/>
          <w:szCs w:val="32"/>
          <w:lang w:val="zh-CN" w:eastAsia="zh-CN" w:bidi="ar-SA"/>
        </w:rPr>
        <w:t>年“平台开发建设及维护经费”项目总结和自查，项目支出绩效自评成绩为</w:t>
      </w:r>
      <w:r>
        <w:rPr>
          <w:rFonts w:hint="eastAsia" w:ascii="仿宋_GB2312" w:hAnsi="宋体" w:eastAsia="仿宋_GB2312"/>
          <w:kern w:val="2"/>
          <w:sz w:val="32"/>
          <w:szCs w:val="32"/>
          <w:lang w:val="en-US" w:eastAsia="zh-CN" w:bidi="ar-SA"/>
        </w:rPr>
        <w:t>100</w:t>
      </w:r>
      <w:r>
        <w:rPr>
          <w:rFonts w:hint="eastAsia" w:ascii="仿宋_GB2312" w:hAnsi="宋体" w:eastAsia="仿宋_GB2312"/>
          <w:kern w:val="2"/>
          <w:sz w:val="32"/>
          <w:szCs w:val="32"/>
          <w:lang w:val="zh-CN" w:eastAsia="zh-CN" w:bidi="ar-SA"/>
        </w:rPr>
        <w:t>分</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 w:hAnsi="仿宋" w:eastAsia="仿宋" w:cs="宋体"/>
          <w:color w:val="333333"/>
          <w:kern w:val="0"/>
          <w:sz w:val="32"/>
          <w:szCs w:val="32"/>
        </w:rPr>
        <w:t>主要是项目经费下达不能完全保障业务支出</w:t>
      </w:r>
      <w:r>
        <w:rPr>
          <w:rFonts w:hint="eastAsia" w:ascii="仿宋_GB2312" w:hAnsi="宋体" w:eastAsia="仿宋_GB2312"/>
          <w:sz w:val="32"/>
          <w:szCs w:val="32"/>
          <w:lang w:val="zh-CN"/>
        </w:rPr>
        <w:t>。</w:t>
      </w:r>
      <w:r>
        <w:rPr>
          <w:rFonts w:ascii="仿宋_GB2312" w:hAnsi="宋体" w:eastAsia="仿宋_GB2312"/>
          <w:sz w:val="32"/>
          <w:szCs w:val="32"/>
          <w:lang w:val="zh-CN"/>
        </w:rPr>
        <w:tab/>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 w:hAnsi="仿宋" w:eastAsia="仿宋" w:cs="宋体"/>
          <w:color w:val="333333"/>
          <w:kern w:val="0"/>
          <w:sz w:val="32"/>
          <w:szCs w:val="32"/>
        </w:rPr>
        <w:t>严格控制各项支出，提高经费使用效率，保障业务目标的顺利完成，达到保稳定、保运转的工作目标</w:t>
      </w:r>
      <w:r>
        <w:rPr>
          <w:rFonts w:hint="eastAsia" w:ascii="仿宋_GB2312" w:hAnsi="宋体" w:eastAsia="仿宋_GB2312"/>
          <w:sz w:val="32"/>
          <w:szCs w:val="32"/>
          <w:lang w:val="zh-CN"/>
        </w:rPr>
        <w:t>。</w:t>
      </w: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rFonts w:hint="default" w:eastAsia="仿宋_GB2312"/>
          <w:lang w:val="en-US" w:eastAsia="zh-CN"/>
        </w:rPr>
      </w:pPr>
      <w:r>
        <w:rPr>
          <w:rFonts w:hint="eastAsia"/>
          <w:lang w:val="en-US" w:eastAsia="zh-CN"/>
        </w:rPr>
        <w:t>附件4</w:t>
      </w: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审计专项经费项目</w:t>
      </w: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lang w:val="zh-CN"/>
        </w:rPr>
        <w:t>年绩效评价报告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．攀枝花市西区审计局是该项目的具体实施主体。</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．项目立项、资金申报的依据是：为保障全局工作正常运转，本项目用于专项审计调查工作相关人员业务培训等。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．资金管理办法制定情况，资金支持具体项目的条件、范围与支持方式概况：此项目资金用于专项审计调查工作相关人员业务培训等。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．资金分配的原则及考虑因素：用于专项审计调查工作相关人员业务培训等。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．项目主要内容：开展专项审计调查相关工作。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对社会关注度高的，人民群众关心的，资金量大的，长时间未审计的专项资金进行审计，揭示资金管理使用中存在的问题，找出问题存在的根源，有针对性的提出审计建议和问题的整改措施，并督促被审计单位整改到位。</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按照区财政下达的项目支出绩效评价指标体系，针对申报内容、实施情况、资金兑现、财务管理、社会效益等做出自我评价。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1．资金计划。</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该项目属区级预算项目经费。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2．资金到位。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已全部到位。</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3．资金使用。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该项目资金已在2</w:t>
      </w:r>
      <w:r>
        <w:rPr>
          <w:rFonts w:hint="eastAsia" w:ascii="仿宋_GB2312" w:hAnsi="宋体" w:eastAsia="仿宋_GB2312"/>
          <w:kern w:val="2"/>
          <w:sz w:val="32"/>
          <w:szCs w:val="32"/>
          <w:lang w:val="en-US" w:eastAsia="zh-CN" w:bidi="ar-SA"/>
        </w:rPr>
        <w:t>021</w:t>
      </w:r>
      <w:r>
        <w:rPr>
          <w:rFonts w:hint="eastAsia" w:ascii="仿宋_GB2312" w:hAnsi="宋体" w:eastAsia="仿宋_GB2312"/>
          <w:kern w:val="2"/>
          <w:sz w:val="32"/>
          <w:szCs w:val="32"/>
          <w:lang w:val="zh-CN" w:eastAsia="zh-CN" w:bidi="ar-SA"/>
        </w:rPr>
        <w:t>年内按相关规定全部使用，资金的支付范围、支付标准、支付依据合法合规、与预算相符。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kern w:val="2"/>
          <w:sz w:val="32"/>
          <w:szCs w:val="32"/>
          <w:lang w:val="zh-CN" w:eastAsia="zh-CN" w:bidi="ar-SA"/>
        </w:rPr>
        <w:t>结合我局实际情况建立健全了财务管理制度和约束机制，项目预算、资金拨付严格执行财务管理制度，保证专款专用。财务人员按照相关规定进行资金的审核、支付和核算，财务处理及时，核算规范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0"/>
        </w:numPr>
        <w:adjustRightInd w:val="0"/>
        <w:snapToGrid w:val="0"/>
        <w:spacing w:line="600"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lang w:val="en-US" w:eastAsia="zh-CN"/>
        </w:rPr>
        <w:t>一</w:t>
      </w:r>
      <w:r>
        <w:rPr>
          <w:rFonts w:hint="eastAsia" w:ascii="楷体_GB2312" w:hAnsi="宋体" w:eastAsia="楷体_GB2312"/>
          <w:b/>
          <w:sz w:val="32"/>
          <w:szCs w:val="32"/>
          <w:lang w:val="zh-CN"/>
        </w:rPr>
        <w:t>）项目组织架构及实施流程。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1.区财政根据预算项目批复，下达项目经费，预算单位进行项目实施计划。</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eastAsia="仿宋_GB2312"/>
          <w:lang w:val="en-US" w:eastAsia="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2.资金支付时根据实际情况，报分管领导审批同意，呈报主要负责人审核并批复同意支付。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kern w:val="2"/>
          <w:sz w:val="32"/>
          <w:szCs w:val="32"/>
          <w:lang w:val="zh-CN" w:eastAsia="zh-CN" w:bidi="ar-SA"/>
        </w:rPr>
        <w:t>项目是区财政纳入年度预算，我局严格</w:t>
      </w:r>
      <w:r>
        <w:rPr>
          <w:rFonts w:hint="eastAsia" w:ascii="仿宋_GB2312" w:hAnsi="宋体" w:eastAsia="仿宋_GB2312"/>
          <w:kern w:val="2"/>
          <w:sz w:val="32"/>
          <w:szCs w:val="32"/>
          <w:lang w:val="en-US" w:eastAsia="zh-CN" w:bidi="ar-SA"/>
        </w:rPr>
        <w:t>按照</w:t>
      </w:r>
      <w:r>
        <w:rPr>
          <w:rFonts w:hint="eastAsia" w:ascii="仿宋_GB2312" w:hAnsi="宋体" w:eastAsia="仿宋_GB2312"/>
          <w:kern w:val="2"/>
          <w:sz w:val="32"/>
          <w:szCs w:val="32"/>
          <w:lang w:val="zh-CN" w:eastAsia="zh-CN" w:bidi="ar-SA"/>
        </w:rPr>
        <w:t>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kern w:val="2"/>
          <w:sz w:val="32"/>
          <w:szCs w:val="32"/>
          <w:lang w:val="zh-CN" w:eastAsia="zh-CN" w:bidi="ar-SA"/>
        </w:rPr>
        <w:t>项目完成情况每年都要向财政部门填写相关的绩效分析评价，并上报相关对口管理部门检查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⑴数量指标：完成本级审计项目全年共计完成5个项目。</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⑵质量指标：已针对审计出的问题，提出审计处理处罚意见建议，并跟踪督促整改。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⑶时效指标：已按时完成。</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楷体_GB2312" w:hAnsi="宋体" w:eastAsia="楷体_GB2312"/>
          <w:b/>
          <w:sz w:val="32"/>
          <w:szCs w:val="32"/>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⑷成本指标：已完成相关费用支付</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⑴社会效益指标：通过审计提出的问题和建议，促进了相关单位加强资金管理，提高资金使用效益，使其能充分发挥专项用途。</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仿宋_GB2312" w:hAnsi="宋体" w:eastAsia="仿宋_GB2312"/>
          <w:sz w:val="32"/>
          <w:szCs w:val="32"/>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⑵服务对象满意度指标：部门互评满意度达到基本满意及以上</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1.投入指标：资金设计落实权重10分，各项指标均达到预期目标值，自评得分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2.产出与效益指标：权重80分，得分80分。分别为：产出数量权重20%，自评得分</w:t>
      </w:r>
      <w:r>
        <w:rPr>
          <w:rFonts w:hint="eastAsia" w:ascii="仿宋_GB2312" w:hAnsi="宋体" w:eastAsia="仿宋_GB2312"/>
          <w:kern w:val="2"/>
          <w:sz w:val="32"/>
          <w:szCs w:val="32"/>
          <w:lang w:val="en-US" w:eastAsia="zh-CN" w:bidi="ar-SA"/>
        </w:rPr>
        <w:t>20</w:t>
      </w:r>
      <w:r>
        <w:rPr>
          <w:rFonts w:hint="eastAsia" w:ascii="仿宋_GB2312" w:hAnsi="宋体" w:eastAsia="仿宋_GB2312"/>
          <w:kern w:val="2"/>
          <w:sz w:val="32"/>
          <w:szCs w:val="32"/>
          <w:lang w:val="zh-CN" w:eastAsia="zh-CN" w:bidi="ar-SA"/>
        </w:rPr>
        <w:t>分；产出质量设计权重10%，自评得分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分；产出时效设计权重10%，自评得分10分；产出成本设计权重10%，自评得分</w:t>
      </w:r>
      <w:r>
        <w:rPr>
          <w:rFonts w:hint="eastAsia" w:ascii="仿宋_GB2312" w:hAnsi="宋体" w:eastAsia="仿宋_GB2312"/>
          <w:kern w:val="2"/>
          <w:sz w:val="32"/>
          <w:szCs w:val="32"/>
          <w:lang w:val="en-US" w:eastAsia="zh-CN" w:bidi="ar-SA"/>
        </w:rPr>
        <w:t>10</w:t>
      </w:r>
      <w:r>
        <w:rPr>
          <w:rFonts w:hint="eastAsia" w:ascii="仿宋_GB2312" w:hAnsi="宋体" w:eastAsia="仿宋_GB2312"/>
          <w:kern w:val="2"/>
          <w:sz w:val="32"/>
          <w:szCs w:val="32"/>
          <w:lang w:val="zh-CN" w:eastAsia="zh-CN" w:bidi="ar-SA"/>
        </w:rPr>
        <w:t>分；社会效益设计权重15%，自评得分15分；可持续影响设计权重15%，自评得分15分。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hint="eastAsia" w:ascii="仿宋_GB2312" w:hAnsi="宋体" w:eastAsia="仿宋_GB2312"/>
          <w:kern w:val="2"/>
          <w:sz w:val="32"/>
          <w:szCs w:val="32"/>
          <w:lang w:val="zh-CN" w:eastAsia="zh-CN" w:bidi="ar-SA"/>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3.满意度指标：满意度指标设计权重10%，自评得分10分。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50" w:lineRule="atLeast"/>
        <w:ind w:left="0" w:right="0" w:firstLine="0"/>
        <w:rPr>
          <w:rFonts w:ascii="仿宋_GB2312" w:hAnsi="宋体" w:eastAsia="仿宋_GB2312"/>
          <w:sz w:val="32"/>
          <w:szCs w:val="32"/>
          <w:bdr w:val="single" w:color="auto" w:sz="4" w:space="0"/>
          <w:lang w:val="zh-CN"/>
        </w:rPr>
      </w:pPr>
      <w:r>
        <w:rPr>
          <w:rFonts w:hint="eastAsia" w:ascii="仿宋_GB2312" w:hAnsi="宋体" w:eastAsia="仿宋_GB2312"/>
          <w:kern w:val="2"/>
          <w:sz w:val="32"/>
          <w:szCs w:val="32"/>
          <w:lang w:val="en-US" w:eastAsia="zh-CN" w:bidi="ar-SA"/>
        </w:rPr>
        <w:t xml:space="preserve">    </w:t>
      </w:r>
      <w:r>
        <w:rPr>
          <w:rFonts w:hint="eastAsia" w:ascii="仿宋_GB2312" w:hAnsi="宋体" w:eastAsia="仿宋_GB2312"/>
          <w:kern w:val="2"/>
          <w:sz w:val="32"/>
          <w:szCs w:val="32"/>
          <w:lang w:val="zh-CN" w:eastAsia="zh-CN" w:bidi="ar-SA"/>
        </w:rPr>
        <w:t>根据对20</w:t>
      </w:r>
      <w:r>
        <w:rPr>
          <w:rFonts w:hint="eastAsia" w:ascii="仿宋_GB2312" w:hAnsi="宋体" w:eastAsia="仿宋_GB2312"/>
          <w:kern w:val="2"/>
          <w:sz w:val="32"/>
          <w:szCs w:val="32"/>
          <w:lang w:val="en-US" w:eastAsia="zh-CN" w:bidi="ar-SA"/>
        </w:rPr>
        <w:t>20</w:t>
      </w:r>
      <w:r>
        <w:rPr>
          <w:rFonts w:hint="eastAsia" w:ascii="仿宋_GB2312" w:hAnsi="宋体" w:eastAsia="仿宋_GB2312"/>
          <w:kern w:val="2"/>
          <w:sz w:val="32"/>
          <w:szCs w:val="32"/>
          <w:lang w:val="zh-CN" w:eastAsia="zh-CN" w:bidi="ar-SA"/>
        </w:rPr>
        <w:t>年“审计专项经费”项目总结和自查，项目支出绩效自评成绩为</w:t>
      </w:r>
      <w:r>
        <w:rPr>
          <w:rFonts w:hint="eastAsia" w:ascii="仿宋_GB2312" w:hAnsi="宋体" w:eastAsia="仿宋_GB2312"/>
          <w:kern w:val="2"/>
          <w:sz w:val="32"/>
          <w:szCs w:val="32"/>
          <w:lang w:val="en-US" w:eastAsia="zh-CN" w:bidi="ar-SA"/>
        </w:rPr>
        <w:t>100</w:t>
      </w:r>
      <w:r>
        <w:rPr>
          <w:rFonts w:hint="eastAsia" w:ascii="仿宋_GB2312" w:hAnsi="宋体" w:eastAsia="仿宋_GB2312"/>
          <w:kern w:val="2"/>
          <w:sz w:val="32"/>
          <w:szCs w:val="32"/>
          <w:lang w:val="zh-CN" w:eastAsia="zh-CN" w:bidi="ar-SA"/>
        </w:rPr>
        <w:t>分</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 w:hAnsi="仿宋" w:eastAsia="仿宋" w:cs="宋体"/>
          <w:color w:val="333333"/>
          <w:kern w:val="0"/>
          <w:sz w:val="32"/>
          <w:szCs w:val="32"/>
        </w:rPr>
        <w:t>主要是项目经费下达不能完全保障业务支出</w:t>
      </w:r>
      <w:r>
        <w:rPr>
          <w:rFonts w:hint="eastAsia" w:ascii="仿宋_GB2312" w:hAnsi="宋体" w:eastAsia="仿宋_GB2312"/>
          <w:sz w:val="32"/>
          <w:szCs w:val="32"/>
          <w:lang w:val="zh-CN"/>
        </w:rPr>
        <w:t>。</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 w:hAnsi="仿宋" w:eastAsia="仿宋" w:cs="宋体"/>
          <w:color w:val="333333"/>
          <w:kern w:val="0"/>
          <w:sz w:val="32"/>
          <w:szCs w:val="32"/>
        </w:rPr>
        <w:t>严格控制各项支出，提高经费使用效率，保障业务目标的顺利完成，达到保稳定、保运转的工作目标</w:t>
      </w:r>
      <w:r>
        <w:rPr>
          <w:rFonts w:hint="eastAsia" w:ascii="仿宋_GB2312" w:hAnsi="宋体" w:eastAsia="仿宋_GB2312"/>
          <w:sz w:val="32"/>
          <w:szCs w:val="32"/>
          <w:lang w:val="zh-CN"/>
        </w:rPr>
        <w:t>。</w:t>
      </w:r>
    </w:p>
    <w:p>
      <w:pPr>
        <w:pStyle w:val="3"/>
        <w:spacing w:before="93"/>
        <w:rPr>
          <w:lang w:val="zh-CN"/>
        </w:rPr>
      </w:pPr>
    </w:p>
    <w:p>
      <w:pPr>
        <w:pStyle w:val="3"/>
        <w:spacing w:before="93"/>
        <w:rPr>
          <w:lang w:val="zh-CN"/>
        </w:rPr>
      </w:pPr>
    </w:p>
    <w:p>
      <w:pPr>
        <w:pStyle w:val="3"/>
        <w:spacing w:before="93"/>
        <w:rPr>
          <w:lang w:val="zh-CN"/>
        </w:rPr>
      </w:pPr>
    </w:p>
    <w:tbl>
      <w:tblPr>
        <w:tblStyle w:val="17"/>
        <w:tblpPr w:leftFromText="180" w:rightFromText="180" w:vertAnchor="text" w:horzAnchor="page" w:tblpX="1051" w:tblpY="-1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517"/>
        <w:gridCol w:w="2116"/>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180001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攀枝花市西区审计局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260.18</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210.37</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259.63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209.82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0.55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0.55</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p>
          <w:p>
            <w:pPr>
              <w:bidi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发挥“阳光审计，护航花城”品牌效应，推进重点领域、重要岗位、关键环节的审计监督全覆盖，持续深入开展重大政策措施落实情况跟踪审计、预算执行审计、政府投资建设项目审计（包括政府投资审计监督管理平台推行使用）、领导干部自然资源资产、经济责任审计等计划内审计工作。</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pPr>
          </w:p>
          <w:p>
            <w:pPr>
              <w:bidi w:val="0"/>
              <w:rPr>
                <w:lang w:val="en-US" w:eastAsia="zh-CN"/>
              </w:rPr>
            </w:pPr>
          </w:p>
          <w:p>
            <w:pPr>
              <w:bidi w:val="0"/>
              <w:rPr>
                <w:lang w:val="en-US" w:eastAsia="zh-CN"/>
              </w:rPr>
            </w:pPr>
          </w:p>
          <w:p>
            <w:pPr>
              <w:bidi w:val="0"/>
              <w:rPr>
                <w:lang w:val="en-US" w:eastAsia="zh-CN"/>
              </w:rPr>
            </w:pPr>
          </w:p>
          <w:p>
            <w:pPr>
              <w:tabs>
                <w:tab w:val="left" w:pos="1095"/>
              </w:tabs>
              <w:bidi w:val="0"/>
              <w:jc w:val="left"/>
              <w:rPr>
                <w:lang w:val="en-US" w:eastAsia="zh-CN"/>
              </w:rPr>
            </w:pPr>
            <w:r>
              <w:rPr>
                <w:rFonts w:hint="eastAsia"/>
                <w:lang w:val="en-US" w:eastAsia="zh-CN"/>
              </w:rPr>
              <w:t>全年保质保量完成区委区政府下达工作目标</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基本、项目支出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确保</w:t>
            </w:r>
            <w:r>
              <w:rPr>
                <w:rFonts w:hint="eastAsia" w:cs="Times New Roman"/>
                <w:kern w:val="2"/>
                <w:sz w:val="21"/>
                <w:szCs w:val="24"/>
                <w:lang w:val="en-US" w:eastAsia="zh-CN" w:bidi="ar-SA"/>
              </w:rPr>
              <w:t>全局审计工作正</w:t>
            </w:r>
            <w:r>
              <w:rPr>
                <w:rFonts w:hint="eastAsia" w:ascii="Times New Roman" w:hAnsi="Times New Roman" w:eastAsia="宋体" w:cs="Times New Roman"/>
                <w:kern w:val="2"/>
                <w:sz w:val="21"/>
                <w:szCs w:val="24"/>
                <w:lang w:val="en-US" w:eastAsia="zh-CN" w:bidi="ar-SA"/>
              </w:rPr>
              <w:t>常开展。</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2021年我局共完成7个审计项目</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基本、项目支出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保证机构正常运行</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确保正常运转，提升了工作实效</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完成时间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按计划开展</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2021年1月1日-2021年12月31日</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基本、项目支出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2021年全年财政预算资金</w:t>
            </w:r>
            <w:r>
              <w:rPr>
                <w:rFonts w:hint="eastAsia" w:cs="Times New Roman"/>
                <w:kern w:val="2"/>
                <w:sz w:val="21"/>
                <w:szCs w:val="24"/>
                <w:lang w:val="en-US" w:eastAsia="zh-CN" w:bidi="ar-SA"/>
              </w:rPr>
              <w:t>260.18</w:t>
            </w:r>
            <w:r>
              <w:rPr>
                <w:rFonts w:hint="eastAsia" w:ascii="Times New Roman" w:hAnsi="Times New Roman" w:eastAsia="宋体" w:cs="Times New Roman"/>
                <w:kern w:val="2"/>
                <w:sz w:val="21"/>
                <w:szCs w:val="24"/>
                <w:lang w:val="en-US" w:eastAsia="zh-CN" w:bidi="ar-SA"/>
              </w:rPr>
              <w:t>万元</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2021年全年财政预算资金</w:t>
            </w:r>
            <w:r>
              <w:rPr>
                <w:rFonts w:hint="eastAsia" w:cs="Times New Roman"/>
                <w:kern w:val="2"/>
                <w:sz w:val="21"/>
                <w:szCs w:val="24"/>
                <w:lang w:val="en-US" w:eastAsia="zh-CN" w:bidi="ar-SA"/>
              </w:rPr>
              <w:t>210.37</w:t>
            </w:r>
            <w:r>
              <w:rPr>
                <w:rFonts w:hint="eastAsia" w:ascii="Times New Roman" w:hAnsi="Times New Roman" w:eastAsia="宋体" w:cs="Times New Roman"/>
                <w:kern w:val="2"/>
                <w:sz w:val="21"/>
                <w:szCs w:val="24"/>
                <w:lang w:val="en-US" w:eastAsia="zh-CN" w:bidi="ar-SA"/>
              </w:rPr>
              <w:t>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对经济效益是否有监督作用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对经济起到监督作用</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按预期目标完成任务</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对领导干部依法履职尽责是否有促进作用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对履职尽责起到监督作用</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按预期目标完成任务</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自然资源审计对生态效益是否有促进作用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对生态效益起到促进作用</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实际对生态效益起到良好的促进作用</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审计报告是否具有可持续性影响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起到让被审计单位熟悉业务，并保持的作用</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起到让被审计单位熟悉业务，并保持的作用</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被审计单位满意度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被审计单位满意度</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bottom"/>
          </w:tcPr>
          <w:p>
            <w:pPr>
              <w:bidi w:val="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被审计单位满意度</w:t>
            </w:r>
            <w:r>
              <w:rPr>
                <w:rFonts w:hint="eastAsia" w:cs="Times New Roman"/>
                <w:kern w:val="2"/>
                <w:sz w:val="21"/>
                <w:szCs w:val="24"/>
                <w:lang w:val="en-US" w:eastAsia="zh-CN" w:bidi="ar-SA"/>
              </w:rPr>
              <w:t>大于90%</w:t>
            </w:r>
          </w:p>
        </w:tc>
      </w:tr>
    </w:tbl>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spacing w:line="580" w:lineRule="exact"/>
        <w:rPr>
          <w:rStyle w:val="29"/>
          <w:rFonts w:ascii="黑体" w:hAnsi="黑体" w:eastAsia="黑体"/>
          <w:b w:val="0"/>
        </w:rPr>
      </w:pPr>
    </w:p>
    <w:p>
      <w:pPr>
        <w:widowControl/>
        <w:jc w:val="left"/>
        <w:rPr>
          <w:rStyle w:val="29"/>
          <w:rFonts w:ascii="黑体" w:hAnsi="黑体" w:eastAsia="黑体"/>
          <w:b w:val="0"/>
        </w:rPr>
      </w:pPr>
      <w:r>
        <w:rPr>
          <w:rStyle w:val="29"/>
          <w:rFonts w:ascii="黑体" w:hAnsi="黑体" w:eastAsia="黑体"/>
          <w:b w:val="0"/>
        </w:rPr>
        <w:br w:type="page"/>
      </w: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9"/>
          <w:rFonts w:hint="eastAsia" w:ascii="黑体" w:hAnsi="黑体" w:eastAsia="黑体"/>
          <w:b w:val="0"/>
        </w:rPr>
        <w:t>五部分 附表</w:t>
      </w:r>
      <w:bookmarkEnd w:id="57"/>
      <w:bookmarkEnd w:id="59"/>
      <w:bookmarkStart w:id="60" w:name="_Toc15396619"/>
    </w:p>
    <w:p>
      <w:pPr>
        <w:pStyle w:val="7"/>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60"/>
    </w:p>
    <w:p>
      <w:pPr>
        <w:pStyle w:val="7"/>
        <w:rPr>
          <w:rFonts w:ascii="仿宋" w:hAnsi="仿宋" w:eastAsia="仿宋"/>
        </w:rPr>
      </w:pPr>
      <w:bookmarkStart w:id="61" w:name="_Toc15396620"/>
      <w:r>
        <w:rPr>
          <w:rFonts w:hint="eastAsia" w:ascii="仿宋" w:hAnsi="仿宋" w:eastAsia="仿宋"/>
          <w:b w:val="0"/>
        </w:rPr>
        <w:t>二、收</w:t>
      </w:r>
      <w:r>
        <w:rPr>
          <w:rStyle w:val="30"/>
          <w:rFonts w:hint="eastAsia" w:ascii="仿宋" w:hAnsi="仿宋" w:eastAsia="仿宋"/>
          <w:b w:val="0"/>
          <w:bCs w:val="0"/>
        </w:rPr>
        <w:t>入决算表</w:t>
      </w:r>
      <w:bookmarkEnd w:id="61"/>
    </w:p>
    <w:p>
      <w:pPr>
        <w:pStyle w:val="7"/>
        <w:rPr>
          <w:rFonts w:ascii="仿宋" w:hAnsi="仿宋" w:eastAsia="仿宋"/>
        </w:rPr>
      </w:pPr>
      <w:bookmarkStart w:id="62"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62"/>
    </w:p>
    <w:p>
      <w:pPr>
        <w:pStyle w:val="7"/>
        <w:rPr>
          <w:rFonts w:ascii="仿宋" w:hAnsi="仿宋" w:eastAsia="仿宋"/>
          <w:b w:val="0"/>
        </w:rPr>
      </w:pPr>
      <w:bookmarkStart w:id="63"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63"/>
    </w:p>
    <w:p>
      <w:pPr>
        <w:pStyle w:val="7"/>
        <w:rPr>
          <w:rStyle w:val="30"/>
          <w:rFonts w:ascii="仿宋" w:hAnsi="仿宋" w:eastAsia="仿宋"/>
          <w:b w:val="0"/>
          <w:bCs w:val="0"/>
        </w:rPr>
      </w:pPr>
      <w:bookmarkStart w:id="64"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64"/>
      <w:bookmarkStart w:id="65" w:name="_Toc15396624"/>
    </w:p>
    <w:p>
      <w:pPr>
        <w:pStyle w:val="7"/>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65"/>
    </w:p>
    <w:p>
      <w:pPr>
        <w:pStyle w:val="7"/>
        <w:rPr>
          <w:rFonts w:ascii="仿宋" w:hAnsi="仿宋" w:eastAsia="仿宋"/>
        </w:rPr>
      </w:pPr>
      <w:bookmarkStart w:id="66"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6"/>
    </w:p>
    <w:p>
      <w:pPr>
        <w:pStyle w:val="7"/>
        <w:rPr>
          <w:rFonts w:ascii="仿宋" w:hAnsi="仿宋" w:eastAsia="仿宋"/>
        </w:rPr>
      </w:pPr>
      <w:bookmarkStart w:id="67"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7"/>
    </w:p>
    <w:p>
      <w:pPr>
        <w:pStyle w:val="7"/>
        <w:rPr>
          <w:rFonts w:ascii="仿宋" w:hAnsi="仿宋" w:eastAsia="仿宋"/>
        </w:rPr>
      </w:pPr>
      <w:bookmarkStart w:id="68"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8"/>
    </w:p>
    <w:p>
      <w:pPr>
        <w:pStyle w:val="7"/>
        <w:rPr>
          <w:rFonts w:ascii="仿宋" w:hAnsi="仿宋" w:eastAsia="仿宋"/>
        </w:rPr>
      </w:pPr>
      <w:bookmarkStart w:id="69"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69"/>
    </w:p>
    <w:p>
      <w:pPr>
        <w:pStyle w:val="7"/>
        <w:rPr>
          <w:rFonts w:ascii="仿宋" w:hAnsi="仿宋" w:eastAsia="仿宋"/>
        </w:rPr>
      </w:pPr>
      <w:bookmarkStart w:id="70" w:name="_Toc15396629"/>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70"/>
    </w:p>
    <w:p>
      <w:pPr>
        <w:pStyle w:val="7"/>
        <w:rPr>
          <w:rFonts w:ascii="仿宋" w:hAnsi="仿宋" w:eastAsia="仿宋"/>
        </w:rPr>
      </w:pPr>
      <w:bookmarkStart w:id="71"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71"/>
    </w:p>
    <w:p>
      <w:pPr>
        <w:pStyle w:val="7"/>
        <w:rPr>
          <w:rStyle w:val="30"/>
          <w:rFonts w:ascii="仿宋" w:hAnsi="仿宋" w:eastAsia="仿宋"/>
          <w:b w:val="0"/>
          <w:bCs w:val="0"/>
        </w:rPr>
      </w:pPr>
      <w:bookmarkStart w:id="72"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72"/>
    </w:p>
    <w:p>
      <w:pPr>
        <w:rPr>
          <w:rFonts w:eastAsia="仿宋"/>
        </w:rPr>
      </w:pPr>
      <w:r>
        <w:rPr>
          <w:rStyle w:val="30"/>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21</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jYyZTFkYzc0OWVkOTg5ODE3MWQ2ZDFjMTQ0N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229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52F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023"/>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0553C"/>
    <w:rsid w:val="03A13F4F"/>
    <w:rsid w:val="05A7550D"/>
    <w:rsid w:val="066E0107"/>
    <w:rsid w:val="067C6FD8"/>
    <w:rsid w:val="07996F6E"/>
    <w:rsid w:val="09FA7517"/>
    <w:rsid w:val="0A2032A3"/>
    <w:rsid w:val="0B815ACE"/>
    <w:rsid w:val="0D07705C"/>
    <w:rsid w:val="0E052C33"/>
    <w:rsid w:val="0EC60854"/>
    <w:rsid w:val="101860EC"/>
    <w:rsid w:val="10C055FF"/>
    <w:rsid w:val="118107EC"/>
    <w:rsid w:val="13D50BC4"/>
    <w:rsid w:val="14901E77"/>
    <w:rsid w:val="16BB723D"/>
    <w:rsid w:val="1BE8440E"/>
    <w:rsid w:val="1BFE556B"/>
    <w:rsid w:val="1C386571"/>
    <w:rsid w:val="1D155CEE"/>
    <w:rsid w:val="1DA329C0"/>
    <w:rsid w:val="214672AA"/>
    <w:rsid w:val="23860B96"/>
    <w:rsid w:val="240371BF"/>
    <w:rsid w:val="2584551C"/>
    <w:rsid w:val="283B7EEC"/>
    <w:rsid w:val="29FD04D3"/>
    <w:rsid w:val="2B996587"/>
    <w:rsid w:val="2C8A61B5"/>
    <w:rsid w:val="2D2A1F10"/>
    <w:rsid w:val="2DF04E50"/>
    <w:rsid w:val="2E0979F4"/>
    <w:rsid w:val="316D427B"/>
    <w:rsid w:val="319F7F4E"/>
    <w:rsid w:val="36AA5135"/>
    <w:rsid w:val="374D433E"/>
    <w:rsid w:val="37E16F03"/>
    <w:rsid w:val="386A2ED0"/>
    <w:rsid w:val="39735D9D"/>
    <w:rsid w:val="3D98207C"/>
    <w:rsid w:val="41081034"/>
    <w:rsid w:val="435C6B85"/>
    <w:rsid w:val="44E268DA"/>
    <w:rsid w:val="46CD6437"/>
    <w:rsid w:val="480000CE"/>
    <w:rsid w:val="4A627F82"/>
    <w:rsid w:val="4A8458EF"/>
    <w:rsid w:val="4B4F25DA"/>
    <w:rsid w:val="4B704681"/>
    <w:rsid w:val="4BD11061"/>
    <w:rsid w:val="4BE068DB"/>
    <w:rsid w:val="4C6645DC"/>
    <w:rsid w:val="4CE0237A"/>
    <w:rsid w:val="4D4274D7"/>
    <w:rsid w:val="4D577224"/>
    <w:rsid w:val="4E241FEF"/>
    <w:rsid w:val="4EAB630A"/>
    <w:rsid w:val="4EBB5DDB"/>
    <w:rsid w:val="4ECE2238"/>
    <w:rsid w:val="4F787AFE"/>
    <w:rsid w:val="508D3BF0"/>
    <w:rsid w:val="52C07B2F"/>
    <w:rsid w:val="55C755A8"/>
    <w:rsid w:val="56F70B4D"/>
    <w:rsid w:val="57C44345"/>
    <w:rsid w:val="57F42B9E"/>
    <w:rsid w:val="5AF92295"/>
    <w:rsid w:val="5CD71FC4"/>
    <w:rsid w:val="5E8D2116"/>
    <w:rsid w:val="5ECF64E4"/>
    <w:rsid w:val="5F840C68"/>
    <w:rsid w:val="61283A42"/>
    <w:rsid w:val="626E78DD"/>
    <w:rsid w:val="63D82037"/>
    <w:rsid w:val="64740EA1"/>
    <w:rsid w:val="66642E17"/>
    <w:rsid w:val="67E43915"/>
    <w:rsid w:val="6A7C6A2C"/>
    <w:rsid w:val="6B122128"/>
    <w:rsid w:val="6BF242A9"/>
    <w:rsid w:val="6C4A05C8"/>
    <w:rsid w:val="6E7E3605"/>
    <w:rsid w:val="6E963733"/>
    <w:rsid w:val="6F433E0D"/>
    <w:rsid w:val="6FF5CC65"/>
    <w:rsid w:val="715C0E4B"/>
    <w:rsid w:val="72734D90"/>
    <w:rsid w:val="73AD73D5"/>
    <w:rsid w:val="73B6EB34"/>
    <w:rsid w:val="76210EFF"/>
    <w:rsid w:val="778064D7"/>
    <w:rsid w:val="78B50696"/>
    <w:rsid w:val="79EE5BA4"/>
    <w:rsid w:val="7A894339"/>
    <w:rsid w:val="7D00305B"/>
    <w:rsid w:val="7D460711"/>
    <w:rsid w:val="7D6C5E17"/>
    <w:rsid w:val="7EEF11D3"/>
    <w:rsid w:val="7EFE086E"/>
    <w:rsid w:val="7FA30C79"/>
    <w:rsid w:val="7FC452D5"/>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eastAsia="仿宋_GB2312"/>
    </w:rPr>
  </w:style>
  <w:style w:type="paragraph" w:styleId="3">
    <w:name w:val="Body Text"/>
    <w:basedOn w:val="1"/>
    <w:link w:val="26"/>
    <w:qFormat/>
    <w:uiPriority w:val="99"/>
    <w:pPr>
      <w:spacing w:beforeLines="30"/>
    </w:pPr>
    <w:rPr>
      <w:rFonts w:ascii="仿宋_GB2312" w:eastAsia="仿宋_GB2312"/>
      <w:kern w:val="0"/>
      <w:sz w:val="30"/>
    </w:rPr>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rPr>
      <w:rFonts w:eastAsia="Times New Roman"/>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unhideWhenUsed/>
    <w:qFormat/>
    <w:uiPriority w:val="99"/>
    <w:rPr>
      <w:rFonts w:ascii="宋体" w:hAnsi="Courier New" w:cs="Times New Roman"/>
      <w:szCs w:val="24"/>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3"/>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6"/>
    <w:qFormat/>
    <w:uiPriority w:val="9"/>
    <w:rPr>
      <w:rFonts w:ascii="Times New Roman" w:hAnsi="Times New Roman"/>
      <w:b/>
      <w:bCs/>
      <w:kern w:val="44"/>
      <w:sz w:val="44"/>
      <w:szCs w:val="44"/>
    </w:rPr>
  </w:style>
  <w:style w:type="character" w:customStyle="1" w:styleId="30">
    <w:name w:val="标题 2 Char"/>
    <w:basedOn w:val="18"/>
    <w:link w:val="7"/>
    <w:qFormat/>
    <w:uiPriority w:val="9"/>
    <w:rPr>
      <w:rFonts w:asciiTheme="majorHAnsi" w:hAnsiTheme="majorHAnsi" w:eastAsiaTheme="majorEastAsia" w:cstheme="majorBidi"/>
      <w:b/>
      <w:bCs/>
      <w:kern w:val="2"/>
      <w:sz w:val="32"/>
      <w:szCs w:val="32"/>
    </w:rPr>
  </w:style>
  <w:style w:type="paragraph" w:customStyle="1" w:styleId="31">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1"/>
    <w:semiHidden/>
    <w:qFormat/>
    <w:uiPriority w:val="99"/>
    <w:rPr>
      <w:rFonts w:ascii="Times New Roman" w:hAnsi="Times New Roman"/>
      <w:kern w:val="2"/>
      <w:sz w:val="18"/>
      <w:szCs w:val="18"/>
    </w:rPr>
  </w:style>
  <w:style w:type="character" w:customStyle="1" w:styleId="33">
    <w:name w:val="标题 3 Char"/>
    <w:basedOn w:val="18"/>
    <w:link w:val="8"/>
    <w:qFormat/>
    <w:uiPriority w:val="9"/>
    <w:rPr>
      <w:rFonts w:ascii="Times New Roman" w:hAnsi="Times New Roman"/>
      <w:b/>
      <w:bCs/>
      <w:kern w:val="2"/>
      <w:sz w:val="32"/>
      <w:szCs w:val="32"/>
    </w:rPr>
  </w:style>
  <w:style w:type="paragraph" w:customStyle="1" w:styleId="34">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2020-2021收支决算总计变动图</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收入、支出总计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2021年</c:v>
                </c:pt>
                <c:pt idx="1">
                  <c:v>2020年</c:v>
                </c:pt>
              </c:strCache>
            </c:strRef>
          </c:cat>
          <c:val>
            <c:numRef>
              <c:f>Sheet1!$B$2:$B$3</c:f>
              <c:numCache>
                <c:formatCode>General</c:formatCode>
                <c:ptCount val="2"/>
                <c:pt idx="0">
                  <c:v>210.37</c:v>
                </c:pt>
                <c:pt idx="1">
                  <c:v>234.17</c:v>
                </c:pt>
              </c:numCache>
            </c:numRef>
          </c:val>
        </c:ser>
        <c:dLbls>
          <c:showLegendKey val="0"/>
          <c:showVal val="1"/>
          <c:showCatName val="0"/>
          <c:showSerName val="0"/>
          <c:showPercent val="0"/>
          <c:showBubbleSize val="0"/>
        </c:dLbls>
        <c:gapWidth val="79"/>
        <c:overlap val="100"/>
        <c:axId val="224287356"/>
        <c:axId val="95699804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242873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956998041"/>
        <c:crosses val="autoZero"/>
        <c:auto val="1"/>
        <c:lblAlgn val="ctr"/>
        <c:lblOffset val="100"/>
        <c:noMultiLvlLbl val="0"/>
      </c:catAx>
      <c:valAx>
        <c:axId val="95699804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2873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收入决算饼状图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193.42</c:v>
                </c:pt>
                <c:pt idx="1">
                  <c:v>16.4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193.42</c:v>
                </c:pt>
                <c:pt idx="1">
                  <c:v>16.95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209.82</c:v>
                </c:pt>
                <c:pt idx="1">
                  <c:v>230.46</c:v>
                </c:pt>
              </c:numCache>
            </c:numRef>
          </c:val>
        </c:ser>
        <c:dLbls>
          <c:showLegendKey val="0"/>
          <c:showVal val="1"/>
          <c:showCatName val="0"/>
          <c:showSerName val="0"/>
          <c:showPercent val="0"/>
          <c:showBubbleSize val="0"/>
        </c:dLbls>
        <c:gapWidth val="219"/>
        <c:overlap val="-27"/>
        <c:axId val="78079572"/>
        <c:axId val="69440262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80795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02621"/>
        <c:crosses val="autoZero"/>
        <c:auto val="1"/>
        <c:lblAlgn val="ctr"/>
        <c:lblOffset val="100"/>
        <c:noMultiLvlLbl val="0"/>
      </c:catAx>
      <c:valAx>
        <c:axId val="6944026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795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c:rich>
      </c:tx>
      <c:layout/>
      <c:overlay val="0"/>
      <c:spPr>
        <a:noFill/>
        <a:ln>
          <a:noFill/>
        </a:ln>
        <a:effectLst/>
      </c:spPr>
    </c:title>
    <c:autoTitleDeleted val="0"/>
    <c:plotArea>
      <c:layout>
        <c:manualLayout>
          <c:layoutTarget val="inner"/>
          <c:xMode val="edge"/>
          <c:yMode val="edge"/>
          <c:x val="0.0613273001508296"/>
          <c:y val="0.156147540983607"/>
          <c:w val="0.913031674208145"/>
          <c:h val="0.651516393442623"/>
        </c:manualLayout>
      </c:layout>
      <c:barChart>
        <c:barDir val="col"/>
        <c:grouping val="clustered"/>
        <c:varyColors val="0"/>
        <c:ser>
          <c:idx val="0"/>
          <c:order val="0"/>
          <c:tx>
            <c:strRef>
              <c:f>Sheet1!$B$1</c:f>
              <c:strCache>
                <c:ptCount val="1"/>
                <c:pt idx="0">
                  <c:v>一般公共预算财政拨款支出变动图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2021年一般公共预算财政拨款支出</c:v>
                </c:pt>
                <c:pt idx="1">
                  <c:v>2020年一般公共预算财政拨款支出</c:v>
                </c:pt>
              </c:strCache>
            </c:strRef>
          </c:cat>
          <c:val>
            <c:numRef>
              <c:f>Sheet1!$B$2:$B$3</c:f>
              <c:numCache>
                <c:formatCode>General</c:formatCode>
                <c:ptCount val="2"/>
                <c:pt idx="0">
                  <c:v>193.42</c:v>
                </c:pt>
                <c:pt idx="1">
                  <c:v>190.45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2021年一般公共预算财政拨款支出</c:v>
                </c:pt>
                <c:pt idx="1">
                  <c:v>2020年一般公共预算财政拨款支出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2021年一般公共预算财政拨款支出</c:v>
                </c:pt>
                <c:pt idx="1">
                  <c:v>2020年一般公共预算财政拨款支出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645449873"/>
        <c:axId val="756771581"/>
      </c:barChart>
      <c:catAx>
        <c:axId val="6454498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771581"/>
        <c:crosses val="autoZero"/>
        <c:auto val="1"/>
        <c:lblAlgn val="ctr"/>
        <c:lblOffset val="100"/>
        <c:noMultiLvlLbl val="0"/>
      </c:catAx>
      <c:valAx>
        <c:axId val="7567715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4498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城乡社区支出</c:v>
                </c:pt>
                <c:pt idx="4">
                  <c:v>住房保障支出</c:v>
                </c:pt>
              </c:strCache>
            </c:strRef>
          </c:cat>
          <c:val>
            <c:numRef>
              <c:f>Sheet1!$B$2:$B$6</c:f>
              <c:numCache>
                <c:formatCode>General</c:formatCode>
                <c:ptCount val="5"/>
                <c:pt idx="0">
                  <c:v>149.99</c:v>
                </c:pt>
                <c:pt idx="1">
                  <c:v>15.68</c:v>
                </c:pt>
                <c:pt idx="2">
                  <c:v>10.23</c:v>
                </c:pt>
                <c:pt idx="3">
                  <c:v>16.4</c:v>
                </c:pt>
                <c:pt idx="4">
                  <c:v>17.52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12505</Words>
  <Characters>13375</Characters>
  <Lines>57</Lines>
  <Paragraphs>16</Paragraphs>
  <TotalTime>0</TotalTime>
  <ScaleCrop>false</ScaleCrop>
  <LinksUpToDate>false</LinksUpToDate>
  <CharactersWithSpaces>13557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ASUS</cp:lastModifiedBy>
  <cp:lastPrinted>2022-08-08T09:11:00Z</cp:lastPrinted>
  <dcterms:modified xsi:type="dcterms:W3CDTF">2023-10-07T09:38:17Z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CFFD39570F4A44978CBB325F99D7E56F_13</vt:lpwstr>
  </property>
</Properties>
</file>