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宋体" w:eastAsia="方正小标宋简体"/>
          <w:sz w:val="72"/>
          <w:szCs w:val="72"/>
        </w:rPr>
      </w:pPr>
      <w:bookmarkStart w:id="0" w:name="_Toc15377425"/>
      <w:bookmarkStart w:id="1" w:name="_Toc15378441"/>
      <w:bookmarkStart w:id="2" w:name="_Toc15377193"/>
      <w:bookmarkStart w:id="3" w:name="_Toc15396597"/>
      <w:bookmarkStart w:id="4" w:name="_Toc15396475"/>
      <w:bookmarkStart w:id="5" w:name="_Toc15306267"/>
    </w:p>
    <w:p>
      <w:pPr>
        <w:spacing w:line="600" w:lineRule="exact"/>
        <w:jc w:val="center"/>
        <w:rPr>
          <w:rFonts w:ascii="方正小标宋简体" w:hAnsi="宋体" w:eastAsia="方正小标宋简体"/>
          <w:sz w:val="72"/>
          <w:szCs w:val="72"/>
        </w:rPr>
      </w:pPr>
    </w:p>
    <w:p>
      <w:pPr>
        <w:spacing w:line="600" w:lineRule="exact"/>
        <w:jc w:val="center"/>
        <w:rPr>
          <w:rFonts w:ascii="方正小标宋简体" w:hAnsi="宋体" w:eastAsia="方正小标宋简体"/>
          <w:sz w:val="72"/>
          <w:szCs w:val="72"/>
        </w:rPr>
      </w:pPr>
    </w:p>
    <w:p>
      <w:pPr>
        <w:spacing w:line="600" w:lineRule="exact"/>
        <w:jc w:val="center"/>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7848"/>
      <w:bookmarkStart w:id="7" w:name="_Toc22596"/>
      <w:r>
        <w:rPr>
          <w:rFonts w:hint="eastAsia" w:ascii="方正小标宋简体" w:hAnsi="方正小标宋简体" w:eastAsia="方正小标宋简体" w:cs="方正小标宋简体"/>
          <w:sz w:val="72"/>
          <w:szCs w:val="72"/>
        </w:rPr>
        <w:t>2021年度</w:t>
      </w:r>
      <w:bookmarkEnd w:id="0"/>
      <w:bookmarkEnd w:id="1"/>
      <w:bookmarkEnd w:id="2"/>
      <w:bookmarkEnd w:id="3"/>
      <w:bookmarkEnd w:id="4"/>
      <w:bookmarkStart w:id="8" w:name="_Toc15377194"/>
      <w:bookmarkStart w:id="9" w:name="_Toc15396598"/>
      <w:bookmarkStart w:id="10" w:name="_Toc15378442"/>
      <w:bookmarkStart w:id="11" w:name="_Toc15396476"/>
      <w:bookmarkStart w:id="12" w:name="_Toc15377426"/>
      <w:r>
        <w:rPr>
          <w:rFonts w:hint="eastAsia" w:ascii="方正小标宋简体" w:hAnsi="方正小标宋简体" w:eastAsia="方正小标宋简体" w:cs="方正小标宋简体"/>
          <w:sz w:val="72"/>
          <w:szCs w:val="72"/>
        </w:rPr>
        <w:t>四川省</w:t>
      </w:r>
      <w:bookmarkEnd w:id="5"/>
      <w:bookmarkEnd w:id="6"/>
      <w:bookmarkEnd w:id="7"/>
      <w:bookmarkStart w:id="13" w:name="_Toc15306268"/>
    </w:p>
    <w:p>
      <w:pPr>
        <w:adjustRightInd w:val="0"/>
        <w:snapToGrid w:val="0"/>
        <w:spacing w:line="360" w:lineRule="auto"/>
        <w:ind w:left="-1260" w:leftChars="-600" w:right="-932" w:rightChars="-444"/>
        <w:jc w:val="center"/>
        <w:outlineLvl w:val="0"/>
        <w:rPr>
          <w:rFonts w:ascii="方正小标宋简体" w:hAnsi="方正小标宋简体" w:eastAsia="方正小标宋简体" w:cs="方正小标宋简体"/>
          <w:sz w:val="72"/>
          <w:szCs w:val="72"/>
        </w:rPr>
      </w:pPr>
      <w:bookmarkStart w:id="14" w:name="_Toc28446"/>
      <w:bookmarkStart w:id="15" w:name="_Toc28387"/>
      <w:r>
        <w:rPr>
          <w:rFonts w:hint="eastAsia" w:ascii="方正小标宋简体" w:hAnsi="方正小标宋简体" w:eastAsia="方正小标宋简体" w:cs="方正小标宋简体"/>
          <w:sz w:val="72"/>
          <w:szCs w:val="72"/>
        </w:rPr>
        <w:t>攀枝花市西区人社局部门决算</w:t>
      </w:r>
      <w:bookmarkEnd w:id="8"/>
      <w:bookmarkEnd w:id="9"/>
      <w:bookmarkEnd w:id="10"/>
      <w:bookmarkEnd w:id="11"/>
      <w:bookmarkEnd w:id="12"/>
      <w:bookmarkEnd w:id="13"/>
      <w:bookmarkEnd w:id="14"/>
      <w:bookmarkEnd w:id="15"/>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1"/>
      </w:pPr>
      <w:r>
        <w:rPr>
          <w:rFonts w:hint="eastAsia"/>
        </w:rPr>
        <w:t>公开时间：2022年9月29日</w:t>
      </w:r>
    </w:p>
    <w:p/>
    <w:sdt>
      <w:sdtPr>
        <w:rPr>
          <w:rFonts w:ascii="宋体" w:hAnsi="宋体"/>
        </w:rPr>
        <w:id w:val="147470334"/>
        <w15:color w:val="DBDBDB"/>
        <w:docPartObj>
          <w:docPartGallery w:val="Table of Contents"/>
          <w:docPartUnique/>
        </w:docPartObj>
      </w:sdtPr>
      <w:sdtEndPr>
        <w:rPr>
          <w:rFonts w:ascii="宋体" w:hAnsi="宋体"/>
          <w:b/>
        </w:rPr>
      </w:sdtEndPr>
      <w:sdtContent>
        <w:p>
          <w:pPr>
            <w:jc w:val="center"/>
            <w:rPr>
              <w:rFonts w:ascii="宋体" w:hAnsi="宋体" w:cs="宋体"/>
              <w:sz w:val="24"/>
            </w:rPr>
          </w:pPr>
          <w:bookmarkStart w:id="16" w:name="_Toc32463"/>
          <w:r>
            <w:rPr>
              <w:rFonts w:hint="eastAsia" w:ascii="宋体" w:hAnsi="宋体" w:cs="宋体"/>
              <w:sz w:val="24"/>
            </w:rPr>
            <w:t>目录</w:t>
          </w:r>
        </w:p>
        <w:p>
          <w:pPr>
            <w:pStyle w:val="34"/>
            <w:tabs>
              <w:tab w:val="right" w:leader="dot" w:pos="8200"/>
            </w:tabs>
            <w:rPr>
              <w:rFonts w:ascii="宋体" w:hAnsi="宋体" w:cs="宋体"/>
              <w:b/>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TOC \o "1-2" \h \u </w:instrText>
          </w:r>
          <w:r>
            <w:rPr>
              <w:rFonts w:hint="eastAsia" w:ascii="宋体" w:hAnsi="宋体" w:cs="宋体"/>
              <w:sz w:val="24"/>
              <w:szCs w:val="24"/>
            </w:rPr>
            <w:fldChar w:fldCharType="separate"/>
          </w:r>
        </w:p>
        <w:p>
          <w:pPr>
            <w:pStyle w:val="34"/>
            <w:tabs>
              <w:tab w:val="right" w:leader="dot" w:pos="8200"/>
            </w:tabs>
            <w:rPr>
              <w:rFonts w:ascii="宋体" w:hAnsi="宋体" w:cs="宋体"/>
              <w:b/>
              <w:sz w:val="24"/>
              <w:szCs w:val="24"/>
            </w:rPr>
          </w:pPr>
          <w:r>
            <w:fldChar w:fldCharType="begin"/>
          </w:r>
          <w:r>
            <w:instrText xml:space="preserve"> HYPERLINK \l "_Toc3212" </w:instrText>
          </w:r>
          <w:r>
            <w:fldChar w:fldCharType="separate"/>
          </w:r>
          <w:r>
            <w:rPr>
              <w:rFonts w:hint="eastAsia" w:ascii="宋体" w:hAnsi="宋体" w:cs="宋体"/>
              <w:b/>
              <w:sz w:val="24"/>
              <w:szCs w:val="24"/>
            </w:rPr>
            <w:t>第一部分 部门概况</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_Toc3212 \h </w:instrText>
          </w:r>
          <w:r>
            <w:rPr>
              <w:rFonts w:hint="eastAsia" w:ascii="宋体" w:hAnsi="宋体" w:cs="宋体"/>
              <w:b/>
              <w:sz w:val="24"/>
              <w:szCs w:val="24"/>
            </w:rPr>
            <w:fldChar w:fldCharType="separate"/>
          </w:r>
          <w:r>
            <w:rPr>
              <w:rFonts w:hint="eastAsia" w:ascii="宋体" w:hAnsi="宋体" w:cs="宋体"/>
              <w:b/>
              <w:sz w:val="24"/>
              <w:szCs w:val="24"/>
            </w:rPr>
            <w:t>3</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35"/>
            <w:tabs>
              <w:tab w:val="right" w:leader="dot" w:pos="8200"/>
            </w:tabs>
            <w:ind w:left="420"/>
            <w:rPr>
              <w:rFonts w:ascii="宋体" w:hAnsi="宋体" w:cs="宋体"/>
              <w:sz w:val="24"/>
              <w:szCs w:val="24"/>
            </w:rPr>
          </w:pPr>
          <w:r>
            <w:fldChar w:fldCharType="begin"/>
          </w:r>
          <w:r>
            <w:instrText xml:space="preserve"> HYPERLINK \l "_Toc31150" </w:instrText>
          </w:r>
          <w:r>
            <w:fldChar w:fldCharType="separate"/>
          </w:r>
          <w:r>
            <w:rPr>
              <w:rFonts w:hint="eastAsia" w:ascii="宋体" w:hAnsi="宋体" w:cs="宋体"/>
              <w:sz w:val="24"/>
              <w:szCs w:val="24"/>
            </w:rPr>
            <w:t>一、基本职能及主要工作</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_Toc31150 \h </w:instrText>
          </w:r>
          <w:r>
            <w:rPr>
              <w:rFonts w:hint="eastAsia" w:ascii="宋体" w:hAnsi="宋体" w:cs="宋体"/>
              <w:sz w:val="24"/>
              <w:szCs w:val="24"/>
            </w:rPr>
            <w:fldChar w:fldCharType="separate"/>
          </w:r>
          <w:r>
            <w:rPr>
              <w:rFonts w:hint="eastAsia" w:ascii="宋体" w:hAnsi="宋体" w:cs="宋体"/>
              <w:sz w:val="24"/>
              <w:szCs w:val="24"/>
            </w:rPr>
            <w:t>3</w:t>
          </w:r>
          <w:r>
            <w:rPr>
              <w:rFonts w:hint="eastAsia" w:ascii="宋体" w:hAnsi="宋体" w:cs="宋体"/>
              <w:sz w:val="24"/>
              <w:szCs w:val="24"/>
            </w:rPr>
            <w:fldChar w:fldCharType="end"/>
          </w:r>
          <w:r>
            <w:rPr>
              <w:rFonts w:hint="eastAsia" w:ascii="宋体" w:hAnsi="宋体" w:cs="宋体"/>
              <w:sz w:val="24"/>
              <w:szCs w:val="24"/>
            </w:rPr>
            <w:fldChar w:fldCharType="end"/>
          </w:r>
        </w:p>
        <w:p>
          <w:pPr>
            <w:pStyle w:val="35"/>
            <w:tabs>
              <w:tab w:val="right" w:leader="dot" w:pos="8200"/>
            </w:tabs>
            <w:ind w:left="420"/>
            <w:rPr>
              <w:rFonts w:ascii="宋体" w:hAnsi="宋体" w:cs="宋体"/>
              <w:sz w:val="24"/>
              <w:szCs w:val="24"/>
            </w:rPr>
          </w:pPr>
          <w:r>
            <w:fldChar w:fldCharType="begin"/>
          </w:r>
          <w:r>
            <w:instrText xml:space="preserve"> HYPERLINK \l "_Toc17085" </w:instrText>
          </w:r>
          <w:r>
            <w:fldChar w:fldCharType="separate"/>
          </w:r>
          <w:r>
            <w:rPr>
              <w:rFonts w:hint="eastAsia" w:ascii="宋体" w:hAnsi="宋体" w:cs="宋体"/>
              <w:sz w:val="24"/>
              <w:szCs w:val="24"/>
            </w:rPr>
            <w:t>二、 机构设置</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_Toc17085 \h </w:instrText>
          </w:r>
          <w:r>
            <w:rPr>
              <w:rFonts w:hint="eastAsia" w:ascii="宋体" w:hAnsi="宋体" w:cs="宋体"/>
              <w:sz w:val="24"/>
              <w:szCs w:val="24"/>
            </w:rPr>
            <w:fldChar w:fldCharType="separate"/>
          </w:r>
          <w:r>
            <w:rPr>
              <w:rFonts w:hint="eastAsia" w:ascii="宋体" w:hAnsi="宋体" w:cs="宋体"/>
              <w:sz w:val="24"/>
              <w:szCs w:val="24"/>
            </w:rPr>
            <w:t>21</w:t>
          </w:r>
          <w:r>
            <w:rPr>
              <w:rFonts w:hint="eastAsia" w:ascii="宋体" w:hAnsi="宋体" w:cs="宋体"/>
              <w:sz w:val="24"/>
              <w:szCs w:val="24"/>
            </w:rPr>
            <w:fldChar w:fldCharType="end"/>
          </w:r>
          <w:r>
            <w:rPr>
              <w:rFonts w:hint="eastAsia" w:ascii="宋体" w:hAnsi="宋体" w:cs="宋体"/>
              <w:sz w:val="24"/>
              <w:szCs w:val="24"/>
            </w:rPr>
            <w:fldChar w:fldCharType="end"/>
          </w:r>
        </w:p>
        <w:p>
          <w:pPr>
            <w:pStyle w:val="34"/>
            <w:tabs>
              <w:tab w:val="right" w:leader="dot" w:pos="8200"/>
            </w:tabs>
            <w:rPr>
              <w:rFonts w:ascii="宋体" w:hAnsi="宋体" w:cs="宋体"/>
              <w:b/>
              <w:sz w:val="24"/>
              <w:szCs w:val="24"/>
            </w:rPr>
          </w:pPr>
          <w:r>
            <w:fldChar w:fldCharType="begin"/>
          </w:r>
          <w:r>
            <w:instrText xml:space="preserve"> HYPERLINK \l "_Toc9632" </w:instrText>
          </w:r>
          <w:r>
            <w:fldChar w:fldCharType="separate"/>
          </w:r>
          <w:r>
            <w:rPr>
              <w:rFonts w:hint="eastAsia" w:ascii="宋体" w:hAnsi="宋体" w:cs="宋体"/>
              <w:b/>
              <w:sz w:val="24"/>
              <w:szCs w:val="24"/>
            </w:rPr>
            <w:t>第二部分 2021年度</w:t>
          </w:r>
          <w:r>
            <w:rPr>
              <w:rFonts w:hint="eastAsia" w:ascii="宋体" w:hAnsi="宋体" w:cs="宋体"/>
              <w:b/>
              <w:bCs/>
              <w:sz w:val="24"/>
              <w:szCs w:val="24"/>
            </w:rPr>
            <w:t>部门决算情况说明</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_Toc9632 \h </w:instrText>
          </w:r>
          <w:r>
            <w:rPr>
              <w:rFonts w:hint="eastAsia" w:ascii="宋体" w:hAnsi="宋体" w:cs="宋体"/>
              <w:b/>
              <w:sz w:val="24"/>
              <w:szCs w:val="24"/>
            </w:rPr>
            <w:fldChar w:fldCharType="separate"/>
          </w:r>
          <w:r>
            <w:rPr>
              <w:rFonts w:hint="eastAsia" w:ascii="宋体" w:hAnsi="宋体" w:cs="宋体"/>
              <w:b/>
              <w:sz w:val="24"/>
              <w:szCs w:val="24"/>
            </w:rPr>
            <w:t>23</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35"/>
            <w:tabs>
              <w:tab w:val="right" w:leader="dot" w:pos="8200"/>
            </w:tabs>
            <w:ind w:left="420"/>
            <w:rPr>
              <w:rFonts w:ascii="宋体" w:hAnsi="宋体" w:cs="宋体"/>
              <w:sz w:val="24"/>
              <w:szCs w:val="24"/>
            </w:rPr>
          </w:pPr>
          <w:r>
            <w:fldChar w:fldCharType="begin"/>
          </w:r>
          <w:r>
            <w:instrText xml:space="preserve"> HYPERLINK \l "_Toc13428" </w:instrText>
          </w:r>
          <w:r>
            <w:fldChar w:fldCharType="separate"/>
          </w:r>
          <w:r>
            <w:rPr>
              <w:rFonts w:hint="eastAsia" w:ascii="宋体" w:hAnsi="宋体" w:cs="宋体"/>
              <w:sz w:val="24"/>
              <w:szCs w:val="24"/>
            </w:rPr>
            <w:t>一、 收入支出决算总体情况说明</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_Toc13428 \h </w:instrText>
          </w:r>
          <w:r>
            <w:rPr>
              <w:rFonts w:hint="eastAsia" w:ascii="宋体" w:hAnsi="宋体" w:cs="宋体"/>
              <w:sz w:val="24"/>
              <w:szCs w:val="24"/>
            </w:rPr>
            <w:fldChar w:fldCharType="separate"/>
          </w:r>
          <w:r>
            <w:rPr>
              <w:rFonts w:hint="eastAsia" w:ascii="宋体" w:hAnsi="宋体" w:cs="宋体"/>
              <w:sz w:val="24"/>
              <w:szCs w:val="24"/>
            </w:rPr>
            <w:t>23</w:t>
          </w:r>
          <w:r>
            <w:rPr>
              <w:rFonts w:hint="eastAsia" w:ascii="宋体" w:hAnsi="宋体" w:cs="宋体"/>
              <w:sz w:val="24"/>
              <w:szCs w:val="24"/>
            </w:rPr>
            <w:fldChar w:fldCharType="end"/>
          </w:r>
          <w:r>
            <w:rPr>
              <w:rFonts w:hint="eastAsia" w:ascii="宋体" w:hAnsi="宋体" w:cs="宋体"/>
              <w:sz w:val="24"/>
              <w:szCs w:val="24"/>
            </w:rPr>
            <w:fldChar w:fldCharType="end"/>
          </w:r>
        </w:p>
        <w:p>
          <w:pPr>
            <w:pStyle w:val="35"/>
            <w:tabs>
              <w:tab w:val="right" w:leader="dot" w:pos="8200"/>
            </w:tabs>
            <w:ind w:left="420"/>
            <w:rPr>
              <w:rFonts w:ascii="宋体" w:hAnsi="宋体" w:cs="宋体"/>
              <w:sz w:val="24"/>
              <w:szCs w:val="24"/>
            </w:rPr>
          </w:pPr>
          <w:r>
            <w:fldChar w:fldCharType="begin"/>
          </w:r>
          <w:r>
            <w:instrText xml:space="preserve"> HYPERLINK \l "_Toc19567" </w:instrText>
          </w:r>
          <w:r>
            <w:fldChar w:fldCharType="separate"/>
          </w:r>
          <w:r>
            <w:rPr>
              <w:rFonts w:hint="eastAsia" w:ascii="宋体" w:hAnsi="宋体" w:cs="宋体"/>
              <w:sz w:val="24"/>
              <w:szCs w:val="24"/>
            </w:rPr>
            <w:t>二、 收入决算情况说明</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_Toc19567 \h </w:instrText>
          </w:r>
          <w:r>
            <w:rPr>
              <w:rFonts w:hint="eastAsia" w:ascii="宋体" w:hAnsi="宋体" w:cs="宋体"/>
              <w:sz w:val="24"/>
              <w:szCs w:val="24"/>
            </w:rPr>
            <w:fldChar w:fldCharType="separate"/>
          </w:r>
          <w:r>
            <w:rPr>
              <w:rFonts w:hint="eastAsia" w:ascii="宋体" w:hAnsi="宋体" w:cs="宋体"/>
              <w:sz w:val="24"/>
              <w:szCs w:val="24"/>
            </w:rPr>
            <w:t>23</w:t>
          </w:r>
          <w:r>
            <w:rPr>
              <w:rFonts w:hint="eastAsia" w:ascii="宋体" w:hAnsi="宋体" w:cs="宋体"/>
              <w:sz w:val="24"/>
              <w:szCs w:val="24"/>
            </w:rPr>
            <w:fldChar w:fldCharType="end"/>
          </w:r>
          <w:r>
            <w:rPr>
              <w:rFonts w:hint="eastAsia" w:ascii="宋体" w:hAnsi="宋体" w:cs="宋体"/>
              <w:sz w:val="24"/>
              <w:szCs w:val="24"/>
            </w:rPr>
            <w:fldChar w:fldCharType="end"/>
          </w:r>
        </w:p>
        <w:p>
          <w:pPr>
            <w:pStyle w:val="35"/>
            <w:tabs>
              <w:tab w:val="right" w:leader="dot" w:pos="8200"/>
            </w:tabs>
            <w:ind w:left="420"/>
            <w:rPr>
              <w:rFonts w:ascii="宋体" w:hAnsi="宋体" w:cs="宋体"/>
              <w:sz w:val="24"/>
              <w:szCs w:val="24"/>
            </w:rPr>
          </w:pPr>
          <w:r>
            <w:fldChar w:fldCharType="begin"/>
          </w:r>
          <w:r>
            <w:instrText xml:space="preserve"> HYPERLINK \l "_Toc18697" </w:instrText>
          </w:r>
          <w:r>
            <w:fldChar w:fldCharType="separate"/>
          </w:r>
          <w:r>
            <w:rPr>
              <w:rFonts w:hint="eastAsia" w:ascii="宋体" w:hAnsi="宋体" w:cs="宋体"/>
              <w:sz w:val="24"/>
              <w:szCs w:val="24"/>
            </w:rPr>
            <w:t>三、 支出决算情况说明</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_Toc18697 \h </w:instrText>
          </w:r>
          <w:r>
            <w:rPr>
              <w:rFonts w:hint="eastAsia" w:ascii="宋体" w:hAnsi="宋体" w:cs="宋体"/>
              <w:sz w:val="24"/>
              <w:szCs w:val="24"/>
            </w:rPr>
            <w:fldChar w:fldCharType="separate"/>
          </w:r>
          <w:r>
            <w:rPr>
              <w:rFonts w:hint="eastAsia" w:ascii="宋体" w:hAnsi="宋体" w:cs="宋体"/>
              <w:sz w:val="24"/>
              <w:szCs w:val="24"/>
            </w:rPr>
            <w:t>24</w:t>
          </w:r>
          <w:r>
            <w:rPr>
              <w:rFonts w:hint="eastAsia" w:ascii="宋体" w:hAnsi="宋体" w:cs="宋体"/>
              <w:sz w:val="24"/>
              <w:szCs w:val="24"/>
            </w:rPr>
            <w:fldChar w:fldCharType="end"/>
          </w:r>
          <w:r>
            <w:rPr>
              <w:rFonts w:hint="eastAsia" w:ascii="宋体" w:hAnsi="宋体" w:cs="宋体"/>
              <w:sz w:val="24"/>
              <w:szCs w:val="24"/>
            </w:rPr>
            <w:fldChar w:fldCharType="end"/>
          </w:r>
        </w:p>
        <w:p>
          <w:pPr>
            <w:pStyle w:val="35"/>
            <w:tabs>
              <w:tab w:val="right" w:leader="dot" w:pos="8200"/>
            </w:tabs>
            <w:ind w:left="420"/>
            <w:rPr>
              <w:rFonts w:ascii="宋体" w:hAnsi="宋体" w:cs="宋体"/>
              <w:sz w:val="24"/>
              <w:szCs w:val="24"/>
            </w:rPr>
          </w:pPr>
          <w:r>
            <w:fldChar w:fldCharType="begin"/>
          </w:r>
          <w:r>
            <w:instrText xml:space="preserve"> HYPERLINK \l "_Toc19055" </w:instrText>
          </w:r>
          <w:r>
            <w:fldChar w:fldCharType="separate"/>
          </w:r>
          <w:r>
            <w:rPr>
              <w:rFonts w:hint="eastAsia" w:ascii="宋体" w:hAnsi="宋体" w:cs="宋体"/>
              <w:sz w:val="24"/>
              <w:szCs w:val="24"/>
            </w:rPr>
            <w:t>四、财政拨款收入支出决算总体情况说明</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_Toc19055 \h </w:instrText>
          </w:r>
          <w:r>
            <w:rPr>
              <w:rFonts w:hint="eastAsia" w:ascii="宋体" w:hAnsi="宋体" w:cs="宋体"/>
              <w:sz w:val="24"/>
              <w:szCs w:val="24"/>
            </w:rPr>
            <w:fldChar w:fldCharType="separate"/>
          </w:r>
          <w:r>
            <w:rPr>
              <w:rFonts w:hint="eastAsia" w:ascii="宋体" w:hAnsi="宋体" w:cs="宋体"/>
              <w:sz w:val="24"/>
              <w:szCs w:val="24"/>
            </w:rPr>
            <w:t>25</w:t>
          </w:r>
          <w:r>
            <w:rPr>
              <w:rFonts w:hint="eastAsia" w:ascii="宋体" w:hAnsi="宋体" w:cs="宋体"/>
              <w:sz w:val="24"/>
              <w:szCs w:val="24"/>
            </w:rPr>
            <w:fldChar w:fldCharType="end"/>
          </w:r>
          <w:r>
            <w:rPr>
              <w:rFonts w:hint="eastAsia" w:ascii="宋体" w:hAnsi="宋体" w:cs="宋体"/>
              <w:sz w:val="24"/>
              <w:szCs w:val="24"/>
            </w:rPr>
            <w:fldChar w:fldCharType="end"/>
          </w:r>
        </w:p>
        <w:p>
          <w:pPr>
            <w:pStyle w:val="35"/>
            <w:tabs>
              <w:tab w:val="right" w:leader="dot" w:pos="8200"/>
            </w:tabs>
            <w:ind w:left="420"/>
            <w:rPr>
              <w:rFonts w:ascii="宋体" w:hAnsi="宋体" w:cs="宋体"/>
              <w:sz w:val="24"/>
              <w:szCs w:val="24"/>
            </w:rPr>
          </w:pPr>
          <w:r>
            <w:fldChar w:fldCharType="begin"/>
          </w:r>
          <w:r>
            <w:instrText xml:space="preserve"> HYPERLINK \l "_Toc7435" </w:instrText>
          </w:r>
          <w:r>
            <w:fldChar w:fldCharType="separate"/>
          </w:r>
          <w:r>
            <w:rPr>
              <w:rFonts w:hint="eastAsia" w:ascii="宋体" w:hAnsi="宋体" w:cs="宋体"/>
              <w:sz w:val="24"/>
              <w:szCs w:val="24"/>
            </w:rPr>
            <w:t>五、一般公共预算财政拨款支出决算情况说明</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_Toc7435 \h </w:instrText>
          </w:r>
          <w:r>
            <w:rPr>
              <w:rFonts w:hint="eastAsia" w:ascii="宋体" w:hAnsi="宋体" w:cs="宋体"/>
              <w:sz w:val="24"/>
              <w:szCs w:val="24"/>
            </w:rPr>
            <w:fldChar w:fldCharType="separate"/>
          </w:r>
          <w:r>
            <w:rPr>
              <w:rFonts w:hint="eastAsia" w:ascii="宋体" w:hAnsi="宋体" w:cs="宋体"/>
              <w:sz w:val="24"/>
              <w:szCs w:val="24"/>
            </w:rPr>
            <w:t>26</w:t>
          </w:r>
          <w:r>
            <w:rPr>
              <w:rFonts w:hint="eastAsia" w:ascii="宋体" w:hAnsi="宋体" w:cs="宋体"/>
              <w:sz w:val="24"/>
              <w:szCs w:val="24"/>
            </w:rPr>
            <w:fldChar w:fldCharType="end"/>
          </w:r>
          <w:r>
            <w:rPr>
              <w:rFonts w:hint="eastAsia" w:ascii="宋体" w:hAnsi="宋体" w:cs="宋体"/>
              <w:sz w:val="24"/>
              <w:szCs w:val="24"/>
            </w:rPr>
            <w:fldChar w:fldCharType="end"/>
          </w:r>
        </w:p>
        <w:p>
          <w:pPr>
            <w:pStyle w:val="35"/>
            <w:tabs>
              <w:tab w:val="right" w:leader="dot" w:pos="8200"/>
            </w:tabs>
            <w:ind w:left="420"/>
            <w:rPr>
              <w:rFonts w:ascii="宋体" w:hAnsi="宋体" w:cs="宋体"/>
              <w:sz w:val="24"/>
              <w:szCs w:val="24"/>
            </w:rPr>
          </w:pPr>
          <w:r>
            <w:fldChar w:fldCharType="begin"/>
          </w:r>
          <w:r>
            <w:instrText xml:space="preserve"> HYPERLINK \l "_Toc16928" </w:instrText>
          </w:r>
          <w:r>
            <w:fldChar w:fldCharType="separate"/>
          </w:r>
          <w:r>
            <w:rPr>
              <w:rFonts w:hint="eastAsia" w:ascii="宋体" w:hAnsi="宋体" w:cs="宋体"/>
              <w:sz w:val="24"/>
              <w:szCs w:val="24"/>
            </w:rPr>
            <w:t>六、一般公共预算财政拨款基本支出决算情况说明</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_Toc16928 \h </w:instrText>
          </w:r>
          <w:r>
            <w:rPr>
              <w:rFonts w:hint="eastAsia" w:ascii="宋体" w:hAnsi="宋体" w:cs="宋体"/>
              <w:sz w:val="24"/>
              <w:szCs w:val="24"/>
            </w:rPr>
            <w:fldChar w:fldCharType="separate"/>
          </w:r>
          <w:r>
            <w:rPr>
              <w:rFonts w:hint="eastAsia" w:ascii="宋体" w:hAnsi="宋体" w:cs="宋体"/>
              <w:sz w:val="24"/>
              <w:szCs w:val="24"/>
            </w:rPr>
            <w:t>29</w:t>
          </w:r>
          <w:r>
            <w:rPr>
              <w:rFonts w:hint="eastAsia" w:ascii="宋体" w:hAnsi="宋体" w:cs="宋体"/>
              <w:sz w:val="24"/>
              <w:szCs w:val="24"/>
            </w:rPr>
            <w:fldChar w:fldCharType="end"/>
          </w:r>
          <w:r>
            <w:rPr>
              <w:rFonts w:hint="eastAsia" w:ascii="宋体" w:hAnsi="宋体" w:cs="宋体"/>
              <w:sz w:val="24"/>
              <w:szCs w:val="24"/>
            </w:rPr>
            <w:fldChar w:fldCharType="end"/>
          </w:r>
        </w:p>
        <w:p>
          <w:pPr>
            <w:pStyle w:val="35"/>
            <w:tabs>
              <w:tab w:val="right" w:leader="dot" w:pos="8200"/>
            </w:tabs>
            <w:ind w:left="420"/>
            <w:rPr>
              <w:rFonts w:ascii="宋体" w:hAnsi="宋体" w:cs="宋体"/>
              <w:sz w:val="24"/>
              <w:szCs w:val="24"/>
            </w:rPr>
          </w:pPr>
          <w:r>
            <w:fldChar w:fldCharType="begin"/>
          </w:r>
          <w:r>
            <w:instrText xml:space="preserve"> HYPERLINK \l "_Toc10581" </w:instrText>
          </w:r>
          <w:r>
            <w:fldChar w:fldCharType="separate"/>
          </w:r>
          <w:r>
            <w:rPr>
              <w:rFonts w:hint="eastAsia" w:ascii="宋体" w:hAnsi="宋体" w:cs="宋体"/>
              <w:sz w:val="24"/>
              <w:szCs w:val="24"/>
            </w:rPr>
            <w:t>七、“三公”经费财政拨款支出决算情况说明</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_Toc10581 \h </w:instrText>
          </w:r>
          <w:r>
            <w:rPr>
              <w:rFonts w:hint="eastAsia" w:ascii="宋体" w:hAnsi="宋体" w:cs="宋体"/>
              <w:sz w:val="24"/>
              <w:szCs w:val="24"/>
            </w:rPr>
            <w:fldChar w:fldCharType="separate"/>
          </w:r>
          <w:r>
            <w:rPr>
              <w:rFonts w:hint="eastAsia" w:ascii="宋体" w:hAnsi="宋体" w:cs="宋体"/>
              <w:sz w:val="24"/>
              <w:szCs w:val="24"/>
            </w:rPr>
            <w:t>30</w:t>
          </w:r>
          <w:r>
            <w:rPr>
              <w:rFonts w:hint="eastAsia" w:ascii="宋体" w:hAnsi="宋体" w:cs="宋体"/>
              <w:sz w:val="24"/>
              <w:szCs w:val="24"/>
            </w:rPr>
            <w:fldChar w:fldCharType="end"/>
          </w:r>
          <w:r>
            <w:rPr>
              <w:rFonts w:hint="eastAsia" w:ascii="宋体" w:hAnsi="宋体" w:cs="宋体"/>
              <w:sz w:val="24"/>
              <w:szCs w:val="24"/>
            </w:rPr>
            <w:fldChar w:fldCharType="end"/>
          </w:r>
        </w:p>
        <w:p>
          <w:pPr>
            <w:pStyle w:val="35"/>
            <w:tabs>
              <w:tab w:val="right" w:leader="dot" w:pos="8200"/>
            </w:tabs>
            <w:ind w:left="420"/>
            <w:rPr>
              <w:rFonts w:ascii="宋体" w:hAnsi="宋体" w:cs="宋体"/>
              <w:sz w:val="24"/>
              <w:szCs w:val="24"/>
            </w:rPr>
          </w:pPr>
          <w:r>
            <w:fldChar w:fldCharType="begin"/>
          </w:r>
          <w:r>
            <w:instrText xml:space="preserve"> HYPERLINK \l "_Toc10445" </w:instrText>
          </w:r>
          <w:r>
            <w:fldChar w:fldCharType="separate"/>
          </w:r>
          <w:r>
            <w:rPr>
              <w:rFonts w:hint="eastAsia" w:ascii="宋体" w:hAnsi="宋体" w:cs="宋体"/>
              <w:sz w:val="24"/>
              <w:szCs w:val="24"/>
            </w:rPr>
            <w:t>八、政府性基金预算支出决算情况说明</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_Toc10445 \h </w:instrText>
          </w:r>
          <w:r>
            <w:rPr>
              <w:rFonts w:hint="eastAsia" w:ascii="宋体" w:hAnsi="宋体" w:cs="宋体"/>
              <w:sz w:val="24"/>
              <w:szCs w:val="24"/>
            </w:rPr>
            <w:fldChar w:fldCharType="separate"/>
          </w:r>
          <w:r>
            <w:rPr>
              <w:rFonts w:hint="eastAsia" w:ascii="宋体" w:hAnsi="宋体" w:cs="宋体"/>
              <w:sz w:val="24"/>
              <w:szCs w:val="24"/>
            </w:rPr>
            <w:t>32</w:t>
          </w:r>
          <w:r>
            <w:rPr>
              <w:rFonts w:hint="eastAsia" w:ascii="宋体" w:hAnsi="宋体" w:cs="宋体"/>
              <w:sz w:val="24"/>
              <w:szCs w:val="24"/>
            </w:rPr>
            <w:fldChar w:fldCharType="end"/>
          </w:r>
          <w:r>
            <w:rPr>
              <w:rFonts w:hint="eastAsia" w:ascii="宋体" w:hAnsi="宋体" w:cs="宋体"/>
              <w:sz w:val="24"/>
              <w:szCs w:val="24"/>
            </w:rPr>
            <w:fldChar w:fldCharType="end"/>
          </w:r>
        </w:p>
        <w:p>
          <w:pPr>
            <w:pStyle w:val="35"/>
            <w:tabs>
              <w:tab w:val="right" w:leader="dot" w:pos="8200"/>
            </w:tabs>
            <w:ind w:left="420"/>
            <w:rPr>
              <w:rFonts w:ascii="宋体" w:hAnsi="宋体" w:cs="宋体"/>
              <w:sz w:val="24"/>
              <w:szCs w:val="24"/>
            </w:rPr>
          </w:pPr>
          <w:r>
            <w:fldChar w:fldCharType="begin"/>
          </w:r>
          <w:r>
            <w:instrText xml:space="preserve"> HYPERLINK \l "_Toc8658" </w:instrText>
          </w:r>
          <w:r>
            <w:fldChar w:fldCharType="separate"/>
          </w:r>
          <w:r>
            <w:rPr>
              <w:rFonts w:hint="eastAsia" w:ascii="宋体" w:hAnsi="宋体" w:cs="宋体"/>
              <w:sz w:val="24"/>
              <w:szCs w:val="24"/>
            </w:rPr>
            <w:t>九、 国有资本经营预算支出决算情况说明</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_Toc8658 \h </w:instrText>
          </w:r>
          <w:r>
            <w:rPr>
              <w:rFonts w:hint="eastAsia" w:ascii="宋体" w:hAnsi="宋体" w:cs="宋体"/>
              <w:sz w:val="24"/>
              <w:szCs w:val="24"/>
            </w:rPr>
            <w:fldChar w:fldCharType="separate"/>
          </w:r>
          <w:r>
            <w:rPr>
              <w:rFonts w:hint="eastAsia" w:ascii="宋体" w:hAnsi="宋体" w:cs="宋体"/>
              <w:sz w:val="24"/>
              <w:szCs w:val="24"/>
            </w:rPr>
            <w:t>32</w:t>
          </w:r>
          <w:r>
            <w:rPr>
              <w:rFonts w:hint="eastAsia" w:ascii="宋体" w:hAnsi="宋体" w:cs="宋体"/>
              <w:sz w:val="24"/>
              <w:szCs w:val="24"/>
            </w:rPr>
            <w:fldChar w:fldCharType="end"/>
          </w:r>
          <w:r>
            <w:rPr>
              <w:rFonts w:hint="eastAsia" w:ascii="宋体" w:hAnsi="宋体" w:cs="宋体"/>
              <w:sz w:val="24"/>
              <w:szCs w:val="24"/>
            </w:rPr>
            <w:fldChar w:fldCharType="end"/>
          </w:r>
        </w:p>
        <w:p>
          <w:pPr>
            <w:pStyle w:val="35"/>
            <w:tabs>
              <w:tab w:val="right" w:leader="dot" w:pos="8200"/>
            </w:tabs>
            <w:ind w:left="420"/>
            <w:rPr>
              <w:rFonts w:ascii="宋体" w:hAnsi="宋体" w:cs="宋体"/>
              <w:sz w:val="24"/>
              <w:szCs w:val="24"/>
            </w:rPr>
          </w:pPr>
          <w:r>
            <w:fldChar w:fldCharType="begin"/>
          </w:r>
          <w:r>
            <w:instrText xml:space="preserve"> HYPERLINK \l "_Toc19559" </w:instrText>
          </w:r>
          <w:r>
            <w:fldChar w:fldCharType="separate"/>
          </w:r>
          <w:r>
            <w:rPr>
              <w:rFonts w:hint="eastAsia" w:ascii="宋体" w:hAnsi="宋体" w:cs="宋体"/>
              <w:sz w:val="24"/>
              <w:szCs w:val="24"/>
            </w:rPr>
            <w:t>十、 其他重要事项的情况说明</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_Toc19559 \h </w:instrText>
          </w:r>
          <w:r>
            <w:rPr>
              <w:rFonts w:hint="eastAsia" w:ascii="宋体" w:hAnsi="宋体" w:cs="宋体"/>
              <w:sz w:val="24"/>
              <w:szCs w:val="24"/>
            </w:rPr>
            <w:fldChar w:fldCharType="separate"/>
          </w:r>
          <w:r>
            <w:rPr>
              <w:rFonts w:hint="eastAsia" w:ascii="宋体" w:hAnsi="宋体" w:cs="宋体"/>
              <w:sz w:val="24"/>
              <w:szCs w:val="24"/>
            </w:rPr>
            <w:t>32</w:t>
          </w:r>
          <w:r>
            <w:rPr>
              <w:rFonts w:hint="eastAsia" w:ascii="宋体" w:hAnsi="宋体" w:cs="宋体"/>
              <w:sz w:val="24"/>
              <w:szCs w:val="24"/>
            </w:rPr>
            <w:fldChar w:fldCharType="end"/>
          </w:r>
          <w:r>
            <w:rPr>
              <w:rFonts w:hint="eastAsia" w:ascii="宋体" w:hAnsi="宋体" w:cs="宋体"/>
              <w:sz w:val="24"/>
              <w:szCs w:val="24"/>
            </w:rPr>
            <w:fldChar w:fldCharType="end"/>
          </w:r>
        </w:p>
        <w:p>
          <w:pPr>
            <w:pStyle w:val="34"/>
            <w:tabs>
              <w:tab w:val="right" w:leader="dot" w:pos="8200"/>
            </w:tabs>
            <w:rPr>
              <w:rFonts w:ascii="宋体" w:hAnsi="宋体" w:cs="宋体"/>
              <w:b/>
              <w:sz w:val="24"/>
              <w:szCs w:val="24"/>
            </w:rPr>
          </w:pPr>
          <w:r>
            <w:fldChar w:fldCharType="begin"/>
          </w:r>
          <w:r>
            <w:instrText xml:space="preserve"> HYPERLINK \l "_Toc22506" </w:instrText>
          </w:r>
          <w:r>
            <w:fldChar w:fldCharType="separate"/>
          </w:r>
          <w:r>
            <w:rPr>
              <w:rFonts w:hint="eastAsia" w:ascii="宋体" w:hAnsi="宋体" w:cs="宋体"/>
              <w:b/>
              <w:sz w:val="24"/>
              <w:szCs w:val="24"/>
            </w:rPr>
            <w:t>第三部分 名词解释</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_Toc22506 \h </w:instrText>
          </w:r>
          <w:r>
            <w:rPr>
              <w:rFonts w:hint="eastAsia" w:ascii="宋体" w:hAnsi="宋体" w:cs="宋体"/>
              <w:b/>
              <w:sz w:val="24"/>
              <w:szCs w:val="24"/>
            </w:rPr>
            <w:fldChar w:fldCharType="separate"/>
          </w:r>
          <w:r>
            <w:rPr>
              <w:rFonts w:hint="eastAsia" w:ascii="宋体" w:hAnsi="宋体" w:cs="宋体"/>
              <w:b/>
              <w:sz w:val="24"/>
              <w:szCs w:val="24"/>
            </w:rPr>
            <w:t>34</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34"/>
            <w:tabs>
              <w:tab w:val="right" w:leader="dot" w:pos="8200"/>
            </w:tabs>
            <w:rPr>
              <w:rFonts w:ascii="宋体" w:hAnsi="宋体" w:cs="宋体"/>
              <w:b/>
              <w:sz w:val="24"/>
              <w:szCs w:val="24"/>
            </w:rPr>
          </w:pPr>
          <w:r>
            <w:fldChar w:fldCharType="begin"/>
          </w:r>
          <w:r>
            <w:instrText xml:space="preserve"> HYPERLINK \l "_Toc28431" </w:instrText>
          </w:r>
          <w:r>
            <w:fldChar w:fldCharType="separate"/>
          </w:r>
          <w:r>
            <w:rPr>
              <w:rFonts w:hint="eastAsia" w:ascii="宋体" w:hAnsi="宋体" w:cs="宋体"/>
              <w:b/>
              <w:color w:val="00001A" w:themeColor="hyperlink" w:themeShade="1A"/>
              <w:sz w:val="24"/>
              <w:szCs w:val="24"/>
            </w:rPr>
            <w:t>第四部分 附件</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_Toc28431 \h </w:instrText>
          </w:r>
          <w:r>
            <w:rPr>
              <w:rFonts w:hint="eastAsia" w:ascii="宋体" w:hAnsi="宋体" w:cs="宋体"/>
              <w:b/>
              <w:sz w:val="24"/>
              <w:szCs w:val="24"/>
            </w:rPr>
            <w:fldChar w:fldCharType="separate"/>
          </w:r>
          <w:r>
            <w:rPr>
              <w:rFonts w:hint="eastAsia" w:ascii="宋体" w:hAnsi="宋体" w:cs="宋体"/>
              <w:b/>
              <w:sz w:val="24"/>
              <w:szCs w:val="24"/>
            </w:rPr>
            <w:t>35</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34"/>
            <w:tabs>
              <w:tab w:val="right" w:leader="dot" w:pos="8200"/>
            </w:tabs>
            <w:rPr>
              <w:rFonts w:ascii="宋体" w:hAnsi="宋体" w:cs="宋体"/>
              <w:sz w:val="24"/>
              <w:szCs w:val="24"/>
            </w:rPr>
          </w:pPr>
          <w:r>
            <w:fldChar w:fldCharType="begin"/>
          </w:r>
          <w:r>
            <w:instrText xml:space="preserve"> HYPERLINK \l "_Toc10816" </w:instrText>
          </w:r>
          <w:r>
            <w:fldChar w:fldCharType="separate"/>
          </w:r>
          <w:r>
            <w:rPr>
              <w:rFonts w:hint="eastAsia" w:ascii="宋体" w:hAnsi="宋体" w:cs="宋体"/>
              <w:b/>
              <w:color w:val="00001A" w:themeColor="hyperlink" w:themeShade="1A"/>
              <w:sz w:val="24"/>
              <w:szCs w:val="24"/>
            </w:rPr>
            <w:t>附件</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_Toc10816 \h </w:instrText>
          </w:r>
          <w:r>
            <w:rPr>
              <w:rFonts w:hint="eastAsia" w:ascii="宋体" w:hAnsi="宋体" w:cs="宋体"/>
              <w:b/>
              <w:sz w:val="24"/>
              <w:szCs w:val="24"/>
            </w:rPr>
            <w:fldChar w:fldCharType="separate"/>
          </w:r>
          <w:r>
            <w:rPr>
              <w:rFonts w:hint="eastAsia" w:ascii="宋体" w:hAnsi="宋体" w:cs="宋体"/>
              <w:b/>
              <w:sz w:val="24"/>
              <w:szCs w:val="24"/>
            </w:rPr>
            <w:t>35</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34"/>
            <w:tabs>
              <w:tab w:val="right" w:leader="dot" w:pos="8200"/>
            </w:tabs>
            <w:rPr>
              <w:rFonts w:ascii="宋体" w:hAnsi="宋体" w:cs="宋体"/>
              <w:b/>
              <w:sz w:val="24"/>
              <w:szCs w:val="24"/>
            </w:rPr>
          </w:pPr>
          <w:r>
            <w:fldChar w:fldCharType="begin"/>
          </w:r>
          <w:r>
            <w:instrText xml:space="preserve"> HYPERLINK \l "_Toc17628" </w:instrText>
          </w:r>
          <w:r>
            <w:fldChar w:fldCharType="separate"/>
          </w:r>
          <w:r>
            <w:rPr>
              <w:rFonts w:hint="eastAsia" w:ascii="宋体" w:hAnsi="宋体" w:cs="宋体"/>
              <w:b/>
              <w:sz w:val="24"/>
              <w:szCs w:val="24"/>
            </w:rPr>
            <w:t>第五部分 附表</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_Toc17628 \h </w:instrText>
          </w:r>
          <w:r>
            <w:rPr>
              <w:rFonts w:hint="eastAsia" w:ascii="宋体" w:hAnsi="宋体" w:cs="宋体"/>
              <w:b/>
              <w:sz w:val="24"/>
              <w:szCs w:val="24"/>
            </w:rPr>
            <w:fldChar w:fldCharType="separate"/>
          </w:r>
          <w:r>
            <w:rPr>
              <w:rFonts w:hint="eastAsia" w:ascii="宋体" w:hAnsi="宋体" w:cs="宋体"/>
              <w:b/>
              <w:sz w:val="24"/>
              <w:szCs w:val="24"/>
            </w:rPr>
            <w:t>85</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35"/>
            <w:tabs>
              <w:tab w:val="right" w:leader="dot" w:pos="8200"/>
            </w:tabs>
            <w:ind w:left="420"/>
            <w:rPr>
              <w:rFonts w:ascii="宋体" w:hAnsi="宋体" w:cs="宋体"/>
              <w:sz w:val="24"/>
              <w:szCs w:val="24"/>
            </w:rPr>
          </w:pPr>
          <w:r>
            <w:fldChar w:fldCharType="begin"/>
          </w:r>
          <w:r>
            <w:instrText xml:space="preserve"> HYPERLINK \l "_Toc23029" </w:instrText>
          </w:r>
          <w:r>
            <w:fldChar w:fldCharType="separate"/>
          </w:r>
          <w:r>
            <w:rPr>
              <w:rFonts w:hint="eastAsia" w:ascii="宋体" w:hAnsi="宋体" w:cs="宋体"/>
              <w:sz w:val="24"/>
              <w:szCs w:val="24"/>
            </w:rPr>
            <w:t>一、收入支出决算总表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_Toc23029 \h </w:instrText>
          </w:r>
          <w:r>
            <w:rPr>
              <w:rFonts w:hint="eastAsia" w:ascii="宋体" w:hAnsi="宋体" w:cs="宋体"/>
              <w:sz w:val="24"/>
              <w:szCs w:val="24"/>
            </w:rPr>
            <w:fldChar w:fldCharType="separate"/>
          </w:r>
          <w:r>
            <w:rPr>
              <w:rFonts w:hint="eastAsia" w:ascii="宋体" w:hAnsi="宋体" w:cs="宋体"/>
              <w:sz w:val="24"/>
              <w:szCs w:val="24"/>
            </w:rPr>
            <w:t>85</w:t>
          </w:r>
          <w:r>
            <w:rPr>
              <w:rFonts w:hint="eastAsia" w:ascii="宋体" w:hAnsi="宋体" w:cs="宋体"/>
              <w:sz w:val="24"/>
              <w:szCs w:val="24"/>
            </w:rPr>
            <w:fldChar w:fldCharType="end"/>
          </w:r>
          <w:r>
            <w:rPr>
              <w:rFonts w:hint="eastAsia" w:ascii="宋体" w:hAnsi="宋体" w:cs="宋体"/>
              <w:sz w:val="24"/>
              <w:szCs w:val="24"/>
            </w:rPr>
            <w:fldChar w:fldCharType="end"/>
          </w:r>
        </w:p>
        <w:p>
          <w:pPr>
            <w:pStyle w:val="35"/>
            <w:tabs>
              <w:tab w:val="right" w:leader="dot" w:pos="8200"/>
            </w:tabs>
            <w:ind w:left="420"/>
            <w:rPr>
              <w:rFonts w:ascii="宋体" w:hAnsi="宋体" w:cs="宋体"/>
              <w:sz w:val="24"/>
              <w:szCs w:val="24"/>
            </w:rPr>
          </w:pPr>
          <w:r>
            <w:fldChar w:fldCharType="begin"/>
          </w:r>
          <w:r>
            <w:instrText xml:space="preserve"> HYPERLINK \l "_Toc27533" </w:instrText>
          </w:r>
          <w:r>
            <w:fldChar w:fldCharType="separate"/>
          </w:r>
          <w:r>
            <w:rPr>
              <w:rFonts w:hint="eastAsia" w:ascii="宋体" w:hAnsi="宋体" w:cs="宋体"/>
              <w:sz w:val="24"/>
              <w:szCs w:val="24"/>
            </w:rPr>
            <w:t>二、收入决算表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_Toc27533 \h </w:instrText>
          </w:r>
          <w:r>
            <w:rPr>
              <w:rFonts w:hint="eastAsia" w:ascii="宋体" w:hAnsi="宋体" w:cs="宋体"/>
              <w:sz w:val="24"/>
              <w:szCs w:val="24"/>
            </w:rPr>
            <w:fldChar w:fldCharType="separate"/>
          </w:r>
          <w:r>
            <w:rPr>
              <w:rFonts w:hint="eastAsia" w:ascii="宋体" w:hAnsi="宋体" w:cs="宋体"/>
              <w:sz w:val="24"/>
              <w:szCs w:val="24"/>
            </w:rPr>
            <w:t>85</w:t>
          </w:r>
          <w:r>
            <w:rPr>
              <w:rFonts w:hint="eastAsia" w:ascii="宋体" w:hAnsi="宋体" w:cs="宋体"/>
              <w:sz w:val="24"/>
              <w:szCs w:val="24"/>
            </w:rPr>
            <w:fldChar w:fldCharType="end"/>
          </w:r>
          <w:r>
            <w:rPr>
              <w:rFonts w:hint="eastAsia" w:ascii="宋体" w:hAnsi="宋体" w:cs="宋体"/>
              <w:sz w:val="24"/>
              <w:szCs w:val="24"/>
            </w:rPr>
            <w:fldChar w:fldCharType="end"/>
          </w:r>
        </w:p>
        <w:p>
          <w:pPr>
            <w:pStyle w:val="35"/>
            <w:tabs>
              <w:tab w:val="right" w:leader="dot" w:pos="8200"/>
            </w:tabs>
            <w:ind w:left="420"/>
            <w:rPr>
              <w:rFonts w:ascii="宋体" w:hAnsi="宋体" w:cs="宋体"/>
              <w:sz w:val="24"/>
              <w:szCs w:val="24"/>
            </w:rPr>
          </w:pPr>
          <w:r>
            <w:fldChar w:fldCharType="begin"/>
          </w:r>
          <w:r>
            <w:instrText xml:space="preserve"> HYPERLINK \l "_Toc24146" </w:instrText>
          </w:r>
          <w:r>
            <w:fldChar w:fldCharType="separate"/>
          </w:r>
          <w:r>
            <w:rPr>
              <w:rFonts w:hint="eastAsia" w:ascii="宋体" w:hAnsi="宋体" w:cs="宋体"/>
              <w:sz w:val="24"/>
              <w:szCs w:val="24"/>
            </w:rPr>
            <w:t>三、支出决算表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_Toc24146 \h </w:instrText>
          </w:r>
          <w:r>
            <w:rPr>
              <w:rFonts w:hint="eastAsia" w:ascii="宋体" w:hAnsi="宋体" w:cs="宋体"/>
              <w:sz w:val="24"/>
              <w:szCs w:val="24"/>
            </w:rPr>
            <w:fldChar w:fldCharType="separate"/>
          </w:r>
          <w:r>
            <w:rPr>
              <w:rFonts w:hint="eastAsia" w:ascii="宋体" w:hAnsi="宋体" w:cs="宋体"/>
              <w:sz w:val="24"/>
              <w:szCs w:val="24"/>
            </w:rPr>
            <w:t>85</w:t>
          </w:r>
          <w:r>
            <w:rPr>
              <w:rFonts w:hint="eastAsia" w:ascii="宋体" w:hAnsi="宋体" w:cs="宋体"/>
              <w:sz w:val="24"/>
              <w:szCs w:val="24"/>
            </w:rPr>
            <w:fldChar w:fldCharType="end"/>
          </w:r>
          <w:r>
            <w:rPr>
              <w:rFonts w:hint="eastAsia" w:ascii="宋体" w:hAnsi="宋体" w:cs="宋体"/>
              <w:sz w:val="24"/>
              <w:szCs w:val="24"/>
            </w:rPr>
            <w:fldChar w:fldCharType="end"/>
          </w:r>
        </w:p>
        <w:p>
          <w:pPr>
            <w:pStyle w:val="35"/>
            <w:tabs>
              <w:tab w:val="right" w:leader="dot" w:pos="8200"/>
            </w:tabs>
            <w:ind w:left="420"/>
            <w:rPr>
              <w:rFonts w:ascii="宋体" w:hAnsi="宋体" w:cs="宋体"/>
              <w:sz w:val="24"/>
              <w:szCs w:val="24"/>
            </w:rPr>
          </w:pPr>
          <w:r>
            <w:fldChar w:fldCharType="begin"/>
          </w:r>
          <w:r>
            <w:instrText xml:space="preserve"> HYPERLINK \l "_Toc200" </w:instrText>
          </w:r>
          <w:r>
            <w:fldChar w:fldCharType="separate"/>
          </w:r>
          <w:r>
            <w:rPr>
              <w:rFonts w:hint="eastAsia" w:ascii="宋体" w:hAnsi="宋体" w:cs="宋体"/>
              <w:sz w:val="24"/>
              <w:szCs w:val="24"/>
            </w:rPr>
            <w:t>四、财政拨款收入支出决算总表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_Toc200 \h </w:instrText>
          </w:r>
          <w:r>
            <w:rPr>
              <w:rFonts w:hint="eastAsia" w:ascii="宋体" w:hAnsi="宋体" w:cs="宋体"/>
              <w:sz w:val="24"/>
              <w:szCs w:val="24"/>
            </w:rPr>
            <w:fldChar w:fldCharType="separate"/>
          </w:r>
          <w:r>
            <w:rPr>
              <w:rFonts w:hint="eastAsia" w:ascii="宋体" w:hAnsi="宋体" w:cs="宋体"/>
              <w:sz w:val="24"/>
              <w:szCs w:val="24"/>
            </w:rPr>
            <w:t>85</w:t>
          </w:r>
          <w:r>
            <w:rPr>
              <w:rFonts w:hint="eastAsia" w:ascii="宋体" w:hAnsi="宋体" w:cs="宋体"/>
              <w:sz w:val="24"/>
              <w:szCs w:val="24"/>
            </w:rPr>
            <w:fldChar w:fldCharType="end"/>
          </w:r>
          <w:r>
            <w:rPr>
              <w:rFonts w:hint="eastAsia" w:ascii="宋体" w:hAnsi="宋体" w:cs="宋体"/>
              <w:sz w:val="24"/>
              <w:szCs w:val="24"/>
            </w:rPr>
            <w:fldChar w:fldCharType="end"/>
          </w:r>
        </w:p>
        <w:p>
          <w:pPr>
            <w:pStyle w:val="35"/>
            <w:tabs>
              <w:tab w:val="right" w:leader="dot" w:pos="8200"/>
            </w:tabs>
            <w:ind w:left="420"/>
            <w:rPr>
              <w:rFonts w:ascii="宋体" w:hAnsi="宋体" w:cs="宋体"/>
              <w:sz w:val="24"/>
              <w:szCs w:val="24"/>
            </w:rPr>
          </w:pPr>
          <w:r>
            <w:fldChar w:fldCharType="begin"/>
          </w:r>
          <w:r>
            <w:instrText xml:space="preserve"> HYPERLINK \l "_Toc5313" </w:instrText>
          </w:r>
          <w:r>
            <w:fldChar w:fldCharType="separate"/>
          </w:r>
          <w:r>
            <w:rPr>
              <w:rFonts w:hint="eastAsia" w:ascii="宋体" w:hAnsi="宋体" w:cs="宋体"/>
              <w:sz w:val="24"/>
              <w:szCs w:val="24"/>
            </w:rPr>
            <w:t>五、财政拨款支出决算明细表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_Toc5313 \h </w:instrText>
          </w:r>
          <w:r>
            <w:rPr>
              <w:rFonts w:hint="eastAsia" w:ascii="宋体" w:hAnsi="宋体" w:cs="宋体"/>
              <w:sz w:val="24"/>
              <w:szCs w:val="24"/>
            </w:rPr>
            <w:fldChar w:fldCharType="separate"/>
          </w:r>
          <w:r>
            <w:rPr>
              <w:rFonts w:hint="eastAsia" w:ascii="宋体" w:hAnsi="宋体" w:cs="宋体"/>
              <w:sz w:val="24"/>
              <w:szCs w:val="24"/>
            </w:rPr>
            <w:t>85</w:t>
          </w:r>
          <w:r>
            <w:rPr>
              <w:rFonts w:hint="eastAsia" w:ascii="宋体" w:hAnsi="宋体" w:cs="宋体"/>
              <w:sz w:val="24"/>
              <w:szCs w:val="24"/>
            </w:rPr>
            <w:fldChar w:fldCharType="end"/>
          </w:r>
          <w:r>
            <w:rPr>
              <w:rFonts w:hint="eastAsia" w:ascii="宋体" w:hAnsi="宋体" w:cs="宋体"/>
              <w:sz w:val="24"/>
              <w:szCs w:val="24"/>
            </w:rPr>
            <w:fldChar w:fldCharType="end"/>
          </w:r>
        </w:p>
        <w:p>
          <w:pPr>
            <w:pStyle w:val="35"/>
            <w:tabs>
              <w:tab w:val="right" w:leader="dot" w:pos="8200"/>
            </w:tabs>
            <w:ind w:left="420"/>
            <w:rPr>
              <w:rFonts w:ascii="宋体" w:hAnsi="宋体" w:cs="宋体"/>
              <w:sz w:val="24"/>
              <w:szCs w:val="24"/>
            </w:rPr>
          </w:pPr>
          <w:r>
            <w:fldChar w:fldCharType="begin"/>
          </w:r>
          <w:r>
            <w:instrText xml:space="preserve"> HYPERLINK \l "_Toc25526" </w:instrText>
          </w:r>
          <w:r>
            <w:fldChar w:fldCharType="separate"/>
          </w:r>
          <w:r>
            <w:rPr>
              <w:rFonts w:hint="eastAsia" w:ascii="宋体" w:hAnsi="宋体" w:cs="宋体"/>
              <w:sz w:val="24"/>
              <w:szCs w:val="24"/>
            </w:rPr>
            <w:t>六、一般公共预算财政拨款支出决算表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_Toc25526 \h </w:instrText>
          </w:r>
          <w:r>
            <w:rPr>
              <w:rFonts w:hint="eastAsia" w:ascii="宋体" w:hAnsi="宋体" w:cs="宋体"/>
              <w:sz w:val="24"/>
              <w:szCs w:val="24"/>
            </w:rPr>
            <w:fldChar w:fldCharType="separate"/>
          </w:r>
          <w:r>
            <w:rPr>
              <w:rFonts w:hint="eastAsia" w:ascii="宋体" w:hAnsi="宋体" w:cs="宋体"/>
              <w:sz w:val="24"/>
              <w:szCs w:val="24"/>
            </w:rPr>
            <w:t>85</w:t>
          </w:r>
          <w:r>
            <w:rPr>
              <w:rFonts w:hint="eastAsia" w:ascii="宋体" w:hAnsi="宋体" w:cs="宋体"/>
              <w:sz w:val="24"/>
              <w:szCs w:val="24"/>
            </w:rPr>
            <w:fldChar w:fldCharType="end"/>
          </w:r>
          <w:r>
            <w:rPr>
              <w:rFonts w:hint="eastAsia" w:ascii="宋体" w:hAnsi="宋体" w:cs="宋体"/>
              <w:sz w:val="24"/>
              <w:szCs w:val="24"/>
            </w:rPr>
            <w:fldChar w:fldCharType="end"/>
          </w:r>
        </w:p>
        <w:p>
          <w:pPr>
            <w:pStyle w:val="35"/>
            <w:tabs>
              <w:tab w:val="right" w:leader="dot" w:pos="8200"/>
            </w:tabs>
            <w:ind w:left="420"/>
            <w:rPr>
              <w:rFonts w:ascii="宋体" w:hAnsi="宋体" w:cs="宋体"/>
              <w:sz w:val="24"/>
              <w:szCs w:val="24"/>
            </w:rPr>
          </w:pPr>
          <w:r>
            <w:fldChar w:fldCharType="begin"/>
          </w:r>
          <w:r>
            <w:instrText xml:space="preserve"> HYPERLINK \l "_Toc8038" </w:instrText>
          </w:r>
          <w:r>
            <w:fldChar w:fldCharType="separate"/>
          </w:r>
          <w:r>
            <w:rPr>
              <w:rFonts w:hint="eastAsia" w:ascii="宋体" w:hAnsi="宋体" w:cs="宋体"/>
              <w:sz w:val="24"/>
              <w:szCs w:val="24"/>
            </w:rPr>
            <w:t>七、一般公共预算财政拨款支出决算明细表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_Toc8038 \h </w:instrText>
          </w:r>
          <w:r>
            <w:rPr>
              <w:rFonts w:hint="eastAsia" w:ascii="宋体" w:hAnsi="宋体" w:cs="宋体"/>
              <w:sz w:val="24"/>
              <w:szCs w:val="24"/>
            </w:rPr>
            <w:fldChar w:fldCharType="separate"/>
          </w:r>
          <w:r>
            <w:rPr>
              <w:rFonts w:hint="eastAsia" w:ascii="宋体" w:hAnsi="宋体" w:cs="宋体"/>
              <w:sz w:val="24"/>
              <w:szCs w:val="24"/>
            </w:rPr>
            <w:t>85</w:t>
          </w:r>
          <w:r>
            <w:rPr>
              <w:rFonts w:hint="eastAsia" w:ascii="宋体" w:hAnsi="宋体" w:cs="宋体"/>
              <w:sz w:val="24"/>
              <w:szCs w:val="24"/>
            </w:rPr>
            <w:fldChar w:fldCharType="end"/>
          </w:r>
          <w:r>
            <w:rPr>
              <w:rFonts w:hint="eastAsia" w:ascii="宋体" w:hAnsi="宋体" w:cs="宋体"/>
              <w:sz w:val="24"/>
              <w:szCs w:val="24"/>
            </w:rPr>
            <w:fldChar w:fldCharType="end"/>
          </w:r>
        </w:p>
        <w:p>
          <w:pPr>
            <w:pStyle w:val="35"/>
            <w:tabs>
              <w:tab w:val="right" w:leader="dot" w:pos="8200"/>
            </w:tabs>
            <w:ind w:left="420"/>
            <w:rPr>
              <w:rFonts w:ascii="宋体" w:hAnsi="宋体" w:cs="宋体"/>
              <w:sz w:val="24"/>
              <w:szCs w:val="24"/>
            </w:rPr>
          </w:pPr>
          <w:r>
            <w:fldChar w:fldCharType="begin"/>
          </w:r>
          <w:r>
            <w:instrText xml:space="preserve"> HYPERLINK \l "_Toc22299" </w:instrText>
          </w:r>
          <w:r>
            <w:fldChar w:fldCharType="separate"/>
          </w:r>
          <w:r>
            <w:rPr>
              <w:rFonts w:hint="eastAsia" w:ascii="宋体" w:hAnsi="宋体" w:cs="宋体"/>
              <w:sz w:val="24"/>
              <w:szCs w:val="24"/>
            </w:rPr>
            <w:t>八、一般公共预算财政拨款基本支出决算表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_Toc22299 \h </w:instrText>
          </w:r>
          <w:r>
            <w:rPr>
              <w:rFonts w:hint="eastAsia" w:ascii="宋体" w:hAnsi="宋体" w:cs="宋体"/>
              <w:sz w:val="24"/>
              <w:szCs w:val="24"/>
            </w:rPr>
            <w:fldChar w:fldCharType="separate"/>
          </w:r>
          <w:r>
            <w:rPr>
              <w:rFonts w:hint="eastAsia" w:ascii="宋体" w:hAnsi="宋体" w:cs="宋体"/>
              <w:sz w:val="24"/>
              <w:szCs w:val="24"/>
            </w:rPr>
            <w:t>85</w:t>
          </w:r>
          <w:r>
            <w:rPr>
              <w:rFonts w:hint="eastAsia" w:ascii="宋体" w:hAnsi="宋体" w:cs="宋体"/>
              <w:sz w:val="24"/>
              <w:szCs w:val="24"/>
            </w:rPr>
            <w:fldChar w:fldCharType="end"/>
          </w:r>
          <w:r>
            <w:rPr>
              <w:rFonts w:hint="eastAsia" w:ascii="宋体" w:hAnsi="宋体" w:cs="宋体"/>
              <w:sz w:val="24"/>
              <w:szCs w:val="24"/>
            </w:rPr>
            <w:fldChar w:fldCharType="end"/>
          </w:r>
        </w:p>
        <w:p>
          <w:pPr>
            <w:pStyle w:val="35"/>
            <w:tabs>
              <w:tab w:val="right" w:leader="dot" w:pos="8200"/>
            </w:tabs>
            <w:ind w:left="420"/>
            <w:rPr>
              <w:rFonts w:ascii="宋体" w:hAnsi="宋体" w:cs="宋体"/>
              <w:sz w:val="24"/>
              <w:szCs w:val="24"/>
            </w:rPr>
          </w:pPr>
          <w:r>
            <w:fldChar w:fldCharType="begin"/>
          </w:r>
          <w:r>
            <w:instrText xml:space="preserve"> HYPERLINK \l "_Toc607" </w:instrText>
          </w:r>
          <w:r>
            <w:fldChar w:fldCharType="separate"/>
          </w:r>
          <w:r>
            <w:rPr>
              <w:rFonts w:hint="eastAsia" w:ascii="宋体" w:hAnsi="宋体" w:cs="宋体"/>
              <w:sz w:val="24"/>
              <w:szCs w:val="24"/>
            </w:rPr>
            <w:t>九、一般公共预算财政拨款项目支出决算表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_Toc607 \h </w:instrText>
          </w:r>
          <w:r>
            <w:rPr>
              <w:rFonts w:hint="eastAsia" w:ascii="宋体" w:hAnsi="宋体" w:cs="宋体"/>
              <w:sz w:val="24"/>
              <w:szCs w:val="24"/>
            </w:rPr>
            <w:fldChar w:fldCharType="separate"/>
          </w:r>
          <w:r>
            <w:rPr>
              <w:rFonts w:hint="eastAsia" w:ascii="宋体" w:hAnsi="宋体" w:cs="宋体"/>
              <w:sz w:val="24"/>
              <w:szCs w:val="24"/>
            </w:rPr>
            <w:t>85</w:t>
          </w:r>
          <w:r>
            <w:rPr>
              <w:rFonts w:hint="eastAsia" w:ascii="宋体" w:hAnsi="宋体" w:cs="宋体"/>
              <w:sz w:val="24"/>
              <w:szCs w:val="24"/>
            </w:rPr>
            <w:fldChar w:fldCharType="end"/>
          </w:r>
          <w:r>
            <w:rPr>
              <w:rFonts w:hint="eastAsia" w:ascii="宋体" w:hAnsi="宋体" w:cs="宋体"/>
              <w:sz w:val="24"/>
              <w:szCs w:val="24"/>
            </w:rPr>
            <w:fldChar w:fldCharType="end"/>
          </w:r>
        </w:p>
        <w:p>
          <w:pPr>
            <w:pStyle w:val="35"/>
            <w:tabs>
              <w:tab w:val="right" w:leader="dot" w:pos="8200"/>
            </w:tabs>
            <w:ind w:left="420"/>
            <w:rPr>
              <w:rFonts w:ascii="宋体" w:hAnsi="宋体" w:cs="宋体"/>
              <w:sz w:val="24"/>
              <w:szCs w:val="24"/>
            </w:rPr>
          </w:pPr>
          <w:r>
            <w:fldChar w:fldCharType="begin"/>
          </w:r>
          <w:r>
            <w:instrText xml:space="preserve"> HYPERLINK \l "_Toc4446" </w:instrText>
          </w:r>
          <w:r>
            <w:fldChar w:fldCharType="separate"/>
          </w:r>
          <w:r>
            <w:rPr>
              <w:rFonts w:hint="eastAsia" w:ascii="宋体" w:hAnsi="宋体" w:cs="宋体"/>
              <w:sz w:val="24"/>
              <w:szCs w:val="24"/>
            </w:rPr>
            <w:t>十、一般公共预算财政拨款“三公”经费支出决算表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_Toc4446 \h </w:instrText>
          </w:r>
          <w:r>
            <w:rPr>
              <w:rFonts w:hint="eastAsia" w:ascii="宋体" w:hAnsi="宋体" w:cs="宋体"/>
              <w:sz w:val="24"/>
              <w:szCs w:val="24"/>
            </w:rPr>
            <w:fldChar w:fldCharType="separate"/>
          </w:r>
          <w:r>
            <w:rPr>
              <w:rFonts w:hint="eastAsia" w:ascii="宋体" w:hAnsi="宋体" w:cs="宋体"/>
              <w:sz w:val="24"/>
              <w:szCs w:val="24"/>
            </w:rPr>
            <w:t>85</w:t>
          </w:r>
          <w:r>
            <w:rPr>
              <w:rFonts w:hint="eastAsia" w:ascii="宋体" w:hAnsi="宋体" w:cs="宋体"/>
              <w:sz w:val="24"/>
              <w:szCs w:val="24"/>
            </w:rPr>
            <w:fldChar w:fldCharType="end"/>
          </w:r>
          <w:r>
            <w:rPr>
              <w:rFonts w:hint="eastAsia" w:ascii="宋体" w:hAnsi="宋体" w:cs="宋体"/>
              <w:sz w:val="24"/>
              <w:szCs w:val="24"/>
            </w:rPr>
            <w:fldChar w:fldCharType="end"/>
          </w:r>
        </w:p>
        <w:p>
          <w:pPr>
            <w:pStyle w:val="35"/>
            <w:tabs>
              <w:tab w:val="right" w:leader="dot" w:pos="8200"/>
            </w:tabs>
            <w:ind w:left="420"/>
            <w:rPr>
              <w:rFonts w:ascii="宋体" w:hAnsi="宋体" w:cs="宋体"/>
              <w:sz w:val="24"/>
              <w:szCs w:val="24"/>
            </w:rPr>
          </w:pPr>
          <w:r>
            <w:fldChar w:fldCharType="begin"/>
          </w:r>
          <w:r>
            <w:instrText xml:space="preserve"> HYPERLINK \l "_Toc23083" </w:instrText>
          </w:r>
          <w:r>
            <w:fldChar w:fldCharType="separate"/>
          </w:r>
          <w:r>
            <w:rPr>
              <w:rFonts w:hint="eastAsia" w:ascii="宋体" w:hAnsi="宋体" w:cs="宋体"/>
              <w:sz w:val="24"/>
              <w:szCs w:val="24"/>
            </w:rPr>
            <w:t>十一、政府性基金预算财政拨款收入支出决算表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_Toc23083 \h </w:instrText>
          </w:r>
          <w:r>
            <w:rPr>
              <w:rFonts w:hint="eastAsia" w:ascii="宋体" w:hAnsi="宋体" w:cs="宋体"/>
              <w:sz w:val="24"/>
              <w:szCs w:val="24"/>
            </w:rPr>
            <w:fldChar w:fldCharType="separate"/>
          </w:r>
          <w:r>
            <w:rPr>
              <w:rFonts w:hint="eastAsia" w:ascii="宋体" w:hAnsi="宋体" w:cs="宋体"/>
              <w:sz w:val="24"/>
              <w:szCs w:val="24"/>
            </w:rPr>
            <w:t>85</w:t>
          </w:r>
          <w:r>
            <w:rPr>
              <w:rFonts w:hint="eastAsia" w:ascii="宋体" w:hAnsi="宋体" w:cs="宋体"/>
              <w:sz w:val="24"/>
              <w:szCs w:val="24"/>
            </w:rPr>
            <w:fldChar w:fldCharType="end"/>
          </w:r>
          <w:r>
            <w:rPr>
              <w:rFonts w:hint="eastAsia" w:ascii="宋体" w:hAnsi="宋体" w:cs="宋体"/>
              <w:sz w:val="24"/>
              <w:szCs w:val="24"/>
            </w:rPr>
            <w:fldChar w:fldCharType="end"/>
          </w:r>
        </w:p>
        <w:p>
          <w:pPr>
            <w:pStyle w:val="35"/>
            <w:tabs>
              <w:tab w:val="right" w:leader="dot" w:pos="8200"/>
            </w:tabs>
            <w:ind w:left="420"/>
            <w:rPr>
              <w:rFonts w:ascii="宋体" w:hAnsi="宋体" w:cs="宋体"/>
              <w:sz w:val="24"/>
              <w:szCs w:val="24"/>
            </w:rPr>
          </w:pPr>
          <w:r>
            <w:fldChar w:fldCharType="begin"/>
          </w:r>
          <w:r>
            <w:instrText xml:space="preserve"> HYPERLINK \l "_Toc26067" </w:instrText>
          </w:r>
          <w:r>
            <w:fldChar w:fldCharType="separate"/>
          </w:r>
          <w:r>
            <w:rPr>
              <w:rFonts w:hint="eastAsia" w:ascii="宋体" w:hAnsi="宋体" w:cs="宋体"/>
              <w:sz w:val="24"/>
              <w:szCs w:val="24"/>
            </w:rPr>
            <w:t>十二、政府性基金预算财政拨款“三公”经费支出决算表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_Toc26067 \h </w:instrText>
          </w:r>
          <w:r>
            <w:rPr>
              <w:rFonts w:hint="eastAsia" w:ascii="宋体" w:hAnsi="宋体" w:cs="宋体"/>
              <w:sz w:val="24"/>
              <w:szCs w:val="24"/>
            </w:rPr>
            <w:fldChar w:fldCharType="separate"/>
          </w:r>
          <w:r>
            <w:rPr>
              <w:rFonts w:hint="eastAsia" w:ascii="宋体" w:hAnsi="宋体" w:cs="宋体"/>
              <w:sz w:val="24"/>
              <w:szCs w:val="24"/>
            </w:rPr>
            <w:t>85</w:t>
          </w:r>
          <w:r>
            <w:rPr>
              <w:rFonts w:hint="eastAsia" w:ascii="宋体" w:hAnsi="宋体" w:cs="宋体"/>
              <w:sz w:val="24"/>
              <w:szCs w:val="24"/>
            </w:rPr>
            <w:fldChar w:fldCharType="end"/>
          </w:r>
          <w:r>
            <w:rPr>
              <w:rFonts w:hint="eastAsia" w:ascii="宋体" w:hAnsi="宋体" w:cs="宋体"/>
              <w:sz w:val="24"/>
              <w:szCs w:val="24"/>
            </w:rPr>
            <w:fldChar w:fldCharType="end"/>
          </w:r>
        </w:p>
        <w:p>
          <w:pPr>
            <w:pStyle w:val="35"/>
            <w:tabs>
              <w:tab w:val="right" w:leader="dot" w:pos="8200"/>
            </w:tabs>
            <w:ind w:left="420"/>
            <w:rPr>
              <w:rFonts w:ascii="宋体" w:hAnsi="宋体" w:cs="宋体"/>
              <w:sz w:val="24"/>
              <w:szCs w:val="24"/>
            </w:rPr>
          </w:pPr>
          <w:r>
            <w:fldChar w:fldCharType="begin"/>
          </w:r>
          <w:r>
            <w:instrText xml:space="preserve"> HYPERLINK \l "_Toc31328" </w:instrText>
          </w:r>
          <w:r>
            <w:fldChar w:fldCharType="separate"/>
          </w:r>
          <w:r>
            <w:rPr>
              <w:rFonts w:hint="eastAsia" w:ascii="宋体" w:hAnsi="宋体" w:cs="宋体"/>
              <w:sz w:val="24"/>
              <w:szCs w:val="24"/>
            </w:rPr>
            <w:t>十三、国有资本经营预算财政拨款收入支出决算表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_Toc31328 \h </w:instrText>
          </w:r>
          <w:r>
            <w:rPr>
              <w:rFonts w:hint="eastAsia" w:ascii="宋体" w:hAnsi="宋体" w:cs="宋体"/>
              <w:sz w:val="24"/>
              <w:szCs w:val="24"/>
            </w:rPr>
            <w:fldChar w:fldCharType="separate"/>
          </w:r>
          <w:r>
            <w:rPr>
              <w:rFonts w:hint="eastAsia" w:ascii="宋体" w:hAnsi="宋体" w:cs="宋体"/>
              <w:sz w:val="24"/>
              <w:szCs w:val="24"/>
            </w:rPr>
            <w:t>85</w:t>
          </w:r>
          <w:r>
            <w:rPr>
              <w:rFonts w:hint="eastAsia" w:ascii="宋体" w:hAnsi="宋体" w:cs="宋体"/>
              <w:sz w:val="24"/>
              <w:szCs w:val="24"/>
            </w:rPr>
            <w:fldChar w:fldCharType="end"/>
          </w:r>
          <w:r>
            <w:rPr>
              <w:rFonts w:hint="eastAsia" w:ascii="宋体" w:hAnsi="宋体" w:cs="宋体"/>
              <w:sz w:val="24"/>
              <w:szCs w:val="24"/>
            </w:rPr>
            <w:fldChar w:fldCharType="end"/>
          </w:r>
        </w:p>
        <w:p>
          <w:pPr>
            <w:pStyle w:val="35"/>
            <w:tabs>
              <w:tab w:val="right" w:leader="dot" w:pos="8200"/>
            </w:tabs>
            <w:ind w:left="420"/>
            <w:rPr>
              <w:rFonts w:ascii="宋体" w:hAnsi="宋体" w:cs="宋体"/>
              <w:sz w:val="24"/>
              <w:szCs w:val="24"/>
            </w:rPr>
          </w:pPr>
          <w:r>
            <w:fldChar w:fldCharType="begin"/>
          </w:r>
          <w:r>
            <w:instrText xml:space="preserve"> HYPERLINK \l "_Toc6429" </w:instrText>
          </w:r>
          <w:r>
            <w:fldChar w:fldCharType="separate"/>
          </w:r>
          <w:r>
            <w:rPr>
              <w:rFonts w:hint="eastAsia" w:ascii="宋体" w:hAnsi="宋体" w:cs="宋体"/>
              <w:sz w:val="24"/>
              <w:szCs w:val="24"/>
            </w:rPr>
            <w:t>十四、国有资本经营预算财政拨款支出决算表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_Toc6429 \h </w:instrText>
          </w:r>
          <w:r>
            <w:rPr>
              <w:rFonts w:hint="eastAsia" w:ascii="宋体" w:hAnsi="宋体" w:cs="宋体"/>
              <w:sz w:val="24"/>
              <w:szCs w:val="24"/>
            </w:rPr>
            <w:fldChar w:fldCharType="separate"/>
          </w:r>
          <w:r>
            <w:rPr>
              <w:rFonts w:hint="eastAsia" w:ascii="宋体" w:hAnsi="宋体" w:cs="宋体"/>
              <w:sz w:val="24"/>
              <w:szCs w:val="24"/>
            </w:rPr>
            <w:t>85</w:t>
          </w:r>
          <w:r>
            <w:rPr>
              <w:rFonts w:hint="eastAsia" w:ascii="宋体" w:hAnsi="宋体" w:cs="宋体"/>
              <w:sz w:val="24"/>
              <w:szCs w:val="24"/>
            </w:rPr>
            <w:fldChar w:fldCharType="end"/>
          </w:r>
          <w:r>
            <w:rPr>
              <w:rFonts w:hint="eastAsia" w:ascii="宋体" w:hAnsi="宋体" w:cs="宋体"/>
              <w:sz w:val="24"/>
              <w:szCs w:val="24"/>
            </w:rPr>
            <w:fldChar w:fldCharType="end"/>
          </w:r>
        </w:p>
        <w:p>
          <w:r>
            <w:rPr>
              <w:rFonts w:hint="eastAsia" w:ascii="宋体" w:hAnsi="宋体" w:cs="宋体"/>
              <w:b/>
              <w:sz w:val="24"/>
            </w:rPr>
            <w:fldChar w:fldCharType="end"/>
          </w:r>
        </w:p>
      </w:sdtContent>
    </w:sdt>
    <w:bookmarkEnd w:id="16"/>
    <w:p>
      <w:pPr>
        <w:rPr>
          <w:rFonts w:ascii="仿宋" w:hAnsi="仿宋" w:eastAsia="仿宋"/>
          <w:bCs/>
          <w:kern w:val="44"/>
          <w:sz w:val="24"/>
        </w:rPr>
      </w:pPr>
      <w:bookmarkStart w:id="17" w:name="_Toc15396599"/>
      <w:bookmarkStart w:id="18" w:name="_Toc15377196"/>
      <w:r>
        <w:rPr>
          <w:rFonts w:ascii="仿宋" w:hAnsi="仿宋" w:eastAsia="仿宋"/>
          <w:b/>
          <w:sz w:val="24"/>
        </w:rPr>
        <w:br w:type="page"/>
      </w:r>
    </w:p>
    <w:p>
      <w:pPr>
        <w:pStyle w:val="3"/>
        <w:jc w:val="center"/>
        <w:rPr>
          <w:rStyle w:val="25"/>
          <w:rFonts w:ascii="黑体" w:hAnsi="黑体" w:eastAsia="黑体"/>
          <w:b/>
          <w:bCs w:val="0"/>
        </w:rPr>
      </w:pPr>
      <w:bookmarkStart w:id="19" w:name="_Toc3212"/>
      <w:r>
        <w:rPr>
          <w:rFonts w:hint="eastAsia" w:ascii="黑体" w:hAnsi="黑体" w:eastAsia="黑体"/>
          <w:b w:val="0"/>
        </w:rPr>
        <w:t xml:space="preserve">第一部分 </w:t>
      </w:r>
      <w:r>
        <w:rPr>
          <w:rStyle w:val="25"/>
          <w:rFonts w:hint="eastAsia" w:ascii="黑体" w:hAnsi="黑体" w:eastAsia="黑体"/>
          <w:b w:val="0"/>
          <w:bCs w:val="0"/>
        </w:rPr>
        <w:t>部门概况</w:t>
      </w:r>
      <w:bookmarkEnd w:id="17"/>
      <w:bookmarkEnd w:id="18"/>
      <w:bookmarkEnd w:id="19"/>
    </w:p>
    <w:p>
      <w:pPr>
        <w:widowControl/>
        <w:jc w:val="left"/>
        <w:rPr>
          <w:rFonts w:ascii="黑体" w:eastAsia="黑体"/>
          <w:sz w:val="32"/>
          <w:szCs w:val="32"/>
        </w:rPr>
      </w:pPr>
    </w:p>
    <w:p>
      <w:pPr>
        <w:pStyle w:val="4"/>
        <w:rPr>
          <w:rStyle w:val="26"/>
          <w:rFonts w:ascii="仿宋" w:hAnsi="仿宋" w:eastAsia="仿宋"/>
          <w:b w:val="0"/>
          <w:bCs w:val="0"/>
        </w:rPr>
      </w:pPr>
      <w:bookmarkStart w:id="20" w:name="_Toc15396600"/>
      <w:bookmarkStart w:id="21" w:name="_Toc15377197"/>
      <w:bookmarkStart w:id="22" w:name="_Toc31150"/>
      <w:r>
        <w:rPr>
          <w:rFonts w:hint="eastAsia" w:ascii="黑体" w:hAnsi="黑体" w:eastAsia="黑体"/>
          <w:b w:val="0"/>
        </w:rPr>
        <w:t>一、基</w:t>
      </w:r>
      <w:r>
        <w:rPr>
          <w:rStyle w:val="26"/>
          <w:rFonts w:hint="eastAsia" w:ascii="黑体" w:hAnsi="黑体" w:eastAsia="黑体"/>
          <w:b w:val="0"/>
          <w:bCs w:val="0"/>
        </w:rPr>
        <w:t>本职能及主要工作</w:t>
      </w:r>
      <w:bookmarkEnd w:id="20"/>
      <w:bookmarkEnd w:id="21"/>
      <w:bookmarkEnd w:id="22"/>
    </w:p>
    <w:p>
      <w:pPr>
        <w:pStyle w:val="2"/>
        <w:adjustRightInd w:val="0"/>
        <w:snapToGrid w:val="0"/>
        <w:spacing w:before="93" w:line="600" w:lineRule="exact"/>
        <w:ind w:firstLine="672" w:firstLineChars="210"/>
        <w:outlineLvl w:val="2"/>
        <w:rPr>
          <w:rFonts w:ascii="仿宋" w:hAnsi="仿宋" w:eastAsia="仿宋"/>
          <w:bCs/>
          <w:sz w:val="32"/>
          <w:szCs w:val="32"/>
        </w:rPr>
      </w:pPr>
      <w:bookmarkStart w:id="23" w:name="_Toc15377198"/>
      <w:bookmarkStart w:id="24" w:name="_Toc15378445"/>
      <w:r>
        <w:rPr>
          <w:rFonts w:hint="eastAsia" w:ascii="仿宋" w:hAnsi="仿宋" w:eastAsia="仿宋"/>
          <w:bCs/>
          <w:sz w:val="32"/>
          <w:szCs w:val="32"/>
        </w:rPr>
        <w:t>（一）主要职能。</w:t>
      </w:r>
      <w:bookmarkEnd w:id="23"/>
      <w:bookmarkEnd w:id="24"/>
      <w:bookmarkStart w:id="25" w:name="_Toc15378446"/>
      <w:bookmarkStart w:id="26" w:name="_Toc15377199"/>
    </w:p>
    <w:p>
      <w:pPr>
        <w:spacing w:line="353" w:lineRule="auto"/>
        <w:ind w:firstLine="624" w:firstLineChars="200"/>
        <w:rPr>
          <w:rFonts w:eastAsia="仿宋_GB2312"/>
          <w:color w:val="000000"/>
          <w:spacing w:val="-4"/>
          <w:sz w:val="32"/>
          <w:szCs w:val="32"/>
        </w:rPr>
      </w:pPr>
      <w:r>
        <w:rPr>
          <w:rFonts w:eastAsia="仿宋_GB2312"/>
          <w:color w:val="000000"/>
          <w:spacing w:val="-4"/>
          <w:sz w:val="32"/>
          <w:szCs w:val="32"/>
        </w:rPr>
        <w:t>1.贯彻执行国家、省、市人力资源和社会保障工作的法律、法规、规章和政策，拟订全区人力资源和社会保障事业发展规划、政策并组织实施，统筹推进人力资源和社会保障事业发展。</w:t>
      </w:r>
    </w:p>
    <w:p>
      <w:pPr>
        <w:spacing w:line="353" w:lineRule="auto"/>
        <w:ind w:firstLine="624" w:firstLineChars="200"/>
        <w:rPr>
          <w:rFonts w:eastAsia="仿宋_GB2312"/>
          <w:color w:val="000000"/>
          <w:spacing w:val="-4"/>
          <w:sz w:val="32"/>
          <w:szCs w:val="32"/>
        </w:rPr>
      </w:pPr>
      <w:r>
        <w:rPr>
          <w:rFonts w:eastAsia="仿宋_GB2312"/>
          <w:color w:val="000000"/>
          <w:spacing w:val="-4"/>
          <w:sz w:val="32"/>
          <w:szCs w:val="32"/>
        </w:rPr>
        <w:t>2.拟订并组织实施全区人力资源市场发展规划和人力资源服务业发展、人力资源流动政策，建立、健全全区统一规范的人力资源市场，促进人力资源合理流动，有效配置。</w:t>
      </w:r>
    </w:p>
    <w:p>
      <w:pPr>
        <w:spacing w:line="353" w:lineRule="auto"/>
        <w:ind w:firstLine="624" w:firstLineChars="200"/>
        <w:rPr>
          <w:rFonts w:eastAsia="仿宋_GB2312"/>
          <w:color w:val="000000"/>
          <w:spacing w:val="-4"/>
          <w:sz w:val="32"/>
          <w:szCs w:val="32"/>
        </w:rPr>
      </w:pPr>
      <w:r>
        <w:rPr>
          <w:rFonts w:eastAsia="仿宋_GB2312"/>
          <w:color w:val="000000"/>
          <w:spacing w:val="-4"/>
          <w:sz w:val="32"/>
          <w:szCs w:val="32"/>
        </w:rPr>
        <w:t>3.负责促进就业工作，拟订统筹全区城乡的就业发展规划和政策，完善公共就业创业服务体系，组织落实创业、就业援助制度，提出就业资金安排计划并组织实施；建立健全失业预警制度，稳定就业形势。落实城乡劳动者的职业技能培训制度；组织实施社会力量举办的职业技能培训，指导企业在职职工技能培训和再就业培训、农村劳动力技能培训等工作；贯彻执行高校毕业生就业政策，组织实施高校毕业生就业创业服务工作。</w:t>
      </w:r>
    </w:p>
    <w:p>
      <w:pPr>
        <w:spacing w:line="353" w:lineRule="auto"/>
        <w:ind w:firstLine="624" w:firstLineChars="200"/>
        <w:rPr>
          <w:rFonts w:eastAsia="仿宋_GB2312"/>
          <w:color w:val="000000"/>
          <w:spacing w:val="-4"/>
          <w:sz w:val="32"/>
          <w:szCs w:val="32"/>
        </w:rPr>
      </w:pPr>
      <w:r>
        <w:rPr>
          <w:rFonts w:eastAsia="仿宋_GB2312"/>
          <w:color w:val="000000"/>
          <w:spacing w:val="-4"/>
          <w:sz w:val="32"/>
          <w:szCs w:val="32"/>
        </w:rPr>
        <w:t>4.统筹推进建立覆盖全区城乡的多层次社会保障体系。贯彻执行国家、省、市养老、失业、工伤等社会保险及其补充保险政策和标准，贯彻落实养老保险全国统筹办法和全国统一的养老、失业、工伤保险关系转续办法；负责对养老、失业、工伤保险基金管理实施行政监督；综合管理就业、社保经办机构；组织实施全区养老、失业、工伤服务体系建设；负责企业职工正常退休和特殊工种提前退休审批；协助办理工伤和特殊工种认定及劳动能力鉴定工作；会同有关部门实施全民参保计划并建立全区统一的养老、失业，工伤社会保险公共服务平台。</w:t>
      </w:r>
    </w:p>
    <w:p>
      <w:pPr>
        <w:spacing w:line="353" w:lineRule="auto"/>
        <w:ind w:firstLine="624" w:firstLineChars="200"/>
        <w:rPr>
          <w:rFonts w:eastAsia="仿宋_GB2312"/>
          <w:color w:val="000000"/>
          <w:spacing w:val="-4"/>
          <w:sz w:val="32"/>
          <w:szCs w:val="32"/>
        </w:rPr>
      </w:pPr>
      <w:r>
        <w:rPr>
          <w:rFonts w:eastAsia="仿宋_GB2312"/>
          <w:color w:val="000000"/>
          <w:spacing w:val="-4"/>
          <w:sz w:val="32"/>
          <w:szCs w:val="32"/>
        </w:rPr>
        <w:t>5.负责就业、失业及社会保障基金监测预警，拟订应对预案，实施预防、调节和控制，保持就业形势稳定和相关社会保险基金总体收支平衡。</w:t>
      </w:r>
    </w:p>
    <w:p>
      <w:pPr>
        <w:spacing w:line="353" w:lineRule="auto"/>
        <w:ind w:firstLine="624" w:firstLineChars="200"/>
        <w:rPr>
          <w:rFonts w:eastAsia="仿宋_GB2312"/>
          <w:color w:val="000000"/>
          <w:spacing w:val="-4"/>
          <w:sz w:val="32"/>
          <w:szCs w:val="32"/>
        </w:rPr>
      </w:pPr>
      <w:r>
        <w:rPr>
          <w:rFonts w:eastAsia="仿宋_GB2312"/>
          <w:color w:val="000000"/>
          <w:spacing w:val="-4"/>
          <w:sz w:val="32"/>
          <w:szCs w:val="32"/>
        </w:rPr>
        <w:t>6.贯彻执行劳动人事争议调解仲裁制度和劳动关系政策，完善劳动关系协调机制，贯彻执行劳动者权益保护政策，协调劳动者维权工作，组织实施劳动保障监察，依法查处侵犯劳动者合法权益的案件。</w:t>
      </w:r>
    </w:p>
    <w:p>
      <w:pPr>
        <w:widowControl/>
        <w:spacing w:line="353" w:lineRule="auto"/>
        <w:ind w:firstLine="624" w:firstLineChars="200"/>
        <w:jc w:val="left"/>
        <w:rPr>
          <w:rFonts w:eastAsia="仿宋_GB2312"/>
          <w:color w:val="000000"/>
          <w:spacing w:val="-4"/>
          <w:sz w:val="32"/>
          <w:szCs w:val="32"/>
        </w:rPr>
      </w:pPr>
      <w:r>
        <w:rPr>
          <w:rFonts w:eastAsia="仿宋_GB2312"/>
          <w:color w:val="000000"/>
          <w:spacing w:val="-4"/>
          <w:sz w:val="32"/>
          <w:szCs w:val="32"/>
        </w:rPr>
        <w:t>7.实施事业单位人员综合管理工作，会同有关部门指导事业单位人事制度改革，按照管理权限承办事业单位岗位设置、公开招聘、人员聘用等人事综合管理工作，拟订事业单位人员和机关工勤人员管理政策；负责专业技术人员管理和继续教育工作；组织实施深化职称制度改革；负责高层次专业技术人才选拔和培养工作，组织实施技能人才培养评价、使用和激励制度，健全职业技能多元化评价政策。指导、监督各级各类技工学校、民办职业培训机构按国家、省和我市有关规定履行安全管理责任。</w:t>
      </w:r>
    </w:p>
    <w:p>
      <w:pPr>
        <w:widowControl/>
        <w:spacing w:line="353" w:lineRule="auto"/>
        <w:ind w:firstLine="624" w:firstLineChars="200"/>
        <w:jc w:val="left"/>
        <w:rPr>
          <w:rFonts w:eastAsia="仿宋_GB2312"/>
          <w:color w:val="000000"/>
          <w:spacing w:val="-4"/>
          <w:sz w:val="32"/>
          <w:szCs w:val="32"/>
        </w:rPr>
      </w:pPr>
      <w:r>
        <w:rPr>
          <w:rFonts w:eastAsia="仿宋_GB2312"/>
          <w:color w:val="000000"/>
          <w:spacing w:val="-4"/>
          <w:sz w:val="32"/>
          <w:szCs w:val="32"/>
        </w:rPr>
        <w:t>8.组织实施国家表彰制度，综合管理政府表彰奖励工作，承担评比达标表彰等工作。承办区委管理的部分领导人员的行政任免手续。</w:t>
      </w:r>
    </w:p>
    <w:p>
      <w:pPr>
        <w:widowControl/>
        <w:spacing w:line="353" w:lineRule="auto"/>
        <w:ind w:firstLine="624" w:firstLineChars="200"/>
        <w:jc w:val="left"/>
        <w:rPr>
          <w:rFonts w:eastAsia="仿宋_GB2312"/>
          <w:color w:val="000000"/>
          <w:spacing w:val="-4"/>
          <w:sz w:val="32"/>
          <w:szCs w:val="32"/>
        </w:rPr>
      </w:pPr>
      <w:r>
        <w:rPr>
          <w:rFonts w:eastAsia="仿宋_GB2312"/>
          <w:color w:val="000000"/>
          <w:spacing w:val="-4"/>
          <w:sz w:val="32"/>
          <w:szCs w:val="32"/>
        </w:rPr>
        <w:t>9.贯彻执行国家、省、市企业职工工资收入分配、支付、保障和调控政策，贯彻落实事业单位人员工资收入分配政策，建立事业单位人员工资决定、正常增长和支付保障机制，贯彻落实企事业单位人员工资福利和退休政策。</w:t>
      </w:r>
    </w:p>
    <w:p>
      <w:pPr>
        <w:widowControl/>
        <w:spacing w:line="353" w:lineRule="auto"/>
        <w:ind w:firstLine="624" w:firstLineChars="200"/>
        <w:jc w:val="left"/>
        <w:rPr>
          <w:rFonts w:eastAsia="仿宋_GB2312"/>
          <w:color w:val="000000"/>
          <w:spacing w:val="-4"/>
          <w:sz w:val="32"/>
          <w:szCs w:val="32"/>
        </w:rPr>
      </w:pPr>
      <w:r>
        <w:rPr>
          <w:rFonts w:eastAsia="仿宋_GB2312"/>
          <w:color w:val="000000"/>
          <w:spacing w:val="-4"/>
          <w:sz w:val="32"/>
          <w:szCs w:val="32"/>
        </w:rPr>
        <w:t>10.会同有关部门拟订劳务开发及农民工工作综合性政策和规划并推动相关政策的落实，协调解决重点难点问题，维护农民工合法权益。</w:t>
      </w:r>
    </w:p>
    <w:p>
      <w:pPr>
        <w:spacing w:line="353" w:lineRule="auto"/>
        <w:ind w:firstLine="624" w:firstLineChars="200"/>
        <w:rPr>
          <w:rFonts w:eastAsia="仿宋_GB2312"/>
          <w:color w:val="000000"/>
          <w:spacing w:val="-4"/>
          <w:sz w:val="32"/>
          <w:szCs w:val="32"/>
        </w:rPr>
      </w:pPr>
      <w:r>
        <w:rPr>
          <w:rFonts w:eastAsia="仿宋_GB2312"/>
          <w:color w:val="000000"/>
          <w:spacing w:val="-4"/>
          <w:sz w:val="32"/>
          <w:szCs w:val="32"/>
        </w:rPr>
        <w:t>11.受理人力资源和社会保障方面的信访事项，会同有关部门协调处理重大信访事件或突发事件。</w:t>
      </w:r>
      <w:r>
        <w:rPr>
          <w:rFonts w:eastAsia="仿宋_GB2312"/>
          <w:color w:val="000000"/>
          <w:spacing w:val="-4"/>
          <w:sz w:val="32"/>
          <w:szCs w:val="32"/>
        </w:rPr>
        <w:br w:type="textWrapping"/>
      </w:r>
      <w:r>
        <w:rPr>
          <w:rFonts w:eastAsia="仿宋_GB2312"/>
          <w:color w:val="000000"/>
          <w:spacing w:val="-4"/>
          <w:sz w:val="32"/>
          <w:szCs w:val="32"/>
        </w:rPr>
        <w:t xml:space="preserve">    12.负责区人力资源社会保障领域的对外交流与合作工作，</w:t>
      </w:r>
      <w:r>
        <w:rPr>
          <w:rFonts w:eastAsia="仿宋_GB2312"/>
          <w:color w:val="000000"/>
          <w:spacing w:val="-4"/>
          <w:sz w:val="32"/>
          <w:szCs w:val="32"/>
        </w:rPr>
        <w:br w:type="textWrapping"/>
      </w:r>
      <w:r>
        <w:rPr>
          <w:rFonts w:eastAsia="仿宋_GB2312"/>
          <w:color w:val="000000"/>
          <w:spacing w:val="-4"/>
          <w:sz w:val="32"/>
          <w:szCs w:val="32"/>
        </w:rPr>
        <w:t xml:space="preserve">    13.承担职责范围内的安全生产和职业健康、生态环境保护、审批服务便民化等工作。</w:t>
      </w:r>
      <w:r>
        <w:rPr>
          <w:rFonts w:eastAsia="仿宋_GB2312"/>
          <w:color w:val="000000"/>
          <w:spacing w:val="-4"/>
          <w:sz w:val="32"/>
          <w:szCs w:val="32"/>
        </w:rPr>
        <w:br w:type="textWrapping"/>
      </w:r>
      <w:r>
        <w:rPr>
          <w:rFonts w:eastAsia="仿宋_GB2312"/>
          <w:color w:val="000000"/>
          <w:spacing w:val="-4"/>
          <w:sz w:val="32"/>
          <w:szCs w:val="32"/>
        </w:rPr>
        <w:t xml:space="preserve">    14.完成区委和区政府交办的其他任务。</w:t>
      </w:r>
      <w:r>
        <w:rPr>
          <w:rFonts w:eastAsia="仿宋_GB2312"/>
          <w:color w:val="000000"/>
          <w:spacing w:val="-4"/>
          <w:sz w:val="32"/>
          <w:szCs w:val="32"/>
        </w:rPr>
        <w:br w:type="textWrapping"/>
      </w:r>
      <w:r>
        <w:rPr>
          <w:rFonts w:eastAsia="仿宋_GB2312"/>
          <w:color w:val="000000"/>
          <w:spacing w:val="-4"/>
          <w:sz w:val="32"/>
          <w:szCs w:val="32"/>
        </w:rPr>
        <w:t xml:space="preserve">    15.职能转变。深入推进简政放权、放管结合、优化服务改革，进一步减少行政审批事项，规范和优化对外办理事项，减少职业资格许可和认定等事项，实行国家职业资格目录清单管理，加强事中事后监管，创新就业和社会保障等公共服务方式，加强信息共享，提高公共服务水平。</w:t>
      </w:r>
    </w:p>
    <w:p>
      <w:pPr>
        <w:spacing w:line="353" w:lineRule="auto"/>
        <w:ind w:firstLine="624" w:firstLineChars="200"/>
        <w:jc w:val="left"/>
        <w:rPr>
          <w:rFonts w:eastAsia="仿宋_GB2312"/>
          <w:sz w:val="32"/>
          <w:szCs w:val="32"/>
        </w:rPr>
      </w:pPr>
      <w:r>
        <w:rPr>
          <w:rFonts w:eastAsia="仿宋_GB2312"/>
          <w:spacing w:val="-4"/>
          <w:sz w:val="32"/>
          <w:szCs w:val="32"/>
        </w:rPr>
        <w:t>16.区社会保险事务中心主要职责：</w:t>
      </w:r>
      <w:r>
        <w:rPr>
          <w:rFonts w:eastAsia="仿宋_GB2312"/>
          <w:sz w:val="32"/>
          <w:szCs w:val="32"/>
        </w:rPr>
        <w:t>贯彻执行国家、省、市社会保险工作的法律、法规、规章和政策；负责贯彻落实机关企事业单位基本养老保险及其补充养老保险政策、城乡居民（含被征地人员）养老保险政策；贯彻落实国家养老保险基金管理办法；贯彻落实城镇企业职工退休、工龄与缴费年限计算政策和非因工伤残人员待遇政策；负责全区养老保险、工伤保险及失业保险基金支付和管理，职业年金的征缴、支付和管理；受区人力资源和社会保障局授权委托，承担退休审批职能。</w:t>
      </w:r>
    </w:p>
    <w:p>
      <w:pPr>
        <w:spacing w:line="353" w:lineRule="auto"/>
        <w:ind w:firstLine="624" w:firstLineChars="200"/>
        <w:rPr>
          <w:rFonts w:ascii="仿宋" w:hAnsi="仿宋" w:eastAsia="仿宋"/>
          <w:bCs/>
          <w:sz w:val="32"/>
          <w:szCs w:val="32"/>
        </w:rPr>
      </w:pPr>
      <w:r>
        <w:rPr>
          <w:rFonts w:eastAsia="仿宋_GB2312"/>
          <w:spacing w:val="-4"/>
          <w:sz w:val="32"/>
          <w:szCs w:val="32"/>
        </w:rPr>
        <w:t>17.区就业创业促进中心主要职责：</w:t>
      </w:r>
      <w:r>
        <w:rPr>
          <w:rFonts w:eastAsia="仿宋_GB2312"/>
          <w:sz w:val="32"/>
          <w:szCs w:val="32"/>
        </w:rPr>
        <w:t>负责贯彻执行《中华人民共和国就业促进法》、省、市有关促进就业的法律、法规、方针和政策，组织实施积极的就业政策，促进城乡劳动者充分就业、自主创业；组织开展全区就业管理服务，制定并实施全区公共就业服务计划；组织实施统筹城乡就业，为辖区失业登记人员、进城务工农民、失地农民、外来务工人员和高校毕业生等城乡劳动者提供均等化就业服务，协调有关部门落实好促进就业和创业促就业的政策、措施；负责全区公共就业服务体系建设。指导检查各街道（乡、镇）、社区（村）公共就业服务机构实施基层平台建设，开展就业（失业）登记、职业介绍、就业指导、就业培训等就业服务工作；负责全区就业创业培训工作，全面开展对城乡劳动者、大学生的就业技能培训和创业培训；贯彻落实中央、省、市关于失业保险法律、法规和政策，负责失业保险各项待遇的申领发放和为领取失业保险金期间失业人员代缴基本医疗保险费等工作；负责全区就业援助工作，组织实施就业困难人员的认定，积极开展就业援助，并负责做好职业介绍补贴、社会保险补贴、职业培训补贴、岗位补贴、高校毕业生创业补贴等促进就业创业政策；负责高校毕业生就业创业服务、就业见习基地及见习生的认定审核、离校未就业的高校毕业生跟踪服务和实名制管理、困难高校毕业生的就业援助、大学生就业创业培训；负责对城乡各类失业人员自主创业、合伙经营企业的创业担保贷款进行审核、推荐；负责全区公共就业服务信息化建设，组织开展人力资源调查、失业预警监测、综合分析统计；行使区人力资源和社会保障局赋予的其他职权，完成区委、区政府和区人力资源和社会保障局交办的其它工作</w:t>
      </w:r>
      <w:r>
        <w:rPr>
          <w:rFonts w:hint="eastAsia" w:eastAsia="仿宋_GB2312"/>
          <w:sz w:val="32"/>
          <w:szCs w:val="32"/>
        </w:rPr>
        <w:t>。</w:t>
      </w:r>
    </w:p>
    <w:p>
      <w:pPr>
        <w:pStyle w:val="2"/>
        <w:adjustRightInd w:val="0"/>
        <w:snapToGrid w:val="0"/>
        <w:spacing w:before="93" w:line="600" w:lineRule="exact"/>
        <w:ind w:firstLine="675" w:firstLineChars="210"/>
        <w:outlineLvl w:val="2"/>
        <w:rPr>
          <w:rFonts w:ascii="仿宋" w:hAnsi="仿宋" w:eastAsia="仿宋"/>
          <w:bCs/>
          <w:color w:val="FF0000"/>
          <w:sz w:val="32"/>
          <w:szCs w:val="32"/>
        </w:rPr>
      </w:pPr>
      <w:r>
        <w:rPr>
          <w:rFonts w:hint="eastAsia" w:ascii="仿宋" w:hAnsi="仿宋" w:eastAsia="仿宋"/>
          <w:b/>
          <w:color w:val="000000" w:themeColor="text1"/>
          <w:sz w:val="32"/>
          <w:szCs w:val="32"/>
          <w14:textFill>
            <w14:solidFill>
              <w14:schemeClr w14:val="tx1"/>
            </w14:solidFill>
          </w14:textFill>
        </w:rPr>
        <w:t>（二）</w:t>
      </w:r>
      <w:r>
        <w:rPr>
          <w:rFonts w:ascii="仿宋" w:hAnsi="仿宋" w:eastAsia="仿宋"/>
          <w:b/>
          <w:color w:val="000000" w:themeColor="text1"/>
          <w:sz w:val="32"/>
          <w:szCs w:val="32"/>
          <w14:textFill>
            <w14:solidFill>
              <w14:schemeClr w14:val="tx1"/>
            </w14:solidFill>
          </w14:textFill>
        </w:rPr>
        <w:t>20</w:t>
      </w:r>
      <w:r>
        <w:rPr>
          <w:rFonts w:hint="eastAsia" w:ascii="仿宋" w:hAnsi="仿宋" w:eastAsia="仿宋"/>
          <w:b/>
          <w:color w:val="000000" w:themeColor="text1"/>
          <w:sz w:val="32"/>
          <w:szCs w:val="32"/>
          <w14:textFill>
            <w14:solidFill>
              <w14:schemeClr w14:val="tx1"/>
            </w14:solidFill>
          </w14:textFill>
        </w:rPr>
        <w:t>21年重点工作完成情况</w:t>
      </w:r>
      <w:r>
        <w:rPr>
          <w:rFonts w:hint="eastAsia" w:ascii="仿宋" w:hAnsi="仿宋" w:eastAsia="仿宋"/>
          <w:bCs/>
          <w:color w:val="FF0000"/>
          <w:sz w:val="32"/>
          <w:szCs w:val="32"/>
        </w:rPr>
        <w:t>。</w:t>
      </w:r>
      <w:bookmarkEnd w:id="25"/>
      <w:bookmarkEnd w:id="26"/>
    </w:p>
    <w:p>
      <w:pPr>
        <w:autoSpaceDE w:val="0"/>
        <w:autoSpaceDN w:val="0"/>
        <w:adjustRightInd w:val="0"/>
        <w:spacing w:line="560" w:lineRule="exact"/>
        <w:ind w:firstLine="624"/>
        <w:rPr>
          <w:rFonts w:eastAsia="仿宋_GB2312"/>
          <w:b/>
          <w:bCs/>
          <w:sz w:val="32"/>
        </w:rPr>
      </w:pPr>
      <w:r>
        <w:rPr>
          <w:rFonts w:eastAsia="仿宋_GB2312"/>
          <w:b/>
          <w:bCs/>
          <w:sz w:val="32"/>
        </w:rPr>
        <w:t>1.市级目标任务。</w:t>
      </w:r>
    </w:p>
    <w:p>
      <w:pPr>
        <w:autoSpaceDE w:val="0"/>
        <w:autoSpaceDN w:val="0"/>
        <w:adjustRightInd w:val="0"/>
        <w:spacing w:line="560" w:lineRule="exact"/>
        <w:ind w:firstLine="624"/>
        <w:rPr>
          <w:rFonts w:eastAsia="仿宋_GB2312"/>
          <w:sz w:val="32"/>
          <w:szCs w:val="32"/>
        </w:rPr>
      </w:pPr>
      <w:r>
        <w:rPr>
          <w:rFonts w:eastAsia="仿宋_GB2312"/>
          <w:sz w:val="32"/>
          <w:szCs w:val="32"/>
        </w:rPr>
        <w:t>截至第</w:t>
      </w:r>
      <w:r>
        <w:rPr>
          <w:rFonts w:hint="eastAsia" w:eastAsia="仿宋_GB2312"/>
          <w:sz w:val="32"/>
          <w:szCs w:val="32"/>
        </w:rPr>
        <w:t>四</w:t>
      </w:r>
      <w:r>
        <w:rPr>
          <w:rFonts w:eastAsia="仿宋_GB2312"/>
          <w:sz w:val="32"/>
          <w:szCs w:val="32"/>
        </w:rPr>
        <w:t>季度，全区城镇居民人均可支配收入达</w:t>
      </w:r>
      <w:r>
        <w:rPr>
          <w:rFonts w:hint="eastAsia" w:eastAsia="仿宋_GB2312"/>
          <w:sz w:val="32"/>
          <w:szCs w:val="32"/>
        </w:rPr>
        <w:t>45266</w:t>
      </w:r>
      <w:r>
        <w:rPr>
          <w:rFonts w:eastAsia="仿宋_GB2312"/>
          <w:sz w:val="32"/>
          <w:szCs w:val="32"/>
        </w:rPr>
        <w:t>元，同比增长</w:t>
      </w:r>
      <w:r>
        <w:rPr>
          <w:rFonts w:hint="eastAsia" w:eastAsia="仿宋_GB2312"/>
          <w:sz w:val="32"/>
          <w:szCs w:val="32"/>
        </w:rPr>
        <w:t>8.3</w:t>
      </w:r>
      <w:r>
        <w:rPr>
          <w:rFonts w:eastAsia="仿宋_GB2312"/>
          <w:sz w:val="32"/>
          <w:szCs w:val="32"/>
        </w:rPr>
        <w:t>%，高于全年任务（8%）</w:t>
      </w:r>
      <w:r>
        <w:rPr>
          <w:rFonts w:hint="eastAsia" w:eastAsia="仿宋_GB2312"/>
          <w:sz w:val="32"/>
          <w:szCs w:val="32"/>
        </w:rPr>
        <w:t>0.3</w:t>
      </w:r>
      <w:r>
        <w:rPr>
          <w:rFonts w:eastAsia="仿宋_GB2312"/>
          <w:sz w:val="32"/>
          <w:szCs w:val="32"/>
        </w:rPr>
        <w:t>个百分点。全年城镇新增就业4445人，城镇登记失业率3.70%，低于4.2%的目标控制线。详见表一。</w:t>
      </w:r>
    </w:p>
    <w:tbl>
      <w:tblPr>
        <w:tblStyle w:val="13"/>
        <w:tblW w:w="9788" w:type="dxa"/>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2760"/>
        <w:gridCol w:w="1183"/>
        <w:gridCol w:w="1320"/>
        <w:gridCol w:w="1285"/>
        <w:gridCol w:w="2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7" w:type="dxa"/>
            <w:vAlign w:val="center"/>
          </w:tcPr>
          <w:p>
            <w:pPr>
              <w:jc w:val="center"/>
              <w:rPr>
                <w:rFonts w:eastAsia="黑体"/>
                <w:bCs/>
                <w:spacing w:val="-4"/>
                <w:kern w:val="0"/>
                <w:sz w:val="28"/>
                <w:szCs w:val="28"/>
              </w:rPr>
            </w:pPr>
            <w:r>
              <w:rPr>
                <w:rFonts w:eastAsia="黑体"/>
                <w:bCs/>
                <w:spacing w:val="-4"/>
                <w:kern w:val="0"/>
                <w:sz w:val="28"/>
                <w:szCs w:val="28"/>
              </w:rPr>
              <w:t>类型</w:t>
            </w:r>
          </w:p>
        </w:tc>
        <w:tc>
          <w:tcPr>
            <w:tcW w:w="2760" w:type="dxa"/>
            <w:vAlign w:val="center"/>
          </w:tcPr>
          <w:p>
            <w:pPr>
              <w:jc w:val="center"/>
              <w:rPr>
                <w:rFonts w:eastAsia="黑体"/>
                <w:bCs/>
                <w:spacing w:val="-4"/>
                <w:kern w:val="0"/>
                <w:sz w:val="28"/>
                <w:szCs w:val="28"/>
              </w:rPr>
            </w:pPr>
            <w:r>
              <w:rPr>
                <w:rFonts w:eastAsia="黑体"/>
                <w:bCs/>
                <w:spacing w:val="-4"/>
                <w:kern w:val="0"/>
                <w:sz w:val="28"/>
                <w:szCs w:val="28"/>
              </w:rPr>
              <w:t>指标项目</w:t>
            </w:r>
          </w:p>
        </w:tc>
        <w:tc>
          <w:tcPr>
            <w:tcW w:w="1183" w:type="dxa"/>
            <w:vAlign w:val="center"/>
          </w:tcPr>
          <w:p>
            <w:pPr>
              <w:jc w:val="center"/>
              <w:rPr>
                <w:rFonts w:eastAsia="黑体"/>
                <w:bCs/>
                <w:spacing w:val="-4"/>
                <w:kern w:val="0"/>
                <w:sz w:val="28"/>
                <w:szCs w:val="28"/>
              </w:rPr>
            </w:pPr>
            <w:r>
              <w:rPr>
                <w:rFonts w:eastAsia="黑体"/>
                <w:bCs/>
                <w:spacing w:val="-4"/>
                <w:kern w:val="0"/>
                <w:sz w:val="28"/>
                <w:szCs w:val="28"/>
              </w:rPr>
              <w:t>指标值</w:t>
            </w:r>
          </w:p>
        </w:tc>
        <w:tc>
          <w:tcPr>
            <w:tcW w:w="1320" w:type="dxa"/>
            <w:vAlign w:val="center"/>
          </w:tcPr>
          <w:p>
            <w:pPr>
              <w:jc w:val="center"/>
              <w:rPr>
                <w:rFonts w:eastAsia="黑体"/>
                <w:bCs/>
                <w:spacing w:val="-4"/>
                <w:kern w:val="0"/>
                <w:sz w:val="28"/>
                <w:szCs w:val="28"/>
              </w:rPr>
            </w:pPr>
            <w:r>
              <w:rPr>
                <w:rFonts w:eastAsia="黑体"/>
                <w:bCs/>
                <w:spacing w:val="-4"/>
                <w:kern w:val="0"/>
                <w:sz w:val="28"/>
                <w:szCs w:val="28"/>
              </w:rPr>
              <w:t>完成数</w:t>
            </w:r>
          </w:p>
        </w:tc>
        <w:tc>
          <w:tcPr>
            <w:tcW w:w="1285" w:type="dxa"/>
            <w:vAlign w:val="center"/>
          </w:tcPr>
          <w:p>
            <w:pPr>
              <w:spacing w:line="0" w:lineRule="atLeast"/>
              <w:jc w:val="center"/>
              <w:rPr>
                <w:rFonts w:eastAsia="黑体"/>
                <w:bCs/>
                <w:spacing w:val="-4"/>
                <w:kern w:val="0"/>
                <w:sz w:val="28"/>
                <w:szCs w:val="28"/>
              </w:rPr>
            </w:pPr>
            <w:r>
              <w:rPr>
                <w:rFonts w:eastAsia="黑体"/>
                <w:bCs/>
                <w:spacing w:val="-4"/>
                <w:kern w:val="0"/>
                <w:sz w:val="28"/>
                <w:szCs w:val="28"/>
              </w:rPr>
              <w:t>完成率（%）</w:t>
            </w:r>
          </w:p>
        </w:tc>
        <w:tc>
          <w:tcPr>
            <w:tcW w:w="2383" w:type="dxa"/>
            <w:vAlign w:val="center"/>
          </w:tcPr>
          <w:p>
            <w:pPr>
              <w:jc w:val="center"/>
              <w:rPr>
                <w:rFonts w:eastAsia="黑体"/>
                <w:bCs/>
                <w:spacing w:val="-4"/>
                <w:kern w:val="0"/>
                <w:sz w:val="28"/>
                <w:szCs w:val="28"/>
              </w:rPr>
            </w:pPr>
            <w:r>
              <w:rPr>
                <w:rFonts w:eastAsia="黑体"/>
                <w:bCs/>
                <w:spacing w:val="-4"/>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7" w:type="dxa"/>
            <w:vMerge w:val="restart"/>
            <w:vAlign w:val="center"/>
          </w:tcPr>
          <w:p>
            <w:pPr>
              <w:adjustRightInd w:val="0"/>
              <w:snapToGrid w:val="0"/>
              <w:spacing w:line="0" w:lineRule="atLeast"/>
              <w:jc w:val="center"/>
              <w:rPr>
                <w:rFonts w:eastAsia="仿宋_GB2312"/>
                <w:sz w:val="28"/>
                <w:szCs w:val="28"/>
              </w:rPr>
            </w:pPr>
            <w:r>
              <w:rPr>
                <w:rFonts w:eastAsia="仿宋_GB2312"/>
                <w:sz w:val="28"/>
                <w:szCs w:val="28"/>
              </w:rPr>
              <w:t>市级</w:t>
            </w:r>
          </w:p>
          <w:p>
            <w:pPr>
              <w:adjustRightInd w:val="0"/>
              <w:snapToGrid w:val="0"/>
              <w:spacing w:line="0" w:lineRule="atLeast"/>
              <w:jc w:val="center"/>
              <w:rPr>
                <w:rFonts w:eastAsia="仿宋_GB2312"/>
                <w:sz w:val="28"/>
                <w:szCs w:val="28"/>
              </w:rPr>
            </w:pPr>
            <w:r>
              <w:rPr>
                <w:rFonts w:eastAsia="仿宋_GB2312"/>
                <w:sz w:val="28"/>
                <w:szCs w:val="28"/>
              </w:rPr>
              <w:t>目标</w:t>
            </w:r>
          </w:p>
          <w:p>
            <w:pPr>
              <w:adjustRightInd w:val="0"/>
              <w:snapToGrid w:val="0"/>
              <w:spacing w:line="0" w:lineRule="atLeast"/>
              <w:jc w:val="center"/>
              <w:rPr>
                <w:rFonts w:eastAsia="仿宋_GB2312"/>
                <w:sz w:val="28"/>
                <w:szCs w:val="28"/>
              </w:rPr>
            </w:pPr>
            <w:r>
              <w:rPr>
                <w:rFonts w:eastAsia="仿宋_GB2312"/>
                <w:sz w:val="28"/>
                <w:szCs w:val="28"/>
              </w:rPr>
              <w:t>任务</w:t>
            </w:r>
          </w:p>
        </w:tc>
        <w:tc>
          <w:tcPr>
            <w:tcW w:w="2760" w:type="dxa"/>
            <w:vAlign w:val="center"/>
          </w:tcPr>
          <w:p>
            <w:pPr>
              <w:adjustRightInd w:val="0"/>
              <w:snapToGrid w:val="0"/>
              <w:spacing w:line="0" w:lineRule="atLeast"/>
              <w:rPr>
                <w:rFonts w:eastAsia="仿宋_GB2312"/>
                <w:sz w:val="28"/>
                <w:szCs w:val="28"/>
              </w:rPr>
            </w:pPr>
            <w:r>
              <w:rPr>
                <w:rFonts w:eastAsia="仿宋_GB2312"/>
                <w:sz w:val="28"/>
                <w:szCs w:val="28"/>
              </w:rPr>
              <w:t>1.城镇居民人均可支配收入增速（%）</w:t>
            </w:r>
          </w:p>
        </w:tc>
        <w:tc>
          <w:tcPr>
            <w:tcW w:w="1183" w:type="dxa"/>
            <w:vAlign w:val="center"/>
          </w:tcPr>
          <w:p>
            <w:pPr>
              <w:adjustRightInd w:val="0"/>
              <w:snapToGrid w:val="0"/>
              <w:spacing w:line="0" w:lineRule="atLeast"/>
              <w:jc w:val="center"/>
              <w:rPr>
                <w:rFonts w:eastAsia="仿宋_GB2312"/>
                <w:sz w:val="28"/>
                <w:szCs w:val="28"/>
              </w:rPr>
            </w:pPr>
            <w:r>
              <w:rPr>
                <w:rFonts w:eastAsia="仿宋_GB2312"/>
                <w:sz w:val="28"/>
                <w:szCs w:val="28"/>
              </w:rPr>
              <w:t>8.0</w:t>
            </w:r>
          </w:p>
        </w:tc>
        <w:tc>
          <w:tcPr>
            <w:tcW w:w="1320" w:type="dxa"/>
            <w:vAlign w:val="center"/>
          </w:tcPr>
          <w:p>
            <w:pPr>
              <w:adjustRightInd w:val="0"/>
              <w:snapToGrid w:val="0"/>
              <w:spacing w:line="0" w:lineRule="atLeast"/>
              <w:jc w:val="center"/>
              <w:rPr>
                <w:rFonts w:eastAsia="仿宋_GB2312"/>
                <w:sz w:val="28"/>
                <w:szCs w:val="28"/>
              </w:rPr>
            </w:pPr>
            <w:r>
              <w:rPr>
                <w:rFonts w:hint="eastAsia" w:eastAsia="仿宋_GB2312"/>
                <w:sz w:val="28"/>
                <w:szCs w:val="28"/>
              </w:rPr>
              <w:t>8</w:t>
            </w:r>
            <w:r>
              <w:rPr>
                <w:rFonts w:eastAsia="仿宋_GB2312"/>
                <w:sz w:val="28"/>
                <w:szCs w:val="28"/>
              </w:rPr>
              <w:t>.</w:t>
            </w:r>
            <w:r>
              <w:rPr>
                <w:rFonts w:hint="eastAsia" w:eastAsia="仿宋_GB2312"/>
                <w:sz w:val="28"/>
                <w:szCs w:val="28"/>
              </w:rPr>
              <w:t>3</w:t>
            </w:r>
          </w:p>
        </w:tc>
        <w:tc>
          <w:tcPr>
            <w:tcW w:w="1285" w:type="dxa"/>
            <w:vAlign w:val="center"/>
          </w:tcPr>
          <w:p>
            <w:pPr>
              <w:adjustRightInd w:val="0"/>
              <w:snapToGrid w:val="0"/>
              <w:spacing w:line="0" w:lineRule="atLeast"/>
              <w:jc w:val="center"/>
              <w:rPr>
                <w:rFonts w:eastAsia="仿宋_GB2312"/>
                <w:sz w:val="28"/>
                <w:szCs w:val="28"/>
              </w:rPr>
            </w:pPr>
            <w:r>
              <w:rPr>
                <w:rFonts w:hint="eastAsia" w:eastAsia="仿宋_GB2312"/>
                <w:sz w:val="28"/>
                <w:szCs w:val="28"/>
              </w:rPr>
              <w:t>103.75</w:t>
            </w:r>
          </w:p>
        </w:tc>
        <w:tc>
          <w:tcPr>
            <w:tcW w:w="2383" w:type="dxa"/>
            <w:vAlign w:val="center"/>
          </w:tcPr>
          <w:p>
            <w:pPr>
              <w:adjustRightInd w:val="0"/>
              <w:snapToGrid w:val="0"/>
              <w:spacing w:line="0" w:lineRule="atLeast"/>
              <w:jc w:val="center"/>
              <w:rPr>
                <w:rFonts w:eastAsia="仿宋_GB2312"/>
                <w:sz w:val="28"/>
                <w:szCs w:val="28"/>
              </w:rPr>
            </w:pPr>
            <w:r>
              <w:rPr>
                <w:rFonts w:eastAsia="仿宋_GB2312"/>
                <w:sz w:val="28"/>
                <w:szCs w:val="28"/>
              </w:rPr>
              <w:t>数据截至</w:t>
            </w:r>
          </w:p>
          <w:p>
            <w:pPr>
              <w:adjustRightInd w:val="0"/>
              <w:snapToGrid w:val="0"/>
              <w:spacing w:line="0" w:lineRule="atLeast"/>
              <w:jc w:val="center"/>
              <w:rPr>
                <w:rFonts w:eastAsia="仿宋_GB2312"/>
                <w:sz w:val="28"/>
                <w:szCs w:val="28"/>
              </w:rPr>
            </w:pPr>
            <w:r>
              <w:rPr>
                <w:rFonts w:eastAsia="仿宋_GB2312"/>
                <w:sz w:val="28"/>
                <w:szCs w:val="28"/>
              </w:rPr>
              <w:t>第</w:t>
            </w:r>
            <w:r>
              <w:rPr>
                <w:rFonts w:hint="eastAsia" w:eastAsia="仿宋_GB2312"/>
                <w:sz w:val="28"/>
                <w:szCs w:val="28"/>
              </w:rPr>
              <w:t>四</w:t>
            </w:r>
            <w:r>
              <w:rPr>
                <w:rFonts w:eastAsia="仿宋_GB2312"/>
                <w:sz w:val="28"/>
                <w:szCs w:val="28"/>
              </w:rPr>
              <w:t>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7" w:type="dxa"/>
            <w:vMerge w:val="continue"/>
            <w:vAlign w:val="center"/>
          </w:tcPr>
          <w:p>
            <w:pPr>
              <w:adjustRightInd w:val="0"/>
              <w:snapToGrid w:val="0"/>
              <w:spacing w:line="0" w:lineRule="atLeast"/>
              <w:rPr>
                <w:rFonts w:eastAsia="仿宋_GB2312"/>
                <w:sz w:val="28"/>
                <w:szCs w:val="28"/>
              </w:rPr>
            </w:pPr>
          </w:p>
        </w:tc>
        <w:tc>
          <w:tcPr>
            <w:tcW w:w="2760" w:type="dxa"/>
            <w:vAlign w:val="center"/>
          </w:tcPr>
          <w:p>
            <w:pPr>
              <w:adjustRightInd w:val="0"/>
              <w:snapToGrid w:val="0"/>
              <w:spacing w:line="0" w:lineRule="atLeast"/>
              <w:rPr>
                <w:rFonts w:eastAsia="仿宋_GB2312"/>
                <w:sz w:val="28"/>
                <w:szCs w:val="28"/>
              </w:rPr>
            </w:pPr>
            <w:r>
              <w:rPr>
                <w:rFonts w:eastAsia="仿宋_GB2312"/>
                <w:sz w:val="28"/>
                <w:szCs w:val="28"/>
              </w:rPr>
              <w:t>2.城镇新增就业人数（人）</w:t>
            </w:r>
          </w:p>
        </w:tc>
        <w:tc>
          <w:tcPr>
            <w:tcW w:w="1183" w:type="dxa"/>
            <w:vAlign w:val="center"/>
          </w:tcPr>
          <w:p>
            <w:pPr>
              <w:adjustRightInd w:val="0"/>
              <w:snapToGrid w:val="0"/>
              <w:spacing w:line="0" w:lineRule="atLeast"/>
              <w:jc w:val="center"/>
              <w:rPr>
                <w:rFonts w:eastAsia="仿宋_GB2312"/>
                <w:sz w:val="28"/>
                <w:szCs w:val="28"/>
              </w:rPr>
            </w:pPr>
            <w:r>
              <w:rPr>
                <w:rFonts w:eastAsia="仿宋_GB2312"/>
                <w:sz w:val="28"/>
                <w:szCs w:val="28"/>
              </w:rPr>
              <w:t>3700</w:t>
            </w:r>
          </w:p>
        </w:tc>
        <w:tc>
          <w:tcPr>
            <w:tcW w:w="1320" w:type="dxa"/>
            <w:vAlign w:val="center"/>
          </w:tcPr>
          <w:p>
            <w:pPr>
              <w:adjustRightInd w:val="0"/>
              <w:snapToGrid w:val="0"/>
              <w:spacing w:line="0" w:lineRule="atLeast"/>
              <w:jc w:val="center"/>
              <w:rPr>
                <w:rFonts w:eastAsia="仿宋_GB2312"/>
                <w:sz w:val="28"/>
                <w:szCs w:val="28"/>
              </w:rPr>
            </w:pPr>
            <w:r>
              <w:rPr>
                <w:rFonts w:eastAsia="仿宋_GB2312"/>
                <w:sz w:val="28"/>
                <w:szCs w:val="28"/>
              </w:rPr>
              <w:t>4445</w:t>
            </w:r>
          </w:p>
        </w:tc>
        <w:tc>
          <w:tcPr>
            <w:tcW w:w="1285" w:type="dxa"/>
            <w:vAlign w:val="center"/>
          </w:tcPr>
          <w:p>
            <w:pPr>
              <w:adjustRightInd w:val="0"/>
              <w:snapToGrid w:val="0"/>
              <w:spacing w:line="0" w:lineRule="atLeast"/>
              <w:jc w:val="center"/>
              <w:rPr>
                <w:rFonts w:eastAsia="仿宋_GB2312"/>
                <w:sz w:val="28"/>
                <w:szCs w:val="28"/>
              </w:rPr>
            </w:pPr>
            <w:r>
              <w:rPr>
                <w:rFonts w:eastAsia="仿宋_GB2312"/>
                <w:sz w:val="28"/>
                <w:szCs w:val="28"/>
              </w:rPr>
              <w:t>120.14</w:t>
            </w:r>
          </w:p>
        </w:tc>
        <w:tc>
          <w:tcPr>
            <w:tcW w:w="2383" w:type="dxa"/>
            <w:vAlign w:val="center"/>
          </w:tcPr>
          <w:p>
            <w:pPr>
              <w:adjustRightInd w:val="0"/>
              <w:snapToGrid w:val="0"/>
              <w:spacing w:line="0" w:lineRule="atLeas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7" w:type="dxa"/>
            <w:vMerge w:val="continue"/>
            <w:vAlign w:val="center"/>
          </w:tcPr>
          <w:p>
            <w:pPr>
              <w:adjustRightInd w:val="0"/>
              <w:snapToGrid w:val="0"/>
              <w:spacing w:line="0" w:lineRule="atLeast"/>
              <w:rPr>
                <w:rFonts w:eastAsia="仿宋_GB2312"/>
                <w:sz w:val="28"/>
                <w:szCs w:val="28"/>
              </w:rPr>
            </w:pPr>
          </w:p>
        </w:tc>
        <w:tc>
          <w:tcPr>
            <w:tcW w:w="2760" w:type="dxa"/>
            <w:vAlign w:val="center"/>
          </w:tcPr>
          <w:p>
            <w:pPr>
              <w:adjustRightInd w:val="0"/>
              <w:snapToGrid w:val="0"/>
              <w:spacing w:line="0" w:lineRule="atLeast"/>
              <w:rPr>
                <w:rFonts w:eastAsia="仿宋_GB2312"/>
                <w:sz w:val="28"/>
                <w:szCs w:val="28"/>
              </w:rPr>
            </w:pPr>
            <w:r>
              <w:rPr>
                <w:rFonts w:eastAsia="仿宋_GB2312"/>
                <w:sz w:val="28"/>
                <w:szCs w:val="28"/>
              </w:rPr>
              <w:t>3.城镇登记失业率（%）</w:t>
            </w:r>
          </w:p>
        </w:tc>
        <w:tc>
          <w:tcPr>
            <w:tcW w:w="1183" w:type="dxa"/>
            <w:vAlign w:val="center"/>
          </w:tcPr>
          <w:p>
            <w:pPr>
              <w:adjustRightInd w:val="0"/>
              <w:snapToGrid w:val="0"/>
              <w:spacing w:line="0" w:lineRule="atLeast"/>
              <w:jc w:val="center"/>
              <w:rPr>
                <w:rFonts w:eastAsia="仿宋_GB2312"/>
                <w:sz w:val="28"/>
                <w:szCs w:val="28"/>
              </w:rPr>
            </w:pPr>
            <w:r>
              <w:rPr>
                <w:rFonts w:eastAsia="仿宋_GB2312"/>
                <w:sz w:val="28"/>
                <w:szCs w:val="28"/>
              </w:rPr>
              <w:t>≤4.2</w:t>
            </w:r>
          </w:p>
        </w:tc>
        <w:tc>
          <w:tcPr>
            <w:tcW w:w="1320" w:type="dxa"/>
            <w:vAlign w:val="center"/>
          </w:tcPr>
          <w:p>
            <w:pPr>
              <w:adjustRightInd w:val="0"/>
              <w:snapToGrid w:val="0"/>
              <w:spacing w:line="0" w:lineRule="atLeast"/>
              <w:jc w:val="center"/>
              <w:rPr>
                <w:rFonts w:eastAsia="仿宋_GB2312"/>
                <w:sz w:val="28"/>
                <w:szCs w:val="28"/>
              </w:rPr>
            </w:pPr>
            <w:r>
              <w:rPr>
                <w:rFonts w:eastAsia="仿宋_GB2312"/>
                <w:sz w:val="28"/>
                <w:szCs w:val="28"/>
              </w:rPr>
              <w:t>3.70</w:t>
            </w:r>
          </w:p>
        </w:tc>
        <w:tc>
          <w:tcPr>
            <w:tcW w:w="1285" w:type="dxa"/>
            <w:vAlign w:val="center"/>
          </w:tcPr>
          <w:p>
            <w:pPr>
              <w:adjustRightInd w:val="0"/>
              <w:snapToGrid w:val="0"/>
              <w:spacing w:line="0" w:lineRule="atLeast"/>
              <w:jc w:val="center"/>
              <w:rPr>
                <w:rFonts w:eastAsia="仿宋_GB2312"/>
                <w:sz w:val="28"/>
                <w:szCs w:val="28"/>
              </w:rPr>
            </w:pPr>
            <w:r>
              <w:rPr>
                <w:rFonts w:eastAsia="仿宋_GB2312"/>
                <w:sz w:val="28"/>
                <w:szCs w:val="28"/>
              </w:rPr>
              <w:t>119.04</w:t>
            </w:r>
          </w:p>
        </w:tc>
        <w:tc>
          <w:tcPr>
            <w:tcW w:w="2383" w:type="dxa"/>
            <w:vAlign w:val="center"/>
          </w:tcPr>
          <w:p>
            <w:pPr>
              <w:adjustRightInd w:val="0"/>
              <w:snapToGrid w:val="0"/>
              <w:spacing w:line="0" w:lineRule="atLeas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7" w:type="dxa"/>
            <w:vMerge w:val="continue"/>
            <w:vAlign w:val="center"/>
          </w:tcPr>
          <w:p>
            <w:pPr>
              <w:adjustRightInd w:val="0"/>
              <w:snapToGrid w:val="0"/>
              <w:spacing w:line="0" w:lineRule="atLeast"/>
              <w:rPr>
                <w:rFonts w:eastAsia="仿宋_GB2312"/>
                <w:sz w:val="28"/>
                <w:szCs w:val="28"/>
              </w:rPr>
            </w:pPr>
          </w:p>
        </w:tc>
        <w:tc>
          <w:tcPr>
            <w:tcW w:w="2760" w:type="dxa"/>
            <w:vAlign w:val="center"/>
          </w:tcPr>
          <w:p>
            <w:pPr>
              <w:adjustRightInd w:val="0"/>
              <w:snapToGrid w:val="0"/>
              <w:spacing w:line="0" w:lineRule="atLeast"/>
              <w:rPr>
                <w:rFonts w:eastAsia="仿宋_GB2312"/>
                <w:sz w:val="28"/>
                <w:szCs w:val="28"/>
              </w:rPr>
            </w:pPr>
            <w:r>
              <w:rPr>
                <w:rFonts w:eastAsia="仿宋_GB2312"/>
                <w:sz w:val="28"/>
                <w:szCs w:val="28"/>
              </w:rPr>
              <w:t>4.保障农民工工资支付</w:t>
            </w:r>
          </w:p>
        </w:tc>
        <w:tc>
          <w:tcPr>
            <w:tcW w:w="1183" w:type="dxa"/>
            <w:vAlign w:val="center"/>
          </w:tcPr>
          <w:p>
            <w:pPr>
              <w:adjustRightInd w:val="0"/>
              <w:snapToGrid w:val="0"/>
              <w:spacing w:line="0" w:lineRule="atLeast"/>
              <w:jc w:val="center"/>
              <w:rPr>
                <w:rFonts w:eastAsia="仿宋_GB2312"/>
                <w:sz w:val="28"/>
                <w:szCs w:val="28"/>
              </w:rPr>
            </w:pPr>
            <w:r>
              <w:rPr>
                <w:rFonts w:eastAsia="仿宋_GB2312"/>
                <w:sz w:val="28"/>
                <w:szCs w:val="28"/>
              </w:rPr>
              <w:t>按考核细则持续推进</w:t>
            </w:r>
          </w:p>
        </w:tc>
        <w:tc>
          <w:tcPr>
            <w:tcW w:w="1320" w:type="dxa"/>
            <w:vAlign w:val="center"/>
          </w:tcPr>
          <w:p>
            <w:pPr>
              <w:adjustRightInd w:val="0"/>
              <w:snapToGrid w:val="0"/>
              <w:spacing w:line="0" w:lineRule="atLeast"/>
              <w:jc w:val="center"/>
              <w:rPr>
                <w:rFonts w:eastAsia="仿宋_GB2312"/>
                <w:sz w:val="28"/>
                <w:szCs w:val="28"/>
              </w:rPr>
            </w:pPr>
            <w:r>
              <w:rPr>
                <w:rFonts w:eastAsia="仿宋_GB2312"/>
                <w:sz w:val="28"/>
                <w:szCs w:val="28"/>
              </w:rPr>
              <w:t>按考核细则持续推进</w:t>
            </w:r>
          </w:p>
        </w:tc>
        <w:tc>
          <w:tcPr>
            <w:tcW w:w="1285" w:type="dxa"/>
            <w:vAlign w:val="center"/>
          </w:tcPr>
          <w:p>
            <w:pPr>
              <w:adjustRightInd w:val="0"/>
              <w:snapToGrid w:val="0"/>
              <w:spacing w:line="0" w:lineRule="atLeast"/>
              <w:jc w:val="center"/>
              <w:rPr>
                <w:rFonts w:eastAsia="仿宋_GB2312"/>
                <w:sz w:val="28"/>
                <w:szCs w:val="28"/>
              </w:rPr>
            </w:pPr>
            <w:r>
              <w:rPr>
                <w:rFonts w:eastAsia="仿宋_GB2312"/>
                <w:sz w:val="28"/>
                <w:szCs w:val="28"/>
              </w:rPr>
              <w:t>按考核细则持续推进</w:t>
            </w:r>
          </w:p>
        </w:tc>
        <w:tc>
          <w:tcPr>
            <w:tcW w:w="2383" w:type="dxa"/>
            <w:vAlign w:val="center"/>
          </w:tcPr>
          <w:p>
            <w:pPr>
              <w:adjustRightInd w:val="0"/>
              <w:snapToGrid w:val="0"/>
              <w:spacing w:line="0" w:lineRule="atLeast"/>
              <w:rPr>
                <w:rFonts w:eastAsia="仿宋_GB2312"/>
                <w:sz w:val="28"/>
                <w:szCs w:val="28"/>
              </w:rPr>
            </w:pPr>
          </w:p>
        </w:tc>
      </w:tr>
    </w:tbl>
    <w:p>
      <w:pPr>
        <w:widowControl/>
        <w:spacing w:line="353" w:lineRule="auto"/>
        <w:jc w:val="center"/>
        <w:rPr>
          <w:rFonts w:eastAsia="黑体"/>
          <w:sz w:val="32"/>
          <w:szCs w:val="32"/>
        </w:rPr>
      </w:pPr>
      <w:r>
        <w:rPr>
          <w:rFonts w:eastAsia="黑体"/>
          <w:kern w:val="0"/>
          <w:sz w:val="28"/>
          <w:szCs w:val="28"/>
        </w:rPr>
        <w:t xml:space="preserve"> 表1  2021年区人力资源社会保障局市级目标任务完成情况</w:t>
      </w:r>
    </w:p>
    <w:p>
      <w:pPr>
        <w:autoSpaceDE w:val="0"/>
        <w:autoSpaceDN w:val="0"/>
        <w:adjustRightInd w:val="0"/>
        <w:spacing w:line="560" w:lineRule="exact"/>
        <w:ind w:firstLine="643" w:firstLineChars="200"/>
        <w:rPr>
          <w:rFonts w:eastAsia="仿宋_GB2312"/>
          <w:b/>
          <w:bCs/>
          <w:sz w:val="32"/>
        </w:rPr>
      </w:pPr>
      <w:r>
        <w:rPr>
          <w:rFonts w:eastAsia="仿宋_GB2312"/>
          <w:b/>
          <w:bCs/>
          <w:sz w:val="32"/>
        </w:rPr>
        <w:t>2.职能目标任务。</w:t>
      </w:r>
    </w:p>
    <w:p>
      <w:pPr>
        <w:autoSpaceDE w:val="0"/>
        <w:autoSpaceDN w:val="0"/>
        <w:adjustRightInd w:val="0"/>
        <w:spacing w:line="560" w:lineRule="exact"/>
        <w:ind w:firstLine="643" w:firstLineChars="200"/>
        <w:rPr>
          <w:rFonts w:eastAsia="仿宋_GB2312"/>
          <w:sz w:val="32"/>
          <w:szCs w:val="32"/>
        </w:rPr>
      </w:pPr>
      <w:r>
        <w:rPr>
          <w:rFonts w:eastAsia="仿宋_GB2312"/>
          <w:b/>
          <w:bCs/>
          <w:sz w:val="32"/>
          <w:szCs w:val="32"/>
        </w:rPr>
        <w:t>（1）就业创业工作。</w:t>
      </w:r>
      <w:r>
        <w:rPr>
          <w:rFonts w:eastAsia="仿宋_GB2312"/>
          <w:sz w:val="32"/>
          <w:szCs w:val="32"/>
        </w:rPr>
        <w:t>实现失业人员再就业1760人（完成1600人的110%），就业困难人员再就业350人（完成320人的109.38%）。截至12月28日，组织开办35期培训班，培训1282人次［其中劳务品牌培训班25期， 972人次，完成职业技能培训1100人的88.36%；创业培训8期，239人次（其中网创培训60人），完成创业培训200人的119.5%（网创培训60人的100%）］，落实企业职工以工代训补贴591人。实现创业担保贷款2008万元，完成目标任务2000万的100.4%；实现新增青年就业见习31人，完成目标任务25人的124%。详见表二。</w:t>
      </w:r>
    </w:p>
    <w:tbl>
      <w:tblPr>
        <w:tblStyle w:val="13"/>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3790"/>
        <w:gridCol w:w="1253"/>
        <w:gridCol w:w="1423"/>
        <w:gridCol w:w="1097"/>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7" w:type="dxa"/>
            <w:vAlign w:val="center"/>
          </w:tcPr>
          <w:p>
            <w:pPr>
              <w:adjustRightInd w:val="0"/>
              <w:snapToGrid w:val="0"/>
              <w:jc w:val="center"/>
              <w:rPr>
                <w:rFonts w:eastAsia="黑体"/>
                <w:sz w:val="28"/>
                <w:szCs w:val="28"/>
              </w:rPr>
            </w:pPr>
            <w:r>
              <w:rPr>
                <w:rFonts w:eastAsia="黑体"/>
                <w:sz w:val="28"/>
                <w:szCs w:val="28"/>
              </w:rPr>
              <w:t>类别</w:t>
            </w:r>
          </w:p>
        </w:tc>
        <w:tc>
          <w:tcPr>
            <w:tcW w:w="3790" w:type="dxa"/>
            <w:vAlign w:val="center"/>
          </w:tcPr>
          <w:p>
            <w:pPr>
              <w:adjustRightInd w:val="0"/>
              <w:snapToGrid w:val="0"/>
              <w:jc w:val="center"/>
              <w:rPr>
                <w:rFonts w:eastAsia="黑体"/>
                <w:sz w:val="28"/>
                <w:szCs w:val="28"/>
              </w:rPr>
            </w:pPr>
            <w:r>
              <w:rPr>
                <w:rFonts w:eastAsia="黑体"/>
                <w:sz w:val="28"/>
                <w:szCs w:val="28"/>
              </w:rPr>
              <w:t>指标</w:t>
            </w:r>
          </w:p>
        </w:tc>
        <w:tc>
          <w:tcPr>
            <w:tcW w:w="1253" w:type="dxa"/>
            <w:vAlign w:val="center"/>
          </w:tcPr>
          <w:p>
            <w:pPr>
              <w:adjustRightInd w:val="0"/>
              <w:snapToGrid w:val="0"/>
              <w:jc w:val="center"/>
              <w:rPr>
                <w:rFonts w:eastAsia="黑体"/>
                <w:sz w:val="28"/>
                <w:szCs w:val="28"/>
              </w:rPr>
            </w:pPr>
            <w:r>
              <w:rPr>
                <w:rFonts w:eastAsia="黑体"/>
                <w:sz w:val="28"/>
                <w:szCs w:val="28"/>
              </w:rPr>
              <w:t>2021年目标数</w:t>
            </w:r>
          </w:p>
        </w:tc>
        <w:tc>
          <w:tcPr>
            <w:tcW w:w="1423" w:type="dxa"/>
            <w:vAlign w:val="center"/>
          </w:tcPr>
          <w:p>
            <w:pPr>
              <w:adjustRightInd w:val="0"/>
              <w:snapToGrid w:val="0"/>
              <w:jc w:val="center"/>
              <w:rPr>
                <w:rFonts w:eastAsia="黑体"/>
                <w:sz w:val="28"/>
                <w:szCs w:val="28"/>
              </w:rPr>
            </w:pPr>
            <w:r>
              <w:rPr>
                <w:rFonts w:eastAsia="黑体"/>
                <w:sz w:val="28"/>
                <w:szCs w:val="28"/>
              </w:rPr>
              <w:t>2021年</w:t>
            </w:r>
          </w:p>
          <w:p>
            <w:pPr>
              <w:adjustRightInd w:val="0"/>
              <w:snapToGrid w:val="0"/>
              <w:jc w:val="center"/>
              <w:rPr>
                <w:rFonts w:eastAsia="黑体"/>
                <w:sz w:val="28"/>
                <w:szCs w:val="28"/>
              </w:rPr>
            </w:pPr>
            <w:r>
              <w:rPr>
                <w:rFonts w:eastAsia="黑体"/>
                <w:sz w:val="28"/>
                <w:szCs w:val="28"/>
              </w:rPr>
              <w:t>完成数</w:t>
            </w:r>
          </w:p>
        </w:tc>
        <w:tc>
          <w:tcPr>
            <w:tcW w:w="1097" w:type="dxa"/>
            <w:vAlign w:val="center"/>
          </w:tcPr>
          <w:p>
            <w:pPr>
              <w:adjustRightInd w:val="0"/>
              <w:snapToGrid w:val="0"/>
              <w:jc w:val="center"/>
              <w:rPr>
                <w:rFonts w:eastAsia="黑体"/>
                <w:sz w:val="28"/>
                <w:szCs w:val="28"/>
              </w:rPr>
            </w:pPr>
            <w:r>
              <w:rPr>
                <w:rFonts w:eastAsia="黑体"/>
                <w:sz w:val="28"/>
                <w:szCs w:val="28"/>
              </w:rPr>
              <w:t>完成率（%）</w:t>
            </w:r>
          </w:p>
        </w:tc>
        <w:tc>
          <w:tcPr>
            <w:tcW w:w="1096" w:type="dxa"/>
            <w:vAlign w:val="center"/>
          </w:tcPr>
          <w:p>
            <w:pPr>
              <w:adjustRightInd w:val="0"/>
              <w:snapToGrid w:val="0"/>
              <w:jc w:val="center"/>
              <w:rPr>
                <w:rFonts w:eastAsia="黑体"/>
                <w:sz w:val="28"/>
                <w:szCs w:val="28"/>
              </w:rPr>
            </w:pPr>
            <w:r>
              <w:rPr>
                <w:rFonts w:eastAsia="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7" w:type="dxa"/>
            <w:vMerge w:val="restart"/>
            <w:vAlign w:val="center"/>
          </w:tcPr>
          <w:p>
            <w:pPr>
              <w:adjustRightInd w:val="0"/>
              <w:snapToGrid w:val="0"/>
              <w:jc w:val="center"/>
              <w:rPr>
                <w:rFonts w:eastAsia="黑体"/>
                <w:sz w:val="28"/>
                <w:szCs w:val="28"/>
              </w:rPr>
            </w:pPr>
            <w:r>
              <w:rPr>
                <w:rFonts w:eastAsia="黑体"/>
                <w:sz w:val="28"/>
                <w:szCs w:val="28"/>
              </w:rPr>
              <w:t>就业创业领域</w:t>
            </w:r>
          </w:p>
        </w:tc>
        <w:tc>
          <w:tcPr>
            <w:tcW w:w="3790" w:type="dxa"/>
            <w:vAlign w:val="center"/>
          </w:tcPr>
          <w:p>
            <w:pPr>
              <w:adjustRightInd w:val="0"/>
              <w:snapToGrid w:val="0"/>
              <w:rPr>
                <w:rFonts w:eastAsia="仿宋_GB2312"/>
                <w:sz w:val="28"/>
                <w:szCs w:val="28"/>
              </w:rPr>
            </w:pPr>
            <w:r>
              <w:rPr>
                <w:rFonts w:eastAsia="仿宋_GB2312"/>
                <w:sz w:val="28"/>
                <w:szCs w:val="28"/>
              </w:rPr>
              <w:t>1.城镇新增就业（人）</w:t>
            </w:r>
          </w:p>
        </w:tc>
        <w:tc>
          <w:tcPr>
            <w:tcW w:w="1253" w:type="dxa"/>
            <w:vAlign w:val="center"/>
          </w:tcPr>
          <w:p>
            <w:pPr>
              <w:adjustRightInd w:val="0"/>
              <w:snapToGrid w:val="0"/>
              <w:jc w:val="center"/>
              <w:rPr>
                <w:rFonts w:eastAsia="仿宋_GB2312"/>
                <w:sz w:val="28"/>
                <w:szCs w:val="28"/>
              </w:rPr>
            </w:pPr>
            <w:r>
              <w:rPr>
                <w:rFonts w:eastAsia="仿宋_GB2312"/>
                <w:sz w:val="28"/>
                <w:szCs w:val="28"/>
              </w:rPr>
              <w:t>3700</w:t>
            </w:r>
          </w:p>
        </w:tc>
        <w:tc>
          <w:tcPr>
            <w:tcW w:w="1423" w:type="dxa"/>
            <w:vAlign w:val="center"/>
          </w:tcPr>
          <w:p>
            <w:pPr>
              <w:adjustRightInd w:val="0"/>
              <w:snapToGrid w:val="0"/>
              <w:jc w:val="center"/>
              <w:rPr>
                <w:rFonts w:eastAsia="仿宋_GB2312"/>
                <w:sz w:val="28"/>
                <w:szCs w:val="28"/>
              </w:rPr>
            </w:pPr>
            <w:r>
              <w:rPr>
                <w:rFonts w:eastAsia="仿宋_GB2312"/>
                <w:sz w:val="28"/>
                <w:szCs w:val="28"/>
              </w:rPr>
              <w:t>4445</w:t>
            </w:r>
          </w:p>
        </w:tc>
        <w:tc>
          <w:tcPr>
            <w:tcW w:w="1097" w:type="dxa"/>
            <w:vAlign w:val="center"/>
          </w:tcPr>
          <w:p>
            <w:pPr>
              <w:adjustRightInd w:val="0"/>
              <w:snapToGrid w:val="0"/>
              <w:jc w:val="center"/>
              <w:rPr>
                <w:rFonts w:eastAsia="仿宋_GB2312"/>
                <w:sz w:val="28"/>
                <w:szCs w:val="28"/>
              </w:rPr>
            </w:pPr>
            <w:r>
              <w:rPr>
                <w:rFonts w:eastAsia="仿宋_GB2312"/>
                <w:sz w:val="28"/>
                <w:szCs w:val="28"/>
              </w:rPr>
              <w:t>120.14</w:t>
            </w:r>
          </w:p>
        </w:tc>
        <w:tc>
          <w:tcPr>
            <w:tcW w:w="1096" w:type="dxa"/>
            <w:vAlign w:val="center"/>
          </w:tcPr>
          <w:p>
            <w:pPr>
              <w:adjustRightInd w:val="0"/>
              <w:snapToGrid w:val="0"/>
              <w:jc w:val="center"/>
              <w:rPr>
                <w:rFonts w:eastAsia="仿宋_GB2312"/>
                <w:sz w:val="28"/>
                <w:szCs w:val="28"/>
              </w:rPr>
            </w:pPr>
            <w:r>
              <w:rPr>
                <w:rFonts w:eastAsia="仿宋_GB2312"/>
                <w:sz w:val="28"/>
                <w:szCs w:val="2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7" w:type="dxa"/>
            <w:vMerge w:val="continue"/>
            <w:vAlign w:val="center"/>
          </w:tcPr>
          <w:p>
            <w:pPr>
              <w:adjustRightInd w:val="0"/>
              <w:snapToGrid w:val="0"/>
              <w:rPr>
                <w:rFonts w:eastAsia="黑体"/>
                <w:sz w:val="28"/>
                <w:szCs w:val="28"/>
              </w:rPr>
            </w:pPr>
          </w:p>
        </w:tc>
        <w:tc>
          <w:tcPr>
            <w:tcW w:w="3790" w:type="dxa"/>
            <w:vAlign w:val="center"/>
          </w:tcPr>
          <w:p>
            <w:pPr>
              <w:adjustRightInd w:val="0"/>
              <w:snapToGrid w:val="0"/>
              <w:rPr>
                <w:rFonts w:eastAsia="仿宋_GB2312"/>
                <w:sz w:val="28"/>
                <w:szCs w:val="28"/>
              </w:rPr>
            </w:pPr>
            <w:r>
              <w:rPr>
                <w:rFonts w:eastAsia="仿宋_GB2312"/>
                <w:sz w:val="28"/>
                <w:szCs w:val="28"/>
              </w:rPr>
              <w:t>2.失业人员再就业（人）</w:t>
            </w:r>
          </w:p>
        </w:tc>
        <w:tc>
          <w:tcPr>
            <w:tcW w:w="1253" w:type="dxa"/>
            <w:vAlign w:val="center"/>
          </w:tcPr>
          <w:p>
            <w:pPr>
              <w:adjustRightInd w:val="0"/>
              <w:snapToGrid w:val="0"/>
              <w:jc w:val="center"/>
              <w:rPr>
                <w:rFonts w:eastAsia="仿宋_GB2312"/>
                <w:sz w:val="28"/>
                <w:szCs w:val="28"/>
              </w:rPr>
            </w:pPr>
            <w:r>
              <w:rPr>
                <w:rFonts w:eastAsia="仿宋_GB2312"/>
                <w:sz w:val="28"/>
                <w:szCs w:val="28"/>
              </w:rPr>
              <w:t>1600</w:t>
            </w:r>
          </w:p>
        </w:tc>
        <w:tc>
          <w:tcPr>
            <w:tcW w:w="1423" w:type="dxa"/>
            <w:vAlign w:val="center"/>
          </w:tcPr>
          <w:p>
            <w:pPr>
              <w:adjustRightInd w:val="0"/>
              <w:snapToGrid w:val="0"/>
              <w:jc w:val="center"/>
              <w:rPr>
                <w:rFonts w:eastAsia="仿宋_GB2312"/>
                <w:sz w:val="28"/>
                <w:szCs w:val="28"/>
              </w:rPr>
            </w:pPr>
            <w:r>
              <w:rPr>
                <w:rFonts w:eastAsia="仿宋_GB2312"/>
                <w:sz w:val="28"/>
                <w:szCs w:val="28"/>
              </w:rPr>
              <w:t>1760</w:t>
            </w:r>
          </w:p>
        </w:tc>
        <w:tc>
          <w:tcPr>
            <w:tcW w:w="1097" w:type="dxa"/>
            <w:vAlign w:val="center"/>
          </w:tcPr>
          <w:p>
            <w:pPr>
              <w:adjustRightInd w:val="0"/>
              <w:snapToGrid w:val="0"/>
              <w:jc w:val="center"/>
              <w:rPr>
                <w:rFonts w:eastAsia="仿宋_GB2312"/>
                <w:sz w:val="28"/>
                <w:szCs w:val="28"/>
              </w:rPr>
            </w:pPr>
            <w:r>
              <w:rPr>
                <w:rFonts w:eastAsia="仿宋_GB2312"/>
                <w:sz w:val="28"/>
                <w:szCs w:val="28"/>
              </w:rPr>
              <w:t>110</w:t>
            </w:r>
          </w:p>
        </w:tc>
        <w:tc>
          <w:tcPr>
            <w:tcW w:w="1096" w:type="dxa"/>
            <w:vAlign w:val="center"/>
          </w:tcPr>
          <w:p>
            <w:pPr>
              <w:adjustRightInd w:val="0"/>
              <w:snapToGrid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7" w:type="dxa"/>
            <w:vMerge w:val="continue"/>
            <w:vAlign w:val="center"/>
          </w:tcPr>
          <w:p>
            <w:pPr>
              <w:adjustRightInd w:val="0"/>
              <w:snapToGrid w:val="0"/>
              <w:rPr>
                <w:rFonts w:eastAsia="黑体"/>
                <w:sz w:val="28"/>
                <w:szCs w:val="28"/>
              </w:rPr>
            </w:pPr>
          </w:p>
        </w:tc>
        <w:tc>
          <w:tcPr>
            <w:tcW w:w="3790" w:type="dxa"/>
            <w:vAlign w:val="center"/>
          </w:tcPr>
          <w:p>
            <w:pPr>
              <w:adjustRightInd w:val="0"/>
              <w:snapToGrid w:val="0"/>
              <w:rPr>
                <w:rFonts w:eastAsia="仿宋_GB2312"/>
                <w:sz w:val="28"/>
                <w:szCs w:val="28"/>
              </w:rPr>
            </w:pPr>
            <w:r>
              <w:rPr>
                <w:rFonts w:eastAsia="仿宋_GB2312"/>
                <w:sz w:val="28"/>
                <w:szCs w:val="28"/>
              </w:rPr>
              <w:t>3.就业困难人员再就业（人）</w:t>
            </w:r>
          </w:p>
        </w:tc>
        <w:tc>
          <w:tcPr>
            <w:tcW w:w="1253" w:type="dxa"/>
            <w:vAlign w:val="center"/>
          </w:tcPr>
          <w:p>
            <w:pPr>
              <w:adjustRightInd w:val="0"/>
              <w:snapToGrid w:val="0"/>
              <w:jc w:val="center"/>
              <w:rPr>
                <w:rFonts w:eastAsia="仿宋_GB2312"/>
                <w:sz w:val="28"/>
                <w:szCs w:val="28"/>
              </w:rPr>
            </w:pPr>
            <w:r>
              <w:rPr>
                <w:rFonts w:eastAsia="仿宋_GB2312"/>
                <w:sz w:val="28"/>
                <w:szCs w:val="28"/>
              </w:rPr>
              <w:t>320</w:t>
            </w:r>
          </w:p>
        </w:tc>
        <w:tc>
          <w:tcPr>
            <w:tcW w:w="1423" w:type="dxa"/>
            <w:vAlign w:val="center"/>
          </w:tcPr>
          <w:p>
            <w:pPr>
              <w:adjustRightInd w:val="0"/>
              <w:snapToGrid w:val="0"/>
              <w:jc w:val="center"/>
              <w:rPr>
                <w:rFonts w:eastAsia="仿宋_GB2312"/>
                <w:sz w:val="28"/>
                <w:szCs w:val="28"/>
              </w:rPr>
            </w:pPr>
            <w:r>
              <w:rPr>
                <w:rFonts w:eastAsia="仿宋_GB2312"/>
                <w:sz w:val="28"/>
                <w:szCs w:val="28"/>
              </w:rPr>
              <w:t>350</w:t>
            </w:r>
          </w:p>
        </w:tc>
        <w:tc>
          <w:tcPr>
            <w:tcW w:w="1097" w:type="dxa"/>
            <w:vAlign w:val="center"/>
          </w:tcPr>
          <w:p>
            <w:pPr>
              <w:adjustRightInd w:val="0"/>
              <w:snapToGrid w:val="0"/>
              <w:jc w:val="center"/>
              <w:rPr>
                <w:rFonts w:eastAsia="仿宋_GB2312"/>
                <w:sz w:val="28"/>
                <w:szCs w:val="28"/>
              </w:rPr>
            </w:pPr>
            <w:r>
              <w:rPr>
                <w:rFonts w:eastAsia="仿宋_GB2312"/>
                <w:sz w:val="28"/>
                <w:szCs w:val="28"/>
              </w:rPr>
              <w:t>109.38</w:t>
            </w:r>
          </w:p>
        </w:tc>
        <w:tc>
          <w:tcPr>
            <w:tcW w:w="1096" w:type="dxa"/>
            <w:vAlign w:val="center"/>
          </w:tcPr>
          <w:p>
            <w:pPr>
              <w:adjustRightInd w:val="0"/>
              <w:snapToGrid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7" w:type="dxa"/>
            <w:vMerge w:val="continue"/>
            <w:vAlign w:val="center"/>
          </w:tcPr>
          <w:p>
            <w:pPr>
              <w:adjustRightInd w:val="0"/>
              <w:snapToGrid w:val="0"/>
              <w:rPr>
                <w:rFonts w:eastAsia="黑体"/>
                <w:sz w:val="28"/>
                <w:szCs w:val="28"/>
              </w:rPr>
            </w:pPr>
          </w:p>
        </w:tc>
        <w:tc>
          <w:tcPr>
            <w:tcW w:w="3790" w:type="dxa"/>
            <w:vAlign w:val="center"/>
          </w:tcPr>
          <w:p>
            <w:pPr>
              <w:adjustRightInd w:val="0"/>
              <w:snapToGrid w:val="0"/>
              <w:rPr>
                <w:rFonts w:eastAsia="仿宋_GB2312"/>
                <w:sz w:val="28"/>
                <w:szCs w:val="28"/>
              </w:rPr>
            </w:pPr>
            <w:r>
              <w:rPr>
                <w:rFonts w:eastAsia="仿宋_GB2312"/>
                <w:sz w:val="28"/>
                <w:szCs w:val="28"/>
              </w:rPr>
              <w:t>4.城镇登记失业率（%）</w:t>
            </w:r>
          </w:p>
        </w:tc>
        <w:tc>
          <w:tcPr>
            <w:tcW w:w="1253" w:type="dxa"/>
            <w:vAlign w:val="center"/>
          </w:tcPr>
          <w:p>
            <w:pPr>
              <w:adjustRightInd w:val="0"/>
              <w:snapToGrid w:val="0"/>
              <w:jc w:val="center"/>
              <w:rPr>
                <w:rFonts w:eastAsia="仿宋_GB2312"/>
                <w:spacing w:val="-20"/>
                <w:sz w:val="28"/>
                <w:szCs w:val="28"/>
              </w:rPr>
            </w:pPr>
            <w:r>
              <w:rPr>
                <w:rFonts w:eastAsia="仿宋_GB2312"/>
                <w:spacing w:val="-20"/>
                <w:sz w:val="28"/>
                <w:szCs w:val="28"/>
              </w:rPr>
              <w:t>≤</w:t>
            </w:r>
            <w:r>
              <w:rPr>
                <w:rFonts w:eastAsia="仿宋_GB2312"/>
                <w:spacing w:val="-26"/>
                <w:sz w:val="28"/>
                <w:szCs w:val="28"/>
              </w:rPr>
              <w:t>4.2</w:t>
            </w:r>
          </w:p>
        </w:tc>
        <w:tc>
          <w:tcPr>
            <w:tcW w:w="1423" w:type="dxa"/>
            <w:vAlign w:val="center"/>
          </w:tcPr>
          <w:p>
            <w:pPr>
              <w:adjustRightInd w:val="0"/>
              <w:snapToGrid w:val="0"/>
              <w:jc w:val="center"/>
              <w:rPr>
                <w:rFonts w:eastAsia="仿宋_GB2312"/>
                <w:sz w:val="28"/>
                <w:szCs w:val="28"/>
              </w:rPr>
            </w:pPr>
            <w:r>
              <w:rPr>
                <w:rFonts w:eastAsia="仿宋_GB2312"/>
                <w:sz w:val="28"/>
                <w:szCs w:val="28"/>
              </w:rPr>
              <w:t>3.70</w:t>
            </w:r>
          </w:p>
        </w:tc>
        <w:tc>
          <w:tcPr>
            <w:tcW w:w="1097" w:type="dxa"/>
            <w:vAlign w:val="center"/>
          </w:tcPr>
          <w:p>
            <w:pPr>
              <w:adjustRightInd w:val="0"/>
              <w:snapToGrid w:val="0"/>
              <w:jc w:val="center"/>
              <w:rPr>
                <w:rFonts w:eastAsia="仿宋_GB2312"/>
                <w:sz w:val="28"/>
                <w:szCs w:val="28"/>
              </w:rPr>
            </w:pPr>
            <w:r>
              <w:rPr>
                <w:rFonts w:eastAsia="仿宋_GB2312"/>
                <w:sz w:val="28"/>
                <w:szCs w:val="28"/>
              </w:rPr>
              <w:t>119.04</w:t>
            </w:r>
          </w:p>
        </w:tc>
        <w:tc>
          <w:tcPr>
            <w:tcW w:w="1096" w:type="dxa"/>
            <w:vAlign w:val="center"/>
          </w:tcPr>
          <w:p>
            <w:pPr>
              <w:adjustRightInd w:val="0"/>
              <w:snapToGrid w:val="0"/>
              <w:rPr>
                <w:rFonts w:eastAsia="仿宋_GB2312"/>
                <w:spacing w:val="-20"/>
                <w:sz w:val="28"/>
                <w:szCs w:val="28"/>
              </w:rPr>
            </w:pPr>
            <w:r>
              <w:rPr>
                <w:rFonts w:eastAsia="仿宋_GB2312"/>
                <w:spacing w:val="-20"/>
                <w:sz w:val="28"/>
                <w:szCs w:val="28"/>
              </w:rPr>
              <w:t>县（区）排名第3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7" w:type="dxa"/>
            <w:vMerge w:val="continue"/>
            <w:vAlign w:val="center"/>
          </w:tcPr>
          <w:p>
            <w:pPr>
              <w:adjustRightInd w:val="0"/>
              <w:snapToGrid w:val="0"/>
              <w:rPr>
                <w:rFonts w:eastAsia="黑体"/>
                <w:sz w:val="28"/>
                <w:szCs w:val="28"/>
              </w:rPr>
            </w:pPr>
          </w:p>
        </w:tc>
        <w:tc>
          <w:tcPr>
            <w:tcW w:w="3790" w:type="dxa"/>
            <w:vMerge w:val="restart"/>
            <w:vAlign w:val="center"/>
          </w:tcPr>
          <w:p>
            <w:pPr>
              <w:adjustRightInd w:val="0"/>
              <w:snapToGrid w:val="0"/>
              <w:rPr>
                <w:rFonts w:eastAsia="仿宋_GB2312"/>
                <w:sz w:val="28"/>
                <w:szCs w:val="28"/>
              </w:rPr>
            </w:pPr>
            <w:r>
              <w:rPr>
                <w:rFonts w:eastAsia="仿宋_GB2312"/>
                <w:sz w:val="28"/>
                <w:szCs w:val="28"/>
              </w:rPr>
              <w:t>5.职业技能培训（人）</w:t>
            </w:r>
          </w:p>
        </w:tc>
        <w:tc>
          <w:tcPr>
            <w:tcW w:w="1253" w:type="dxa"/>
            <w:vAlign w:val="center"/>
          </w:tcPr>
          <w:p>
            <w:pPr>
              <w:adjustRightInd w:val="0"/>
              <w:snapToGrid w:val="0"/>
              <w:jc w:val="center"/>
              <w:rPr>
                <w:rFonts w:eastAsia="仿宋_GB2312"/>
                <w:sz w:val="28"/>
                <w:szCs w:val="28"/>
              </w:rPr>
            </w:pPr>
            <w:r>
              <w:rPr>
                <w:rFonts w:eastAsia="仿宋_GB2312"/>
                <w:sz w:val="28"/>
                <w:szCs w:val="28"/>
              </w:rPr>
              <w:t>1331</w:t>
            </w:r>
          </w:p>
        </w:tc>
        <w:tc>
          <w:tcPr>
            <w:tcW w:w="1423" w:type="dxa"/>
            <w:vMerge w:val="restart"/>
            <w:vAlign w:val="center"/>
          </w:tcPr>
          <w:p>
            <w:pPr>
              <w:adjustRightInd w:val="0"/>
              <w:snapToGrid w:val="0"/>
              <w:jc w:val="center"/>
              <w:rPr>
                <w:rFonts w:eastAsia="仿宋_GB2312"/>
                <w:bCs/>
                <w:sz w:val="28"/>
                <w:szCs w:val="28"/>
              </w:rPr>
            </w:pPr>
            <w:r>
              <w:rPr>
                <w:rFonts w:eastAsia="仿宋_GB2312"/>
                <w:bCs/>
                <w:sz w:val="28"/>
                <w:szCs w:val="28"/>
              </w:rPr>
              <w:t>1873（以工代训591）</w:t>
            </w:r>
          </w:p>
        </w:tc>
        <w:tc>
          <w:tcPr>
            <w:tcW w:w="1097" w:type="dxa"/>
            <w:vAlign w:val="center"/>
          </w:tcPr>
          <w:p>
            <w:pPr>
              <w:adjustRightInd w:val="0"/>
              <w:snapToGrid w:val="0"/>
              <w:jc w:val="center"/>
              <w:rPr>
                <w:rFonts w:eastAsia="仿宋_GB2312"/>
                <w:bCs/>
                <w:sz w:val="28"/>
                <w:szCs w:val="28"/>
              </w:rPr>
            </w:pPr>
            <w:r>
              <w:rPr>
                <w:rFonts w:eastAsia="仿宋_GB2312"/>
                <w:bCs/>
                <w:sz w:val="28"/>
                <w:szCs w:val="28"/>
              </w:rPr>
              <w:t>140.72</w:t>
            </w:r>
          </w:p>
        </w:tc>
        <w:tc>
          <w:tcPr>
            <w:tcW w:w="1096" w:type="dxa"/>
            <w:vAlign w:val="center"/>
          </w:tcPr>
          <w:p>
            <w:pPr>
              <w:adjustRightInd w:val="0"/>
              <w:snapToGrid w:val="0"/>
              <w:jc w:val="center"/>
              <w:rPr>
                <w:rFonts w:eastAsia="仿宋_GB2312"/>
                <w:bCs/>
                <w:spacing w:val="-20"/>
                <w:sz w:val="28"/>
                <w:szCs w:val="28"/>
              </w:rPr>
            </w:pPr>
            <w:r>
              <w:rPr>
                <w:rFonts w:eastAsia="仿宋_GB2312"/>
                <w:bCs/>
                <w:spacing w:val="-20"/>
                <w:sz w:val="28"/>
                <w:szCs w:val="2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7" w:type="dxa"/>
            <w:vMerge w:val="continue"/>
            <w:vAlign w:val="center"/>
          </w:tcPr>
          <w:p>
            <w:pPr>
              <w:adjustRightInd w:val="0"/>
              <w:snapToGrid w:val="0"/>
              <w:rPr>
                <w:rFonts w:eastAsia="黑体"/>
                <w:sz w:val="28"/>
                <w:szCs w:val="28"/>
              </w:rPr>
            </w:pPr>
          </w:p>
        </w:tc>
        <w:tc>
          <w:tcPr>
            <w:tcW w:w="3790" w:type="dxa"/>
            <w:vMerge w:val="continue"/>
            <w:vAlign w:val="center"/>
          </w:tcPr>
          <w:p>
            <w:pPr>
              <w:adjustRightInd w:val="0"/>
              <w:snapToGrid w:val="0"/>
              <w:rPr>
                <w:rFonts w:eastAsia="仿宋_GB2312"/>
                <w:sz w:val="28"/>
                <w:szCs w:val="28"/>
              </w:rPr>
            </w:pPr>
          </w:p>
        </w:tc>
        <w:tc>
          <w:tcPr>
            <w:tcW w:w="1253" w:type="dxa"/>
            <w:vAlign w:val="center"/>
          </w:tcPr>
          <w:p>
            <w:pPr>
              <w:adjustRightInd w:val="0"/>
              <w:snapToGrid w:val="0"/>
              <w:jc w:val="center"/>
              <w:rPr>
                <w:rFonts w:eastAsia="仿宋_GB2312"/>
                <w:sz w:val="28"/>
                <w:szCs w:val="28"/>
              </w:rPr>
            </w:pPr>
            <w:r>
              <w:rPr>
                <w:rFonts w:eastAsia="仿宋_GB2312"/>
                <w:sz w:val="28"/>
                <w:szCs w:val="28"/>
              </w:rPr>
              <w:t>1300</w:t>
            </w:r>
          </w:p>
        </w:tc>
        <w:tc>
          <w:tcPr>
            <w:tcW w:w="1423" w:type="dxa"/>
            <w:vMerge w:val="continue"/>
            <w:vAlign w:val="center"/>
          </w:tcPr>
          <w:p>
            <w:pPr>
              <w:adjustRightInd w:val="0"/>
              <w:snapToGrid w:val="0"/>
              <w:jc w:val="center"/>
              <w:rPr>
                <w:rFonts w:eastAsia="仿宋_GB2312"/>
                <w:bCs/>
                <w:sz w:val="28"/>
                <w:szCs w:val="28"/>
              </w:rPr>
            </w:pPr>
          </w:p>
        </w:tc>
        <w:tc>
          <w:tcPr>
            <w:tcW w:w="1097" w:type="dxa"/>
            <w:vAlign w:val="center"/>
          </w:tcPr>
          <w:p>
            <w:pPr>
              <w:adjustRightInd w:val="0"/>
              <w:snapToGrid w:val="0"/>
              <w:jc w:val="center"/>
              <w:rPr>
                <w:rFonts w:eastAsia="仿宋_GB2312"/>
                <w:bCs/>
                <w:sz w:val="28"/>
                <w:szCs w:val="28"/>
              </w:rPr>
            </w:pPr>
            <w:r>
              <w:rPr>
                <w:rFonts w:eastAsia="仿宋_GB2312"/>
                <w:bCs/>
                <w:sz w:val="28"/>
                <w:szCs w:val="28"/>
              </w:rPr>
              <w:t>144.07</w:t>
            </w:r>
          </w:p>
        </w:tc>
        <w:tc>
          <w:tcPr>
            <w:tcW w:w="1096" w:type="dxa"/>
            <w:vAlign w:val="center"/>
          </w:tcPr>
          <w:p>
            <w:pPr>
              <w:adjustRightInd w:val="0"/>
              <w:snapToGrid w:val="0"/>
              <w:jc w:val="center"/>
              <w:rPr>
                <w:rFonts w:eastAsia="仿宋_GB2312"/>
                <w:bCs/>
                <w:spacing w:val="-20"/>
                <w:sz w:val="28"/>
                <w:szCs w:val="28"/>
              </w:rPr>
            </w:pPr>
            <w:r>
              <w:rPr>
                <w:rFonts w:eastAsia="仿宋_GB2312"/>
                <w:bCs/>
                <w:spacing w:val="-20"/>
                <w:sz w:val="28"/>
                <w:szCs w:val="28"/>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7" w:type="dxa"/>
            <w:vMerge w:val="continue"/>
            <w:vAlign w:val="center"/>
          </w:tcPr>
          <w:p>
            <w:pPr>
              <w:adjustRightInd w:val="0"/>
              <w:snapToGrid w:val="0"/>
              <w:rPr>
                <w:rFonts w:eastAsia="黑体"/>
                <w:sz w:val="28"/>
                <w:szCs w:val="28"/>
              </w:rPr>
            </w:pPr>
          </w:p>
        </w:tc>
        <w:tc>
          <w:tcPr>
            <w:tcW w:w="3790" w:type="dxa"/>
            <w:vAlign w:val="center"/>
          </w:tcPr>
          <w:p>
            <w:pPr>
              <w:adjustRightInd w:val="0"/>
              <w:snapToGrid w:val="0"/>
              <w:rPr>
                <w:rFonts w:eastAsia="仿宋_GB2312"/>
                <w:sz w:val="28"/>
                <w:szCs w:val="28"/>
              </w:rPr>
            </w:pPr>
            <w:r>
              <w:rPr>
                <w:rFonts w:eastAsia="仿宋_GB2312"/>
                <w:sz w:val="28"/>
                <w:szCs w:val="28"/>
              </w:rPr>
              <w:t>（1）劳务品牌培训（人）</w:t>
            </w:r>
          </w:p>
        </w:tc>
        <w:tc>
          <w:tcPr>
            <w:tcW w:w="1253" w:type="dxa"/>
            <w:vAlign w:val="center"/>
          </w:tcPr>
          <w:p>
            <w:pPr>
              <w:adjustRightInd w:val="0"/>
              <w:snapToGrid w:val="0"/>
              <w:jc w:val="center"/>
              <w:rPr>
                <w:rFonts w:eastAsia="仿宋_GB2312"/>
                <w:sz w:val="28"/>
                <w:szCs w:val="28"/>
              </w:rPr>
            </w:pPr>
            <w:r>
              <w:rPr>
                <w:rFonts w:eastAsia="仿宋_GB2312"/>
                <w:sz w:val="28"/>
                <w:szCs w:val="28"/>
              </w:rPr>
              <w:t>600</w:t>
            </w:r>
          </w:p>
        </w:tc>
        <w:tc>
          <w:tcPr>
            <w:tcW w:w="1423" w:type="dxa"/>
            <w:vAlign w:val="center"/>
          </w:tcPr>
          <w:p>
            <w:pPr>
              <w:adjustRightInd w:val="0"/>
              <w:snapToGrid w:val="0"/>
              <w:jc w:val="center"/>
              <w:rPr>
                <w:rFonts w:eastAsia="仿宋_GB2312"/>
                <w:bCs/>
                <w:sz w:val="28"/>
                <w:szCs w:val="28"/>
              </w:rPr>
            </w:pPr>
            <w:r>
              <w:rPr>
                <w:rFonts w:eastAsia="仿宋_GB2312"/>
                <w:bCs/>
                <w:sz w:val="28"/>
                <w:szCs w:val="28"/>
              </w:rPr>
              <w:t>972</w:t>
            </w:r>
          </w:p>
        </w:tc>
        <w:tc>
          <w:tcPr>
            <w:tcW w:w="1097" w:type="dxa"/>
            <w:vAlign w:val="center"/>
          </w:tcPr>
          <w:p>
            <w:pPr>
              <w:adjustRightInd w:val="0"/>
              <w:snapToGrid w:val="0"/>
              <w:jc w:val="center"/>
              <w:rPr>
                <w:rFonts w:eastAsia="仿宋_GB2312"/>
                <w:bCs/>
                <w:sz w:val="28"/>
                <w:szCs w:val="28"/>
              </w:rPr>
            </w:pPr>
            <w:r>
              <w:rPr>
                <w:rFonts w:eastAsia="仿宋_GB2312"/>
                <w:bCs/>
                <w:sz w:val="28"/>
                <w:szCs w:val="28"/>
              </w:rPr>
              <w:t>162</w:t>
            </w:r>
          </w:p>
        </w:tc>
        <w:tc>
          <w:tcPr>
            <w:tcW w:w="1096" w:type="dxa"/>
            <w:vAlign w:val="center"/>
          </w:tcPr>
          <w:p>
            <w:pPr>
              <w:adjustRightInd w:val="0"/>
              <w:snapToGrid w:val="0"/>
              <w:rPr>
                <w:rFonts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7" w:type="dxa"/>
            <w:vMerge w:val="continue"/>
            <w:vAlign w:val="center"/>
          </w:tcPr>
          <w:p>
            <w:pPr>
              <w:adjustRightInd w:val="0"/>
              <w:snapToGrid w:val="0"/>
              <w:rPr>
                <w:rFonts w:eastAsia="黑体"/>
                <w:sz w:val="28"/>
                <w:szCs w:val="28"/>
              </w:rPr>
            </w:pPr>
          </w:p>
        </w:tc>
        <w:tc>
          <w:tcPr>
            <w:tcW w:w="3790" w:type="dxa"/>
            <w:vAlign w:val="center"/>
          </w:tcPr>
          <w:p>
            <w:pPr>
              <w:adjustRightInd w:val="0"/>
              <w:snapToGrid w:val="0"/>
              <w:rPr>
                <w:rFonts w:eastAsia="仿宋_GB2312"/>
                <w:sz w:val="28"/>
                <w:szCs w:val="28"/>
              </w:rPr>
            </w:pPr>
            <w:r>
              <w:rPr>
                <w:rFonts w:eastAsia="仿宋_GB2312"/>
                <w:sz w:val="28"/>
                <w:szCs w:val="28"/>
              </w:rPr>
              <w:t>（2）创业培训（人）</w:t>
            </w:r>
          </w:p>
        </w:tc>
        <w:tc>
          <w:tcPr>
            <w:tcW w:w="1253" w:type="dxa"/>
            <w:vAlign w:val="center"/>
          </w:tcPr>
          <w:p>
            <w:pPr>
              <w:adjustRightInd w:val="0"/>
              <w:snapToGrid w:val="0"/>
              <w:jc w:val="center"/>
              <w:rPr>
                <w:rFonts w:eastAsia="仿宋_GB2312"/>
                <w:sz w:val="28"/>
                <w:szCs w:val="28"/>
              </w:rPr>
            </w:pPr>
            <w:r>
              <w:rPr>
                <w:rFonts w:eastAsia="仿宋_GB2312"/>
                <w:sz w:val="28"/>
                <w:szCs w:val="28"/>
              </w:rPr>
              <w:t>200</w:t>
            </w:r>
          </w:p>
        </w:tc>
        <w:tc>
          <w:tcPr>
            <w:tcW w:w="1423" w:type="dxa"/>
            <w:vAlign w:val="center"/>
          </w:tcPr>
          <w:p>
            <w:pPr>
              <w:adjustRightInd w:val="0"/>
              <w:snapToGrid w:val="0"/>
              <w:jc w:val="center"/>
              <w:rPr>
                <w:rFonts w:eastAsia="仿宋_GB2312"/>
                <w:bCs/>
                <w:sz w:val="28"/>
                <w:szCs w:val="28"/>
              </w:rPr>
            </w:pPr>
            <w:r>
              <w:rPr>
                <w:rFonts w:eastAsia="仿宋_GB2312"/>
                <w:bCs/>
                <w:sz w:val="28"/>
                <w:szCs w:val="28"/>
              </w:rPr>
              <w:t>239</w:t>
            </w:r>
          </w:p>
        </w:tc>
        <w:tc>
          <w:tcPr>
            <w:tcW w:w="1097" w:type="dxa"/>
            <w:vAlign w:val="center"/>
          </w:tcPr>
          <w:p>
            <w:pPr>
              <w:adjustRightInd w:val="0"/>
              <w:snapToGrid w:val="0"/>
              <w:jc w:val="center"/>
              <w:rPr>
                <w:rFonts w:eastAsia="仿宋_GB2312"/>
                <w:bCs/>
                <w:sz w:val="28"/>
                <w:szCs w:val="28"/>
              </w:rPr>
            </w:pPr>
            <w:r>
              <w:rPr>
                <w:rFonts w:eastAsia="仿宋_GB2312"/>
                <w:bCs/>
                <w:sz w:val="28"/>
                <w:szCs w:val="28"/>
              </w:rPr>
              <w:t>119.5</w:t>
            </w:r>
          </w:p>
        </w:tc>
        <w:tc>
          <w:tcPr>
            <w:tcW w:w="1096" w:type="dxa"/>
            <w:vAlign w:val="center"/>
          </w:tcPr>
          <w:p>
            <w:pPr>
              <w:adjustRightInd w:val="0"/>
              <w:snapToGrid w:val="0"/>
              <w:rPr>
                <w:rFonts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7" w:type="dxa"/>
            <w:vMerge w:val="continue"/>
            <w:vAlign w:val="center"/>
          </w:tcPr>
          <w:p>
            <w:pPr>
              <w:adjustRightInd w:val="0"/>
              <w:snapToGrid w:val="0"/>
              <w:rPr>
                <w:rFonts w:eastAsia="黑体"/>
                <w:sz w:val="28"/>
                <w:szCs w:val="28"/>
              </w:rPr>
            </w:pPr>
          </w:p>
        </w:tc>
        <w:tc>
          <w:tcPr>
            <w:tcW w:w="3790" w:type="dxa"/>
            <w:vAlign w:val="center"/>
          </w:tcPr>
          <w:p>
            <w:pPr>
              <w:adjustRightInd w:val="0"/>
              <w:snapToGrid w:val="0"/>
              <w:rPr>
                <w:rFonts w:eastAsia="仿宋_GB2312"/>
                <w:sz w:val="28"/>
                <w:szCs w:val="28"/>
              </w:rPr>
            </w:pPr>
            <w:r>
              <w:rPr>
                <w:rFonts w:eastAsia="仿宋_GB2312"/>
                <w:sz w:val="28"/>
                <w:szCs w:val="28"/>
              </w:rPr>
              <w:t>（3）网络创业培训（人）</w:t>
            </w:r>
          </w:p>
        </w:tc>
        <w:tc>
          <w:tcPr>
            <w:tcW w:w="1253" w:type="dxa"/>
            <w:vAlign w:val="center"/>
          </w:tcPr>
          <w:p>
            <w:pPr>
              <w:adjustRightInd w:val="0"/>
              <w:snapToGrid w:val="0"/>
              <w:jc w:val="center"/>
              <w:rPr>
                <w:rFonts w:eastAsia="仿宋_GB2312"/>
                <w:sz w:val="28"/>
                <w:szCs w:val="28"/>
              </w:rPr>
            </w:pPr>
            <w:r>
              <w:rPr>
                <w:rFonts w:eastAsia="仿宋_GB2312"/>
                <w:sz w:val="28"/>
                <w:szCs w:val="28"/>
              </w:rPr>
              <w:t>60</w:t>
            </w:r>
          </w:p>
        </w:tc>
        <w:tc>
          <w:tcPr>
            <w:tcW w:w="1423" w:type="dxa"/>
            <w:vAlign w:val="center"/>
          </w:tcPr>
          <w:p>
            <w:pPr>
              <w:adjustRightInd w:val="0"/>
              <w:snapToGrid w:val="0"/>
              <w:jc w:val="center"/>
              <w:rPr>
                <w:rFonts w:eastAsia="仿宋_GB2312"/>
                <w:bCs/>
                <w:sz w:val="28"/>
                <w:szCs w:val="28"/>
              </w:rPr>
            </w:pPr>
            <w:r>
              <w:rPr>
                <w:rFonts w:eastAsia="仿宋_GB2312"/>
                <w:bCs/>
                <w:sz w:val="28"/>
                <w:szCs w:val="28"/>
              </w:rPr>
              <w:t>60</w:t>
            </w:r>
          </w:p>
        </w:tc>
        <w:tc>
          <w:tcPr>
            <w:tcW w:w="1097" w:type="dxa"/>
            <w:vAlign w:val="center"/>
          </w:tcPr>
          <w:p>
            <w:pPr>
              <w:adjustRightInd w:val="0"/>
              <w:snapToGrid w:val="0"/>
              <w:jc w:val="center"/>
              <w:rPr>
                <w:rFonts w:eastAsia="仿宋_GB2312"/>
                <w:bCs/>
                <w:sz w:val="28"/>
                <w:szCs w:val="28"/>
              </w:rPr>
            </w:pPr>
            <w:r>
              <w:rPr>
                <w:rFonts w:eastAsia="仿宋_GB2312"/>
                <w:bCs/>
                <w:sz w:val="28"/>
                <w:szCs w:val="28"/>
              </w:rPr>
              <w:t>100</w:t>
            </w:r>
          </w:p>
        </w:tc>
        <w:tc>
          <w:tcPr>
            <w:tcW w:w="1096" w:type="dxa"/>
            <w:vAlign w:val="center"/>
          </w:tcPr>
          <w:p>
            <w:pPr>
              <w:adjustRightInd w:val="0"/>
              <w:snapToGrid w:val="0"/>
              <w:rPr>
                <w:rFonts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7" w:type="dxa"/>
            <w:vMerge w:val="continue"/>
            <w:vAlign w:val="center"/>
          </w:tcPr>
          <w:p>
            <w:pPr>
              <w:adjustRightInd w:val="0"/>
              <w:snapToGrid w:val="0"/>
              <w:rPr>
                <w:rFonts w:eastAsia="黑体"/>
                <w:sz w:val="28"/>
                <w:szCs w:val="28"/>
              </w:rPr>
            </w:pPr>
          </w:p>
        </w:tc>
        <w:tc>
          <w:tcPr>
            <w:tcW w:w="3790" w:type="dxa"/>
            <w:vAlign w:val="center"/>
          </w:tcPr>
          <w:p>
            <w:pPr>
              <w:adjustRightInd w:val="0"/>
              <w:snapToGrid w:val="0"/>
              <w:rPr>
                <w:rFonts w:eastAsia="仿宋_GB2312"/>
                <w:sz w:val="28"/>
                <w:szCs w:val="28"/>
              </w:rPr>
            </w:pPr>
            <w:r>
              <w:rPr>
                <w:rFonts w:eastAsia="仿宋_GB2312"/>
                <w:sz w:val="28"/>
                <w:szCs w:val="28"/>
              </w:rPr>
              <w:t>6.发放创业担保贷（万元）</w:t>
            </w:r>
          </w:p>
        </w:tc>
        <w:tc>
          <w:tcPr>
            <w:tcW w:w="1253" w:type="dxa"/>
            <w:vAlign w:val="center"/>
          </w:tcPr>
          <w:p>
            <w:pPr>
              <w:adjustRightInd w:val="0"/>
              <w:snapToGrid w:val="0"/>
              <w:jc w:val="center"/>
              <w:rPr>
                <w:rFonts w:eastAsia="仿宋_GB2312"/>
                <w:sz w:val="28"/>
                <w:szCs w:val="28"/>
              </w:rPr>
            </w:pPr>
            <w:r>
              <w:rPr>
                <w:rFonts w:eastAsia="仿宋_GB2312"/>
                <w:sz w:val="28"/>
                <w:szCs w:val="28"/>
              </w:rPr>
              <w:t>2000</w:t>
            </w:r>
          </w:p>
        </w:tc>
        <w:tc>
          <w:tcPr>
            <w:tcW w:w="1423" w:type="dxa"/>
            <w:vAlign w:val="center"/>
          </w:tcPr>
          <w:p>
            <w:pPr>
              <w:adjustRightInd w:val="0"/>
              <w:snapToGrid w:val="0"/>
              <w:jc w:val="center"/>
              <w:rPr>
                <w:rFonts w:eastAsia="仿宋_GB2312"/>
                <w:bCs/>
                <w:sz w:val="28"/>
                <w:szCs w:val="28"/>
              </w:rPr>
            </w:pPr>
            <w:r>
              <w:rPr>
                <w:rFonts w:eastAsia="仿宋_GB2312"/>
                <w:bCs/>
                <w:sz w:val="28"/>
                <w:szCs w:val="28"/>
              </w:rPr>
              <w:t>2008</w:t>
            </w:r>
          </w:p>
        </w:tc>
        <w:tc>
          <w:tcPr>
            <w:tcW w:w="1097" w:type="dxa"/>
            <w:vAlign w:val="center"/>
          </w:tcPr>
          <w:p>
            <w:pPr>
              <w:adjustRightInd w:val="0"/>
              <w:snapToGrid w:val="0"/>
              <w:jc w:val="center"/>
              <w:rPr>
                <w:rFonts w:eastAsia="仿宋_GB2312"/>
                <w:bCs/>
                <w:sz w:val="28"/>
                <w:szCs w:val="28"/>
              </w:rPr>
            </w:pPr>
            <w:r>
              <w:rPr>
                <w:rFonts w:eastAsia="仿宋_GB2312"/>
                <w:bCs/>
                <w:sz w:val="28"/>
                <w:szCs w:val="28"/>
              </w:rPr>
              <w:t>100.4</w:t>
            </w:r>
          </w:p>
        </w:tc>
        <w:tc>
          <w:tcPr>
            <w:tcW w:w="1096" w:type="dxa"/>
            <w:vAlign w:val="center"/>
          </w:tcPr>
          <w:p>
            <w:pPr>
              <w:adjustRightInd w:val="0"/>
              <w:snapToGrid w:val="0"/>
              <w:rPr>
                <w:rFonts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7" w:type="dxa"/>
            <w:vMerge w:val="continue"/>
            <w:vAlign w:val="center"/>
          </w:tcPr>
          <w:p>
            <w:pPr>
              <w:adjustRightInd w:val="0"/>
              <w:snapToGrid w:val="0"/>
              <w:rPr>
                <w:rFonts w:eastAsia="黑体"/>
                <w:sz w:val="28"/>
                <w:szCs w:val="28"/>
              </w:rPr>
            </w:pPr>
          </w:p>
        </w:tc>
        <w:tc>
          <w:tcPr>
            <w:tcW w:w="3790" w:type="dxa"/>
            <w:vAlign w:val="center"/>
          </w:tcPr>
          <w:p>
            <w:pPr>
              <w:adjustRightInd w:val="0"/>
              <w:snapToGrid w:val="0"/>
              <w:rPr>
                <w:rFonts w:eastAsia="仿宋_GB2312"/>
                <w:sz w:val="28"/>
                <w:szCs w:val="28"/>
              </w:rPr>
            </w:pPr>
            <w:r>
              <w:rPr>
                <w:rFonts w:eastAsia="仿宋_GB2312"/>
                <w:sz w:val="28"/>
                <w:szCs w:val="28"/>
              </w:rPr>
              <w:t>7.新增青年就业见习（人）</w:t>
            </w:r>
          </w:p>
        </w:tc>
        <w:tc>
          <w:tcPr>
            <w:tcW w:w="1253" w:type="dxa"/>
            <w:vAlign w:val="center"/>
          </w:tcPr>
          <w:p>
            <w:pPr>
              <w:adjustRightInd w:val="0"/>
              <w:snapToGrid w:val="0"/>
              <w:jc w:val="center"/>
              <w:rPr>
                <w:rFonts w:eastAsia="仿宋_GB2312"/>
                <w:sz w:val="28"/>
                <w:szCs w:val="28"/>
              </w:rPr>
            </w:pPr>
            <w:r>
              <w:rPr>
                <w:rFonts w:eastAsia="仿宋_GB2312"/>
                <w:sz w:val="28"/>
                <w:szCs w:val="28"/>
              </w:rPr>
              <w:t>25</w:t>
            </w:r>
          </w:p>
        </w:tc>
        <w:tc>
          <w:tcPr>
            <w:tcW w:w="1423" w:type="dxa"/>
            <w:vAlign w:val="center"/>
          </w:tcPr>
          <w:p>
            <w:pPr>
              <w:adjustRightInd w:val="0"/>
              <w:snapToGrid w:val="0"/>
              <w:jc w:val="center"/>
              <w:rPr>
                <w:rFonts w:eastAsia="仿宋_GB2312"/>
                <w:bCs/>
                <w:sz w:val="28"/>
                <w:szCs w:val="28"/>
              </w:rPr>
            </w:pPr>
            <w:r>
              <w:rPr>
                <w:rFonts w:eastAsia="仿宋_GB2312"/>
                <w:bCs/>
                <w:sz w:val="28"/>
                <w:szCs w:val="28"/>
              </w:rPr>
              <w:t>31</w:t>
            </w:r>
          </w:p>
        </w:tc>
        <w:tc>
          <w:tcPr>
            <w:tcW w:w="1097" w:type="dxa"/>
            <w:vAlign w:val="center"/>
          </w:tcPr>
          <w:p>
            <w:pPr>
              <w:adjustRightInd w:val="0"/>
              <w:snapToGrid w:val="0"/>
              <w:jc w:val="center"/>
              <w:rPr>
                <w:rFonts w:eastAsia="仿宋_GB2312"/>
                <w:bCs/>
                <w:sz w:val="28"/>
                <w:szCs w:val="28"/>
              </w:rPr>
            </w:pPr>
            <w:r>
              <w:rPr>
                <w:rFonts w:eastAsia="仿宋_GB2312"/>
                <w:bCs/>
                <w:sz w:val="28"/>
                <w:szCs w:val="28"/>
              </w:rPr>
              <w:t>124</w:t>
            </w:r>
          </w:p>
        </w:tc>
        <w:tc>
          <w:tcPr>
            <w:tcW w:w="1096" w:type="dxa"/>
            <w:vAlign w:val="center"/>
          </w:tcPr>
          <w:p>
            <w:pPr>
              <w:adjustRightInd w:val="0"/>
              <w:snapToGrid w:val="0"/>
              <w:rPr>
                <w:rFonts w:eastAsia="仿宋_GB2312"/>
                <w:bCs/>
                <w:sz w:val="28"/>
                <w:szCs w:val="28"/>
              </w:rPr>
            </w:pPr>
          </w:p>
        </w:tc>
      </w:tr>
    </w:tbl>
    <w:p>
      <w:pPr>
        <w:pStyle w:val="17"/>
        <w:spacing w:line="353" w:lineRule="auto"/>
        <w:jc w:val="center"/>
        <w:rPr>
          <w:rFonts w:ascii="Times New Roman" w:hAnsi="Times New Roman" w:eastAsia="仿宋_GB2312" w:cs="Times New Roman"/>
          <w:color w:val="auto"/>
          <w:kern w:val="2"/>
          <w:sz w:val="28"/>
          <w:szCs w:val="28"/>
        </w:rPr>
      </w:pPr>
      <w:r>
        <w:rPr>
          <w:rFonts w:ascii="Times New Roman" w:hAnsi="Times New Roman" w:eastAsia="黑体" w:cs="Times New Roman"/>
          <w:color w:val="auto"/>
          <w:spacing w:val="-4"/>
          <w:sz w:val="28"/>
          <w:szCs w:val="28"/>
        </w:rPr>
        <w:t>表2  2021年就业创业领域职能目标完成情况表</w:t>
      </w:r>
    </w:p>
    <w:p>
      <w:pPr>
        <w:spacing w:line="560" w:lineRule="exact"/>
        <w:ind w:firstLine="643" w:firstLineChars="200"/>
        <w:rPr>
          <w:rFonts w:eastAsia="仿宋_GB2312"/>
          <w:sz w:val="32"/>
          <w:szCs w:val="32"/>
        </w:rPr>
      </w:pPr>
      <w:r>
        <w:rPr>
          <w:rFonts w:eastAsia="仿宋_GB2312"/>
          <w:b/>
          <w:bCs/>
          <w:sz w:val="32"/>
          <w:szCs w:val="32"/>
        </w:rPr>
        <w:t>（2）社会保障工作。</w:t>
      </w:r>
      <w:r>
        <w:rPr>
          <w:rFonts w:eastAsia="仿宋_GB2312"/>
          <w:sz w:val="32"/>
          <w:szCs w:val="32"/>
        </w:rPr>
        <w:t>2021年，城镇职工养老、工伤、失业参保人数分别达到8249人、12191人、7514人，完成目标任务的117.84%、101.59%、104.36%。城乡居民养老保险参保6034人，征收城乡居民养老保险费240.93万元</w:t>
      </w:r>
      <w:r>
        <w:rPr>
          <w:rFonts w:hint="eastAsia" w:eastAsia="仿宋_GB2312"/>
          <w:sz w:val="32"/>
          <w:szCs w:val="32"/>
        </w:rPr>
        <w:t>，</w:t>
      </w:r>
      <w:r>
        <w:rPr>
          <w:rFonts w:eastAsia="仿宋_GB2312"/>
          <w:sz w:val="32"/>
          <w:szCs w:val="32"/>
        </w:rPr>
        <w:t>享受待遇2169人，支出420.01万元。机关事业单位养老保险在职参保2370人，完成全年目标任务2400人的98.75%，征收机关事业单位养老保险4544.08万元；征收职业年金122.54万元，支付1597人退休金12775.47万元。详见表三。</w:t>
      </w:r>
    </w:p>
    <w:tbl>
      <w:tblPr>
        <w:tblStyle w:val="13"/>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3790"/>
        <w:gridCol w:w="1097"/>
        <w:gridCol w:w="1657"/>
        <w:gridCol w:w="1257"/>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947" w:type="dxa"/>
            <w:vAlign w:val="center"/>
          </w:tcPr>
          <w:p>
            <w:pPr>
              <w:adjustRightInd w:val="0"/>
              <w:snapToGrid w:val="0"/>
              <w:jc w:val="center"/>
              <w:rPr>
                <w:rFonts w:eastAsia="黑体"/>
                <w:sz w:val="28"/>
                <w:szCs w:val="28"/>
              </w:rPr>
            </w:pPr>
            <w:r>
              <w:rPr>
                <w:rFonts w:eastAsia="黑体"/>
                <w:sz w:val="28"/>
                <w:szCs w:val="28"/>
              </w:rPr>
              <w:t>类别</w:t>
            </w:r>
          </w:p>
        </w:tc>
        <w:tc>
          <w:tcPr>
            <w:tcW w:w="3790" w:type="dxa"/>
            <w:vAlign w:val="center"/>
          </w:tcPr>
          <w:p>
            <w:pPr>
              <w:adjustRightInd w:val="0"/>
              <w:snapToGrid w:val="0"/>
              <w:jc w:val="center"/>
              <w:rPr>
                <w:rFonts w:eastAsia="黑体"/>
                <w:sz w:val="28"/>
                <w:szCs w:val="28"/>
              </w:rPr>
            </w:pPr>
            <w:r>
              <w:rPr>
                <w:rFonts w:eastAsia="黑体"/>
                <w:sz w:val="28"/>
                <w:szCs w:val="28"/>
              </w:rPr>
              <w:t>指标</w:t>
            </w:r>
          </w:p>
        </w:tc>
        <w:tc>
          <w:tcPr>
            <w:tcW w:w="1097" w:type="dxa"/>
            <w:vAlign w:val="center"/>
          </w:tcPr>
          <w:p>
            <w:pPr>
              <w:adjustRightInd w:val="0"/>
              <w:snapToGrid w:val="0"/>
              <w:jc w:val="center"/>
              <w:rPr>
                <w:rFonts w:eastAsia="黑体"/>
                <w:sz w:val="28"/>
                <w:szCs w:val="28"/>
              </w:rPr>
            </w:pPr>
            <w:r>
              <w:rPr>
                <w:rFonts w:eastAsia="黑体"/>
                <w:sz w:val="28"/>
                <w:szCs w:val="28"/>
              </w:rPr>
              <w:t>2021年目标数</w:t>
            </w:r>
          </w:p>
        </w:tc>
        <w:tc>
          <w:tcPr>
            <w:tcW w:w="1657" w:type="dxa"/>
            <w:vAlign w:val="center"/>
          </w:tcPr>
          <w:p>
            <w:pPr>
              <w:adjustRightInd w:val="0"/>
              <w:snapToGrid w:val="0"/>
              <w:jc w:val="center"/>
              <w:rPr>
                <w:rFonts w:eastAsia="黑体"/>
                <w:sz w:val="28"/>
                <w:szCs w:val="28"/>
              </w:rPr>
            </w:pPr>
            <w:r>
              <w:rPr>
                <w:rFonts w:eastAsia="黑体"/>
                <w:sz w:val="28"/>
                <w:szCs w:val="28"/>
              </w:rPr>
              <w:t>2021年</w:t>
            </w:r>
          </w:p>
          <w:p>
            <w:pPr>
              <w:adjustRightInd w:val="0"/>
              <w:snapToGrid w:val="0"/>
              <w:jc w:val="center"/>
              <w:rPr>
                <w:rFonts w:eastAsia="黑体"/>
                <w:sz w:val="28"/>
                <w:szCs w:val="28"/>
              </w:rPr>
            </w:pPr>
            <w:r>
              <w:rPr>
                <w:rFonts w:eastAsia="黑体"/>
                <w:sz w:val="28"/>
                <w:szCs w:val="28"/>
              </w:rPr>
              <w:t>完成数</w:t>
            </w:r>
          </w:p>
        </w:tc>
        <w:tc>
          <w:tcPr>
            <w:tcW w:w="1257" w:type="dxa"/>
            <w:vAlign w:val="center"/>
          </w:tcPr>
          <w:p>
            <w:pPr>
              <w:adjustRightInd w:val="0"/>
              <w:snapToGrid w:val="0"/>
              <w:jc w:val="center"/>
              <w:rPr>
                <w:rFonts w:eastAsia="黑体"/>
                <w:sz w:val="28"/>
                <w:szCs w:val="28"/>
              </w:rPr>
            </w:pPr>
            <w:r>
              <w:rPr>
                <w:rFonts w:eastAsia="黑体"/>
                <w:sz w:val="28"/>
                <w:szCs w:val="28"/>
              </w:rPr>
              <w:t>完成率（%）</w:t>
            </w:r>
          </w:p>
        </w:tc>
        <w:tc>
          <w:tcPr>
            <w:tcW w:w="858" w:type="dxa"/>
            <w:vAlign w:val="center"/>
          </w:tcPr>
          <w:p>
            <w:pPr>
              <w:adjustRightInd w:val="0"/>
              <w:snapToGrid w:val="0"/>
              <w:jc w:val="center"/>
              <w:rPr>
                <w:rFonts w:eastAsia="黑体"/>
                <w:sz w:val="28"/>
                <w:szCs w:val="28"/>
              </w:rPr>
            </w:pPr>
            <w:r>
              <w:rPr>
                <w:rFonts w:eastAsia="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7" w:type="dxa"/>
            <w:vMerge w:val="restart"/>
            <w:vAlign w:val="center"/>
          </w:tcPr>
          <w:p>
            <w:pPr>
              <w:adjustRightInd w:val="0"/>
              <w:snapToGrid w:val="0"/>
              <w:rPr>
                <w:rFonts w:eastAsia="黑体"/>
                <w:sz w:val="28"/>
                <w:szCs w:val="28"/>
              </w:rPr>
            </w:pPr>
          </w:p>
          <w:p>
            <w:pPr>
              <w:adjustRightInd w:val="0"/>
              <w:snapToGrid w:val="0"/>
              <w:jc w:val="center"/>
              <w:rPr>
                <w:rFonts w:eastAsia="黑体"/>
                <w:sz w:val="28"/>
                <w:szCs w:val="28"/>
              </w:rPr>
            </w:pPr>
            <w:r>
              <w:rPr>
                <w:rFonts w:eastAsia="黑体"/>
                <w:spacing w:val="-4"/>
                <w:sz w:val="28"/>
                <w:szCs w:val="28"/>
              </w:rPr>
              <w:t>社会保险</w:t>
            </w:r>
            <w:r>
              <w:rPr>
                <w:rFonts w:eastAsia="黑体"/>
                <w:sz w:val="28"/>
                <w:szCs w:val="28"/>
              </w:rPr>
              <w:t>领域</w:t>
            </w:r>
          </w:p>
        </w:tc>
        <w:tc>
          <w:tcPr>
            <w:tcW w:w="3790" w:type="dxa"/>
            <w:vAlign w:val="center"/>
          </w:tcPr>
          <w:p>
            <w:pPr>
              <w:adjustRightInd w:val="0"/>
              <w:snapToGrid w:val="0"/>
              <w:rPr>
                <w:rFonts w:eastAsia="仿宋_GB2312"/>
                <w:sz w:val="28"/>
                <w:szCs w:val="28"/>
              </w:rPr>
            </w:pPr>
            <w:r>
              <w:rPr>
                <w:rFonts w:eastAsia="仿宋_GB2312"/>
                <w:sz w:val="28"/>
                <w:szCs w:val="28"/>
              </w:rPr>
              <w:t>1.城镇职工养老保险参保人数（人）</w:t>
            </w:r>
          </w:p>
        </w:tc>
        <w:tc>
          <w:tcPr>
            <w:tcW w:w="1097" w:type="dxa"/>
            <w:vAlign w:val="center"/>
          </w:tcPr>
          <w:p>
            <w:pPr>
              <w:adjustRightInd w:val="0"/>
              <w:snapToGrid w:val="0"/>
              <w:jc w:val="center"/>
              <w:rPr>
                <w:rFonts w:eastAsia="仿宋_GB2312"/>
                <w:sz w:val="28"/>
                <w:szCs w:val="28"/>
              </w:rPr>
            </w:pPr>
            <w:r>
              <w:rPr>
                <w:rFonts w:eastAsia="仿宋_GB2312"/>
                <w:sz w:val="28"/>
                <w:szCs w:val="28"/>
              </w:rPr>
              <w:t>7000</w:t>
            </w:r>
          </w:p>
        </w:tc>
        <w:tc>
          <w:tcPr>
            <w:tcW w:w="1657" w:type="dxa"/>
            <w:vAlign w:val="center"/>
          </w:tcPr>
          <w:p>
            <w:pPr>
              <w:adjustRightInd w:val="0"/>
              <w:snapToGrid w:val="0"/>
              <w:jc w:val="center"/>
              <w:rPr>
                <w:rFonts w:eastAsia="仿宋_GB2312"/>
                <w:sz w:val="28"/>
                <w:szCs w:val="28"/>
              </w:rPr>
            </w:pPr>
            <w:r>
              <w:rPr>
                <w:rFonts w:eastAsia="仿宋_GB2312"/>
                <w:sz w:val="28"/>
                <w:szCs w:val="28"/>
              </w:rPr>
              <w:t>8249</w:t>
            </w:r>
          </w:p>
        </w:tc>
        <w:tc>
          <w:tcPr>
            <w:tcW w:w="1257" w:type="dxa"/>
            <w:vAlign w:val="center"/>
          </w:tcPr>
          <w:p>
            <w:pPr>
              <w:adjustRightInd w:val="0"/>
              <w:snapToGrid w:val="0"/>
              <w:jc w:val="center"/>
              <w:rPr>
                <w:rFonts w:eastAsia="仿宋_GB2312"/>
                <w:sz w:val="28"/>
                <w:szCs w:val="28"/>
              </w:rPr>
            </w:pPr>
            <w:r>
              <w:rPr>
                <w:rFonts w:eastAsia="仿宋_GB2312"/>
                <w:sz w:val="28"/>
                <w:szCs w:val="28"/>
              </w:rPr>
              <w:t>117.84</w:t>
            </w:r>
          </w:p>
        </w:tc>
        <w:tc>
          <w:tcPr>
            <w:tcW w:w="858" w:type="dxa"/>
            <w:vAlign w:val="center"/>
          </w:tcPr>
          <w:p>
            <w:pPr>
              <w:adjustRightInd w:val="0"/>
              <w:snapToGrid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7" w:type="dxa"/>
            <w:vMerge w:val="continue"/>
            <w:vAlign w:val="center"/>
          </w:tcPr>
          <w:p>
            <w:pPr>
              <w:adjustRightInd w:val="0"/>
              <w:snapToGrid w:val="0"/>
              <w:rPr>
                <w:rFonts w:eastAsia="黑体"/>
                <w:sz w:val="28"/>
                <w:szCs w:val="28"/>
              </w:rPr>
            </w:pPr>
          </w:p>
        </w:tc>
        <w:tc>
          <w:tcPr>
            <w:tcW w:w="3790" w:type="dxa"/>
            <w:vAlign w:val="center"/>
          </w:tcPr>
          <w:p>
            <w:pPr>
              <w:adjustRightInd w:val="0"/>
              <w:snapToGrid w:val="0"/>
              <w:rPr>
                <w:rFonts w:eastAsia="仿宋_GB2312"/>
                <w:sz w:val="28"/>
                <w:szCs w:val="28"/>
              </w:rPr>
            </w:pPr>
            <w:r>
              <w:rPr>
                <w:rFonts w:eastAsia="仿宋_GB2312"/>
                <w:sz w:val="28"/>
                <w:szCs w:val="28"/>
              </w:rPr>
              <w:t>2.工伤保险参保人数（人）</w:t>
            </w:r>
          </w:p>
        </w:tc>
        <w:tc>
          <w:tcPr>
            <w:tcW w:w="1097" w:type="dxa"/>
            <w:vAlign w:val="center"/>
          </w:tcPr>
          <w:p>
            <w:pPr>
              <w:adjustRightInd w:val="0"/>
              <w:snapToGrid w:val="0"/>
              <w:jc w:val="center"/>
              <w:rPr>
                <w:rFonts w:eastAsia="仿宋_GB2312"/>
                <w:sz w:val="28"/>
                <w:szCs w:val="28"/>
              </w:rPr>
            </w:pPr>
            <w:r>
              <w:rPr>
                <w:rFonts w:eastAsia="仿宋_GB2312"/>
                <w:sz w:val="28"/>
                <w:szCs w:val="28"/>
              </w:rPr>
              <w:t>12000</w:t>
            </w:r>
          </w:p>
        </w:tc>
        <w:tc>
          <w:tcPr>
            <w:tcW w:w="1657" w:type="dxa"/>
            <w:vAlign w:val="center"/>
          </w:tcPr>
          <w:p>
            <w:pPr>
              <w:adjustRightInd w:val="0"/>
              <w:snapToGrid w:val="0"/>
              <w:jc w:val="center"/>
              <w:rPr>
                <w:rFonts w:eastAsia="仿宋_GB2312"/>
                <w:sz w:val="28"/>
                <w:szCs w:val="28"/>
              </w:rPr>
            </w:pPr>
            <w:r>
              <w:rPr>
                <w:rFonts w:eastAsia="仿宋_GB2312"/>
                <w:sz w:val="28"/>
                <w:szCs w:val="28"/>
              </w:rPr>
              <w:t>12191</w:t>
            </w:r>
          </w:p>
        </w:tc>
        <w:tc>
          <w:tcPr>
            <w:tcW w:w="1257" w:type="dxa"/>
            <w:vAlign w:val="center"/>
          </w:tcPr>
          <w:p>
            <w:pPr>
              <w:adjustRightInd w:val="0"/>
              <w:snapToGrid w:val="0"/>
              <w:jc w:val="center"/>
              <w:rPr>
                <w:rFonts w:eastAsia="仿宋_GB2312"/>
                <w:sz w:val="28"/>
                <w:szCs w:val="28"/>
              </w:rPr>
            </w:pPr>
            <w:r>
              <w:rPr>
                <w:rFonts w:eastAsia="仿宋_GB2312"/>
                <w:sz w:val="28"/>
                <w:szCs w:val="28"/>
              </w:rPr>
              <w:t>101.59</w:t>
            </w:r>
          </w:p>
        </w:tc>
        <w:tc>
          <w:tcPr>
            <w:tcW w:w="858" w:type="dxa"/>
            <w:vAlign w:val="center"/>
          </w:tcPr>
          <w:p>
            <w:pPr>
              <w:adjustRightInd w:val="0"/>
              <w:snapToGrid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7" w:type="dxa"/>
            <w:vMerge w:val="continue"/>
            <w:vAlign w:val="center"/>
          </w:tcPr>
          <w:p>
            <w:pPr>
              <w:adjustRightInd w:val="0"/>
              <w:snapToGrid w:val="0"/>
              <w:rPr>
                <w:rFonts w:eastAsia="黑体"/>
                <w:sz w:val="28"/>
                <w:szCs w:val="28"/>
              </w:rPr>
            </w:pPr>
          </w:p>
        </w:tc>
        <w:tc>
          <w:tcPr>
            <w:tcW w:w="3790" w:type="dxa"/>
            <w:vAlign w:val="center"/>
          </w:tcPr>
          <w:p>
            <w:pPr>
              <w:adjustRightInd w:val="0"/>
              <w:snapToGrid w:val="0"/>
              <w:rPr>
                <w:rFonts w:eastAsia="仿宋_GB2312"/>
                <w:sz w:val="28"/>
                <w:szCs w:val="28"/>
              </w:rPr>
            </w:pPr>
            <w:r>
              <w:rPr>
                <w:rFonts w:eastAsia="仿宋_GB2312"/>
                <w:sz w:val="28"/>
                <w:szCs w:val="28"/>
              </w:rPr>
              <w:t>3.失业保险参保人数（人）</w:t>
            </w:r>
          </w:p>
        </w:tc>
        <w:tc>
          <w:tcPr>
            <w:tcW w:w="1097" w:type="dxa"/>
            <w:vAlign w:val="center"/>
          </w:tcPr>
          <w:p>
            <w:pPr>
              <w:adjustRightInd w:val="0"/>
              <w:snapToGrid w:val="0"/>
              <w:jc w:val="center"/>
              <w:rPr>
                <w:rFonts w:eastAsia="仿宋_GB2312"/>
                <w:sz w:val="28"/>
                <w:szCs w:val="28"/>
              </w:rPr>
            </w:pPr>
            <w:r>
              <w:rPr>
                <w:rFonts w:eastAsia="仿宋_GB2312"/>
                <w:sz w:val="28"/>
                <w:szCs w:val="28"/>
              </w:rPr>
              <w:t>7200</w:t>
            </w:r>
          </w:p>
        </w:tc>
        <w:tc>
          <w:tcPr>
            <w:tcW w:w="1657" w:type="dxa"/>
            <w:vAlign w:val="center"/>
          </w:tcPr>
          <w:p>
            <w:pPr>
              <w:adjustRightInd w:val="0"/>
              <w:snapToGrid w:val="0"/>
              <w:jc w:val="center"/>
              <w:rPr>
                <w:rFonts w:eastAsia="仿宋_GB2312"/>
                <w:sz w:val="28"/>
                <w:szCs w:val="28"/>
              </w:rPr>
            </w:pPr>
            <w:r>
              <w:rPr>
                <w:rFonts w:eastAsia="仿宋_GB2312"/>
                <w:sz w:val="28"/>
                <w:szCs w:val="28"/>
              </w:rPr>
              <w:t>7514</w:t>
            </w:r>
          </w:p>
        </w:tc>
        <w:tc>
          <w:tcPr>
            <w:tcW w:w="1257" w:type="dxa"/>
            <w:vAlign w:val="center"/>
          </w:tcPr>
          <w:p>
            <w:pPr>
              <w:adjustRightInd w:val="0"/>
              <w:snapToGrid w:val="0"/>
              <w:jc w:val="center"/>
              <w:rPr>
                <w:rFonts w:eastAsia="仿宋_GB2312"/>
                <w:sz w:val="28"/>
                <w:szCs w:val="28"/>
              </w:rPr>
            </w:pPr>
            <w:r>
              <w:rPr>
                <w:rFonts w:eastAsia="仿宋_GB2312"/>
                <w:sz w:val="28"/>
                <w:szCs w:val="28"/>
              </w:rPr>
              <w:t>104.36</w:t>
            </w:r>
          </w:p>
        </w:tc>
        <w:tc>
          <w:tcPr>
            <w:tcW w:w="858" w:type="dxa"/>
            <w:vAlign w:val="center"/>
          </w:tcPr>
          <w:p>
            <w:pPr>
              <w:adjustRightInd w:val="0"/>
              <w:snapToGrid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7" w:type="dxa"/>
            <w:vMerge w:val="continue"/>
            <w:vAlign w:val="center"/>
          </w:tcPr>
          <w:p>
            <w:pPr>
              <w:adjustRightInd w:val="0"/>
              <w:snapToGrid w:val="0"/>
              <w:rPr>
                <w:rFonts w:eastAsia="黑体"/>
                <w:sz w:val="28"/>
                <w:szCs w:val="28"/>
              </w:rPr>
            </w:pPr>
          </w:p>
        </w:tc>
        <w:tc>
          <w:tcPr>
            <w:tcW w:w="3790" w:type="dxa"/>
            <w:vAlign w:val="center"/>
          </w:tcPr>
          <w:p>
            <w:pPr>
              <w:adjustRightInd w:val="0"/>
              <w:snapToGrid w:val="0"/>
              <w:rPr>
                <w:rFonts w:eastAsia="仿宋_GB2312"/>
                <w:sz w:val="28"/>
                <w:szCs w:val="28"/>
              </w:rPr>
            </w:pPr>
            <w:r>
              <w:rPr>
                <w:rFonts w:eastAsia="仿宋_GB2312"/>
                <w:sz w:val="28"/>
                <w:szCs w:val="28"/>
              </w:rPr>
              <w:t>4.机关事业单位养老保险在职参保人数（人）</w:t>
            </w:r>
          </w:p>
        </w:tc>
        <w:tc>
          <w:tcPr>
            <w:tcW w:w="1097" w:type="dxa"/>
            <w:vAlign w:val="center"/>
          </w:tcPr>
          <w:p>
            <w:pPr>
              <w:adjustRightInd w:val="0"/>
              <w:snapToGrid w:val="0"/>
              <w:jc w:val="center"/>
              <w:rPr>
                <w:rFonts w:eastAsia="仿宋_GB2312"/>
                <w:spacing w:val="-20"/>
                <w:sz w:val="28"/>
                <w:szCs w:val="28"/>
              </w:rPr>
            </w:pPr>
            <w:r>
              <w:rPr>
                <w:rFonts w:eastAsia="仿宋_GB2312"/>
                <w:spacing w:val="-20"/>
                <w:sz w:val="28"/>
                <w:szCs w:val="28"/>
              </w:rPr>
              <w:t>2400</w:t>
            </w:r>
          </w:p>
        </w:tc>
        <w:tc>
          <w:tcPr>
            <w:tcW w:w="1657" w:type="dxa"/>
            <w:vAlign w:val="center"/>
          </w:tcPr>
          <w:p>
            <w:pPr>
              <w:adjustRightInd w:val="0"/>
              <w:snapToGrid w:val="0"/>
              <w:jc w:val="center"/>
              <w:rPr>
                <w:rFonts w:eastAsia="仿宋_GB2312"/>
                <w:sz w:val="28"/>
                <w:szCs w:val="28"/>
              </w:rPr>
            </w:pPr>
            <w:r>
              <w:rPr>
                <w:rFonts w:eastAsia="仿宋_GB2312"/>
                <w:sz w:val="28"/>
                <w:szCs w:val="28"/>
              </w:rPr>
              <w:t>2370</w:t>
            </w:r>
          </w:p>
        </w:tc>
        <w:tc>
          <w:tcPr>
            <w:tcW w:w="1257" w:type="dxa"/>
            <w:vAlign w:val="center"/>
          </w:tcPr>
          <w:p>
            <w:pPr>
              <w:adjustRightInd w:val="0"/>
              <w:snapToGrid w:val="0"/>
              <w:jc w:val="center"/>
              <w:rPr>
                <w:rFonts w:eastAsia="仿宋_GB2312"/>
                <w:sz w:val="28"/>
                <w:szCs w:val="28"/>
              </w:rPr>
            </w:pPr>
            <w:r>
              <w:rPr>
                <w:rFonts w:eastAsia="仿宋_GB2312"/>
                <w:sz w:val="28"/>
                <w:szCs w:val="28"/>
              </w:rPr>
              <w:t>98.75</w:t>
            </w:r>
          </w:p>
        </w:tc>
        <w:tc>
          <w:tcPr>
            <w:tcW w:w="858" w:type="dxa"/>
            <w:vAlign w:val="center"/>
          </w:tcPr>
          <w:p>
            <w:pPr>
              <w:adjustRightInd w:val="0"/>
              <w:snapToGrid w:val="0"/>
              <w:rPr>
                <w:rFonts w:eastAsia="仿宋_GB2312"/>
                <w:spacing w:val="-20"/>
                <w:sz w:val="28"/>
                <w:szCs w:val="28"/>
              </w:rPr>
            </w:pPr>
          </w:p>
        </w:tc>
      </w:tr>
    </w:tbl>
    <w:p>
      <w:pPr>
        <w:pStyle w:val="17"/>
        <w:spacing w:line="353" w:lineRule="auto"/>
        <w:jc w:val="center"/>
        <w:rPr>
          <w:rFonts w:ascii="Times New Roman" w:hAnsi="Times New Roman" w:eastAsia="黑体" w:cs="Times New Roman"/>
          <w:color w:val="auto"/>
          <w:sz w:val="28"/>
          <w:szCs w:val="28"/>
        </w:rPr>
      </w:pPr>
      <w:r>
        <w:rPr>
          <w:rFonts w:ascii="Times New Roman" w:hAnsi="Times New Roman" w:eastAsia="黑体" w:cs="Times New Roman"/>
          <w:color w:val="auto"/>
          <w:spacing w:val="-4"/>
          <w:sz w:val="28"/>
          <w:szCs w:val="28"/>
        </w:rPr>
        <w:t>表3  2021年社会保险领域职能目标完成情况表</w:t>
      </w:r>
    </w:p>
    <w:p>
      <w:pPr>
        <w:spacing w:line="353" w:lineRule="auto"/>
        <w:ind w:firstLine="643" w:firstLineChars="200"/>
        <w:rPr>
          <w:rFonts w:eastAsia="仿宋_GB2312"/>
          <w:sz w:val="32"/>
          <w:szCs w:val="32"/>
        </w:rPr>
      </w:pPr>
      <w:r>
        <w:rPr>
          <w:rFonts w:eastAsia="仿宋_GB2312"/>
          <w:b/>
          <w:bCs/>
          <w:sz w:val="32"/>
          <w:szCs w:val="32"/>
        </w:rPr>
        <w:t>（3）人才人事工作。</w:t>
      </w:r>
      <w:r>
        <w:rPr>
          <w:rFonts w:eastAsia="仿宋_GB2312"/>
          <w:spacing w:val="4"/>
          <w:sz w:val="32"/>
          <w:szCs w:val="32"/>
        </w:rPr>
        <w:t>通过赴外引才方式，</w:t>
      </w:r>
      <w:r>
        <w:rPr>
          <w:rFonts w:eastAsia="仿宋_GB2312"/>
          <w:sz w:val="32"/>
          <w:szCs w:val="32"/>
        </w:rPr>
        <w:t>先后</w:t>
      </w:r>
      <w:r>
        <w:rPr>
          <w:rFonts w:eastAsia="仿宋_GB2312"/>
          <w:spacing w:val="4"/>
          <w:sz w:val="32"/>
          <w:szCs w:val="32"/>
        </w:rPr>
        <w:t>到</w:t>
      </w:r>
      <w:r>
        <w:rPr>
          <w:rFonts w:eastAsia="仿宋_GB2312"/>
          <w:sz w:val="32"/>
          <w:szCs w:val="32"/>
        </w:rPr>
        <w:t>赴</w:t>
      </w:r>
      <w:r>
        <w:rPr>
          <w:rFonts w:eastAsia="仿宋_GB2312"/>
          <w:spacing w:val="4"/>
          <w:sz w:val="32"/>
          <w:szCs w:val="32"/>
        </w:rPr>
        <w:t>四川大</w:t>
      </w:r>
      <w:r>
        <w:rPr>
          <w:rFonts w:eastAsia="仿宋_GB2312"/>
          <w:sz w:val="32"/>
          <w:szCs w:val="32"/>
        </w:rPr>
        <w:t>学、西北大学、昆明理工大学、贵州大学、成都理工大学、贵州理工学院等高校开展2021年春、秋季赴外引才活动，引进高层次人才21名（含教师6名）；开展区属事业单位公开考试招聘、公开考核招聘、公开考聘和区外调入工作，聘用事业人员58名；协助区教育和体育局招聘2020年下半年区属中小学校公开考核教师27人。开展2021年下半年区属事业单位公开考试招聘事业单位工作人员工作，报名702人、初审通过611人、已缴费554人。向专家借力引智，解决基层农业难题和医学难题的技术指导，获准了2021年度攀枝花市“专家下基层”执行项目1个。完成2021年骨干人员档案专项审核73人；完成西区2021年工匠人才推荐评审2名、西区青技人才推荐评审3人。</w:t>
      </w:r>
    </w:p>
    <w:p>
      <w:pPr>
        <w:pStyle w:val="17"/>
        <w:spacing w:line="560" w:lineRule="exact"/>
        <w:ind w:firstLine="643" w:firstLineChars="200"/>
        <w:jc w:val="both"/>
        <w:rPr>
          <w:rFonts w:ascii="Times New Roman" w:hAnsi="Times New Roman" w:eastAsia="仿宋_GB2312" w:cs="Times New Roman"/>
          <w:color w:val="auto"/>
          <w:kern w:val="2"/>
          <w:sz w:val="32"/>
          <w:szCs w:val="32"/>
        </w:rPr>
      </w:pPr>
      <w:r>
        <w:rPr>
          <w:rFonts w:ascii="Times New Roman" w:hAnsi="Times New Roman" w:eastAsia="仿宋_GB2312" w:cs="Times New Roman"/>
          <w:b/>
          <w:bCs/>
          <w:color w:val="auto"/>
          <w:kern w:val="2"/>
          <w:sz w:val="32"/>
          <w:szCs w:val="32"/>
        </w:rPr>
        <w:t>（4）和谐劳动关系构建。</w:t>
      </w:r>
      <w:r>
        <w:rPr>
          <w:rFonts w:ascii="Times New Roman" w:hAnsi="Times New Roman" w:eastAsia="仿宋_GB2312" w:cs="Times New Roman"/>
          <w:color w:val="auto"/>
          <w:kern w:val="2"/>
          <w:sz w:val="32"/>
          <w:szCs w:val="32"/>
        </w:rPr>
        <w:t>截至12月，共主动监察工贸企业213户次（涉及劳动者9566人，劳动合同签订率达100%）、工程项目20个，其中：政府项目11个（停工2个，完工1个）、非政府项目9个（停工2个，完工2个）；共立案查处拖欠农民工工资举报投诉案件4件，清欠工资85万余元，涉及57人，通过主动监察及时处理欠薪隐患案件52件，清欠工资620.8万余元，涉及565人，劳动保障监察举报投诉案件和拖欠农民工工资案件按期结案率均为100%。2021年，劳动人事争议仲裁院共立案受理劳动争议183件，上期未累计未结案6件，结案185件，结案率达到97.88%。案外调解430件，调解成功率72.03%。</w:t>
      </w:r>
    </w:p>
    <w:tbl>
      <w:tblPr>
        <w:tblStyle w:val="13"/>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3449"/>
        <w:gridCol w:w="1183"/>
        <w:gridCol w:w="1388"/>
        <w:gridCol w:w="1183"/>
        <w:gridCol w:w="1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947" w:type="dxa"/>
            <w:vAlign w:val="center"/>
          </w:tcPr>
          <w:p>
            <w:pPr>
              <w:adjustRightInd w:val="0"/>
              <w:snapToGrid w:val="0"/>
              <w:jc w:val="center"/>
              <w:rPr>
                <w:rFonts w:eastAsia="黑体"/>
                <w:sz w:val="28"/>
                <w:szCs w:val="28"/>
              </w:rPr>
            </w:pPr>
            <w:r>
              <w:rPr>
                <w:rFonts w:eastAsia="黑体"/>
                <w:sz w:val="28"/>
                <w:szCs w:val="28"/>
              </w:rPr>
              <w:t>类别</w:t>
            </w:r>
          </w:p>
        </w:tc>
        <w:tc>
          <w:tcPr>
            <w:tcW w:w="3449" w:type="dxa"/>
            <w:vAlign w:val="center"/>
          </w:tcPr>
          <w:p>
            <w:pPr>
              <w:adjustRightInd w:val="0"/>
              <w:snapToGrid w:val="0"/>
              <w:jc w:val="center"/>
              <w:rPr>
                <w:rFonts w:eastAsia="黑体"/>
                <w:sz w:val="28"/>
                <w:szCs w:val="28"/>
              </w:rPr>
            </w:pPr>
            <w:r>
              <w:rPr>
                <w:rFonts w:eastAsia="黑体"/>
                <w:sz w:val="28"/>
                <w:szCs w:val="28"/>
              </w:rPr>
              <w:t>指标</w:t>
            </w:r>
          </w:p>
        </w:tc>
        <w:tc>
          <w:tcPr>
            <w:tcW w:w="1183" w:type="dxa"/>
            <w:vAlign w:val="center"/>
          </w:tcPr>
          <w:p>
            <w:pPr>
              <w:adjustRightInd w:val="0"/>
              <w:snapToGrid w:val="0"/>
              <w:jc w:val="center"/>
              <w:rPr>
                <w:rFonts w:eastAsia="黑体"/>
                <w:sz w:val="28"/>
                <w:szCs w:val="28"/>
              </w:rPr>
            </w:pPr>
            <w:r>
              <w:rPr>
                <w:rFonts w:eastAsia="黑体"/>
                <w:sz w:val="28"/>
                <w:szCs w:val="28"/>
              </w:rPr>
              <w:t>2022年目标数</w:t>
            </w:r>
          </w:p>
        </w:tc>
        <w:tc>
          <w:tcPr>
            <w:tcW w:w="1388" w:type="dxa"/>
            <w:vAlign w:val="center"/>
          </w:tcPr>
          <w:p>
            <w:pPr>
              <w:adjustRightInd w:val="0"/>
              <w:snapToGrid w:val="0"/>
              <w:jc w:val="center"/>
              <w:rPr>
                <w:rFonts w:eastAsia="黑体"/>
                <w:sz w:val="28"/>
                <w:szCs w:val="28"/>
              </w:rPr>
            </w:pPr>
            <w:r>
              <w:rPr>
                <w:rFonts w:eastAsia="黑体"/>
                <w:sz w:val="28"/>
                <w:szCs w:val="28"/>
              </w:rPr>
              <w:t>2021年</w:t>
            </w:r>
          </w:p>
          <w:p>
            <w:pPr>
              <w:adjustRightInd w:val="0"/>
              <w:snapToGrid w:val="0"/>
              <w:jc w:val="center"/>
              <w:rPr>
                <w:rFonts w:eastAsia="黑体"/>
                <w:sz w:val="28"/>
                <w:szCs w:val="28"/>
              </w:rPr>
            </w:pPr>
            <w:r>
              <w:rPr>
                <w:rFonts w:eastAsia="黑体"/>
                <w:sz w:val="28"/>
                <w:szCs w:val="28"/>
              </w:rPr>
              <w:t>完成数</w:t>
            </w:r>
          </w:p>
        </w:tc>
        <w:tc>
          <w:tcPr>
            <w:tcW w:w="1183" w:type="dxa"/>
            <w:vAlign w:val="center"/>
          </w:tcPr>
          <w:p>
            <w:pPr>
              <w:adjustRightInd w:val="0"/>
              <w:snapToGrid w:val="0"/>
              <w:jc w:val="center"/>
              <w:rPr>
                <w:rFonts w:eastAsia="黑体"/>
                <w:sz w:val="28"/>
                <w:szCs w:val="28"/>
              </w:rPr>
            </w:pPr>
            <w:r>
              <w:rPr>
                <w:rFonts w:eastAsia="黑体"/>
                <w:sz w:val="28"/>
                <w:szCs w:val="28"/>
              </w:rPr>
              <w:t>完成率（%）</w:t>
            </w:r>
          </w:p>
        </w:tc>
        <w:tc>
          <w:tcPr>
            <w:tcW w:w="1456" w:type="dxa"/>
            <w:vAlign w:val="center"/>
          </w:tcPr>
          <w:p>
            <w:pPr>
              <w:adjustRightInd w:val="0"/>
              <w:snapToGrid w:val="0"/>
              <w:jc w:val="center"/>
              <w:rPr>
                <w:rFonts w:eastAsia="黑体"/>
                <w:sz w:val="28"/>
                <w:szCs w:val="28"/>
              </w:rPr>
            </w:pPr>
            <w:r>
              <w:rPr>
                <w:rFonts w:eastAsia="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47" w:type="dxa"/>
            <w:vMerge w:val="restart"/>
            <w:vAlign w:val="center"/>
          </w:tcPr>
          <w:p>
            <w:pPr>
              <w:adjustRightInd w:val="0"/>
              <w:snapToGrid w:val="0"/>
              <w:jc w:val="center"/>
              <w:rPr>
                <w:rFonts w:eastAsia="黑体"/>
                <w:sz w:val="28"/>
                <w:szCs w:val="28"/>
              </w:rPr>
            </w:pPr>
          </w:p>
          <w:p>
            <w:pPr>
              <w:adjustRightInd w:val="0"/>
              <w:snapToGrid w:val="0"/>
              <w:jc w:val="center"/>
              <w:rPr>
                <w:rFonts w:eastAsia="黑体"/>
                <w:sz w:val="28"/>
                <w:szCs w:val="28"/>
              </w:rPr>
            </w:pPr>
            <w:r>
              <w:rPr>
                <w:rFonts w:eastAsia="黑体"/>
                <w:spacing w:val="-4"/>
                <w:sz w:val="28"/>
                <w:szCs w:val="28"/>
              </w:rPr>
              <w:t>和谐劳动关系</w:t>
            </w:r>
            <w:r>
              <w:rPr>
                <w:rFonts w:eastAsia="黑体"/>
                <w:sz w:val="28"/>
                <w:szCs w:val="28"/>
              </w:rPr>
              <w:t>领域</w:t>
            </w:r>
          </w:p>
        </w:tc>
        <w:tc>
          <w:tcPr>
            <w:tcW w:w="3449" w:type="dxa"/>
            <w:vAlign w:val="center"/>
          </w:tcPr>
          <w:p>
            <w:pPr>
              <w:spacing w:line="300" w:lineRule="exact"/>
              <w:jc w:val="left"/>
              <w:rPr>
                <w:rFonts w:eastAsia="仿宋_GB2312"/>
                <w:sz w:val="28"/>
                <w:szCs w:val="28"/>
              </w:rPr>
            </w:pPr>
            <w:r>
              <w:rPr>
                <w:rFonts w:eastAsia="仿宋_GB2312"/>
                <w:sz w:val="28"/>
                <w:szCs w:val="28"/>
              </w:rPr>
              <w:t>1.企业劳动合同签订率（%）</w:t>
            </w:r>
          </w:p>
        </w:tc>
        <w:tc>
          <w:tcPr>
            <w:tcW w:w="1183" w:type="dxa"/>
            <w:vAlign w:val="center"/>
          </w:tcPr>
          <w:p>
            <w:pPr>
              <w:adjustRightInd w:val="0"/>
              <w:snapToGrid w:val="0"/>
              <w:jc w:val="center"/>
              <w:rPr>
                <w:rFonts w:eastAsia="仿宋_GB2312"/>
                <w:sz w:val="28"/>
                <w:szCs w:val="28"/>
              </w:rPr>
            </w:pPr>
            <w:r>
              <w:rPr>
                <w:rFonts w:eastAsia="仿宋_GB2312"/>
                <w:sz w:val="28"/>
                <w:szCs w:val="28"/>
              </w:rPr>
              <w:t>100</w:t>
            </w:r>
          </w:p>
        </w:tc>
        <w:tc>
          <w:tcPr>
            <w:tcW w:w="1388" w:type="dxa"/>
            <w:vAlign w:val="center"/>
          </w:tcPr>
          <w:p>
            <w:pPr>
              <w:adjustRightInd w:val="0"/>
              <w:snapToGrid w:val="0"/>
              <w:jc w:val="center"/>
              <w:rPr>
                <w:rFonts w:eastAsia="仿宋_GB2312"/>
                <w:sz w:val="28"/>
                <w:szCs w:val="28"/>
              </w:rPr>
            </w:pPr>
            <w:r>
              <w:rPr>
                <w:rFonts w:eastAsia="仿宋_GB2312"/>
                <w:sz w:val="28"/>
                <w:szCs w:val="28"/>
              </w:rPr>
              <w:t>100</w:t>
            </w:r>
          </w:p>
        </w:tc>
        <w:tc>
          <w:tcPr>
            <w:tcW w:w="1183" w:type="dxa"/>
            <w:vAlign w:val="center"/>
          </w:tcPr>
          <w:p>
            <w:pPr>
              <w:adjustRightInd w:val="0"/>
              <w:snapToGrid w:val="0"/>
              <w:jc w:val="center"/>
              <w:rPr>
                <w:rFonts w:eastAsia="仿宋_GB2312"/>
                <w:sz w:val="28"/>
                <w:szCs w:val="28"/>
              </w:rPr>
            </w:pPr>
            <w:r>
              <w:rPr>
                <w:rFonts w:eastAsia="仿宋_GB2312"/>
                <w:sz w:val="28"/>
                <w:szCs w:val="28"/>
              </w:rPr>
              <w:t>100</w:t>
            </w:r>
          </w:p>
        </w:tc>
        <w:tc>
          <w:tcPr>
            <w:tcW w:w="1456" w:type="dxa"/>
            <w:vAlign w:val="center"/>
          </w:tcPr>
          <w:p>
            <w:pPr>
              <w:adjustRightInd w:val="0"/>
              <w:snapToGrid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47" w:type="dxa"/>
            <w:vMerge w:val="continue"/>
            <w:vAlign w:val="center"/>
          </w:tcPr>
          <w:p>
            <w:pPr>
              <w:adjustRightInd w:val="0"/>
              <w:snapToGrid w:val="0"/>
              <w:jc w:val="center"/>
              <w:rPr>
                <w:rFonts w:eastAsia="黑体"/>
                <w:sz w:val="28"/>
                <w:szCs w:val="28"/>
              </w:rPr>
            </w:pPr>
          </w:p>
        </w:tc>
        <w:tc>
          <w:tcPr>
            <w:tcW w:w="3449" w:type="dxa"/>
            <w:vAlign w:val="center"/>
          </w:tcPr>
          <w:p>
            <w:pPr>
              <w:spacing w:line="300" w:lineRule="exact"/>
              <w:jc w:val="left"/>
              <w:rPr>
                <w:rFonts w:eastAsia="仿宋_GB2312"/>
                <w:sz w:val="28"/>
                <w:szCs w:val="28"/>
              </w:rPr>
            </w:pPr>
            <w:r>
              <w:rPr>
                <w:rFonts w:eastAsia="仿宋_GB2312"/>
                <w:sz w:val="28"/>
                <w:szCs w:val="28"/>
              </w:rPr>
              <w:t>2.劳动保障监察举报投诉案件结案率（%）</w:t>
            </w:r>
          </w:p>
        </w:tc>
        <w:tc>
          <w:tcPr>
            <w:tcW w:w="1183" w:type="dxa"/>
            <w:vAlign w:val="center"/>
          </w:tcPr>
          <w:p>
            <w:pPr>
              <w:adjustRightInd w:val="0"/>
              <w:snapToGrid w:val="0"/>
              <w:jc w:val="center"/>
              <w:rPr>
                <w:rFonts w:eastAsia="仿宋_GB2312"/>
                <w:sz w:val="28"/>
                <w:szCs w:val="28"/>
              </w:rPr>
            </w:pPr>
            <w:r>
              <w:rPr>
                <w:rFonts w:eastAsia="仿宋_GB2312"/>
                <w:sz w:val="28"/>
                <w:szCs w:val="28"/>
              </w:rPr>
              <w:t>100</w:t>
            </w:r>
          </w:p>
        </w:tc>
        <w:tc>
          <w:tcPr>
            <w:tcW w:w="1388" w:type="dxa"/>
            <w:vAlign w:val="center"/>
          </w:tcPr>
          <w:p>
            <w:pPr>
              <w:adjustRightInd w:val="0"/>
              <w:snapToGrid w:val="0"/>
              <w:jc w:val="center"/>
              <w:rPr>
                <w:rFonts w:eastAsia="仿宋_GB2312"/>
                <w:sz w:val="28"/>
                <w:szCs w:val="28"/>
              </w:rPr>
            </w:pPr>
            <w:r>
              <w:rPr>
                <w:rFonts w:eastAsia="仿宋_GB2312"/>
                <w:sz w:val="28"/>
                <w:szCs w:val="28"/>
              </w:rPr>
              <w:t>100</w:t>
            </w:r>
          </w:p>
        </w:tc>
        <w:tc>
          <w:tcPr>
            <w:tcW w:w="1183" w:type="dxa"/>
            <w:vAlign w:val="center"/>
          </w:tcPr>
          <w:p>
            <w:pPr>
              <w:adjustRightInd w:val="0"/>
              <w:snapToGrid w:val="0"/>
              <w:jc w:val="center"/>
              <w:rPr>
                <w:rFonts w:eastAsia="仿宋_GB2312"/>
                <w:sz w:val="28"/>
                <w:szCs w:val="28"/>
              </w:rPr>
            </w:pPr>
            <w:r>
              <w:rPr>
                <w:rFonts w:eastAsia="仿宋_GB2312"/>
                <w:sz w:val="28"/>
                <w:szCs w:val="28"/>
              </w:rPr>
              <w:t>100</w:t>
            </w:r>
          </w:p>
        </w:tc>
        <w:tc>
          <w:tcPr>
            <w:tcW w:w="1456" w:type="dxa"/>
            <w:vAlign w:val="center"/>
          </w:tcPr>
          <w:p>
            <w:pPr>
              <w:adjustRightInd w:val="0"/>
              <w:snapToGrid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47" w:type="dxa"/>
            <w:vMerge w:val="continue"/>
            <w:vAlign w:val="center"/>
          </w:tcPr>
          <w:p>
            <w:pPr>
              <w:adjustRightInd w:val="0"/>
              <w:snapToGrid w:val="0"/>
              <w:jc w:val="center"/>
              <w:rPr>
                <w:rFonts w:eastAsia="黑体"/>
                <w:sz w:val="28"/>
                <w:szCs w:val="28"/>
              </w:rPr>
            </w:pPr>
          </w:p>
        </w:tc>
        <w:tc>
          <w:tcPr>
            <w:tcW w:w="3449" w:type="dxa"/>
            <w:vAlign w:val="center"/>
          </w:tcPr>
          <w:p>
            <w:pPr>
              <w:spacing w:line="300" w:lineRule="exact"/>
              <w:jc w:val="left"/>
              <w:rPr>
                <w:rFonts w:eastAsia="仿宋_GB2312"/>
                <w:sz w:val="28"/>
                <w:szCs w:val="28"/>
              </w:rPr>
            </w:pPr>
            <w:r>
              <w:rPr>
                <w:rFonts w:eastAsia="仿宋_GB2312"/>
                <w:sz w:val="28"/>
                <w:szCs w:val="28"/>
              </w:rPr>
              <w:t>3.拖欠农民工工资举报投诉案件结案率（%）</w:t>
            </w:r>
          </w:p>
        </w:tc>
        <w:tc>
          <w:tcPr>
            <w:tcW w:w="1183" w:type="dxa"/>
            <w:vAlign w:val="center"/>
          </w:tcPr>
          <w:p>
            <w:pPr>
              <w:adjustRightInd w:val="0"/>
              <w:snapToGrid w:val="0"/>
              <w:jc w:val="center"/>
              <w:rPr>
                <w:rFonts w:eastAsia="仿宋_GB2312"/>
                <w:sz w:val="28"/>
                <w:szCs w:val="28"/>
              </w:rPr>
            </w:pPr>
            <w:r>
              <w:rPr>
                <w:rFonts w:eastAsia="仿宋_GB2312"/>
                <w:sz w:val="28"/>
                <w:szCs w:val="28"/>
              </w:rPr>
              <w:t>100</w:t>
            </w:r>
          </w:p>
        </w:tc>
        <w:tc>
          <w:tcPr>
            <w:tcW w:w="1388" w:type="dxa"/>
            <w:vAlign w:val="center"/>
          </w:tcPr>
          <w:p>
            <w:pPr>
              <w:adjustRightInd w:val="0"/>
              <w:snapToGrid w:val="0"/>
              <w:jc w:val="center"/>
              <w:rPr>
                <w:rFonts w:eastAsia="仿宋_GB2312"/>
                <w:sz w:val="28"/>
                <w:szCs w:val="28"/>
              </w:rPr>
            </w:pPr>
            <w:r>
              <w:rPr>
                <w:rFonts w:eastAsia="仿宋_GB2312"/>
                <w:sz w:val="28"/>
                <w:szCs w:val="28"/>
              </w:rPr>
              <w:t>100</w:t>
            </w:r>
          </w:p>
        </w:tc>
        <w:tc>
          <w:tcPr>
            <w:tcW w:w="1183" w:type="dxa"/>
            <w:vAlign w:val="center"/>
          </w:tcPr>
          <w:p>
            <w:pPr>
              <w:adjustRightInd w:val="0"/>
              <w:snapToGrid w:val="0"/>
              <w:jc w:val="center"/>
              <w:rPr>
                <w:rFonts w:eastAsia="仿宋_GB2312"/>
                <w:sz w:val="28"/>
                <w:szCs w:val="28"/>
              </w:rPr>
            </w:pPr>
            <w:r>
              <w:rPr>
                <w:rFonts w:eastAsia="仿宋_GB2312"/>
                <w:sz w:val="28"/>
                <w:szCs w:val="28"/>
              </w:rPr>
              <w:t>100</w:t>
            </w:r>
          </w:p>
        </w:tc>
        <w:tc>
          <w:tcPr>
            <w:tcW w:w="1456" w:type="dxa"/>
            <w:vAlign w:val="center"/>
          </w:tcPr>
          <w:p>
            <w:pPr>
              <w:adjustRightInd w:val="0"/>
              <w:snapToGrid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47" w:type="dxa"/>
            <w:vMerge w:val="continue"/>
            <w:vAlign w:val="center"/>
          </w:tcPr>
          <w:p>
            <w:pPr>
              <w:adjustRightInd w:val="0"/>
              <w:snapToGrid w:val="0"/>
              <w:jc w:val="center"/>
              <w:rPr>
                <w:rFonts w:eastAsia="黑体"/>
                <w:sz w:val="28"/>
                <w:szCs w:val="28"/>
              </w:rPr>
            </w:pPr>
          </w:p>
        </w:tc>
        <w:tc>
          <w:tcPr>
            <w:tcW w:w="3449" w:type="dxa"/>
            <w:vAlign w:val="center"/>
          </w:tcPr>
          <w:p>
            <w:pPr>
              <w:spacing w:line="300" w:lineRule="exact"/>
              <w:jc w:val="left"/>
              <w:rPr>
                <w:rFonts w:eastAsia="仿宋_GB2312"/>
                <w:sz w:val="28"/>
                <w:szCs w:val="28"/>
              </w:rPr>
            </w:pPr>
            <w:r>
              <w:rPr>
                <w:rFonts w:eastAsia="仿宋_GB2312"/>
                <w:sz w:val="28"/>
                <w:szCs w:val="28"/>
              </w:rPr>
              <w:t>4.劳动人事争议仲裁结案率（%）</w:t>
            </w:r>
          </w:p>
        </w:tc>
        <w:tc>
          <w:tcPr>
            <w:tcW w:w="1183" w:type="dxa"/>
            <w:vAlign w:val="center"/>
          </w:tcPr>
          <w:p>
            <w:pPr>
              <w:adjustRightInd w:val="0"/>
              <w:snapToGrid w:val="0"/>
              <w:jc w:val="center"/>
              <w:rPr>
                <w:rFonts w:eastAsia="仿宋_GB2312"/>
                <w:spacing w:val="-20"/>
                <w:sz w:val="28"/>
                <w:szCs w:val="28"/>
              </w:rPr>
            </w:pPr>
            <w:r>
              <w:rPr>
                <w:rFonts w:eastAsia="仿宋_GB2312"/>
                <w:spacing w:val="-20"/>
                <w:sz w:val="28"/>
                <w:szCs w:val="28"/>
              </w:rPr>
              <w:t>95</w:t>
            </w:r>
          </w:p>
        </w:tc>
        <w:tc>
          <w:tcPr>
            <w:tcW w:w="1388" w:type="dxa"/>
            <w:vAlign w:val="center"/>
          </w:tcPr>
          <w:p>
            <w:pPr>
              <w:adjustRightInd w:val="0"/>
              <w:snapToGrid w:val="0"/>
              <w:jc w:val="center"/>
              <w:rPr>
                <w:rFonts w:eastAsia="仿宋_GB2312"/>
                <w:spacing w:val="-20"/>
                <w:sz w:val="28"/>
                <w:szCs w:val="28"/>
              </w:rPr>
            </w:pPr>
            <w:r>
              <w:rPr>
                <w:rFonts w:eastAsia="仿宋_GB2312"/>
                <w:spacing w:val="-20"/>
                <w:sz w:val="28"/>
                <w:szCs w:val="28"/>
              </w:rPr>
              <w:t>97.88</w:t>
            </w:r>
          </w:p>
        </w:tc>
        <w:tc>
          <w:tcPr>
            <w:tcW w:w="1183" w:type="dxa"/>
            <w:vAlign w:val="center"/>
          </w:tcPr>
          <w:p>
            <w:pPr>
              <w:adjustRightInd w:val="0"/>
              <w:snapToGrid w:val="0"/>
              <w:jc w:val="center"/>
              <w:rPr>
                <w:rFonts w:eastAsia="仿宋_GB2312"/>
                <w:spacing w:val="-20"/>
                <w:sz w:val="28"/>
                <w:szCs w:val="28"/>
              </w:rPr>
            </w:pPr>
            <w:r>
              <w:rPr>
                <w:rFonts w:eastAsia="仿宋_GB2312"/>
                <w:spacing w:val="-20"/>
                <w:sz w:val="28"/>
                <w:szCs w:val="28"/>
              </w:rPr>
              <w:t>103.03</w:t>
            </w:r>
          </w:p>
        </w:tc>
        <w:tc>
          <w:tcPr>
            <w:tcW w:w="1456" w:type="dxa"/>
            <w:vAlign w:val="center"/>
          </w:tcPr>
          <w:p>
            <w:pPr>
              <w:adjustRightInd w:val="0"/>
              <w:snapToGrid w:val="0"/>
              <w:rPr>
                <w:rFonts w:eastAsia="仿宋_GB2312"/>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47" w:type="dxa"/>
            <w:vMerge w:val="continue"/>
            <w:vAlign w:val="center"/>
          </w:tcPr>
          <w:p>
            <w:pPr>
              <w:adjustRightInd w:val="0"/>
              <w:snapToGrid w:val="0"/>
              <w:jc w:val="center"/>
              <w:rPr>
                <w:rFonts w:eastAsia="黑体"/>
                <w:sz w:val="28"/>
                <w:szCs w:val="28"/>
              </w:rPr>
            </w:pPr>
          </w:p>
        </w:tc>
        <w:tc>
          <w:tcPr>
            <w:tcW w:w="3449" w:type="dxa"/>
            <w:vAlign w:val="center"/>
          </w:tcPr>
          <w:p>
            <w:pPr>
              <w:spacing w:line="300" w:lineRule="exact"/>
              <w:jc w:val="left"/>
              <w:rPr>
                <w:rFonts w:eastAsia="仿宋_GB2312"/>
                <w:sz w:val="28"/>
                <w:szCs w:val="28"/>
              </w:rPr>
            </w:pPr>
            <w:r>
              <w:rPr>
                <w:rFonts w:eastAsia="仿宋_GB2312"/>
                <w:sz w:val="28"/>
                <w:szCs w:val="28"/>
              </w:rPr>
              <w:t>5.劳动人事争议调解成功率（%）</w:t>
            </w:r>
          </w:p>
        </w:tc>
        <w:tc>
          <w:tcPr>
            <w:tcW w:w="1183" w:type="dxa"/>
            <w:vAlign w:val="center"/>
          </w:tcPr>
          <w:p>
            <w:pPr>
              <w:adjustRightInd w:val="0"/>
              <w:snapToGrid w:val="0"/>
              <w:jc w:val="center"/>
              <w:rPr>
                <w:rFonts w:eastAsia="仿宋_GB2312"/>
                <w:spacing w:val="-20"/>
                <w:sz w:val="28"/>
                <w:szCs w:val="28"/>
              </w:rPr>
            </w:pPr>
            <w:r>
              <w:rPr>
                <w:rFonts w:eastAsia="仿宋_GB2312"/>
                <w:spacing w:val="-20"/>
                <w:sz w:val="28"/>
                <w:szCs w:val="28"/>
              </w:rPr>
              <w:t>60</w:t>
            </w:r>
          </w:p>
        </w:tc>
        <w:tc>
          <w:tcPr>
            <w:tcW w:w="1388" w:type="dxa"/>
            <w:vAlign w:val="center"/>
          </w:tcPr>
          <w:p>
            <w:pPr>
              <w:adjustRightInd w:val="0"/>
              <w:snapToGrid w:val="0"/>
              <w:jc w:val="center"/>
              <w:rPr>
                <w:rFonts w:eastAsia="仿宋_GB2312"/>
                <w:spacing w:val="-20"/>
                <w:sz w:val="28"/>
                <w:szCs w:val="28"/>
              </w:rPr>
            </w:pPr>
            <w:r>
              <w:rPr>
                <w:rFonts w:eastAsia="仿宋_GB2312"/>
                <w:spacing w:val="-20"/>
                <w:sz w:val="28"/>
                <w:szCs w:val="28"/>
              </w:rPr>
              <w:t>72.03</w:t>
            </w:r>
          </w:p>
        </w:tc>
        <w:tc>
          <w:tcPr>
            <w:tcW w:w="1183" w:type="dxa"/>
            <w:vAlign w:val="center"/>
          </w:tcPr>
          <w:p>
            <w:pPr>
              <w:adjustRightInd w:val="0"/>
              <w:snapToGrid w:val="0"/>
              <w:jc w:val="center"/>
              <w:rPr>
                <w:rFonts w:eastAsia="仿宋_GB2312"/>
                <w:spacing w:val="-20"/>
                <w:sz w:val="28"/>
                <w:szCs w:val="28"/>
              </w:rPr>
            </w:pPr>
            <w:r>
              <w:rPr>
                <w:rFonts w:eastAsia="仿宋_GB2312"/>
                <w:spacing w:val="-20"/>
                <w:sz w:val="28"/>
                <w:szCs w:val="28"/>
              </w:rPr>
              <w:t>120.05</w:t>
            </w:r>
          </w:p>
        </w:tc>
        <w:tc>
          <w:tcPr>
            <w:tcW w:w="1456" w:type="dxa"/>
            <w:vAlign w:val="center"/>
          </w:tcPr>
          <w:p>
            <w:pPr>
              <w:adjustRightInd w:val="0"/>
              <w:snapToGrid w:val="0"/>
              <w:rPr>
                <w:rFonts w:eastAsia="仿宋_GB2312"/>
                <w:spacing w:val="-20"/>
                <w:sz w:val="28"/>
                <w:szCs w:val="28"/>
              </w:rPr>
            </w:pPr>
          </w:p>
        </w:tc>
      </w:tr>
    </w:tbl>
    <w:p>
      <w:pPr>
        <w:pStyle w:val="17"/>
        <w:spacing w:line="353" w:lineRule="auto"/>
        <w:jc w:val="center"/>
        <w:rPr>
          <w:rFonts w:ascii="Times New Roman" w:hAnsi="Times New Roman" w:eastAsia="黑体" w:cs="Times New Roman"/>
          <w:color w:val="auto"/>
          <w:spacing w:val="-17"/>
          <w:sz w:val="28"/>
          <w:szCs w:val="28"/>
        </w:rPr>
      </w:pPr>
      <w:r>
        <w:rPr>
          <w:rFonts w:ascii="Times New Roman" w:hAnsi="Times New Roman" w:eastAsia="黑体" w:cs="Times New Roman"/>
          <w:color w:val="auto"/>
          <w:spacing w:val="-17"/>
          <w:sz w:val="28"/>
          <w:szCs w:val="28"/>
        </w:rPr>
        <w:t>表4  2021年和谐劳动关系领域职能目标完成情况表</w:t>
      </w:r>
    </w:p>
    <w:p>
      <w:pPr>
        <w:autoSpaceDE w:val="0"/>
        <w:autoSpaceDN w:val="0"/>
        <w:adjustRightInd w:val="0"/>
        <w:spacing w:line="560" w:lineRule="exact"/>
        <w:ind w:firstLine="643" w:firstLineChars="200"/>
        <w:rPr>
          <w:rFonts w:eastAsia="仿宋_GB2312"/>
          <w:b/>
          <w:bCs/>
          <w:sz w:val="32"/>
        </w:rPr>
      </w:pPr>
      <w:r>
        <w:rPr>
          <w:rFonts w:hint="eastAsia" w:eastAsia="仿宋_GB2312"/>
          <w:b/>
          <w:bCs/>
          <w:sz w:val="32"/>
        </w:rPr>
        <w:t>3.</w:t>
      </w:r>
      <w:r>
        <w:rPr>
          <w:rFonts w:eastAsia="仿宋_GB2312"/>
          <w:b/>
          <w:bCs/>
          <w:sz w:val="32"/>
        </w:rPr>
        <w:t>主要成绩及特色亮点工作</w:t>
      </w:r>
      <w:r>
        <w:rPr>
          <w:rFonts w:hint="eastAsia" w:eastAsia="仿宋_GB2312"/>
          <w:b/>
          <w:bCs/>
          <w:sz w:val="32"/>
        </w:rPr>
        <w:t>。</w:t>
      </w:r>
    </w:p>
    <w:p>
      <w:pPr>
        <w:autoSpaceDE w:val="0"/>
        <w:autoSpaceDN w:val="0"/>
        <w:adjustRightInd w:val="0"/>
        <w:spacing w:line="560" w:lineRule="exact"/>
        <w:ind w:firstLine="640"/>
        <w:rPr>
          <w:rFonts w:eastAsia="仿宋_GB2312"/>
          <w:sz w:val="32"/>
          <w:szCs w:val="32"/>
        </w:rPr>
      </w:pPr>
      <w:r>
        <w:rPr>
          <w:rFonts w:eastAsia="仿宋_GB2312"/>
          <w:b/>
          <w:bCs/>
          <w:sz w:val="32"/>
          <w:szCs w:val="32"/>
        </w:rPr>
        <w:t>（</w:t>
      </w:r>
      <w:r>
        <w:rPr>
          <w:rFonts w:hint="eastAsia" w:eastAsia="仿宋_GB2312"/>
          <w:b/>
          <w:bCs/>
          <w:sz w:val="32"/>
          <w:szCs w:val="32"/>
        </w:rPr>
        <w:t>1</w:t>
      </w:r>
      <w:r>
        <w:rPr>
          <w:rFonts w:eastAsia="仿宋_GB2312"/>
          <w:b/>
          <w:bCs/>
          <w:sz w:val="32"/>
          <w:szCs w:val="32"/>
        </w:rPr>
        <w:t>）</w:t>
      </w:r>
      <w:r>
        <w:rPr>
          <w:rFonts w:eastAsia="仿宋_GB2312"/>
          <w:b/>
          <w:sz w:val="32"/>
          <w:szCs w:val="32"/>
        </w:rPr>
        <w:t>主动作为，就业创业工作稳中向好。一是</w:t>
      </w:r>
      <w:r>
        <w:rPr>
          <w:rFonts w:eastAsia="仿宋_GB2312"/>
          <w:sz w:val="32"/>
          <w:szCs w:val="32"/>
        </w:rPr>
        <w:t>搭建桥梁促就业。开展以“就业帮扶 真情相助”为主题的就业援助月专项活动及春风行动暨民营企业招聘会”等专场招聘会活动，并首次实现“线上直播”送岗，吸引9万余人次线上观看。通过“攀枝花西区就业服务”微信公众号、基层平台等渠道及时发布政策解读、工作动态、招聘用工等信息。截至2021年12月28日，通过“攀枝花西区就业服务”微信公众号推送399家次企业1095个次就业岗位信息，计划招聘9700余人次。二是狠抓培训提能力。针对辖区就业困难群体及城镇失业人员年龄、学历、培训意向等，整合培训资源，搭建互动平台，提升职业培训有效性。2021年以来，新增组织开办电子商务师、小儿推拿等工种，共开办35期培训班，培训1282人</w:t>
      </w:r>
      <w:r>
        <w:rPr>
          <w:rFonts w:eastAsia="仿宋_GB2312"/>
          <w:spacing w:val="-20"/>
          <w:sz w:val="32"/>
          <w:szCs w:val="32"/>
        </w:rPr>
        <w:t>次</w:t>
      </w:r>
      <w:r>
        <w:rPr>
          <w:rFonts w:eastAsia="仿宋_GB2312"/>
          <w:sz w:val="32"/>
          <w:szCs w:val="32"/>
        </w:rPr>
        <w:t>。三是高校毕业生实名制回访。通过回访，已就业或就业准备活动中人数为180人，就业比例为98.4%，剩余3人未就业（其中正在求职2人，自愿不就业1人）。对暂未实现就业的高校毕业生继续送政策、送岗位、送服务，帮助有求职意愿的高校毕业生及时得到针对性就业帮扶。四是充分发挥失业保险兜底保障作用。落实失业保险金、失业保险代缴医保、失业补助金、价格临时补贴、提升职业技能补贴等共计1242.45万元。</w:t>
      </w:r>
    </w:p>
    <w:p>
      <w:pPr>
        <w:spacing w:line="560" w:lineRule="exact"/>
        <w:ind w:firstLine="643" w:firstLineChars="200"/>
        <w:rPr>
          <w:rFonts w:eastAsia="仿宋_GB2312"/>
          <w:sz w:val="32"/>
          <w:szCs w:val="32"/>
        </w:rPr>
      </w:pPr>
      <w:r>
        <w:rPr>
          <w:rFonts w:eastAsia="仿宋_GB2312"/>
          <w:b/>
          <w:bCs/>
          <w:sz w:val="32"/>
          <w:szCs w:val="32"/>
        </w:rPr>
        <w:t>（</w:t>
      </w:r>
      <w:r>
        <w:rPr>
          <w:rFonts w:hint="eastAsia" w:eastAsia="仿宋_GB2312"/>
          <w:b/>
          <w:bCs/>
          <w:sz w:val="32"/>
          <w:szCs w:val="32"/>
        </w:rPr>
        <w:t>2</w:t>
      </w:r>
      <w:r>
        <w:rPr>
          <w:rFonts w:eastAsia="仿宋_GB2312"/>
          <w:b/>
          <w:bCs/>
          <w:sz w:val="32"/>
          <w:szCs w:val="32"/>
        </w:rPr>
        <w:t>）</w:t>
      </w:r>
      <w:r>
        <w:rPr>
          <w:rFonts w:eastAsia="仿宋_GB2312"/>
          <w:b/>
          <w:sz w:val="32"/>
          <w:szCs w:val="32"/>
        </w:rPr>
        <w:t>监管并重，社会保障工作全面推进。</w:t>
      </w:r>
      <w:r>
        <w:rPr>
          <w:rFonts w:eastAsia="仿宋_GB2312"/>
          <w:b/>
          <w:bCs/>
          <w:sz w:val="32"/>
          <w:szCs w:val="32"/>
        </w:rPr>
        <w:t>一是</w:t>
      </w:r>
      <w:r>
        <w:rPr>
          <w:rFonts w:eastAsia="仿宋_GB2312"/>
          <w:sz w:val="32"/>
          <w:szCs w:val="32"/>
        </w:rPr>
        <w:t>兑现机关退休“中人”待遇。稳步推进机关退休“中人”待遇兑现和补发工作，及时掌握退休人员的动态，多措并举做好疏导和解释工作，确保待遇兑现过程的和谐稳定。完成2016-2017年退休“中人”合计98人的待遇兑现</w:t>
      </w:r>
      <w:r>
        <w:rPr>
          <w:rFonts w:hint="eastAsia" w:eastAsia="仿宋_GB2312"/>
          <w:sz w:val="32"/>
          <w:szCs w:val="32"/>
        </w:rPr>
        <w:t>和补发</w:t>
      </w:r>
      <w:r>
        <w:rPr>
          <w:rFonts w:eastAsia="仿宋_GB2312"/>
          <w:sz w:val="32"/>
          <w:szCs w:val="32"/>
        </w:rPr>
        <w:t>工作，合计兑现待遇62.68万元</w:t>
      </w:r>
      <w:r>
        <w:rPr>
          <w:rFonts w:hint="eastAsia" w:eastAsia="仿宋_GB2312"/>
          <w:sz w:val="32"/>
          <w:szCs w:val="32"/>
        </w:rPr>
        <w:t>、</w:t>
      </w:r>
      <w:r>
        <w:rPr>
          <w:rFonts w:eastAsia="仿宋_GB2312"/>
          <w:sz w:val="32"/>
          <w:szCs w:val="32"/>
        </w:rPr>
        <w:t>补发金额572.42万元；完成2018-2019年退休“中人”合计130人的待遇兑现</w:t>
      </w:r>
      <w:r>
        <w:rPr>
          <w:rFonts w:hint="eastAsia" w:eastAsia="仿宋_GB2312"/>
          <w:sz w:val="32"/>
          <w:szCs w:val="32"/>
        </w:rPr>
        <w:t>和补发</w:t>
      </w:r>
      <w:r>
        <w:rPr>
          <w:rFonts w:eastAsia="仿宋_GB2312"/>
          <w:sz w:val="32"/>
          <w:szCs w:val="32"/>
        </w:rPr>
        <w:t>工作，合计兑现待遇83.77万元</w:t>
      </w:r>
      <w:r>
        <w:rPr>
          <w:rFonts w:hint="eastAsia" w:eastAsia="仿宋_GB2312"/>
          <w:sz w:val="32"/>
          <w:szCs w:val="32"/>
        </w:rPr>
        <w:t>、补发</w:t>
      </w:r>
      <w:r>
        <w:rPr>
          <w:rFonts w:eastAsia="仿宋_GB2312"/>
          <w:sz w:val="32"/>
          <w:szCs w:val="32"/>
        </w:rPr>
        <w:t>金额667.14万元。启动2020年度机关事业单位退休人员待遇兑现工作。成功重算2020年度机关事业单位退休人员待遇58人，月兑现待遇32人，合计金额88.4万元。启动2021年退休“中人”基础数据清理工作，2021年退休“中人”合计33人，已审核兑现2021年退休“中人”待遇9人，金额5.35万元，补发11.59万元。</w:t>
      </w:r>
      <w:r>
        <w:rPr>
          <w:rFonts w:eastAsia="仿宋_GB2312"/>
          <w:b/>
          <w:bCs/>
          <w:sz w:val="32"/>
          <w:szCs w:val="32"/>
        </w:rPr>
        <w:t>二是</w:t>
      </w:r>
      <w:r>
        <w:rPr>
          <w:rFonts w:eastAsia="仿宋_GB2312"/>
          <w:sz w:val="32"/>
          <w:szCs w:val="32"/>
        </w:rPr>
        <w:t>有序开展工伤保险经办业务。全年完成工伤医疗费手工报销58人次，合计费用104.71万元</w:t>
      </w:r>
      <w:r>
        <w:rPr>
          <w:rFonts w:hint="eastAsia" w:eastAsia="仿宋_GB2312"/>
          <w:sz w:val="32"/>
          <w:szCs w:val="32"/>
        </w:rPr>
        <w:t>；</w:t>
      </w:r>
      <w:r>
        <w:rPr>
          <w:rFonts w:eastAsia="仿宋_GB2312"/>
          <w:sz w:val="32"/>
          <w:szCs w:val="32"/>
        </w:rPr>
        <w:t>手工报销伙食补助48人次，合计费用3.12万元；工伤一次性待遇报销107人次，合计费用224.82万元；完成联网工伤门诊医疗费审核26994人次，费用合计337.03万元；联网工伤住院医疗费审核2124人次，费用合计1193.22万元。</w:t>
      </w:r>
    </w:p>
    <w:p>
      <w:pPr>
        <w:spacing w:line="560" w:lineRule="exact"/>
        <w:ind w:firstLine="643" w:firstLineChars="200"/>
        <w:rPr>
          <w:rFonts w:eastAsia="仿宋_GB2312"/>
          <w:sz w:val="32"/>
          <w:szCs w:val="32"/>
        </w:rPr>
      </w:pPr>
      <w:r>
        <w:rPr>
          <w:rFonts w:eastAsia="仿宋_GB2312"/>
          <w:b/>
          <w:bCs/>
          <w:sz w:val="32"/>
          <w:szCs w:val="32"/>
        </w:rPr>
        <w:t>（</w:t>
      </w:r>
      <w:r>
        <w:rPr>
          <w:rFonts w:hint="eastAsia" w:eastAsia="仿宋_GB2312"/>
          <w:b/>
          <w:bCs/>
          <w:sz w:val="32"/>
          <w:szCs w:val="32"/>
        </w:rPr>
        <w:t>3</w:t>
      </w:r>
      <w:r>
        <w:rPr>
          <w:rFonts w:eastAsia="仿宋_GB2312"/>
          <w:b/>
          <w:bCs/>
          <w:sz w:val="32"/>
          <w:szCs w:val="32"/>
        </w:rPr>
        <w:t>）</w:t>
      </w:r>
      <w:r>
        <w:rPr>
          <w:rFonts w:eastAsia="仿宋_GB2312"/>
          <w:b/>
          <w:sz w:val="32"/>
          <w:szCs w:val="32"/>
        </w:rPr>
        <w:t>聚贤纳智，人才人事工作成效明显。人才工作。</w:t>
      </w:r>
      <w:r>
        <w:rPr>
          <w:rFonts w:eastAsia="仿宋_GB2312"/>
          <w:bCs/>
          <w:sz w:val="32"/>
          <w:szCs w:val="32"/>
        </w:rPr>
        <w:t>申报2021年度市级专家服务基层活动项目1项；开展西区2021年四川省“天府学者”特聘专家选聘工作；成功兑现西区33名高层次人才2020年度人才待遇76.67万元；完成2020年度高层次人才承担导师任务考核资料收集、汇总、上报工作</w:t>
      </w:r>
      <w:r>
        <w:rPr>
          <w:rFonts w:eastAsia="仿宋_GB2312"/>
          <w:sz w:val="32"/>
          <w:szCs w:val="32"/>
        </w:rPr>
        <w:t>；做好“三支一扶”人员管理工作，核算并发放2020年新进“三支一扶”人员安家费补贴12000元，开展“三支一扶”招募计划网络报名初审，累计审核178人，通过审核168人，已报到入职2人。</w:t>
      </w:r>
      <w:r>
        <w:rPr>
          <w:rFonts w:eastAsia="仿宋_GB2312"/>
          <w:b/>
          <w:bCs/>
          <w:sz w:val="32"/>
          <w:szCs w:val="32"/>
        </w:rPr>
        <w:t>人事工作。</w:t>
      </w:r>
      <w:r>
        <w:rPr>
          <w:rFonts w:eastAsia="仿宋_GB2312"/>
          <w:sz w:val="32"/>
          <w:szCs w:val="32"/>
        </w:rPr>
        <w:t>审核2020年度预发西区机关事业单位3589人目标绩效奖2662万元；完成了纳入临聘计划数管理的487名聘用人员2020年度考核备案工作，审核243人符合连续聘用每满两年的下一个聘期起增加50元/月；印发《攀枝花市西区机关事业单位一次性退休补贴办理办法（暂行）的通知》（攀西人社〔2021〕37号），完成了2014年10至2019年12月退休人员一次性补贴审核工作，共计243人1113.18万元；印发《关于规范申领遗属生活困难补助的通知》（攀西人社〔2021〕23号），完成了原43名领取遗属生活困难补助的人员进行规范和清理；审核全区各事业单位2021年正常晋升和一次性奖金；全区各机关事业单位共计464人正常增加薪级；完成2020年目标绩效奖核工作，应发6851万元，实发4181万元；开展县以下事业单位管理岗位职员等级晋升制度前期摸底情况测算工作，并上报区委区政府审议《攀枝花市西区事业单位建立管理岗位职员等级晋升制度实施方案》，经测算按现有的岗位结构比例，关于职员等级结构比例的规定，拟设置五级职员9个、六级职员46个、七级和八级职员275个。</w:t>
      </w:r>
    </w:p>
    <w:p>
      <w:pPr>
        <w:spacing w:line="560" w:lineRule="exact"/>
        <w:ind w:firstLine="643" w:firstLineChars="200"/>
        <w:rPr>
          <w:rFonts w:eastAsia="仿宋_GB2312"/>
          <w:sz w:val="32"/>
          <w:szCs w:val="32"/>
        </w:rPr>
      </w:pPr>
      <w:r>
        <w:rPr>
          <w:rFonts w:eastAsia="仿宋_GB2312"/>
          <w:b/>
          <w:bCs/>
          <w:sz w:val="32"/>
          <w:szCs w:val="32"/>
        </w:rPr>
        <w:t>（4）</w:t>
      </w:r>
      <w:r>
        <w:rPr>
          <w:rFonts w:eastAsia="仿宋_GB2312"/>
          <w:b/>
          <w:sz w:val="32"/>
          <w:szCs w:val="32"/>
        </w:rPr>
        <w:t>健全机制，和谐劳动关系健康发展。</w:t>
      </w:r>
      <w:r>
        <w:rPr>
          <w:rFonts w:eastAsia="仿宋_GB2312"/>
          <w:sz w:val="32"/>
          <w:szCs w:val="32"/>
        </w:rPr>
        <w:t>组织开展工程建设领域“零欠薪”、农民工工资拖欠“清零”百日行动、根治欠薪2020-2021年和2021-2022年冬季攻坚等10项专项行动，其中6项专项行动已结束，还有工程建设领域“零欠薪”、农民工工资拖欠“清零”百日行动、根治欠薪2021-2022年冬季攻坚和根治欠薪“利剑”行动4项专项行动正在有序推进中。截至12月，共主动监察工贸企业213户次，涉及劳动者9566人，劳动合同签订率达100%；共立案处理欠薪案件4件，协调解决欠薪隐患问题52件，全部结案和付清工资，共清欠工资705.8万余元，涉及622人。联合区市场监督管理局开展“双随机、一公开”联合专项执法检查，共随机抽查用人单位16户，并将检查结果通过门户网站向社会公布。开展书面审查和诚信评价，对58户用工企业遵守劳动保障法律法规情况进行A、B、C三个等级评价（A为诚信单位、B为合格单位、C为失信单位），共评出诚信单位（A级）31户、合格单位（B级）21户、失信单位（C级）6户；面向社会公布投诉举报电话，实行24小时专人电话值班制度，及时处理群众来电来访案件231件次，涉及劳动者639次；按规定及时处理和回复各级部门交办的信件67件，办结率100%，未出现因处置不及时或回复不妥当的越级上访事件。积极改进传统办案模式，全面启用劳动人事争议调解仲裁办案系统，实现劳动人事争议仲裁全程网办，上线运行率100%。</w:t>
      </w:r>
    </w:p>
    <w:p>
      <w:pPr>
        <w:spacing w:line="560" w:lineRule="exact"/>
        <w:ind w:firstLine="643" w:firstLineChars="200"/>
        <w:rPr>
          <w:rFonts w:eastAsia="仿宋_GB2312"/>
          <w:bCs/>
          <w:sz w:val="32"/>
          <w:szCs w:val="32"/>
        </w:rPr>
      </w:pPr>
      <w:r>
        <w:rPr>
          <w:rFonts w:eastAsia="仿宋_GB2312"/>
          <w:b/>
          <w:bCs/>
          <w:sz w:val="32"/>
          <w:szCs w:val="32"/>
        </w:rPr>
        <w:t>（</w:t>
      </w:r>
      <w:r>
        <w:rPr>
          <w:rFonts w:hint="eastAsia" w:eastAsia="仿宋_GB2312"/>
          <w:b/>
          <w:bCs/>
          <w:sz w:val="32"/>
          <w:szCs w:val="32"/>
        </w:rPr>
        <w:t>5</w:t>
      </w:r>
      <w:r>
        <w:rPr>
          <w:rFonts w:eastAsia="仿宋_GB2312"/>
          <w:b/>
          <w:bCs/>
          <w:sz w:val="32"/>
          <w:szCs w:val="32"/>
        </w:rPr>
        <w:t>）</w:t>
      </w:r>
      <w:r>
        <w:rPr>
          <w:rFonts w:eastAsia="仿宋_GB2312"/>
          <w:b/>
          <w:sz w:val="32"/>
          <w:szCs w:val="32"/>
        </w:rPr>
        <w:t>精准发力，农民工服务保障落实落地。</w:t>
      </w:r>
      <w:r>
        <w:rPr>
          <w:rFonts w:eastAsia="仿宋_GB2312"/>
          <w:bCs/>
          <w:sz w:val="32"/>
          <w:szCs w:val="32"/>
        </w:rPr>
        <w:t>加大《保障农民工工资支付条例》等劳动保障法律法规宣传力度；做好疫情防控常态化背景下农民工服务保障工作，制定《关于外来务工人员和返攀农民工疫情防控工作方案》，深入开展走访慰问、就业专场招聘、根治欠薪、证照办理、旅途暖冬服务等农民工服务保障五大专项行动。截至目前，共在人员密集场所及乡镇社区宣传栏粘贴农民工防疫海报30张、粘贴农民工服务平台海报300张；为农民工送去慰问信、慰问品及慰问金共计2.66万元；全年累计为622名农民工（劳动者）追讨工资705.8万余元；证照办理服务农民工116人次；旅途暖冬服务农民工390人，投入金额2.13万元。</w:t>
      </w:r>
    </w:p>
    <w:p>
      <w:pPr>
        <w:spacing w:line="560" w:lineRule="exact"/>
        <w:ind w:firstLine="643" w:firstLineChars="200"/>
        <w:rPr>
          <w:rFonts w:eastAsia="仿宋_GB2312"/>
          <w:sz w:val="32"/>
          <w:szCs w:val="32"/>
        </w:rPr>
      </w:pPr>
      <w:r>
        <w:rPr>
          <w:rFonts w:eastAsia="仿宋_GB2312"/>
          <w:b/>
          <w:bCs/>
          <w:sz w:val="32"/>
          <w:szCs w:val="32"/>
        </w:rPr>
        <w:t>（</w:t>
      </w:r>
      <w:r>
        <w:rPr>
          <w:rFonts w:hint="eastAsia" w:eastAsia="仿宋_GB2312"/>
          <w:b/>
          <w:bCs/>
          <w:sz w:val="32"/>
          <w:szCs w:val="32"/>
        </w:rPr>
        <w:t>6</w:t>
      </w:r>
      <w:r>
        <w:rPr>
          <w:rFonts w:eastAsia="仿宋_GB2312"/>
          <w:b/>
          <w:bCs/>
          <w:sz w:val="32"/>
          <w:szCs w:val="32"/>
        </w:rPr>
        <w:t>）</w:t>
      </w:r>
      <w:r>
        <w:rPr>
          <w:rFonts w:eastAsia="仿宋_GB2312"/>
          <w:b/>
          <w:sz w:val="32"/>
          <w:szCs w:val="32"/>
        </w:rPr>
        <w:t>提质增效，“温暖人社”建设纵深推进。</w:t>
      </w:r>
      <w:r>
        <w:rPr>
          <w:rFonts w:eastAsia="仿宋_GB2312"/>
          <w:bCs/>
          <w:sz w:val="32"/>
          <w:szCs w:val="32"/>
        </w:rPr>
        <w:t>以“放管服”改革为抓手，</w:t>
      </w:r>
      <w:r>
        <w:rPr>
          <w:rFonts w:eastAsia="仿宋_GB2312"/>
          <w:sz w:val="32"/>
          <w:szCs w:val="32"/>
        </w:rPr>
        <w:t>扎实推进“综合柜员制”、人社服务快办行动，持续深化“放管服”改革，</w:t>
      </w:r>
      <w:r>
        <w:rPr>
          <w:rFonts w:eastAsia="仿宋_GB2312"/>
          <w:bCs/>
          <w:sz w:val="32"/>
          <w:szCs w:val="32"/>
        </w:rPr>
        <w:t>继续实施基层平台“标准化、信息化、一体化、专业化”建设。大力开展“四川e就业”微信服务号宣传推广，推动办事群众选择手机办理、网上办理、自助办理多种办理渠道，推进“互联网+政务服务”，助力企业和群众实现“随时办”</w:t>
      </w:r>
      <w:r>
        <w:rPr>
          <w:rFonts w:eastAsia="仿宋_GB2312"/>
          <w:sz w:val="32"/>
          <w:szCs w:val="32"/>
        </w:rPr>
        <w:t>。</w:t>
      </w:r>
      <w:r>
        <w:rPr>
          <w:rFonts w:eastAsia="仿宋_GB2312"/>
          <w:bCs/>
          <w:sz w:val="32"/>
          <w:szCs w:val="32"/>
        </w:rPr>
        <w:t>将22个关联事项“打包办”，提</w:t>
      </w:r>
      <w:r>
        <w:rPr>
          <w:rFonts w:eastAsia="仿宋_GB2312"/>
          <w:sz w:val="32"/>
          <w:szCs w:val="32"/>
        </w:rPr>
        <w:t>供集成式服务。打包后累计实现线下办少跑腿33次，累计压减证明材料41份，累计压减办结时限94天。全年受理“打包办”事项3300余件。以“人社系统练兵比武”活动为契机，大力开展人社系统业务知识比拼，提升西区人社系统窗口单位工作人员的整体素质。修订完善7类人社服务事项“办事指南”，加大政策宣传力度。截至目前，共开展走访宣传160余次、集中宣传5次，发放就业失业、社会保障、工伤认定等办事指南等各类宣传资料9万余份。</w:t>
      </w:r>
    </w:p>
    <w:p>
      <w:pPr>
        <w:spacing w:line="560" w:lineRule="exact"/>
        <w:ind w:firstLine="643" w:firstLineChars="200"/>
        <w:rPr>
          <w:rFonts w:eastAsia="仿宋_GB2312"/>
          <w:sz w:val="32"/>
          <w:szCs w:val="32"/>
        </w:rPr>
      </w:pPr>
      <w:r>
        <w:rPr>
          <w:rFonts w:eastAsia="仿宋_GB2312"/>
          <w:b/>
          <w:bCs/>
          <w:sz w:val="32"/>
          <w:szCs w:val="32"/>
        </w:rPr>
        <w:t>（</w:t>
      </w:r>
      <w:r>
        <w:rPr>
          <w:rFonts w:hint="eastAsia" w:eastAsia="仿宋_GB2312"/>
          <w:b/>
          <w:bCs/>
          <w:sz w:val="32"/>
          <w:szCs w:val="32"/>
        </w:rPr>
        <w:t>7</w:t>
      </w:r>
      <w:r>
        <w:rPr>
          <w:rFonts w:eastAsia="仿宋_GB2312"/>
          <w:b/>
          <w:bCs/>
          <w:sz w:val="32"/>
          <w:szCs w:val="32"/>
        </w:rPr>
        <w:t>）细化举措，确保专项排查工作取得实效。一是</w:t>
      </w:r>
      <w:r>
        <w:rPr>
          <w:rFonts w:eastAsia="仿宋_GB2312"/>
          <w:sz w:val="32"/>
          <w:szCs w:val="32"/>
        </w:rPr>
        <w:t>就业培训领域突出问题系统治理工作。根据省</w:t>
      </w:r>
      <w:r>
        <w:rPr>
          <w:sz w:val="32"/>
          <w:szCs w:val="32"/>
        </w:rPr>
        <w:t>、</w:t>
      </w:r>
      <w:r>
        <w:rPr>
          <w:rFonts w:eastAsia="仿宋_GB2312"/>
          <w:sz w:val="32"/>
          <w:szCs w:val="32"/>
        </w:rPr>
        <w:t>市相关要求，结合西区实际</w:t>
      </w:r>
      <w:r>
        <w:rPr>
          <w:sz w:val="32"/>
          <w:szCs w:val="32"/>
        </w:rPr>
        <w:t>，</w:t>
      </w:r>
      <w:r>
        <w:rPr>
          <w:rFonts w:eastAsia="仿宋_GB2312"/>
          <w:sz w:val="32"/>
          <w:szCs w:val="32"/>
        </w:rPr>
        <w:t>印发了工作计划和实施方案，成立就业培训领域突出问题系统治理工作领导小组，组建工作专班，全面梳理培训业务经办流程，规范培训审核。按照实施方案要求，共分为“动员部署、查摆问题、集中整改、总结提高”4个阶段对6个方面28项问题建立自查整改台账进行逐一排查，完成23个排查问题的全面整改，完成市局反馈3个问题的深入整改。截至目前，已完成建立工作机构、广泛动员部署、加强宣传教育、摸排自查、建立问题台账、迎接省、市检查、完成问题整改。共召开专题会议7次，工作推进会4次，领导小组会议2次，区政府常务会专题听取汇报1次，区长胡昱冰对系统治理工作做出重要指示。</w:t>
      </w:r>
      <w:r>
        <w:rPr>
          <w:rFonts w:eastAsia="仿宋_GB2312"/>
          <w:b/>
          <w:bCs/>
          <w:sz w:val="32"/>
          <w:szCs w:val="32"/>
        </w:rPr>
        <w:t>二是</w:t>
      </w:r>
      <w:r>
        <w:rPr>
          <w:rFonts w:eastAsia="仿宋_GB2312"/>
          <w:sz w:val="32"/>
          <w:szCs w:val="32"/>
        </w:rPr>
        <w:t>社会保险基金管理问题专项整治风险排查工作。根据《攀枝花市社会保险基金管理问题专项整治风险排查阶段工作实施方案》要求，制定了《攀枝花市西区社会保险基金管理问题专项整治风险排查阶段工作实施方案》</w:t>
      </w:r>
      <w:r>
        <w:rPr>
          <w:rFonts w:eastAsia="仿宋_GB2312"/>
          <w:sz w:val="32"/>
        </w:rPr>
        <w:t>《攀枝花市西区社会保险基金管理问题专项整治风险排查阶段工作实施方案》及《攀枝花市西区社会保险基金管理风险排查项目及分工表》，</w:t>
      </w:r>
      <w:r>
        <w:rPr>
          <w:rFonts w:eastAsia="仿宋_GB2312"/>
          <w:sz w:val="32"/>
          <w:szCs w:val="32"/>
        </w:rPr>
        <w:t>成立了专项整治工作领导小组及专班。</w:t>
      </w:r>
      <w:r>
        <w:rPr>
          <w:rFonts w:eastAsia="仿宋_GB2312"/>
          <w:sz w:val="32"/>
        </w:rPr>
        <w:t>采用梳理流程、查看系统、权限清理、抽查资料、盘点对账等方式开展排查，加强对养老金发放异常问题核查分析，</w:t>
      </w:r>
      <w:r>
        <w:rPr>
          <w:rFonts w:eastAsia="仿宋_GB2312"/>
          <w:sz w:val="32"/>
          <w:szCs w:val="32"/>
        </w:rPr>
        <w:t>建立台账逐一进行整改，确保各项工作落到实处。截至目前，已完成对《攀枝花市社会保险基金管理风险排查表》10大项41小项的排查核实工作，发现问题24个，已全部整改完成。</w:t>
      </w:r>
    </w:p>
    <w:p>
      <w:pPr>
        <w:pStyle w:val="17"/>
        <w:spacing w:line="560" w:lineRule="exact"/>
        <w:ind w:firstLine="640"/>
        <w:jc w:val="both"/>
        <w:rPr>
          <w:rFonts w:ascii="Times New Roman" w:hAnsi="Times New Roman" w:eastAsia="黑体" w:cs="Times New Roman"/>
          <w:color w:val="auto"/>
          <w:kern w:val="2"/>
          <w:sz w:val="32"/>
          <w:szCs w:val="32"/>
        </w:rPr>
      </w:pPr>
      <w:r>
        <w:rPr>
          <w:rFonts w:hint="eastAsia" w:ascii="Times New Roman" w:hAnsi="Times New Roman" w:eastAsia="黑体" w:cs="Times New Roman"/>
          <w:color w:val="auto"/>
          <w:kern w:val="2"/>
          <w:sz w:val="32"/>
          <w:szCs w:val="32"/>
        </w:rPr>
        <w:t>4.</w:t>
      </w:r>
      <w:r>
        <w:rPr>
          <w:rFonts w:ascii="Times New Roman" w:hAnsi="Times New Roman" w:eastAsia="黑体" w:cs="Times New Roman"/>
          <w:color w:val="auto"/>
          <w:kern w:val="2"/>
          <w:sz w:val="32"/>
          <w:szCs w:val="32"/>
        </w:rPr>
        <w:t>2022年工作计划</w:t>
      </w:r>
    </w:p>
    <w:p>
      <w:pPr>
        <w:spacing w:line="560" w:lineRule="exact"/>
        <w:ind w:firstLine="640" w:firstLineChars="200"/>
        <w:rPr>
          <w:rFonts w:eastAsia="楷体_GB2312"/>
          <w:kern w:val="0"/>
          <w:sz w:val="32"/>
          <w:szCs w:val="32"/>
        </w:rPr>
      </w:pPr>
      <w:r>
        <w:rPr>
          <w:rFonts w:eastAsia="楷体_GB2312"/>
          <w:kern w:val="0"/>
          <w:sz w:val="32"/>
          <w:szCs w:val="32"/>
        </w:rPr>
        <w:t>（</w:t>
      </w:r>
      <w:r>
        <w:rPr>
          <w:rFonts w:hint="eastAsia" w:eastAsia="楷体_GB2312"/>
          <w:kern w:val="0"/>
          <w:sz w:val="32"/>
          <w:szCs w:val="32"/>
        </w:rPr>
        <w:t>1</w:t>
      </w:r>
      <w:r>
        <w:rPr>
          <w:rFonts w:eastAsia="楷体_GB2312"/>
          <w:kern w:val="0"/>
          <w:sz w:val="32"/>
          <w:szCs w:val="32"/>
        </w:rPr>
        <w:t>）紧盯目标任务。</w:t>
      </w:r>
    </w:p>
    <w:p>
      <w:pPr>
        <w:autoSpaceDE w:val="0"/>
        <w:autoSpaceDN w:val="0"/>
        <w:adjustRightInd w:val="0"/>
        <w:spacing w:line="560" w:lineRule="exact"/>
        <w:ind w:firstLine="964" w:firstLineChars="300"/>
        <w:rPr>
          <w:rFonts w:eastAsia="仿宋_GB2312"/>
          <w:sz w:val="32"/>
          <w:szCs w:val="32"/>
        </w:rPr>
      </w:pPr>
      <w:r>
        <w:rPr>
          <w:rFonts w:eastAsia="仿宋_GB2312"/>
          <w:b/>
          <w:bCs/>
          <w:sz w:val="32"/>
        </w:rPr>
        <w:t>市级目标任务。</w:t>
      </w:r>
      <w:r>
        <w:rPr>
          <w:rFonts w:eastAsia="仿宋_GB2312"/>
          <w:sz w:val="32"/>
          <w:szCs w:val="32"/>
        </w:rPr>
        <w:t>2022年，全区城镇居民人均可支配收入增速同比增长8%，高于全市平均水平。城镇新增就业4000人，城镇登记失业率控制在4.2%以内。保障农民工工资支付工作稳步推进。详见表五。</w:t>
      </w:r>
    </w:p>
    <w:tbl>
      <w:tblPr>
        <w:tblStyle w:val="13"/>
        <w:tblW w:w="9703" w:type="dxa"/>
        <w:tblInd w:w="-4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876"/>
        <w:gridCol w:w="2947"/>
        <w:gridCol w:w="1183"/>
        <w:gridCol w:w="1200"/>
        <w:gridCol w:w="2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354" w:type="dxa"/>
            <w:vAlign w:val="center"/>
          </w:tcPr>
          <w:p>
            <w:pPr>
              <w:adjustRightInd w:val="0"/>
              <w:snapToGrid w:val="0"/>
              <w:jc w:val="center"/>
              <w:rPr>
                <w:rFonts w:eastAsia="黑体"/>
                <w:sz w:val="28"/>
                <w:szCs w:val="28"/>
              </w:rPr>
            </w:pPr>
          </w:p>
          <w:p>
            <w:pPr>
              <w:adjustRightInd w:val="0"/>
              <w:snapToGrid w:val="0"/>
              <w:rPr>
                <w:rFonts w:eastAsia="黑体"/>
                <w:sz w:val="28"/>
                <w:szCs w:val="28"/>
              </w:rPr>
            </w:pPr>
          </w:p>
          <w:p>
            <w:pPr>
              <w:adjustRightInd w:val="0"/>
              <w:snapToGrid w:val="0"/>
              <w:rPr>
                <w:rFonts w:eastAsia="黑体"/>
                <w:sz w:val="28"/>
                <w:szCs w:val="28"/>
              </w:rPr>
            </w:pPr>
            <w:r>
              <w:rPr>
                <w:rFonts w:eastAsia="黑体"/>
                <w:sz w:val="28"/>
                <w:szCs w:val="28"/>
              </w:rPr>
              <w:t>时间</w:t>
            </w:r>
          </w:p>
          <w:p>
            <w:pPr>
              <w:adjustRightInd w:val="0"/>
              <w:snapToGrid w:val="0"/>
              <w:jc w:val="center"/>
              <w:rPr>
                <w:rFonts w:eastAsia="黑体"/>
                <w:sz w:val="28"/>
                <w:szCs w:val="28"/>
              </w:rPr>
            </w:pPr>
            <w:r>
              <w:rPr>
                <w:rFonts w:eastAsia="黑体"/>
                <w:sz w:val="28"/>
                <w:szCs w:val="28"/>
              </w:rPr>
              <w:t xml:space="preserve"> 内容</w:t>
            </w:r>
          </w:p>
        </w:tc>
        <w:tc>
          <w:tcPr>
            <w:tcW w:w="876" w:type="dxa"/>
            <w:vAlign w:val="center"/>
          </w:tcPr>
          <w:p>
            <w:pPr>
              <w:adjustRightInd w:val="0"/>
              <w:snapToGrid w:val="0"/>
              <w:jc w:val="center"/>
              <w:rPr>
                <w:rFonts w:eastAsia="黑体"/>
                <w:sz w:val="28"/>
                <w:szCs w:val="28"/>
              </w:rPr>
            </w:pPr>
            <w:r>
              <w:rPr>
                <w:rFonts w:eastAsia="黑体"/>
                <w:sz w:val="28"/>
                <w:szCs w:val="28"/>
              </w:rPr>
              <w:t>类型</w:t>
            </w:r>
          </w:p>
        </w:tc>
        <w:tc>
          <w:tcPr>
            <w:tcW w:w="2947" w:type="dxa"/>
            <w:vAlign w:val="center"/>
          </w:tcPr>
          <w:p>
            <w:pPr>
              <w:adjustRightInd w:val="0"/>
              <w:snapToGrid w:val="0"/>
              <w:jc w:val="center"/>
              <w:rPr>
                <w:rFonts w:eastAsia="黑体"/>
                <w:sz w:val="28"/>
                <w:szCs w:val="28"/>
              </w:rPr>
            </w:pPr>
            <w:r>
              <w:rPr>
                <w:rFonts w:eastAsia="黑体"/>
                <w:sz w:val="28"/>
                <w:szCs w:val="28"/>
              </w:rPr>
              <w:t>指标项目</w:t>
            </w:r>
          </w:p>
        </w:tc>
        <w:tc>
          <w:tcPr>
            <w:tcW w:w="1183" w:type="dxa"/>
            <w:vAlign w:val="center"/>
          </w:tcPr>
          <w:p>
            <w:pPr>
              <w:adjustRightInd w:val="0"/>
              <w:snapToGrid w:val="0"/>
              <w:jc w:val="center"/>
              <w:rPr>
                <w:rFonts w:eastAsia="黑体"/>
                <w:sz w:val="28"/>
                <w:szCs w:val="28"/>
              </w:rPr>
            </w:pPr>
            <w:r>
              <w:rPr>
                <w:rFonts w:eastAsia="黑体"/>
                <w:sz w:val="28"/>
                <w:szCs w:val="28"/>
              </w:rPr>
              <w:t>2021年</w:t>
            </w:r>
          </w:p>
          <w:p>
            <w:pPr>
              <w:adjustRightInd w:val="0"/>
              <w:snapToGrid w:val="0"/>
              <w:jc w:val="center"/>
              <w:rPr>
                <w:rFonts w:eastAsia="黑体"/>
                <w:sz w:val="28"/>
                <w:szCs w:val="28"/>
              </w:rPr>
            </w:pPr>
            <w:r>
              <w:rPr>
                <w:rFonts w:eastAsia="黑体"/>
                <w:sz w:val="28"/>
                <w:szCs w:val="28"/>
              </w:rPr>
              <w:t>完成数</w:t>
            </w:r>
          </w:p>
        </w:tc>
        <w:tc>
          <w:tcPr>
            <w:tcW w:w="1200" w:type="dxa"/>
            <w:vAlign w:val="center"/>
          </w:tcPr>
          <w:p>
            <w:pPr>
              <w:adjustRightInd w:val="0"/>
              <w:snapToGrid w:val="0"/>
              <w:jc w:val="center"/>
              <w:rPr>
                <w:rFonts w:eastAsia="黑体"/>
                <w:sz w:val="28"/>
                <w:szCs w:val="28"/>
              </w:rPr>
            </w:pPr>
            <w:r>
              <w:rPr>
                <w:rFonts w:eastAsia="黑体"/>
                <w:sz w:val="28"/>
                <w:szCs w:val="28"/>
              </w:rPr>
              <w:t>2022年</w:t>
            </w:r>
          </w:p>
          <w:p>
            <w:pPr>
              <w:adjustRightInd w:val="0"/>
              <w:snapToGrid w:val="0"/>
              <w:jc w:val="center"/>
              <w:rPr>
                <w:rFonts w:eastAsia="黑体"/>
                <w:sz w:val="28"/>
                <w:szCs w:val="28"/>
              </w:rPr>
            </w:pPr>
            <w:r>
              <w:rPr>
                <w:rFonts w:eastAsia="黑体"/>
                <w:sz w:val="28"/>
                <w:szCs w:val="28"/>
              </w:rPr>
              <w:t>预计数</w:t>
            </w:r>
          </w:p>
        </w:tc>
        <w:tc>
          <w:tcPr>
            <w:tcW w:w="2143" w:type="dxa"/>
            <w:vAlign w:val="center"/>
          </w:tcPr>
          <w:p>
            <w:pPr>
              <w:adjustRightInd w:val="0"/>
              <w:snapToGrid w:val="0"/>
              <w:jc w:val="center"/>
              <w:rPr>
                <w:rFonts w:eastAsia="黑体"/>
                <w:sz w:val="28"/>
                <w:szCs w:val="28"/>
              </w:rPr>
            </w:pPr>
            <w:r>
              <w:rPr>
                <w:rFonts w:eastAsia="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4" w:type="dxa"/>
            <w:vMerge w:val="restart"/>
            <w:vAlign w:val="center"/>
          </w:tcPr>
          <w:p>
            <w:pPr>
              <w:adjustRightInd w:val="0"/>
              <w:snapToGrid w:val="0"/>
              <w:jc w:val="center"/>
              <w:rPr>
                <w:rFonts w:eastAsia="仿宋_GB2312"/>
                <w:sz w:val="28"/>
                <w:szCs w:val="28"/>
              </w:rPr>
            </w:pPr>
            <w:r>
              <w:rPr>
                <w:rFonts w:eastAsia="仿宋_GB2312"/>
                <w:sz w:val="28"/>
                <w:szCs w:val="28"/>
              </w:rPr>
              <w:t>2022年</w:t>
            </w:r>
          </w:p>
        </w:tc>
        <w:tc>
          <w:tcPr>
            <w:tcW w:w="876" w:type="dxa"/>
            <w:vMerge w:val="restart"/>
            <w:vAlign w:val="center"/>
          </w:tcPr>
          <w:p>
            <w:pPr>
              <w:adjustRightInd w:val="0"/>
              <w:snapToGrid w:val="0"/>
              <w:jc w:val="center"/>
              <w:rPr>
                <w:rFonts w:eastAsia="仿宋_GB2312"/>
                <w:sz w:val="28"/>
                <w:szCs w:val="28"/>
              </w:rPr>
            </w:pPr>
            <w:r>
              <w:rPr>
                <w:rFonts w:eastAsia="仿宋_GB2312"/>
                <w:sz w:val="28"/>
                <w:szCs w:val="28"/>
              </w:rPr>
              <w:t>市级</w:t>
            </w:r>
          </w:p>
          <w:p>
            <w:pPr>
              <w:adjustRightInd w:val="0"/>
              <w:snapToGrid w:val="0"/>
              <w:jc w:val="center"/>
              <w:rPr>
                <w:rFonts w:eastAsia="仿宋_GB2312"/>
                <w:sz w:val="28"/>
                <w:szCs w:val="28"/>
              </w:rPr>
            </w:pPr>
            <w:r>
              <w:rPr>
                <w:rFonts w:eastAsia="仿宋_GB2312"/>
                <w:sz w:val="28"/>
                <w:szCs w:val="28"/>
              </w:rPr>
              <w:t>目标</w:t>
            </w:r>
          </w:p>
          <w:p>
            <w:pPr>
              <w:adjustRightInd w:val="0"/>
              <w:snapToGrid w:val="0"/>
              <w:jc w:val="center"/>
              <w:rPr>
                <w:rFonts w:eastAsia="仿宋_GB2312"/>
                <w:sz w:val="28"/>
                <w:szCs w:val="28"/>
              </w:rPr>
            </w:pPr>
            <w:r>
              <w:rPr>
                <w:rFonts w:eastAsia="仿宋_GB2312"/>
                <w:sz w:val="28"/>
                <w:szCs w:val="28"/>
              </w:rPr>
              <w:t>任务</w:t>
            </w:r>
          </w:p>
        </w:tc>
        <w:tc>
          <w:tcPr>
            <w:tcW w:w="2947" w:type="dxa"/>
            <w:vAlign w:val="center"/>
          </w:tcPr>
          <w:p>
            <w:pPr>
              <w:adjustRightInd w:val="0"/>
              <w:snapToGrid w:val="0"/>
              <w:rPr>
                <w:rFonts w:eastAsia="仿宋_GB2312"/>
                <w:sz w:val="28"/>
                <w:szCs w:val="28"/>
              </w:rPr>
            </w:pPr>
            <w:r>
              <w:rPr>
                <w:rFonts w:eastAsia="仿宋_GB2312"/>
                <w:sz w:val="28"/>
                <w:szCs w:val="28"/>
              </w:rPr>
              <w:t>1.城镇居民人均可支配收入增速（%）</w:t>
            </w:r>
          </w:p>
        </w:tc>
        <w:tc>
          <w:tcPr>
            <w:tcW w:w="1183" w:type="dxa"/>
            <w:vAlign w:val="center"/>
          </w:tcPr>
          <w:p>
            <w:pPr>
              <w:adjustRightInd w:val="0"/>
              <w:snapToGrid w:val="0"/>
              <w:jc w:val="center"/>
              <w:rPr>
                <w:rFonts w:eastAsia="仿宋_GB2312"/>
                <w:sz w:val="28"/>
                <w:szCs w:val="28"/>
              </w:rPr>
            </w:pPr>
            <w:r>
              <w:rPr>
                <w:rFonts w:eastAsia="仿宋_GB2312"/>
                <w:sz w:val="28"/>
                <w:szCs w:val="28"/>
              </w:rPr>
              <w:t>10.6</w:t>
            </w:r>
          </w:p>
        </w:tc>
        <w:tc>
          <w:tcPr>
            <w:tcW w:w="1200" w:type="dxa"/>
            <w:vAlign w:val="center"/>
          </w:tcPr>
          <w:p>
            <w:pPr>
              <w:adjustRightInd w:val="0"/>
              <w:snapToGrid w:val="0"/>
              <w:jc w:val="center"/>
              <w:rPr>
                <w:rFonts w:eastAsia="仿宋_GB2312"/>
                <w:sz w:val="28"/>
                <w:szCs w:val="28"/>
              </w:rPr>
            </w:pPr>
            <w:r>
              <w:rPr>
                <w:rFonts w:eastAsia="仿宋_GB2312"/>
                <w:sz w:val="28"/>
                <w:szCs w:val="28"/>
              </w:rPr>
              <w:t>8</w:t>
            </w:r>
          </w:p>
        </w:tc>
        <w:tc>
          <w:tcPr>
            <w:tcW w:w="2143" w:type="dxa"/>
            <w:vMerge w:val="restart"/>
            <w:vAlign w:val="center"/>
          </w:tcPr>
          <w:p>
            <w:pPr>
              <w:adjustRightInd w:val="0"/>
              <w:snapToGrid w:val="0"/>
              <w:spacing w:line="0" w:lineRule="atLeast"/>
              <w:rPr>
                <w:rFonts w:eastAsia="黑体"/>
                <w:sz w:val="22"/>
                <w:szCs w:val="22"/>
              </w:rPr>
            </w:pPr>
            <w:r>
              <w:rPr>
                <w:rFonts w:eastAsia="仿宋_GB2312"/>
                <w:sz w:val="28"/>
                <w:szCs w:val="28"/>
              </w:rPr>
              <w:t>该目标为预计数，待市级正式目标下达后再作调整。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4" w:type="dxa"/>
            <w:vMerge w:val="continue"/>
            <w:vAlign w:val="center"/>
          </w:tcPr>
          <w:p>
            <w:pPr>
              <w:widowControl/>
              <w:spacing w:line="560" w:lineRule="exact"/>
              <w:jc w:val="center"/>
              <w:textAlignment w:val="center"/>
              <w:rPr>
                <w:kern w:val="0"/>
                <w:sz w:val="22"/>
                <w:szCs w:val="22"/>
              </w:rPr>
            </w:pPr>
          </w:p>
        </w:tc>
        <w:tc>
          <w:tcPr>
            <w:tcW w:w="876" w:type="dxa"/>
            <w:vMerge w:val="continue"/>
            <w:vAlign w:val="center"/>
          </w:tcPr>
          <w:p>
            <w:pPr>
              <w:adjustRightInd w:val="0"/>
              <w:snapToGrid w:val="0"/>
              <w:spacing w:line="560" w:lineRule="exact"/>
              <w:jc w:val="center"/>
              <w:rPr>
                <w:rFonts w:eastAsia="黑体"/>
                <w:sz w:val="22"/>
                <w:szCs w:val="22"/>
              </w:rPr>
            </w:pPr>
          </w:p>
        </w:tc>
        <w:tc>
          <w:tcPr>
            <w:tcW w:w="2947" w:type="dxa"/>
            <w:vAlign w:val="center"/>
          </w:tcPr>
          <w:p>
            <w:pPr>
              <w:adjustRightInd w:val="0"/>
              <w:snapToGrid w:val="0"/>
              <w:rPr>
                <w:rFonts w:eastAsia="仿宋_GB2312"/>
                <w:sz w:val="28"/>
                <w:szCs w:val="28"/>
              </w:rPr>
            </w:pPr>
            <w:r>
              <w:rPr>
                <w:rFonts w:eastAsia="仿宋_GB2312"/>
                <w:sz w:val="28"/>
                <w:szCs w:val="28"/>
              </w:rPr>
              <w:t>2.城镇新增就业人数（人）</w:t>
            </w:r>
          </w:p>
        </w:tc>
        <w:tc>
          <w:tcPr>
            <w:tcW w:w="1183" w:type="dxa"/>
            <w:vAlign w:val="center"/>
          </w:tcPr>
          <w:p>
            <w:pPr>
              <w:adjustRightInd w:val="0"/>
              <w:snapToGrid w:val="0"/>
              <w:jc w:val="center"/>
              <w:rPr>
                <w:rFonts w:eastAsia="仿宋_GB2312"/>
                <w:sz w:val="28"/>
                <w:szCs w:val="28"/>
              </w:rPr>
            </w:pPr>
            <w:r>
              <w:rPr>
                <w:rFonts w:eastAsia="仿宋_GB2312"/>
                <w:sz w:val="28"/>
                <w:szCs w:val="28"/>
              </w:rPr>
              <w:t>3865</w:t>
            </w:r>
          </w:p>
        </w:tc>
        <w:tc>
          <w:tcPr>
            <w:tcW w:w="1200" w:type="dxa"/>
            <w:vAlign w:val="center"/>
          </w:tcPr>
          <w:p>
            <w:pPr>
              <w:adjustRightInd w:val="0"/>
              <w:snapToGrid w:val="0"/>
              <w:jc w:val="center"/>
              <w:rPr>
                <w:rFonts w:eastAsia="仿宋_GB2312"/>
                <w:sz w:val="28"/>
                <w:szCs w:val="28"/>
              </w:rPr>
            </w:pPr>
            <w:r>
              <w:rPr>
                <w:rFonts w:eastAsia="仿宋_GB2312"/>
                <w:sz w:val="28"/>
                <w:szCs w:val="28"/>
              </w:rPr>
              <w:t>3700</w:t>
            </w:r>
          </w:p>
        </w:tc>
        <w:tc>
          <w:tcPr>
            <w:tcW w:w="2143" w:type="dxa"/>
            <w:vMerge w:val="continue"/>
            <w:vAlign w:val="center"/>
          </w:tcPr>
          <w:p>
            <w:pPr>
              <w:adjustRightInd w:val="0"/>
              <w:snapToGrid w:val="0"/>
              <w:spacing w:line="0" w:lineRule="atLeast"/>
              <w:jc w:val="center"/>
              <w:rPr>
                <w:rFonts w:eastAsia="黑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4" w:type="dxa"/>
            <w:vMerge w:val="continue"/>
            <w:vAlign w:val="center"/>
          </w:tcPr>
          <w:p>
            <w:pPr>
              <w:widowControl/>
              <w:spacing w:line="560" w:lineRule="exact"/>
              <w:jc w:val="center"/>
              <w:textAlignment w:val="center"/>
              <w:rPr>
                <w:kern w:val="0"/>
                <w:sz w:val="22"/>
                <w:szCs w:val="22"/>
              </w:rPr>
            </w:pPr>
          </w:p>
        </w:tc>
        <w:tc>
          <w:tcPr>
            <w:tcW w:w="876" w:type="dxa"/>
            <w:vMerge w:val="continue"/>
            <w:vAlign w:val="center"/>
          </w:tcPr>
          <w:p>
            <w:pPr>
              <w:adjustRightInd w:val="0"/>
              <w:snapToGrid w:val="0"/>
              <w:spacing w:line="0" w:lineRule="atLeast"/>
              <w:jc w:val="center"/>
              <w:rPr>
                <w:rFonts w:eastAsia="黑体"/>
                <w:sz w:val="22"/>
                <w:szCs w:val="22"/>
              </w:rPr>
            </w:pPr>
          </w:p>
        </w:tc>
        <w:tc>
          <w:tcPr>
            <w:tcW w:w="2947" w:type="dxa"/>
            <w:vAlign w:val="center"/>
          </w:tcPr>
          <w:p>
            <w:pPr>
              <w:adjustRightInd w:val="0"/>
              <w:snapToGrid w:val="0"/>
              <w:rPr>
                <w:rFonts w:eastAsia="仿宋_GB2312"/>
                <w:sz w:val="28"/>
                <w:szCs w:val="28"/>
              </w:rPr>
            </w:pPr>
            <w:r>
              <w:rPr>
                <w:rFonts w:eastAsia="仿宋_GB2312"/>
                <w:sz w:val="28"/>
                <w:szCs w:val="28"/>
              </w:rPr>
              <w:t>3.城镇登记失业率（%）</w:t>
            </w:r>
          </w:p>
        </w:tc>
        <w:tc>
          <w:tcPr>
            <w:tcW w:w="1183" w:type="dxa"/>
            <w:vAlign w:val="center"/>
          </w:tcPr>
          <w:p>
            <w:pPr>
              <w:adjustRightInd w:val="0"/>
              <w:snapToGrid w:val="0"/>
              <w:jc w:val="center"/>
              <w:rPr>
                <w:rFonts w:eastAsia="仿宋_GB2312"/>
                <w:sz w:val="28"/>
                <w:szCs w:val="28"/>
              </w:rPr>
            </w:pPr>
            <w:r>
              <w:rPr>
                <w:rFonts w:eastAsia="仿宋_GB2312"/>
                <w:sz w:val="28"/>
                <w:szCs w:val="28"/>
              </w:rPr>
              <w:t>≤4.2</w:t>
            </w:r>
          </w:p>
        </w:tc>
        <w:tc>
          <w:tcPr>
            <w:tcW w:w="1200" w:type="dxa"/>
            <w:vAlign w:val="center"/>
          </w:tcPr>
          <w:p>
            <w:pPr>
              <w:adjustRightInd w:val="0"/>
              <w:snapToGrid w:val="0"/>
              <w:jc w:val="center"/>
              <w:rPr>
                <w:rFonts w:eastAsia="仿宋_GB2312"/>
                <w:sz w:val="28"/>
                <w:szCs w:val="28"/>
              </w:rPr>
            </w:pPr>
            <w:r>
              <w:rPr>
                <w:rFonts w:eastAsia="仿宋_GB2312"/>
                <w:sz w:val="28"/>
                <w:szCs w:val="28"/>
              </w:rPr>
              <w:t>≤4.2</w:t>
            </w:r>
          </w:p>
        </w:tc>
        <w:tc>
          <w:tcPr>
            <w:tcW w:w="2143" w:type="dxa"/>
            <w:vMerge w:val="continue"/>
            <w:vAlign w:val="center"/>
          </w:tcPr>
          <w:p>
            <w:pPr>
              <w:adjustRightInd w:val="0"/>
              <w:snapToGrid w:val="0"/>
              <w:spacing w:line="0" w:lineRule="atLeast"/>
              <w:jc w:val="center"/>
              <w:rPr>
                <w:rFonts w:eastAsia="黑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4" w:type="dxa"/>
            <w:vMerge w:val="continue"/>
            <w:vAlign w:val="center"/>
          </w:tcPr>
          <w:p>
            <w:pPr>
              <w:widowControl/>
              <w:spacing w:line="560" w:lineRule="exact"/>
              <w:jc w:val="center"/>
              <w:textAlignment w:val="center"/>
              <w:rPr>
                <w:kern w:val="0"/>
                <w:sz w:val="22"/>
                <w:szCs w:val="22"/>
              </w:rPr>
            </w:pPr>
          </w:p>
        </w:tc>
        <w:tc>
          <w:tcPr>
            <w:tcW w:w="876" w:type="dxa"/>
            <w:vMerge w:val="continue"/>
            <w:vAlign w:val="center"/>
          </w:tcPr>
          <w:p>
            <w:pPr>
              <w:adjustRightInd w:val="0"/>
              <w:snapToGrid w:val="0"/>
              <w:spacing w:line="0" w:lineRule="atLeast"/>
              <w:jc w:val="center"/>
              <w:rPr>
                <w:rFonts w:eastAsia="黑体"/>
                <w:sz w:val="22"/>
                <w:szCs w:val="22"/>
              </w:rPr>
            </w:pPr>
          </w:p>
        </w:tc>
        <w:tc>
          <w:tcPr>
            <w:tcW w:w="2947" w:type="dxa"/>
            <w:vAlign w:val="center"/>
          </w:tcPr>
          <w:p>
            <w:pPr>
              <w:adjustRightInd w:val="0"/>
              <w:snapToGrid w:val="0"/>
              <w:rPr>
                <w:rFonts w:eastAsia="仿宋_GB2312"/>
                <w:sz w:val="28"/>
                <w:szCs w:val="28"/>
              </w:rPr>
            </w:pPr>
            <w:r>
              <w:rPr>
                <w:rFonts w:eastAsia="仿宋_GB2312"/>
                <w:sz w:val="28"/>
                <w:szCs w:val="28"/>
              </w:rPr>
              <w:t>4.保障农民工工资支付</w:t>
            </w:r>
          </w:p>
        </w:tc>
        <w:tc>
          <w:tcPr>
            <w:tcW w:w="1183" w:type="dxa"/>
            <w:vAlign w:val="center"/>
          </w:tcPr>
          <w:p>
            <w:pPr>
              <w:adjustRightInd w:val="0"/>
              <w:snapToGrid w:val="0"/>
              <w:jc w:val="center"/>
              <w:rPr>
                <w:rFonts w:eastAsia="仿宋_GB2312"/>
                <w:sz w:val="28"/>
                <w:szCs w:val="28"/>
              </w:rPr>
            </w:pPr>
            <w:r>
              <w:rPr>
                <w:rFonts w:eastAsia="仿宋_GB2312"/>
                <w:sz w:val="28"/>
                <w:szCs w:val="28"/>
              </w:rPr>
              <w:t>按考核细则持续推进</w:t>
            </w:r>
          </w:p>
        </w:tc>
        <w:tc>
          <w:tcPr>
            <w:tcW w:w="1200" w:type="dxa"/>
            <w:vAlign w:val="center"/>
          </w:tcPr>
          <w:p>
            <w:pPr>
              <w:adjustRightInd w:val="0"/>
              <w:snapToGrid w:val="0"/>
              <w:jc w:val="center"/>
              <w:rPr>
                <w:rFonts w:eastAsia="仿宋_GB2312"/>
                <w:sz w:val="28"/>
                <w:szCs w:val="28"/>
              </w:rPr>
            </w:pPr>
            <w:r>
              <w:rPr>
                <w:rFonts w:eastAsia="仿宋_GB2312"/>
                <w:sz w:val="28"/>
                <w:szCs w:val="28"/>
              </w:rPr>
              <w:t>按考核细则持续推进</w:t>
            </w:r>
          </w:p>
        </w:tc>
        <w:tc>
          <w:tcPr>
            <w:tcW w:w="2143" w:type="dxa"/>
            <w:vMerge w:val="continue"/>
            <w:vAlign w:val="center"/>
          </w:tcPr>
          <w:p>
            <w:pPr>
              <w:adjustRightInd w:val="0"/>
              <w:snapToGrid w:val="0"/>
              <w:spacing w:line="0" w:lineRule="atLeast"/>
              <w:jc w:val="center"/>
              <w:rPr>
                <w:rFonts w:eastAsia="黑体"/>
                <w:spacing w:val="-17"/>
                <w:sz w:val="22"/>
                <w:szCs w:val="22"/>
              </w:rPr>
            </w:pPr>
          </w:p>
        </w:tc>
      </w:tr>
    </w:tbl>
    <w:p>
      <w:pPr>
        <w:widowControl/>
        <w:spacing w:line="353" w:lineRule="auto"/>
        <w:jc w:val="center"/>
        <w:rPr>
          <w:rFonts w:eastAsia="黑体"/>
          <w:sz w:val="32"/>
          <w:szCs w:val="32"/>
        </w:rPr>
      </w:pPr>
      <w:r>
        <w:rPr>
          <w:rFonts w:eastAsia="黑体"/>
          <w:kern w:val="0"/>
          <w:sz w:val="28"/>
          <w:szCs w:val="28"/>
        </w:rPr>
        <w:t xml:space="preserve"> 表5  2022年区人力资源社会保障局市级目标预期计划表</w:t>
      </w:r>
    </w:p>
    <w:p>
      <w:pPr>
        <w:autoSpaceDE w:val="0"/>
        <w:autoSpaceDN w:val="0"/>
        <w:adjustRightInd w:val="0"/>
        <w:spacing w:line="560" w:lineRule="exact"/>
        <w:ind w:firstLine="643" w:firstLineChars="200"/>
        <w:rPr>
          <w:rFonts w:eastAsia="仿宋_GB2312"/>
          <w:b/>
          <w:bCs/>
          <w:sz w:val="32"/>
        </w:rPr>
      </w:pPr>
      <w:r>
        <w:rPr>
          <w:rFonts w:eastAsia="仿宋_GB2312"/>
          <w:b/>
          <w:bCs/>
          <w:sz w:val="32"/>
        </w:rPr>
        <w:t>职能目标任务。</w:t>
      </w:r>
    </w:p>
    <w:p>
      <w:pPr>
        <w:autoSpaceDE w:val="0"/>
        <w:autoSpaceDN w:val="0"/>
        <w:adjustRightInd w:val="0"/>
        <w:spacing w:line="560" w:lineRule="exact"/>
        <w:ind w:firstLine="643" w:firstLineChars="200"/>
        <w:rPr>
          <w:rFonts w:eastAsia="仿宋_GB2312"/>
          <w:sz w:val="32"/>
          <w:szCs w:val="32"/>
        </w:rPr>
      </w:pPr>
      <w:r>
        <w:rPr>
          <w:rFonts w:eastAsia="仿宋_GB2312"/>
          <w:b/>
          <w:bCs/>
          <w:sz w:val="32"/>
          <w:szCs w:val="32"/>
        </w:rPr>
        <w:t>就业创业工作。</w:t>
      </w:r>
      <w:r>
        <w:rPr>
          <w:rFonts w:eastAsia="仿宋_GB2312"/>
          <w:sz w:val="32"/>
          <w:szCs w:val="32"/>
        </w:rPr>
        <w:t>到2022年，实现失业人员再就业1600人，就业困难人员再就业320人，开展职业技能培训1000人，实现创业担保贷款2000万元，新增青年就业见习25人。详见表六。</w:t>
      </w:r>
    </w:p>
    <w:tbl>
      <w:tblPr>
        <w:tblStyle w:val="13"/>
        <w:tblW w:w="9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7"/>
        <w:gridCol w:w="983"/>
        <w:gridCol w:w="2932"/>
        <w:gridCol w:w="1148"/>
        <w:gridCol w:w="1200"/>
        <w:gridCol w:w="2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1297" w:type="dxa"/>
            <w:vAlign w:val="center"/>
          </w:tcPr>
          <w:p>
            <w:pPr>
              <w:adjustRightInd w:val="0"/>
              <w:snapToGrid w:val="0"/>
              <w:rPr>
                <w:rFonts w:eastAsia="黑体"/>
                <w:bCs/>
                <w:spacing w:val="-4"/>
                <w:kern w:val="0"/>
                <w:sz w:val="24"/>
              </w:rPr>
            </w:pPr>
          </w:p>
          <w:p>
            <w:pPr>
              <w:adjustRightInd w:val="0"/>
              <w:snapToGrid w:val="0"/>
              <w:rPr>
                <w:rFonts w:eastAsia="黑体"/>
                <w:bCs/>
                <w:spacing w:val="-4"/>
                <w:kern w:val="0"/>
                <w:sz w:val="24"/>
              </w:rPr>
            </w:pPr>
          </w:p>
          <w:p>
            <w:pPr>
              <w:adjustRightInd w:val="0"/>
              <w:snapToGrid w:val="0"/>
              <w:rPr>
                <w:rFonts w:eastAsia="黑体"/>
                <w:sz w:val="28"/>
                <w:szCs w:val="28"/>
              </w:rPr>
            </w:pPr>
            <w:r>
              <w:rPr>
                <w:rFonts w:eastAsia="黑体"/>
                <w:bCs/>
                <w:spacing w:val="-4"/>
                <w:kern w:val="0"/>
                <w:sz w:val="24"/>
              </w:rPr>
              <w:t>时间</w:t>
            </w:r>
          </w:p>
          <w:p>
            <w:pPr>
              <w:adjustRightInd w:val="0"/>
              <w:snapToGrid w:val="0"/>
              <w:ind w:firstLine="232" w:firstLineChars="100"/>
              <w:rPr>
                <w:rFonts w:eastAsia="黑体"/>
                <w:sz w:val="28"/>
                <w:szCs w:val="28"/>
              </w:rPr>
            </w:pPr>
            <w:r>
              <w:rPr>
                <w:rFonts w:eastAsia="黑体"/>
                <w:bCs/>
                <w:spacing w:val="-4"/>
                <w:kern w:val="0"/>
                <w:sz w:val="24"/>
              </w:rPr>
              <w:t>内容</w:t>
            </w:r>
          </w:p>
        </w:tc>
        <w:tc>
          <w:tcPr>
            <w:tcW w:w="983" w:type="dxa"/>
            <w:vAlign w:val="center"/>
          </w:tcPr>
          <w:p>
            <w:pPr>
              <w:adjustRightInd w:val="0"/>
              <w:snapToGrid w:val="0"/>
              <w:jc w:val="center"/>
              <w:rPr>
                <w:rFonts w:eastAsia="黑体"/>
                <w:sz w:val="28"/>
                <w:szCs w:val="28"/>
              </w:rPr>
            </w:pPr>
            <w:r>
              <w:rPr>
                <w:rFonts w:eastAsia="黑体"/>
                <w:sz w:val="28"/>
                <w:szCs w:val="28"/>
              </w:rPr>
              <w:t>类别</w:t>
            </w:r>
          </w:p>
        </w:tc>
        <w:tc>
          <w:tcPr>
            <w:tcW w:w="2932" w:type="dxa"/>
            <w:vAlign w:val="center"/>
          </w:tcPr>
          <w:p>
            <w:pPr>
              <w:adjustRightInd w:val="0"/>
              <w:snapToGrid w:val="0"/>
              <w:jc w:val="center"/>
              <w:rPr>
                <w:rFonts w:eastAsia="黑体"/>
                <w:sz w:val="28"/>
                <w:szCs w:val="28"/>
              </w:rPr>
            </w:pPr>
            <w:r>
              <w:rPr>
                <w:rFonts w:eastAsia="黑体"/>
                <w:sz w:val="28"/>
                <w:szCs w:val="28"/>
              </w:rPr>
              <w:t>指标</w:t>
            </w:r>
          </w:p>
        </w:tc>
        <w:tc>
          <w:tcPr>
            <w:tcW w:w="1148" w:type="dxa"/>
            <w:vAlign w:val="center"/>
          </w:tcPr>
          <w:p>
            <w:pPr>
              <w:adjustRightInd w:val="0"/>
              <w:snapToGrid w:val="0"/>
              <w:jc w:val="center"/>
              <w:rPr>
                <w:rFonts w:eastAsia="黑体"/>
                <w:sz w:val="28"/>
                <w:szCs w:val="28"/>
              </w:rPr>
            </w:pPr>
            <w:r>
              <w:rPr>
                <w:rFonts w:eastAsia="黑体"/>
                <w:sz w:val="28"/>
                <w:szCs w:val="28"/>
              </w:rPr>
              <w:t>2021年</w:t>
            </w:r>
          </w:p>
          <w:p>
            <w:pPr>
              <w:adjustRightInd w:val="0"/>
              <w:snapToGrid w:val="0"/>
              <w:jc w:val="center"/>
              <w:rPr>
                <w:rFonts w:eastAsia="黑体"/>
                <w:sz w:val="28"/>
                <w:szCs w:val="28"/>
              </w:rPr>
            </w:pPr>
            <w:r>
              <w:rPr>
                <w:rFonts w:eastAsia="黑体"/>
                <w:sz w:val="28"/>
                <w:szCs w:val="28"/>
              </w:rPr>
              <w:t>完成数</w:t>
            </w:r>
          </w:p>
        </w:tc>
        <w:tc>
          <w:tcPr>
            <w:tcW w:w="1200" w:type="dxa"/>
            <w:vAlign w:val="center"/>
          </w:tcPr>
          <w:p>
            <w:pPr>
              <w:adjustRightInd w:val="0"/>
              <w:snapToGrid w:val="0"/>
              <w:jc w:val="center"/>
              <w:rPr>
                <w:rFonts w:eastAsia="黑体"/>
                <w:sz w:val="28"/>
                <w:szCs w:val="28"/>
              </w:rPr>
            </w:pPr>
            <w:r>
              <w:rPr>
                <w:rFonts w:eastAsia="黑体"/>
                <w:sz w:val="28"/>
                <w:szCs w:val="28"/>
              </w:rPr>
              <w:t>2022年</w:t>
            </w:r>
          </w:p>
          <w:p>
            <w:pPr>
              <w:adjustRightInd w:val="0"/>
              <w:snapToGrid w:val="0"/>
              <w:jc w:val="center"/>
              <w:rPr>
                <w:rFonts w:eastAsia="黑体"/>
                <w:sz w:val="28"/>
                <w:szCs w:val="28"/>
              </w:rPr>
            </w:pPr>
            <w:r>
              <w:rPr>
                <w:rFonts w:eastAsia="黑体"/>
                <w:sz w:val="28"/>
                <w:szCs w:val="28"/>
              </w:rPr>
              <w:t>预计数</w:t>
            </w:r>
          </w:p>
        </w:tc>
        <w:tc>
          <w:tcPr>
            <w:tcW w:w="2192" w:type="dxa"/>
            <w:vAlign w:val="center"/>
          </w:tcPr>
          <w:p>
            <w:pPr>
              <w:adjustRightInd w:val="0"/>
              <w:snapToGrid w:val="0"/>
              <w:jc w:val="center"/>
              <w:rPr>
                <w:rFonts w:eastAsia="黑体"/>
                <w:sz w:val="28"/>
                <w:szCs w:val="28"/>
              </w:rPr>
            </w:pPr>
            <w:r>
              <w:rPr>
                <w:rFonts w:eastAsia="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97" w:type="dxa"/>
            <w:vMerge w:val="restart"/>
            <w:vAlign w:val="center"/>
          </w:tcPr>
          <w:p>
            <w:pPr>
              <w:adjustRightInd w:val="0"/>
              <w:snapToGrid w:val="0"/>
              <w:jc w:val="center"/>
              <w:rPr>
                <w:rFonts w:eastAsia="黑体"/>
                <w:sz w:val="28"/>
                <w:szCs w:val="28"/>
              </w:rPr>
            </w:pPr>
            <w:r>
              <w:rPr>
                <w:rFonts w:eastAsia="黑体"/>
                <w:sz w:val="28"/>
                <w:szCs w:val="28"/>
              </w:rPr>
              <w:t>2022年</w:t>
            </w:r>
          </w:p>
        </w:tc>
        <w:tc>
          <w:tcPr>
            <w:tcW w:w="983" w:type="dxa"/>
            <w:vMerge w:val="restart"/>
            <w:vAlign w:val="center"/>
          </w:tcPr>
          <w:p>
            <w:pPr>
              <w:adjustRightInd w:val="0"/>
              <w:snapToGrid w:val="0"/>
              <w:jc w:val="center"/>
              <w:rPr>
                <w:rFonts w:eastAsia="黑体"/>
                <w:sz w:val="28"/>
                <w:szCs w:val="28"/>
              </w:rPr>
            </w:pPr>
            <w:r>
              <w:rPr>
                <w:rFonts w:eastAsia="黑体"/>
                <w:sz w:val="28"/>
                <w:szCs w:val="28"/>
              </w:rPr>
              <w:t>就业创业领域</w:t>
            </w:r>
          </w:p>
        </w:tc>
        <w:tc>
          <w:tcPr>
            <w:tcW w:w="2932" w:type="dxa"/>
            <w:vAlign w:val="center"/>
          </w:tcPr>
          <w:p>
            <w:pPr>
              <w:adjustRightInd w:val="0"/>
              <w:snapToGrid w:val="0"/>
              <w:rPr>
                <w:rFonts w:eastAsia="仿宋_GB2312"/>
                <w:sz w:val="28"/>
                <w:szCs w:val="28"/>
              </w:rPr>
            </w:pPr>
            <w:r>
              <w:rPr>
                <w:rFonts w:eastAsia="仿宋_GB2312"/>
                <w:sz w:val="28"/>
                <w:szCs w:val="28"/>
              </w:rPr>
              <w:t>1.城镇新增就业（人）</w:t>
            </w:r>
          </w:p>
        </w:tc>
        <w:tc>
          <w:tcPr>
            <w:tcW w:w="1148" w:type="dxa"/>
            <w:vAlign w:val="center"/>
          </w:tcPr>
          <w:p>
            <w:pPr>
              <w:adjustRightInd w:val="0"/>
              <w:snapToGrid w:val="0"/>
              <w:jc w:val="center"/>
              <w:rPr>
                <w:rFonts w:eastAsia="仿宋_GB2312"/>
                <w:sz w:val="28"/>
                <w:szCs w:val="28"/>
              </w:rPr>
            </w:pPr>
            <w:r>
              <w:rPr>
                <w:rFonts w:eastAsia="仿宋_GB2312"/>
                <w:sz w:val="28"/>
                <w:szCs w:val="28"/>
              </w:rPr>
              <w:t>3865</w:t>
            </w:r>
          </w:p>
        </w:tc>
        <w:tc>
          <w:tcPr>
            <w:tcW w:w="1200" w:type="dxa"/>
            <w:vAlign w:val="center"/>
          </w:tcPr>
          <w:p>
            <w:pPr>
              <w:adjustRightInd w:val="0"/>
              <w:snapToGrid w:val="0"/>
              <w:jc w:val="center"/>
              <w:rPr>
                <w:rFonts w:eastAsia="仿宋_GB2312"/>
                <w:sz w:val="28"/>
                <w:szCs w:val="28"/>
              </w:rPr>
            </w:pPr>
            <w:r>
              <w:rPr>
                <w:rFonts w:eastAsia="仿宋_GB2312"/>
                <w:sz w:val="28"/>
                <w:szCs w:val="28"/>
              </w:rPr>
              <w:t>4000</w:t>
            </w:r>
          </w:p>
        </w:tc>
        <w:tc>
          <w:tcPr>
            <w:tcW w:w="2192" w:type="dxa"/>
            <w:vMerge w:val="restart"/>
            <w:vAlign w:val="center"/>
          </w:tcPr>
          <w:p>
            <w:pPr>
              <w:adjustRightInd w:val="0"/>
              <w:snapToGrid w:val="0"/>
              <w:rPr>
                <w:rFonts w:eastAsia="仿宋_GB2312"/>
                <w:sz w:val="28"/>
                <w:szCs w:val="28"/>
              </w:rPr>
            </w:pPr>
            <w:r>
              <w:rPr>
                <w:rFonts w:eastAsia="仿宋_GB2312"/>
                <w:sz w:val="28"/>
                <w:szCs w:val="28"/>
              </w:rPr>
              <w:t>该目标为预计数，待市级正式目标下达后再作调整。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97" w:type="dxa"/>
            <w:vMerge w:val="continue"/>
            <w:vAlign w:val="center"/>
          </w:tcPr>
          <w:p>
            <w:pPr>
              <w:adjustRightInd w:val="0"/>
              <w:snapToGrid w:val="0"/>
              <w:rPr>
                <w:rFonts w:eastAsia="黑体"/>
                <w:sz w:val="28"/>
                <w:szCs w:val="28"/>
              </w:rPr>
            </w:pPr>
          </w:p>
        </w:tc>
        <w:tc>
          <w:tcPr>
            <w:tcW w:w="983" w:type="dxa"/>
            <w:vMerge w:val="continue"/>
            <w:vAlign w:val="center"/>
          </w:tcPr>
          <w:p>
            <w:pPr>
              <w:adjustRightInd w:val="0"/>
              <w:snapToGrid w:val="0"/>
              <w:rPr>
                <w:rFonts w:eastAsia="黑体"/>
                <w:sz w:val="28"/>
                <w:szCs w:val="28"/>
              </w:rPr>
            </w:pPr>
          </w:p>
        </w:tc>
        <w:tc>
          <w:tcPr>
            <w:tcW w:w="2932" w:type="dxa"/>
            <w:vAlign w:val="center"/>
          </w:tcPr>
          <w:p>
            <w:pPr>
              <w:adjustRightInd w:val="0"/>
              <w:snapToGrid w:val="0"/>
              <w:jc w:val="left"/>
              <w:rPr>
                <w:rFonts w:eastAsia="仿宋_GB2312"/>
                <w:sz w:val="28"/>
                <w:szCs w:val="28"/>
              </w:rPr>
            </w:pPr>
            <w:r>
              <w:rPr>
                <w:rFonts w:eastAsia="仿宋_GB2312"/>
                <w:spacing w:val="-6"/>
                <w:sz w:val="28"/>
                <w:szCs w:val="28"/>
              </w:rPr>
              <w:t>2.失业人员再就业（人）</w:t>
            </w:r>
          </w:p>
        </w:tc>
        <w:tc>
          <w:tcPr>
            <w:tcW w:w="1148" w:type="dxa"/>
            <w:vAlign w:val="center"/>
          </w:tcPr>
          <w:p>
            <w:pPr>
              <w:adjustRightInd w:val="0"/>
              <w:snapToGrid w:val="0"/>
              <w:jc w:val="center"/>
              <w:rPr>
                <w:rFonts w:eastAsia="仿宋_GB2312"/>
                <w:sz w:val="28"/>
                <w:szCs w:val="28"/>
              </w:rPr>
            </w:pPr>
            <w:r>
              <w:rPr>
                <w:rFonts w:eastAsia="仿宋_GB2312"/>
                <w:sz w:val="28"/>
                <w:szCs w:val="28"/>
              </w:rPr>
              <w:t>1441</w:t>
            </w:r>
          </w:p>
        </w:tc>
        <w:tc>
          <w:tcPr>
            <w:tcW w:w="1200" w:type="dxa"/>
            <w:vAlign w:val="center"/>
          </w:tcPr>
          <w:p>
            <w:pPr>
              <w:adjustRightInd w:val="0"/>
              <w:snapToGrid w:val="0"/>
              <w:jc w:val="center"/>
              <w:rPr>
                <w:rFonts w:eastAsia="仿宋_GB2312"/>
                <w:sz w:val="28"/>
                <w:szCs w:val="28"/>
              </w:rPr>
            </w:pPr>
            <w:r>
              <w:rPr>
                <w:rFonts w:eastAsia="仿宋_GB2312"/>
                <w:sz w:val="28"/>
                <w:szCs w:val="28"/>
              </w:rPr>
              <w:t>1600</w:t>
            </w:r>
          </w:p>
        </w:tc>
        <w:tc>
          <w:tcPr>
            <w:tcW w:w="2192" w:type="dxa"/>
            <w:vMerge w:val="continue"/>
            <w:vAlign w:val="center"/>
          </w:tcPr>
          <w:p>
            <w:pPr>
              <w:adjustRightInd w:val="0"/>
              <w:snapToGrid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97" w:type="dxa"/>
            <w:vMerge w:val="continue"/>
            <w:vAlign w:val="center"/>
          </w:tcPr>
          <w:p>
            <w:pPr>
              <w:adjustRightInd w:val="0"/>
              <w:snapToGrid w:val="0"/>
              <w:rPr>
                <w:rFonts w:eastAsia="黑体"/>
                <w:sz w:val="28"/>
                <w:szCs w:val="28"/>
              </w:rPr>
            </w:pPr>
          </w:p>
        </w:tc>
        <w:tc>
          <w:tcPr>
            <w:tcW w:w="983" w:type="dxa"/>
            <w:vMerge w:val="continue"/>
            <w:vAlign w:val="center"/>
          </w:tcPr>
          <w:p>
            <w:pPr>
              <w:adjustRightInd w:val="0"/>
              <w:snapToGrid w:val="0"/>
              <w:rPr>
                <w:rFonts w:eastAsia="黑体"/>
                <w:sz w:val="28"/>
                <w:szCs w:val="28"/>
              </w:rPr>
            </w:pPr>
          </w:p>
        </w:tc>
        <w:tc>
          <w:tcPr>
            <w:tcW w:w="2932" w:type="dxa"/>
            <w:vAlign w:val="center"/>
          </w:tcPr>
          <w:p>
            <w:pPr>
              <w:adjustRightInd w:val="0"/>
              <w:snapToGrid w:val="0"/>
              <w:rPr>
                <w:rFonts w:eastAsia="仿宋_GB2312"/>
                <w:sz w:val="28"/>
                <w:szCs w:val="28"/>
              </w:rPr>
            </w:pPr>
            <w:r>
              <w:rPr>
                <w:rFonts w:eastAsia="仿宋_GB2312"/>
                <w:sz w:val="28"/>
                <w:szCs w:val="28"/>
              </w:rPr>
              <w:t>3.就业困难人员再就业（人）</w:t>
            </w:r>
          </w:p>
        </w:tc>
        <w:tc>
          <w:tcPr>
            <w:tcW w:w="1148" w:type="dxa"/>
            <w:vAlign w:val="center"/>
          </w:tcPr>
          <w:p>
            <w:pPr>
              <w:adjustRightInd w:val="0"/>
              <w:snapToGrid w:val="0"/>
              <w:jc w:val="center"/>
              <w:rPr>
                <w:rFonts w:eastAsia="仿宋_GB2312"/>
                <w:sz w:val="28"/>
                <w:szCs w:val="28"/>
              </w:rPr>
            </w:pPr>
            <w:r>
              <w:rPr>
                <w:rFonts w:eastAsia="仿宋_GB2312"/>
                <w:sz w:val="28"/>
                <w:szCs w:val="28"/>
              </w:rPr>
              <w:t>317</w:t>
            </w:r>
          </w:p>
        </w:tc>
        <w:tc>
          <w:tcPr>
            <w:tcW w:w="1200" w:type="dxa"/>
            <w:vAlign w:val="center"/>
          </w:tcPr>
          <w:p>
            <w:pPr>
              <w:adjustRightInd w:val="0"/>
              <w:snapToGrid w:val="0"/>
              <w:jc w:val="center"/>
              <w:rPr>
                <w:rFonts w:eastAsia="仿宋_GB2312"/>
                <w:sz w:val="28"/>
                <w:szCs w:val="28"/>
              </w:rPr>
            </w:pPr>
            <w:r>
              <w:rPr>
                <w:rFonts w:eastAsia="仿宋_GB2312"/>
                <w:sz w:val="28"/>
                <w:szCs w:val="28"/>
              </w:rPr>
              <w:t>320</w:t>
            </w:r>
          </w:p>
        </w:tc>
        <w:tc>
          <w:tcPr>
            <w:tcW w:w="2192" w:type="dxa"/>
            <w:vMerge w:val="continue"/>
            <w:vAlign w:val="center"/>
          </w:tcPr>
          <w:p>
            <w:pPr>
              <w:adjustRightInd w:val="0"/>
              <w:snapToGrid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97" w:type="dxa"/>
            <w:vMerge w:val="continue"/>
            <w:vAlign w:val="center"/>
          </w:tcPr>
          <w:p>
            <w:pPr>
              <w:adjustRightInd w:val="0"/>
              <w:snapToGrid w:val="0"/>
              <w:rPr>
                <w:rFonts w:eastAsia="黑体"/>
                <w:sz w:val="28"/>
                <w:szCs w:val="28"/>
              </w:rPr>
            </w:pPr>
          </w:p>
        </w:tc>
        <w:tc>
          <w:tcPr>
            <w:tcW w:w="983" w:type="dxa"/>
            <w:vMerge w:val="continue"/>
            <w:vAlign w:val="center"/>
          </w:tcPr>
          <w:p>
            <w:pPr>
              <w:adjustRightInd w:val="0"/>
              <w:snapToGrid w:val="0"/>
              <w:rPr>
                <w:rFonts w:eastAsia="黑体"/>
                <w:sz w:val="28"/>
                <w:szCs w:val="28"/>
              </w:rPr>
            </w:pPr>
          </w:p>
        </w:tc>
        <w:tc>
          <w:tcPr>
            <w:tcW w:w="2932" w:type="dxa"/>
            <w:vAlign w:val="center"/>
          </w:tcPr>
          <w:p>
            <w:pPr>
              <w:adjustRightInd w:val="0"/>
              <w:snapToGrid w:val="0"/>
              <w:rPr>
                <w:rFonts w:eastAsia="仿宋_GB2312"/>
                <w:sz w:val="28"/>
                <w:szCs w:val="28"/>
              </w:rPr>
            </w:pPr>
            <w:r>
              <w:rPr>
                <w:rFonts w:eastAsia="仿宋_GB2312"/>
                <w:sz w:val="28"/>
                <w:szCs w:val="28"/>
              </w:rPr>
              <w:t>4.城镇登记失业率（%）</w:t>
            </w:r>
          </w:p>
        </w:tc>
        <w:tc>
          <w:tcPr>
            <w:tcW w:w="1148" w:type="dxa"/>
            <w:vAlign w:val="center"/>
          </w:tcPr>
          <w:p>
            <w:pPr>
              <w:adjustRightInd w:val="0"/>
              <w:snapToGrid w:val="0"/>
              <w:jc w:val="center"/>
              <w:rPr>
                <w:rFonts w:eastAsia="仿宋_GB2312"/>
                <w:spacing w:val="-20"/>
                <w:sz w:val="28"/>
                <w:szCs w:val="28"/>
              </w:rPr>
            </w:pPr>
            <w:r>
              <w:rPr>
                <w:rFonts w:eastAsia="仿宋_GB2312"/>
                <w:spacing w:val="-20"/>
                <w:sz w:val="28"/>
                <w:szCs w:val="28"/>
              </w:rPr>
              <w:t>≤</w:t>
            </w:r>
            <w:r>
              <w:rPr>
                <w:rFonts w:eastAsia="仿宋_GB2312"/>
                <w:spacing w:val="-26"/>
                <w:sz w:val="28"/>
                <w:szCs w:val="28"/>
              </w:rPr>
              <w:t>4.2</w:t>
            </w:r>
          </w:p>
        </w:tc>
        <w:tc>
          <w:tcPr>
            <w:tcW w:w="1200" w:type="dxa"/>
            <w:vAlign w:val="center"/>
          </w:tcPr>
          <w:p>
            <w:pPr>
              <w:adjustRightInd w:val="0"/>
              <w:snapToGrid w:val="0"/>
              <w:jc w:val="center"/>
              <w:rPr>
                <w:rFonts w:eastAsia="仿宋_GB2312"/>
                <w:spacing w:val="-26"/>
                <w:sz w:val="28"/>
                <w:szCs w:val="28"/>
              </w:rPr>
            </w:pPr>
            <w:r>
              <w:rPr>
                <w:rFonts w:eastAsia="仿宋_GB2312"/>
                <w:spacing w:val="-20"/>
                <w:sz w:val="28"/>
                <w:szCs w:val="28"/>
              </w:rPr>
              <w:t>≤</w:t>
            </w:r>
            <w:r>
              <w:rPr>
                <w:rFonts w:eastAsia="仿宋_GB2312"/>
                <w:spacing w:val="-26"/>
                <w:sz w:val="28"/>
                <w:szCs w:val="28"/>
              </w:rPr>
              <w:t>4.2</w:t>
            </w:r>
          </w:p>
        </w:tc>
        <w:tc>
          <w:tcPr>
            <w:tcW w:w="2192" w:type="dxa"/>
            <w:vMerge w:val="continue"/>
            <w:vAlign w:val="center"/>
          </w:tcPr>
          <w:p>
            <w:pPr>
              <w:adjustRightInd w:val="0"/>
              <w:snapToGrid w:val="0"/>
              <w:rPr>
                <w:rFonts w:eastAsia="仿宋_GB2312"/>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97" w:type="dxa"/>
            <w:vMerge w:val="continue"/>
            <w:vAlign w:val="center"/>
          </w:tcPr>
          <w:p>
            <w:pPr>
              <w:adjustRightInd w:val="0"/>
              <w:snapToGrid w:val="0"/>
              <w:rPr>
                <w:rFonts w:eastAsia="黑体"/>
                <w:sz w:val="28"/>
                <w:szCs w:val="28"/>
              </w:rPr>
            </w:pPr>
          </w:p>
        </w:tc>
        <w:tc>
          <w:tcPr>
            <w:tcW w:w="983" w:type="dxa"/>
            <w:vMerge w:val="continue"/>
            <w:vAlign w:val="center"/>
          </w:tcPr>
          <w:p>
            <w:pPr>
              <w:adjustRightInd w:val="0"/>
              <w:snapToGrid w:val="0"/>
              <w:rPr>
                <w:rFonts w:eastAsia="黑体"/>
                <w:sz w:val="28"/>
                <w:szCs w:val="28"/>
              </w:rPr>
            </w:pPr>
          </w:p>
        </w:tc>
        <w:tc>
          <w:tcPr>
            <w:tcW w:w="2932" w:type="dxa"/>
            <w:vAlign w:val="center"/>
          </w:tcPr>
          <w:p>
            <w:pPr>
              <w:adjustRightInd w:val="0"/>
              <w:snapToGrid w:val="0"/>
              <w:rPr>
                <w:rFonts w:eastAsia="仿宋_GB2312"/>
                <w:sz w:val="28"/>
                <w:szCs w:val="28"/>
              </w:rPr>
            </w:pPr>
            <w:r>
              <w:rPr>
                <w:rFonts w:eastAsia="仿宋_GB2312"/>
                <w:sz w:val="28"/>
                <w:szCs w:val="28"/>
              </w:rPr>
              <w:t>5.职业技能培训（人）</w:t>
            </w:r>
          </w:p>
        </w:tc>
        <w:tc>
          <w:tcPr>
            <w:tcW w:w="1148" w:type="dxa"/>
            <w:vAlign w:val="center"/>
          </w:tcPr>
          <w:p>
            <w:pPr>
              <w:adjustRightInd w:val="0"/>
              <w:snapToGrid w:val="0"/>
              <w:jc w:val="center"/>
              <w:rPr>
                <w:rFonts w:eastAsia="仿宋_GB2312"/>
                <w:sz w:val="28"/>
                <w:szCs w:val="28"/>
              </w:rPr>
            </w:pPr>
            <w:r>
              <w:rPr>
                <w:rFonts w:eastAsia="仿宋_GB2312"/>
                <w:sz w:val="28"/>
                <w:szCs w:val="28"/>
              </w:rPr>
              <w:t>1032</w:t>
            </w:r>
          </w:p>
        </w:tc>
        <w:tc>
          <w:tcPr>
            <w:tcW w:w="1200" w:type="dxa"/>
            <w:vAlign w:val="center"/>
          </w:tcPr>
          <w:p>
            <w:pPr>
              <w:adjustRightInd w:val="0"/>
              <w:snapToGrid w:val="0"/>
              <w:jc w:val="center"/>
              <w:rPr>
                <w:rFonts w:eastAsia="仿宋_GB2312"/>
                <w:sz w:val="28"/>
                <w:szCs w:val="28"/>
              </w:rPr>
            </w:pPr>
            <w:r>
              <w:rPr>
                <w:rFonts w:eastAsia="仿宋_GB2312"/>
                <w:sz w:val="28"/>
                <w:szCs w:val="28"/>
              </w:rPr>
              <w:t>1000</w:t>
            </w:r>
          </w:p>
        </w:tc>
        <w:tc>
          <w:tcPr>
            <w:tcW w:w="2192" w:type="dxa"/>
            <w:vMerge w:val="continue"/>
            <w:vAlign w:val="center"/>
          </w:tcPr>
          <w:p>
            <w:pPr>
              <w:adjustRightInd w:val="0"/>
              <w:snapToGrid w:val="0"/>
              <w:jc w:val="center"/>
              <w:rPr>
                <w:rFonts w:eastAsia="仿宋_GB2312"/>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97" w:type="dxa"/>
            <w:vMerge w:val="continue"/>
            <w:vAlign w:val="center"/>
          </w:tcPr>
          <w:p>
            <w:pPr>
              <w:adjustRightInd w:val="0"/>
              <w:snapToGrid w:val="0"/>
              <w:rPr>
                <w:rFonts w:eastAsia="黑体"/>
                <w:sz w:val="28"/>
                <w:szCs w:val="28"/>
              </w:rPr>
            </w:pPr>
          </w:p>
        </w:tc>
        <w:tc>
          <w:tcPr>
            <w:tcW w:w="983" w:type="dxa"/>
            <w:vMerge w:val="continue"/>
            <w:vAlign w:val="center"/>
          </w:tcPr>
          <w:p>
            <w:pPr>
              <w:adjustRightInd w:val="0"/>
              <w:snapToGrid w:val="0"/>
              <w:rPr>
                <w:rFonts w:eastAsia="黑体"/>
                <w:sz w:val="28"/>
                <w:szCs w:val="28"/>
              </w:rPr>
            </w:pPr>
          </w:p>
        </w:tc>
        <w:tc>
          <w:tcPr>
            <w:tcW w:w="2932" w:type="dxa"/>
            <w:vAlign w:val="center"/>
          </w:tcPr>
          <w:p>
            <w:pPr>
              <w:adjustRightInd w:val="0"/>
              <w:snapToGrid w:val="0"/>
              <w:rPr>
                <w:rFonts w:eastAsia="仿宋_GB2312"/>
                <w:sz w:val="28"/>
                <w:szCs w:val="28"/>
              </w:rPr>
            </w:pPr>
            <w:r>
              <w:rPr>
                <w:rFonts w:eastAsia="仿宋_GB2312"/>
                <w:spacing w:val="-6"/>
                <w:sz w:val="28"/>
                <w:szCs w:val="28"/>
              </w:rPr>
              <w:t>（1）劳务品牌培训（人）</w:t>
            </w:r>
          </w:p>
        </w:tc>
        <w:tc>
          <w:tcPr>
            <w:tcW w:w="1148" w:type="dxa"/>
            <w:vAlign w:val="center"/>
          </w:tcPr>
          <w:p>
            <w:pPr>
              <w:adjustRightInd w:val="0"/>
              <w:snapToGrid w:val="0"/>
              <w:jc w:val="center"/>
              <w:rPr>
                <w:rFonts w:eastAsia="仿宋_GB2312"/>
                <w:sz w:val="28"/>
                <w:szCs w:val="28"/>
              </w:rPr>
            </w:pPr>
            <w:r>
              <w:rPr>
                <w:rFonts w:eastAsia="仿宋_GB2312"/>
                <w:sz w:val="28"/>
                <w:szCs w:val="28"/>
              </w:rPr>
              <w:t>793</w:t>
            </w:r>
          </w:p>
        </w:tc>
        <w:tc>
          <w:tcPr>
            <w:tcW w:w="1200" w:type="dxa"/>
            <w:vAlign w:val="center"/>
          </w:tcPr>
          <w:p>
            <w:pPr>
              <w:adjustRightInd w:val="0"/>
              <w:snapToGrid w:val="0"/>
              <w:jc w:val="center"/>
              <w:rPr>
                <w:rFonts w:eastAsia="仿宋_GB2312"/>
                <w:sz w:val="28"/>
                <w:szCs w:val="28"/>
              </w:rPr>
            </w:pPr>
            <w:r>
              <w:rPr>
                <w:rFonts w:eastAsia="仿宋_GB2312"/>
                <w:sz w:val="28"/>
                <w:szCs w:val="28"/>
              </w:rPr>
              <w:t>600</w:t>
            </w:r>
          </w:p>
        </w:tc>
        <w:tc>
          <w:tcPr>
            <w:tcW w:w="2192" w:type="dxa"/>
            <w:vMerge w:val="continue"/>
            <w:vAlign w:val="center"/>
          </w:tcPr>
          <w:p>
            <w:pPr>
              <w:adjustRightInd w:val="0"/>
              <w:snapToGrid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97" w:type="dxa"/>
            <w:vMerge w:val="continue"/>
            <w:vAlign w:val="center"/>
          </w:tcPr>
          <w:p>
            <w:pPr>
              <w:adjustRightInd w:val="0"/>
              <w:snapToGrid w:val="0"/>
              <w:rPr>
                <w:rFonts w:eastAsia="黑体"/>
                <w:sz w:val="28"/>
                <w:szCs w:val="28"/>
              </w:rPr>
            </w:pPr>
          </w:p>
        </w:tc>
        <w:tc>
          <w:tcPr>
            <w:tcW w:w="983" w:type="dxa"/>
            <w:vMerge w:val="continue"/>
            <w:vAlign w:val="center"/>
          </w:tcPr>
          <w:p>
            <w:pPr>
              <w:adjustRightInd w:val="0"/>
              <w:snapToGrid w:val="0"/>
              <w:rPr>
                <w:rFonts w:eastAsia="黑体"/>
                <w:sz w:val="28"/>
                <w:szCs w:val="28"/>
              </w:rPr>
            </w:pPr>
          </w:p>
        </w:tc>
        <w:tc>
          <w:tcPr>
            <w:tcW w:w="2932" w:type="dxa"/>
            <w:vAlign w:val="center"/>
          </w:tcPr>
          <w:p>
            <w:pPr>
              <w:adjustRightInd w:val="0"/>
              <w:snapToGrid w:val="0"/>
              <w:rPr>
                <w:rFonts w:eastAsia="仿宋_GB2312"/>
                <w:sz w:val="28"/>
                <w:szCs w:val="28"/>
              </w:rPr>
            </w:pPr>
            <w:r>
              <w:rPr>
                <w:rFonts w:eastAsia="仿宋_GB2312"/>
                <w:sz w:val="28"/>
                <w:szCs w:val="28"/>
              </w:rPr>
              <w:t>（2）创业培训（人）</w:t>
            </w:r>
          </w:p>
        </w:tc>
        <w:tc>
          <w:tcPr>
            <w:tcW w:w="1148" w:type="dxa"/>
            <w:vAlign w:val="center"/>
          </w:tcPr>
          <w:p>
            <w:pPr>
              <w:adjustRightInd w:val="0"/>
              <w:snapToGrid w:val="0"/>
              <w:jc w:val="center"/>
              <w:rPr>
                <w:rFonts w:eastAsia="仿宋_GB2312"/>
                <w:sz w:val="28"/>
                <w:szCs w:val="28"/>
              </w:rPr>
            </w:pPr>
            <w:r>
              <w:rPr>
                <w:rFonts w:eastAsia="仿宋_GB2312"/>
                <w:sz w:val="28"/>
                <w:szCs w:val="28"/>
              </w:rPr>
              <w:t>239</w:t>
            </w:r>
          </w:p>
        </w:tc>
        <w:tc>
          <w:tcPr>
            <w:tcW w:w="1200" w:type="dxa"/>
            <w:vAlign w:val="center"/>
          </w:tcPr>
          <w:p>
            <w:pPr>
              <w:adjustRightInd w:val="0"/>
              <w:snapToGrid w:val="0"/>
              <w:jc w:val="center"/>
              <w:rPr>
                <w:rFonts w:eastAsia="仿宋_GB2312"/>
                <w:sz w:val="28"/>
                <w:szCs w:val="28"/>
              </w:rPr>
            </w:pPr>
            <w:r>
              <w:rPr>
                <w:rFonts w:eastAsia="仿宋_GB2312"/>
                <w:sz w:val="28"/>
                <w:szCs w:val="28"/>
              </w:rPr>
              <w:t>200</w:t>
            </w:r>
          </w:p>
        </w:tc>
        <w:tc>
          <w:tcPr>
            <w:tcW w:w="2192" w:type="dxa"/>
            <w:vMerge w:val="restart"/>
            <w:vAlign w:val="center"/>
          </w:tcPr>
          <w:p>
            <w:pPr>
              <w:adjustRightInd w:val="0"/>
              <w:snapToGrid w:val="0"/>
              <w:rPr>
                <w:rFonts w:eastAsia="仿宋_GB2312"/>
                <w:sz w:val="28"/>
                <w:szCs w:val="28"/>
              </w:rPr>
            </w:pPr>
            <w:r>
              <w:rPr>
                <w:rFonts w:eastAsia="仿宋_GB2312"/>
                <w:sz w:val="28"/>
                <w:szCs w:val="28"/>
              </w:rPr>
              <w:t>该目标为预计数，待市级正式目标下达后再作调整。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97" w:type="dxa"/>
            <w:vMerge w:val="continue"/>
            <w:vAlign w:val="center"/>
          </w:tcPr>
          <w:p>
            <w:pPr>
              <w:adjustRightInd w:val="0"/>
              <w:snapToGrid w:val="0"/>
              <w:rPr>
                <w:rFonts w:eastAsia="黑体"/>
                <w:sz w:val="28"/>
                <w:szCs w:val="28"/>
              </w:rPr>
            </w:pPr>
          </w:p>
        </w:tc>
        <w:tc>
          <w:tcPr>
            <w:tcW w:w="983" w:type="dxa"/>
            <w:vMerge w:val="continue"/>
            <w:vAlign w:val="center"/>
          </w:tcPr>
          <w:p>
            <w:pPr>
              <w:adjustRightInd w:val="0"/>
              <w:snapToGrid w:val="0"/>
              <w:rPr>
                <w:rFonts w:eastAsia="黑体"/>
                <w:sz w:val="28"/>
                <w:szCs w:val="28"/>
              </w:rPr>
            </w:pPr>
          </w:p>
        </w:tc>
        <w:tc>
          <w:tcPr>
            <w:tcW w:w="2932" w:type="dxa"/>
            <w:vAlign w:val="center"/>
          </w:tcPr>
          <w:p>
            <w:pPr>
              <w:adjustRightInd w:val="0"/>
              <w:snapToGrid w:val="0"/>
              <w:rPr>
                <w:rFonts w:eastAsia="仿宋_GB2312"/>
                <w:sz w:val="28"/>
                <w:szCs w:val="28"/>
              </w:rPr>
            </w:pPr>
            <w:r>
              <w:rPr>
                <w:rFonts w:eastAsia="仿宋_GB2312"/>
                <w:spacing w:val="-6"/>
                <w:sz w:val="28"/>
                <w:szCs w:val="28"/>
              </w:rPr>
              <w:t>（3）网络创业培训（人）</w:t>
            </w:r>
          </w:p>
        </w:tc>
        <w:tc>
          <w:tcPr>
            <w:tcW w:w="1148" w:type="dxa"/>
            <w:vAlign w:val="center"/>
          </w:tcPr>
          <w:p>
            <w:pPr>
              <w:adjustRightInd w:val="0"/>
              <w:snapToGrid w:val="0"/>
              <w:jc w:val="center"/>
              <w:rPr>
                <w:rFonts w:eastAsia="仿宋_GB2312"/>
                <w:sz w:val="28"/>
                <w:szCs w:val="28"/>
              </w:rPr>
            </w:pPr>
            <w:r>
              <w:rPr>
                <w:rFonts w:eastAsia="仿宋_GB2312"/>
                <w:sz w:val="28"/>
                <w:szCs w:val="28"/>
              </w:rPr>
              <w:t>60</w:t>
            </w:r>
          </w:p>
        </w:tc>
        <w:tc>
          <w:tcPr>
            <w:tcW w:w="1200" w:type="dxa"/>
            <w:vAlign w:val="center"/>
          </w:tcPr>
          <w:p>
            <w:pPr>
              <w:adjustRightInd w:val="0"/>
              <w:snapToGrid w:val="0"/>
              <w:jc w:val="center"/>
              <w:rPr>
                <w:rFonts w:eastAsia="仿宋_GB2312"/>
                <w:sz w:val="28"/>
                <w:szCs w:val="28"/>
              </w:rPr>
            </w:pPr>
            <w:r>
              <w:rPr>
                <w:rFonts w:eastAsia="仿宋_GB2312"/>
                <w:sz w:val="28"/>
                <w:szCs w:val="28"/>
              </w:rPr>
              <w:t>60</w:t>
            </w:r>
          </w:p>
        </w:tc>
        <w:tc>
          <w:tcPr>
            <w:tcW w:w="2192" w:type="dxa"/>
            <w:vMerge w:val="continue"/>
            <w:vAlign w:val="center"/>
          </w:tcPr>
          <w:p>
            <w:pPr>
              <w:adjustRightInd w:val="0"/>
              <w:snapToGrid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97" w:type="dxa"/>
            <w:vMerge w:val="continue"/>
            <w:vAlign w:val="center"/>
          </w:tcPr>
          <w:p>
            <w:pPr>
              <w:adjustRightInd w:val="0"/>
              <w:snapToGrid w:val="0"/>
              <w:rPr>
                <w:rFonts w:eastAsia="黑体"/>
                <w:sz w:val="28"/>
                <w:szCs w:val="28"/>
              </w:rPr>
            </w:pPr>
          </w:p>
        </w:tc>
        <w:tc>
          <w:tcPr>
            <w:tcW w:w="983" w:type="dxa"/>
            <w:vMerge w:val="continue"/>
            <w:vAlign w:val="center"/>
          </w:tcPr>
          <w:p>
            <w:pPr>
              <w:adjustRightInd w:val="0"/>
              <w:snapToGrid w:val="0"/>
              <w:rPr>
                <w:rFonts w:eastAsia="黑体"/>
                <w:sz w:val="28"/>
                <w:szCs w:val="28"/>
              </w:rPr>
            </w:pPr>
          </w:p>
        </w:tc>
        <w:tc>
          <w:tcPr>
            <w:tcW w:w="2932" w:type="dxa"/>
            <w:vAlign w:val="center"/>
          </w:tcPr>
          <w:p>
            <w:pPr>
              <w:adjustRightInd w:val="0"/>
              <w:snapToGrid w:val="0"/>
              <w:rPr>
                <w:rFonts w:eastAsia="仿宋_GB2312"/>
                <w:sz w:val="28"/>
                <w:szCs w:val="28"/>
              </w:rPr>
            </w:pPr>
            <w:r>
              <w:rPr>
                <w:rFonts w:eastAsia="仿宋_GB2312"/>
                <w:spacing w:val="-6"/>
                <w:sz w:val="28"/>
                <w:szCs w:val="28"/>
              </w:rPr>
              <w:t>6.发放创业担保贷（万元）</w:t>
            </w:r>
          </w:p>
        </w:tc>
        <w:tc>
          <w:tcPr>
            <w:tcW w:w="1148" w:type="dxa"/>
            <w:vAlign w:val="center"/>
          </w:tcPr>
          <w:p>
            <w:pPr>
              <w:adjustRightInd w:val="0"/>
              <w:snapToGrid w:val="0"/>
              <w:jc w:val="center"/>
              <w:rPr>
                <w:rFonts w:eastAsia="仿宋_GB2312"/>
                <w:sz w:val="28"/>
                <w:szCs w:val="28"/>
              </w:rPr>
            </w:pPr>
            <w:r>
              <w:rPr>
                <w:rFonts w:eastAsia="仿宋_GB2312"/>
                <w:sz w:val="28"/>
                <w:szCs w:val="28"/>
              </w:rPr>
              <w:t>1906</w:t>
            </w:r>
          </w:p>
        </w:tc>
        <w:tc>
          <w:tcPr>
            <w:tcW w:w="1200" w:type="dxa"/>
            <w:vAlign w:val="center"/>
          </w:tcPr>
          <w:p>
            <w:pPr>
              <w:adjustRightInd w:val="0"/>
              <w:snapToGrid w:val="0"/>
              <w:jc w:val="center"/>
              <w:rPr>
                <w:rFonts w:eastAsia="仿宋_GB2312"/>
                <w:sz w:val="28"/>
                <w:szCs w:val="28"/>
              </w:rPr>
            </w:pPr>
            <w:r>
              <w:rPr>
                <w:rFonts w:eastAsia="仿宋_GB2312"/>
                <w:sz w:val="28"/>
                <w:szCs w:val="28"/>
              </w:rPr>
              <w:t>2000</w:t>
            </w:r>
          </w:p>
        </w:tc>
        <w:tc>
          <w:tcPr>
            <w:tcW w:w="2192" w:type="dxa"/>
            <w:vMerge w:val="continue"/>
            <w:vAlign w:val="center"/>
          </w:tcPr>
          <w:p>
            <w:pPr>
              <w:adjustRightInd w:val="0"/>
              <w:snapToGrid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97" w:type="dxa"/>
            <w:vMerge w:val="continue"/>
            <w:vAlign w:val="center"/>
          </w:tcPr>
          <w:p>
            <w:pPr>
              <w:adjustRightInd w:val="0"/>
              <w:snapToGrid w:val="0"/>
              <w:rPr>
                <w:rFonts w:eastAsia="黑体"/>
                <w:sz w:val="28"/>
                <w:szCs w:val="28"/>
              </w:rPr>
            </w:pPr>
          </w:p>
        </w:tc>
        <w:tc>
          <w:tcPr>
            <w:tcW w:w="983" w:type="dxa"/>
            <w:vMerge w:val="continue"/>
            <w:vAlign w:val="center"/>
          </w:tcPr>
          <w:p>
            <w:pPr>
              <w:adjustRightInd w:val="0"/>
              <w:snapToGrid w:val="0"/>
              <w:rPr>
                <w:rFonts w:eastAsia="黑体"/>
                <w:sz w:val="28"/>
                <w:szCs w:val="28"/>
              </w:rPr>
            </w:pPr>
          </w:p>
        </w:tc>
        <w:tc>
          <w:tcPr>
            <w:tcW w:w="2932" w:type="dxa"/>
            <w:vAlign w:val="center"/>
          </w:tcPr>
          <w:p>
            <w:pPr>
              <w:adjustRightInd w:val="0"/>
              <w:snapToGrid w:val="0"/>
              <w:rPr>
                <w:rFonts w:eastAsia="仿宋_GB2312"/>
                <w:sz w:val="28"/>
                <w:szCs w:val="28"/>
              </w:rPr>
            </w:pPr>
            <w:r>
              <w:rPr>
                <w:rFonts w:eastAsia="仿宋_GB2312"/>
                <w:spacing w:val="-6"/>
                <w:sz w:val="28"/>
                <w:szCs w:val="28"/>
              </w:rPr>
              <w:t>7.新增青年就业见习（人）</w:t>
            </w:r>
          </w:p>
        </w:tc>
        <w:tc>
          <w:tcPr>
            <w:tcW w:w="1148" w:type="dxa"/>
            <w:vAlign w:val="center"/>
          </w:tcPr>
          <w:p>
            <w:pPr>
              <w:adjustRightInd w:val="0"/>
              <w:snapToGrid w:val="0"/>
              <w:jc w:val="center"/>
              <w:rPr>
                <w:rFonts w:eastAsia="仿宋_GB2312"/>
                <w:sz w:val="28"/>
                <w:szCs w:val="28"/>
              </w:rPr>
            </w:pPr>
            <w:r>
              <w:rPr>
                <w:rFonts w:eastAsia="仿宋_GB2312"/>
                <w:sz w:val="28"/>
                <w:szCs w:val="28"/>
              </w:rPr>
              <w:t>29</w:t>
            </w:r>
          </w:p>
        </w:tc>
        <w:tc>
          <w:tcPr>
            <w:tcW w:w="1200" w:type="dxa"/>
            <w:vAlign w:val="center"/>
          </w:tcPr>
          <w:p>
            <w:pPr>
              <w:adjustRightInd w:val="0"/>
              <w:snapToGrid w:val="0"/>
              <w:jc w:val="center"/>
              <w:rPr>
                <w:rFonts w:eastAsia="仿宋_GB2312"/>
                <w:sz w:val="28"/>
                <w:szCs w:val="28"/>
              </w:rPr>
            </w:pPr>
            <w:r>
              <w:rPr>
                <w:rFonts w:eastAsia="仿宋_GB2312"/>
                <w:sz w:val="28"/>
                <w:szCs w:val="28"/>
              </w:rPr>
              <w:t>25</w:t>
            </w:r>
          </w:p>
        </w:tc>
        <w:tc>
          <w:tcPr>
            <w:tcW w:w="2192" w:type="dxa"/>
            <w:vMerge w:val="continue"/>
            <w:vAlign w:val="center"/>
          </w:tcPr>
          <w:p>
            <w:pPr>
              <w:adjustRightInd w:val="0"/>
              <w:snapToGrid w:val="0"/>
              <w:rPr>
                <w:rFonts w:eastAsia="仿宋_GB2312"/>
                <w:sz w:val="28"/>
                <w:szCs w:val="28"/>
              </w:rPr>
            </w:pPr>
          </w:p>
        </w:tc>
      </w:tr>
    </w:tbl>
    <w:p>
      <w:pPr>
        <w:pStyle w:val="17"/>
        <w:spacing w:line="353" w:lineRule="auto"/>
        <w:jc w:val="center"/>
        <w:rPr>
          <w:rFonts w:ascii="Times New Roman" w:hAnsi="Times New Roman" w:eastAsia="黑体" w:cs="Times New Roman"/>
          <w:color w:val="auto"/>
          <w:sz w:val="28"/>
          <w:szCs w:val="28"/>
        </w:rPr>
      </w:pPr>
      <w:r>
        <w:rPr>
          <w:rFonts w:ascii="Times New Roman" w:hAnsi="Times New Roman" w:eastAsia="黑体" w:cs="Times New Roman"/>
          <w:color w:val="auto"/>
          <w:spacing w:val="-4"/>
          <w:sz w:val="28"/>
          <w:szCs w:val="28"/>
        </w:rPr>
        <w:t>表6  2022年就业创业领域职能目标预期计划表</w:t>
      </w:r>
    </w:p>
    <w:p>
      <w:pPr>
        <w:spacing w:line="560" w:lineRule="exact"/>
        <w:ind w:firstLine="643" w:firstLineChars="200"/>
        <w:rPr>
          <w:rFonts w:eastAsia="仿宋_GB2312"/>
          <w:sz w:val="32"/>
          <w:szCs w:val="32"/>
        </w:rPr>
      </w:pPr>
      <w:r>
        <w:rPr>
          <w:rFonts w:eastAsia="仿宋_GB2312"/>
          <w:b/>
          <w:bCs/>
          <w:sz w:val="32"/>
          <w:szCs w:val="32"/>
        </w:rPr>
        <w:t>社会保障工作。</w:t>
      </w:r>
      <w:r>
        <w:rPr>
          <w:rFonts w:eastAsia="仿宋_GB2312"/>
          <w:sz w:val="32"/>
          <w:szCs w:val="32"/>
        </w:rPr>
        <w:t>城镇职工养老、工伤、失业参保人数分别达到7000人、</w:t>
      </w:r>
      <w:r>
        <w:rPr>
          <w:rFonts w:eastAsia="仿宋_GB2312"/>
          <w:spacing w:val="-4"/>
          <w:sz w:val="32"/>
          <w:szCs w:val="32"/>
        </w:rPr>
        <w:t>12000</w:t>
      </w:r>
      <w:r>
        <w:rPr>
          <w:rFonts w:eastAsia="仿宋_GB2312"/>
          <w:sz w:val="32"/>
          <w:szCs w:val="32"/>
        </w:rPr>
        <w:t>人、</w:t>
      </w:r>
      <w:r>
        <w:rPr>
          <w:rFonts w:eastAsia="仿宋_GB2312"/>
          <w:spacing w:val="-4"/>
          <w:sz w:val="32"/>
          <w:szCs w:val="32"/>
        </w:rPr>
        <w:t>7200</w:t>
      </w:r>
      <w:r>
        <w:rPr>
          <w:rFonts w:eastAsia="仿宋_GB2312"/>
          <w:sz w:val="32"/>
          <w:szCs w:val="32"/>
        </w:rPr>
        <w:t>人。机关事业单位养老保险在职参保2400人。详见表</w:t>
      </w:r>
      <w:r>
        <w:rPr>
          <w:rFonts w:hint="eastAsia" w:eastAsia="仿宋_GB2312"/>
          <w:sz w:val="32"/>
          <w:szCs w:val="32"/>
        </w:rPr>
        <w:t>七</w:t>
      </w:r>
      <w:r>
        <w:rPr>
          <w:rFonts w:eastAsia="仿宋_GB2312"/>
          <w:sz w:val="32"/>
          <w:szCs w:val="32"/>
        </w:rPr>
        <w:t>。</w:t>
      </w:r>
    </w:p>
    <w:tbl>
      <w:tblPr>
        <w:tblStyle w:val="13"/>
        <w:tblW w:w="9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8"/>
        <w:gridCol w:w="995"/>
        <w:gridCol w:w="3058"/>
        <w:gridCol w:w="1272"/>
        <w:gridCol w:w="1285"/>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268" w:type="dxa"/>
            <w:vAlign w:val="center"/>
          </w:tcPr>
          <w:p>
            <w:pPr>
              <w:adjustRightInd w:val="0"/>
              <w:snapToGrid w:val="0"/>
              <w:rPr>
                <w:rFonts w:eastAsia="黑体"/>
                <w:bCs/>
                <w:spacing w:val="-4"/>
                <w:kern w:val="0"/>
                <w:sz w:val="24"/>
              </w:rPr>
            </w:pPr>
          </w:p>
          <w:p>
            <w:pPr>
              <w:adjustRightInd w:val="0"/>
              <w:snapToGrid w:val="0"/>
              <w:rPr>
                <w:rFonts w:eastAsia="黑体"/>
                <w:bCs/>
                <w:spacing w:val="-4"/>
                <w:kern w:val="0"/>
                <w:sz w:val="24"/>
              </w:rPr>
            </w:pPr>
          </w:p>
          <w:p>
            <w:pPr>
              <w:adjustRightInd w:val="0"/>
              <w:snapToGrid w:val="0"/>
              <w:rPr>
                <w:rFonts w:eastAsia="黑体"/>
                <w:sz w:val="28"/>
                <w:szCs w:val="28"/>
              </w:rPr>
            </w:pPr>
            <w:r>
              <w:rPr>
                <w:rFonts w:eastAsia="黑体"/>
                <w:bCs/>
                <w:spacing w:val="-4"/>
                <w:kern w:val="0"/>
                <w:sz w:val="24"/>
              </w:rPr>
              <w:t>时间</w:t>
            </w:r>
          </w:p>
          <w:p>
            <w:pPr>
              <w:adjustRightInd w:val="0"/>
              <w:snapToGrid w:val="0"/>
              <w:ind w:firstLine="232" w:firstLineChars="100"/>
              <w:rPr>
                <w:rFonts w:eastAsia="黑体"/>
                <w:sz w:val="28"/>
                <w:szCs w:val="28"/>
              </w:rPr>
            </w:pPr>
            <w:r>
              <w:rPr>
                <w:rFonts w:eastAsia="黑体"/>
                <w:bCs/>
                <w:spacing w:val="-4"/>
                <w:kern w:val="0"/>
                <w:sz w:val="24"/>
              </w:rPr>
              <w:t>内容</w:t>
            </w:r>
          </w:p>
        </w:tc>
        <w:tc>
          <w:tcPr>
            <w:tcW w:w="995" w:type="dxa"/>
            <w:vAlign w:val="center"/>
          </w:tcPr>
          <w:p>
            <w:pPr>
              <w:adjustRightInd w:val="0"/>
              <w:snapToGrid w:val="0"/>
              <w:jc w:val="center"/>
              <w:rPr>
                <w:rFonts w:eastAsia="黑体"/>
                <w:sz w:val="28"/>
                <w:szCs w:val="28"/>
              </w:rPr>
            </w:pPr>
            <w:r>
              <w:rPr>
                <w:rFonts w:eastAsia="黑体"/>
                <w:sz w:val="28"/>
                <w:szCs w:val="28"/>
              </w:rPr>
              <w:t>类别</w:t>
            </w:r>
          </w:p>
        </w:tc>
        <w:tc>
          <w:tcPr>
            <w:tcW w:w="3058" w:type="dxa"/>
            <w:vAlign w:val="center"/>
          </w:tcPr>
          <w:p>
            <w:pPr>
              <w:adjustRightInd w:val="0"/>
              <w:snapToGrid w:val="0"/>
              <w:jc w:val="center"/>
              <w:rPr>
                <w:rFonts w:eastAsia="黑体"/>
                <w:sz w:val="28"/>
                <w:szCs w:val="28"/>
              </w:rPr>
            </w:pPr>
            <w:r>
              <w:rPr>
                <w:rFonts w:eastAsia="黑体"/>
                <w:sz w:val="28"/>
                <w:szCs w:val="28"/>
              </w:rPr>
              <w:t>指标</w:t>
            </w:r>
          </w:p>
        </w:tc>
        <w:tc>
          <w:tcPr>
            <w:tcW w:w="1272" w:type="dxa"/>
            <w:vAlign w:val="center"/>
          </w:tcPr>
          <w:p>
            <w:pPr>
              <w:adjustRightInd w:val="0"/>
              <w:snapToGrid w:val="0"/>
              <w:jc w:val="center"/>
              <w:rPr>
                <w:rFonts w:eastAsia="黑体"/>
                <w:sz w:val="28"/>
                <w:szCs w:val="28"/>
              </w:rPr>
            </w:pPr>
            <w:r>
              <w:rPr>
                <w:rFonts w:eastAsia="黑体"/>
                <w:sz w:val="28"/>
                <w:szCs w:val="28"/>
              </w:rPr>
              <w:t>2021年</w:t>
            </w:r>
          </w:p>
          <w:p>
            <w:pPr>
              <w:adjustRightInd w:val="0"/>
              <w:snapToGrid w:val="0"/>
              <w:jc w:val="center"/>
              <w:rPr>
                <w:rFonts w:eastAsia="黑体"/>
                <w:sz w:val="28"/>
                <w:szCs w:val="28"/>
              </w:rPr>
            </w:pPr>
            <w:r>
              <w:rPr>
                <w:rFonts w:eastAsia="黑体"/>
                <w:sz w:val="28"/>
                <w:szCs w:val="28"/>
              </w:rPr>
              <w:t>完成数</w:t>
            </w:r>
          </w:p>
        </w:tc>
        <w:tc>
          <w:tcPr>
            <w:tcW w:w="1285" w:type="dxa"/>
            <w:vAlign w:val="center"/>
          </w:tcPr>
          <w:p>
            <w:pPr>
              <w:adjustRightInd w:val="0"/>
              <w:snapToGrid w:val="0"/>
              <w:jc w:val="center"/>
              <w:rPr>
                <w:rFonts w:eastAsia="黑体"/>
                <w:sz w:val="28"/>
                <w:szCs w:val="28"/>
              </w:rPr>
            </w:pPr>
            <w:r>
              <w:rPr>
                <w:rFonts w:eastAsia="黑体"/>
                <w:sz w:val="28"/>
                <w:szCs w:val="28"/>
              </w:rPr>
              <w:t>2022年</w:t>
            </w:r>
          </w:p>
          <w:p>
            <w:pPr>
              <w:adjustRightInd w:val="0"/>
              <w:snapToGrid w:val="0"/>
              <w:jc w:val="center"/>
              <w:rPr>
                <w:rFonts w:eastAsia="黑体"/>
                <w:sz w:val="28"/>
                <w:szCs w:val="28"/>
              </w:rPr>
            </w:pPr>
            <w:r>
              <w:rPr>
                <w:rFonts w:eastAsia="黑体"/>
                <w:sz w:val="28"/>
                <w:szCs w:val="28"/>
              </w:rPr>
              <w:t>预计数</w:t>
            </w:r>
          </w:p>
        </w:tc>
        <w:tc>
          <w:tcPr>
            <w:tcW w:w="2057" w:type="dxa"/>
            <w:vAlign w:val="center"/>
          </w:tcPr>
          <w:p>
            <w:pPr>
              <w:adjustRightInd w:val="0"/>
              <w:snapToGrid w:val="0"/>
              <w:jc w:val="center"/>
              <w:rPr>
                <w:rFonts w:eastAsia="黑体"/>
                <w:sz w:val="28"/>
                <w:szCs w:val="28"/>
              </w:rPr>
            </w:pPr>
            <w:r>
              <w:rPr>
                <w:rFonts w:eastAsia="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8" w:type="dxa"/>
            <w:vMerge w:val="restart"/>
            <w:vAlign w:val="center"/>
          </w:tcPr>
          <w:p>
            <w:pPr>
              <w:adjustRightInd w:val="0"/>
              <w:snapToGrid w:val="0"/>
              <w:jc w:val="center"/>
              <w:rPr>
                <w:rFonts w:eastAsia="黑体"/>
                <w:spacing w:val="-4"/>
                <w:sz w:val="28"/>
                <w:szCs w:val="28"/>
              </w:rPr>
            </w:pPr>
            <w:r>
              <w:rPr>
                <w:rFonts w:eastAsia="黑体"/>
                <w:spacing w:val="-4"/>
                <w:sz w:val="28"/>
                <w:szCs w:val="28"/>
              </w:rPr>
              <w:t>2022年</w:t>
            </w:r>
          </w:p>
        </w:tc>
        <w:tc>
          <w:tcPr>
            <w:tcW w:w="995" w:type="dxa"/>
            <w:vMerge w:val="restart"/>
            <w:vAlign w:val="center"/>
          </w:tcPr>
          <w:p>
            <w:pPr>
              <w:adjustRightInd w:val="0"/>
              <w:snapToGrid w:val="0"/>
              <w:rPr>
                <w:rFonts w:eastAsia="黑体"/>
                <w:sz w:val="28"/>
                <w:szCs w:val="28"/>
              </w:rPr>
            </w:pPr>
          </w:p>
          <w:p>
            <w:pPr>
              <w:adjustRightInd w:val="0"/>
              <w:snapToGrid w:val="0"/>
              <w:jc w:val="center"/>
              <w:rPr>
                <w:rFonts w:eastAsia="黑体"/>
                <w:sz w:val="28"/>
                <w:szCs w:val="28"/>
              </w:rPr>
            </w:pPr>
            <w:r>
              <w:rPr>
                <w:rFonts w:eastAsia="黑体"/>
                <w:spacing w:val="-4"/>
                <w:sz w:val="28"/>
                <w:szCs w:val="28"/>
              </w:rPr>
              <w:t>社会保险</w:t>
            </w:r>
            <w:r>
              <w:rPr>
                <w:rFonts w:eastAsia="黑体"/>
                <w:sz w:val="28"/>
                <w:szCs w:val="28"/>
              </w:rPr>
              <w:t>领域</w:t>
            </w:r>
          </w:p>
        </w:tc>
        <w:tc>
          <w:tcPr>
            <w:tcW w:w="3058" w:type="dxa"/>
            <w:vAlign w:val="center"/>
          </w:tcPr>
          <w:p>
            <w:pPr>
              <w:adjustRightInd w:val="0"/>
              <w:snapToGrid w:val="0"/>
              <w:rPr>
                <w:rFonts w:eastAsia="仿宋_GB2312"/>
                <w:sz w:val="28"/>
                <w:szCs w:val="28"/>
              </w:rPr>
            </w:pPr>
            <w:r>
              <w:rPr>
                <w:rFonts w:eastAsia="仿宋_GB2312"/>
                <w:sz w:val="28"/>
                <w:szCs w:val="28"/>
              </w:rPr>
              <w:t>1.城镇职工养老保险参保人数（人）</w:t>
            </w:r>
          </w:p>
        </w:tc>
        <w:tc>
          <w:tcPr>
            <w:tcW w:w="1272" w:type="dxa"/>
            <w:vAlign w:val="center"/>
          </w:tcPr>
          <w:p>
            <w:pPr>
              <w:adjustRightInd w:val="0"/>
              <w:snapToGrid w:val="0"/>
              <w:jc w:val="center"/>
              <w:rPr>
                <w:rFonts w:eastAsia="仿宋_GB2312"/>
                <w:sz w:val="28"/>
                <w:szCs w:val="28"/>
              </w:rPr>
            </w:pPr>
            <w:r>
              <w:rPr>
                <w:rFonts w:hint="eastAsia" w:eastAsia="仿宋_GB2312"/>
                <w:sz w:val="28"/>
                <w:szCs w:val="28"/>
              </w:rPr>
              <w:t>8249</w:t>
            </w:r>
          </w:p>
        </w:tc>
        <w:tc>
          <w:tcPr>
            <w:tcW w:w="1285" w:type="dxa"/>
            <w:vAlign w:val="center"/>
          </w:tcPr>
          <w:p>
            <w:pPr>
              <w:adjustRightInd w:val="0"/>
              <w:snapToGrid w:val="0"/>
              <w:jc w:val="center"/>
              <w:rPr>
                <w:rFonts w:eastAsia="仿宋_GB2312"/>
                <w:sz w:val="28"/>
                <w:szCs w:val="28"/>
              </w:rPr>
            </w:pPr>
            <w:r>
              <w:rPr>
                <w:rFonts w:eastAsia="仿宋_GB2312"/>
                <w:sz w:val="28"/>
                <w:szCs w:val="28"/>
              </w:rPr>
              <w:t>7000</w:t>
            </w:r>
          </w:p>
        </w:tc>
        <w:tc>
          <w:tcPr>
            <w:tcW w:w="2057" w:type="dxa"/>
            <w:vMerge w:val="restart"/>
            <w:vAlign w:val="center"/>
          </w:tcPr>
          <w:p>
            <w:pPr>
              <w:adjustRightInd w:val="0"/>
              <w:snapToGrid w:val="0"/>
              <w:rPr>
                <w:rFonts w:eastAsia="仿宋_GB2312"/>
                <w:sz w:val="28"/>
                <w:szCs w:val="28"/>
              </w:rPr>
            </w:pPr>
            <w:r>
              <w:rPr>
                <w:rFonts w:eastAsia="仿宋_GB2312"/>
                <w:sz w:val="28"/>
                <w:szCs w:val="28"/>
              </w:rPr>
              <w:t>该目标为预计数，待市级正式目标下达后再作调整。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8" w:type="dxa"/>
            <w:vMerge w:val="continue"/>
            <w:vAlign w:val="center"/>
          </w:tcPr>
          <w:p>
            <w:pPr>
              <w:adjustRightInd w:val="0"/>
              <w:snapToGrid w:val="0"/>
              <w:rPr>
                <w:rFonts w:eastAsia="黑体"/>
                <w:sz w:val="28"/>
                <w:szCs w:val="28"/>
              </w:rPr>
            </w:pPr>
          </w:p>
        </w:tc>
        <w:tc>
          <w:tcPr>
            <w:tcW w:w="995" w:type="dxa"/>
            <w:vMerge w:val="continue"/>
            <w:vAlign w:val="center"/>
          </w:tcPr>
          <w:p>
            <w:pPr>
              <w:adjustRightInd w:val="0"/>
              <w:snapToGrid w:val="0"/>
              <w:rPr>
                <w:rFonts w:eastAsia="黑体"/>
                <w:sz w:val="28"/>
                <w:szCs w:val="28"/>
              </w:rPr>
            </w:pPr>
          </w:p>
        </w:tc>
        <w:tc>
          <w:tcPr>
            <w:tcW w:w="3058" w:type="dxa"/>
            <w:vAlign w:val="center"/>
          </w:tcPr>
          <w:p>
            <w:pPr>
              <w:adjustRightInd w:val="0"/>
              <w:snapToGrid w:val="0"/>
              <w:rPr>
                <w:rFonts w:eastAsia="仿宋_GB2312"/>
                <w:sz w:val="28"/>
                <w:szCs w:val="28"/>
              </w:rPr>
            </w:pPr>
            <w:r>
              <w:rPr>
                <w:rFonts w:eastAsia="仿宋_GB2312"/>
                <w:sz w:val="28"/>
                <w:szCs w:val="28"/>
              </w:rPr>
              <w:t>2.工伤保险参保人数（人）</w:t>
            </w:r>
          </w:p>
        </w:tc>
        <w:tc>
          <w:tcPr>
            <w:tcW w:w="1272" w:type="dxa"/>
            <w:vAlign w:val="center"/>
          </w:tcPr>
          <w:p>
            <w:pPr>
              <w:adjustRightInd w:val="0"/>
              <w:snapToGrid w:val="0"/>
              <w:jc w:val="center"/>
              <w:rPr>
                <w:rFonts w:eastAsia="仿宋_GB2312"/>
                <w:sz w:val="28"/>
                <w:szCs w:val="28"/>
              </w:rPr>
            </w:pPr>
            <w:r>
              <w:rPr>
                <w:rFonts w:hint="eastAsia" w:eastAsia="仿宋_GB2312"/>
                <w:sz w:val="28"/>
                <w:szCs w:val="28"/>
              </w:rPr>
              <w:t>12191</w:t>
            </w:r>
          </w:p>
        </w:tc>
        <w:tc>
          <w:tcPr>
            <w:tcW w:w="1285" w:type="dxa"/>
            <w:vAlign w:val="center"/>
          </w:tcPr>
          <w:p>
            <w:pPr>
              <w:adjustRightInd w:val="0"/>
              <w:snapToGrid w:val="0"/>
              <w:jc w:val="center"/>
              <w:rPr>
                <w:rFonts w:eastAsia="仿宋_GB2312"/>
                <w:sz w:val="28"/>
                <w:szCs w:val="28"/>
              </w:rPr>
            </w:pPr>
            <w:r>
              <w:rPr>
                <w:rFonts w:eastAsia="仿宋_GB2312"/>
                <w:sz w:val="28"/>
                <w:szCs w:val="28"/>
              </w:rPr>
              <w:t>12000</w:t>
            </w:r>
          </w:p>
        </w:tc>
        <w:tc>
          <w:tcPr>
            <w:tcW w:w="2057" w:type="dxa"/>
            <w:vMerge w:val="continue"/>
            <w:vAlign w:val="center"/>
          </w:tcPr>
          <w:p>
            <w:pPr>
              <w:adjustRightInd w:val="0"/>
              <w:snapToGrid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8" w:type="dxa"/>
            <w:vMerge w:val="continue"/>
            <w:vAlign w:val="center"/>
          </w:tcPr>
          <w:p>
            <w:pPr>
              <w:adjustRightInd w:val="0"/>
              <w:snapToGrid w:val="0"/>
              <w:rPr>
                <w:rFonts w:eastAsia="黑体"/>
                <w:sz w:val="28"/>
                <w:szCs w:val="28"/>
              </w:rPr>
            </w:pPr>
          </w:p>
        </w:tc>
        <w:tc>
          <w:tcPr>
            <w:tcW w:w="995" w:type="dxa"/>
            <w:vMerge w:val="continue"/>
            <w:vAlign w:val="center"/>
          </w:tcPr>
          <w:p>
            <w:pPr>
              <w:adjustRightInd w:val="0"/>
              <w:snapToGrid w:val="0"/>
              <w:rPr>
                <w:rFonts w:eastAsia="黑体"/>
                <w:sz w:val="28"/>
                <w:szCs w:val="28"/>
              </w:rPr>
            </w:pPr>
          </w:p>
        </w:tc>
        <w:tc>
          <w:tcPr>
            <w:tcW w:w="3058" w:type="dxa"/>
            <w:vAlign w:val="center"/>
          </w:tcPr>
          <w:p>
            <w:pPr>
              <w:adjustRightInd w:val="0"/>
              <w:snapToGrid w:val="0"/>
              <w:rPr>
                <w:rFonts w:eastAsia="仿宋_GB2312"/>
                <w:sz w:val="28"/>
                <w:szCs w:val="28"/>
              </w:rPr>
            </w:pPr>
            <w:r>
              <w:rPr>
                <w:rFonts w:eastAsia="仿宋_GB2312"/>
                <w:sz w:val="28"/>
                <w:szCs w:val="28"/>
              </w:rPr>
              <w:t>3.失业保险参保人数（人）</w:t>
            </w:r>
          </w:p>
        </w:tc>
        <w:tc>
          <w:tcPr>
            <w:tcW w:w="1272" w:type="dxa"/>
            <w:vAlign w:val="center"/>
          </w:tcPr>
          <w:p>
            <w:pPr>
              <w:adjustRightInd w:val="0"/>
              <w:snapToGrid w:val="0"/>
              <w:jc w:val="center"/>
              <w:rPr>
                <w:rFonts w:eastAsia="仿宋_GB2312"/>
                <w:sz w:val="28"/>
                <w:szCs w:val="28"/>
              </w:rPr>
            </w:pPr>
            <w:r>
              <w:rPr>
                <w:rFonts w:eastAsia="仿宋_GB2312"/>
                <w:sz w:val="28"/>
                <w:szCs w:val="28"/>
              </w:rPr>
              <w:t>7</w:t>
            </w:r>
            <w:r>
              <w:rPr>
                <w:rFonts w:hint="eastAsia" w:eastAsia="仿宋_GB2312"/>
                <w:sz w:val="28"/>
                <w:szCs w:val="28"/>
              </w:rPr>
              <w:t>514</w:t>
            </w:r>
          </w:p>
        </w:tc>
        <w:tc>
          <w:tcPr>
            <w:tcW w:w="1285" w:type="dxa"/>
            <w:vAlign w:val="center"/>
          </w:tcPr>
          <w:p>
            <w:pPr>
              <w:adjustRightInd w:val="0"/>
              <w:snapToGrid w:val="0"/>
              <w:jc w:val="center"/>
              <w:rPr>
                <w:rFonts w:eastAsia="仿宋_GB2312"/>
                <w:sz w:val="28"/>
                <w:szCs w:val="28"/>
              </w:rPr>
            </w:pPr>
            <w:r>
              <w:rPr>
                <w:rFonts w:eastAsia="仿宋_GB2312"/>
                <w:sz w:val="28"/>
                <w:szCs w:val="28"/>
              </w:rPr>
              <w:t>7200</w:t>
            </w:r>
          </w:p>
        </w:tc>
        <w:tc>
          <w:tcPr>
            <w:tcW w:w="2057" w:type="dxa"/>
            <w:vMerge w:val="continue"/>
            <w:vAlign w:val="center"/>
          </w:tcPr>
          <w:p>
            <w:pPr>
              <w:adjustRightInd w:val="0"/>
              <w:snapToGrid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8" w:type="dxa"/>
            <w:vMerge w:val="continue"/>
            <w:vAlign w:val="center"/>
          </w:tcPr>
          <w:p>
            <w:pPr>
              <w:adjustRightInd w:val="0"/>
              <w:snapToGrid w:val="0"/>
              <w:rPr>
                <w:rFonts w:eastAsia="黑体"/>
                <w:sz w:val="28"/>
                <w:szCs w:val="28"/>
              </w:rPr>
            </w:pPr>
          </w:p>
        </w:tc>
        <w:tc>
          <w:tcPr>
            <w:tcW w:w="995" w:type="dxa"/>
            <w:vMerge w:val="continue"/>
            <w:vAlign w:val="center"/>
          </w:tcPr>
          <w:p>
            <w:pPr>
              <w:adjustRightInd w:val="0"/>
              <w:snapToGrid w:val="0"/>
              <w:rPr>
                <w:rFonts w:eastAsia="黑体"/>
                <w:sz w:val="28"/>
                <w:szCs w:val="28"/>
              </w:rPr>
            </w:pPr>
          </w:p>
        </w:tc>
        <w:tc>
          <w:tcPr>
            <w:tcW w:w="3058" w:type="dxa"/>
            <w:vAlign w:val="center"/>
          </w:tcPr>
          <w:p>
            <w:pPr>
              <w:adjustRightInd w:val="0"/>
              <w:snapToGrid w:val="0"/>
              <w:rPr>
                <w:rFonts w:eastAsia="仿宋_GB2312"/>
                <w:sz w:val="28"/>
                <w:szCs w:val="28"/>
              </w:rPr>
            </w:pPr>
            <w:r>
              <w:rPr>
                <w:rFonts w:eastAsia="仿宋_GB2312"/>
                <w:sz w:val="28"/>
                <w:szCs w:val="28"/>
              </w:rPr>
              <w:t>4.机关事业单位养老保险在职参保人数（人）</w:t>
            </w:r>
          </w:p>
        </w:tc>
        <w:tc>
          <w:tcPr>
            <w:tcW w:w="1272" w:type="dxa"/>
            <w:vAlign w:val="center"/>
          </w:tcPr>
          <w:p>
            <w:pPr>
              <w:adjustRightInd w:val="0"/>
              <w:snapToGrid w:val="0"/>
              <w:jc w:val="center"/>
              <w:rPr>
                <w:rFonts w:eastAsia="仿宋_GB2312"/>
                <w:spacing w:val="-20"/>
                <w:sz w:val="28"/>
                <w:szCs w:val="28"/>
              </w:rPr>
            </w:pPr>
            <w:r>
              <w:rPr>
                <w:rFonts w:eastAsia="仿宋_GB2312"/>
                <w:spacing w:val="-20"/>
                <w:sz w:val="28"/>
                <w:szCs w:val="28"/>
              </w:rPr>
              <w:t>237</w:t>
            </w:r>
            <w:r>
              <w:rPr>
                <w:rFonts w:hint="eastAsia" w:eastAsia="仿宋_GB2312"/>
                <w:spacing w:val="-20"/>
                <w:sz w:val="28"/>
                <w:szCs w:val="28"/>
              </w:rPr>
              <w:t>0</w:t>
            </w:r>
          </w:p>
        </w:tc>
        <w:tc>
          <w:tcPr>
            <w:tcW w:w="1285" w:type="dxa"/>
            <w:vAlign w:val="center"/>
          </w:tcPr>
          <w:p>
            <w:pPr>
              <w:adjustRightInd w:val="0"/>
              <w:snapToGrid w:val="0"/>
              <w:jc w:val="center"/>
              <w:rPr>
                <w:rFonts w:eastAsia="仿宋_GB2312"/>
                <w:sz w:val="28"/>
                <w:szCs w:val="28"/>
              </w:rPr>
            </w:pPr>
            <w:r>
              <w:rPr>
                <w:rFonts w:eastAsia="仿宋_GB2312"/>
                <w:sz w:val="28"/>
                <w:szCs w:val="28"/>
              </w:rPr>
              <w:t>2</w:t>
            </w:r>
            <w:r>
              <w:rPr>
                <w:rFonts w:hint="eastAsia" w:eastAsia="仿宋_GB2312"/>
                <w:sz w:val="28"/>
                <w:szCs w:val="28"/>
              </w:rPr>
              <w:t>4</w:t>
            </w:r>
            <w:r>
              <w:rPr>
                <w:rFonts w:eastAsia="仿宋_GB2312"/>
                <w:sz w:val="28"/>
                <w:szCs w:val="28"/>
              </w:rPr>
              <w:t>00</w:t>
            </w:r>
          </w:p>
        </w:tc>
        <w:tc>
          <w:tcPr>
            <w:tcW w:w="2057" w:type="dxa"/>
            <w:vMerge w:val="continue"/>
            <w:vAlign w:val="center"/>
          </w:tcPr>
          <w:p>
            <w:pPr>
              <w:adjustRightInd w:val="0"/>
              <w:snapToGrid w:val="0"/>
              <w:rPr>
                <w:rFonts w:eastAsia="仿宋_GB2312"/>
                <w:spacing w:val="-20"/>
                <w:sz w:val="28"/>
                <w:szCs w:val="28"/>
              </w:rPr>
            </w:pPr>
          </w:p>
        </w:tc>
      </w:tr>
    </w:tbl>
    <w:p>
      <w:pPr>
        <w:pStyle w:val="17"/>
        <w:spacing w:line="353" w:lineRule="auto"/>
        <w:jc w:val="center"/>
        <w:rPr>
          <w:rFonts w:ascii="Times New Roman" w:hAnsi="Times New Roman" w:eastAsia="黑体" w:cs="Times New Roman"/>
          <w:color w:val="auto"/>
          <w:sz w:val="28"/>
          <w:szCs w:val="28"/>
        </w:rPr>
      </w:pPr>
      <w:r>
        <w:rPr>
          <w:rFonts w:ascii="Times New Roman" w:hAnsi="Times New Roman" w:eastAsia="黑体" w:cs="Times New Roman"/>
          <w:color w:val="auto"/>
          <w:spacing w:val="-4"/>
          <w:sz w:val="28"/>
          <w:szCs w:val="28"/>
        </w:rPr>
        <w:t>表7  2021年社会保险领域职能目标预期计划表</w:t>
      </w:r>
    </w:p>
    <w:p>
      <w:pPr>
        <w:spacing w:line="560" w:lineRule="exact"/>
        <w:ind w:firstLine="640" w:firstLineChars="200"/>
        <w:rPr>
          <w:rFonts w:eastAsia="仿宋_GB2312"/>
          <w:kern w:val="0"/>
          <w:sz w:val="32"/>
          <w:szCs w:val="32"/>
        </w:rPr>
      </w:pPr>
      <w:r>
        <w:rPr>
          <w:rFonts w:eastAsia="楷体_GB2312"/>
          <w:kern w:val="0"/>
          <w:sz w:val="32"/>
          <w:szCs w:val="32"/>
        </w:rPr>
        <w:t>（</w:t>
      </w:r>
      <w:r>
        <w:rPr>
          <w:rFonts w:hint="eastAsia" w:eastAsia="楷体_GB2312"/>
          <w:kern w:val="0"/>
          <w:sz w:val="32"/>
          <w:szCs w:val="32"/>
        </w:rPr>
        <w:t>2</w:t>
      </w:r>
      <w:r>
        <w:rPr>
          <w:rFonts w:eastAsia="楷体_GB2312"/>
          <w:kern w:val="0"/>
          <w:sz w:val="32"/>
          <w:szCs w:val="32"/>
        </w:rPr>
        <w:t>）大力实施就业促进攻坚，稳定和扩大就业。</w:t>
      </w:r>
      <w:r>
        <w:rPr>
          <w:rFonts w:eastAsia="仿宋_GB2312"/>
          <w:kern w:val="0"/>
          <w:sz w:val="32"/>
          <w:szCs w:val="32"/>
        </w:rPr>
        <w:t>2022年计划完成城镇新增就业4000人，城镇失业人员再就业1600人，其中就业困难人员再就业350人，城镇失业登记率控制在4.0%以内。继续围绕“稳就业、保居民就业”统筹推进就业创业工作。开展就业援助专项行动，着力提升公共就业创业服务水平，突出抓好高校毕业生、农民工、就业困难人员、退役军人等重点群体就业工作；深入贯彻实施职业技能提升行动，在关注重点就业困难群体基本就业技能培训的同时，更加注重在职职工岗位技能提升培训，全面提升劳动者职业技能；针对低学历、大龄劳动力、就业技能单一等就业困难群体，开展针对性技能培训和培训后续就业推荐帮扶工作，解决就业困难群体就业难、难就业的问题；加强岗位信息精准推送，大力推广远程面试，打造“云服务”线上服务模式，促进就业服务优化；贯彻落实就业创业扶持政策，加强高校毕业生就业创业管理服务工作；强化公益性岗位管理，促进有效运行就业兜底，保障公益性岗位政策真正发挥托底安置的就业帮扶作用。</w:t>
      </w:r>
    </w:p>
    <w:p>
      <w:pPr>
        <w:spacing w:line="560" w:lineRule="exact"/>
        <w:ind w:firstLine="640" w:firstLineChars="200"/>
        <w:rPr>
          <w:rFonts w:eastAsia="仿宋_GB2312"/>
          <w:kern w:val="0"/>
          <w:sz w:val="32"/>
          <w:szCs w:val="32"/>
        </w:rPr>
      </w:pPr>
      <w:r>
        <w:rPr>
          <w:rFonts w:eastAsia="楷体_GB2312"/>
          <w:kern w:val="0"/>
          <w:sz w:val="32"/>
          <w:szCs w:val="32"/>
        </w:rPr>
        <w:t>（</w:t>
      </w:r>
      <w:r>
        <w:rPr>
          <w:rFonts w:hint="eastAsia" w:eastAsia="楷体_GB2312"/>
          <w:kern w:val="0"/>
          <w:sz w:val="32"/>
          <w:szCs w:val="32"/>
        </w:rPr>
        <w:t>3</w:t>
      </w:r>
      <w:r>
        <w:rPr>
          <w:rFonts w:eastAsia="楷体_GB2312"/>
          <w:kern w:val="0"/>
          <w:sz w:val="32"/>
          <w:szCs w:val="32"/>
        </w:rPr>
        <w:t>）全力完善社会保障制度，提高保障水平。</w:t>
      </w:r>
      <w:r>
        <w:rPr>
          <w:rFonts w:eastAsia="仿宋_GB2312"/>
          <w:kern w:val="0"/>
          <w:sz w:val="32"/>
          <w:szCs w:val="32"/>
        </w:rPr>
        <w:t>深入落实各项社会保障政策，优化办事流程，提高业务经办能力，提升社保服务水平。深入实施全民参保计划，对未参保人员加大宣传，切实提高参保覆盖率；根据省、市统一安排部署，及时稳妥做好机保“中人”待遇兑现工作和相关信访维稳工作；</w:t>
      </w:r>
      <w:r>
        <w:rPr>
          <w:rFonts w:eastAsia="仿宋_GB2312"/>
          <w:sz w:val="32"/>
          <w:szCs w:val="32"/>
        </w:rPr>
        <w:t>开展工伤预防工作，特别是做好参保企业和建筑项目工伤预防宣传，保障职工的生命安全和健康；</w:t>
      </w:r>
      <w:r>
        <w:rPr>
          <w:rFonts w:eastAsia="仿宋_GB2312"/>
          <w:kern w:val="0"/>
          <w:sz w:val="32"/>
          <w:szCs w:val="32"/>
        </w:rPr>
        <w:t>全面开展社会保险经办风险防控自查整改工作，加强社会保险基金监管；</w:t>
      </w:r>
      <w:r>
        <w:rPr>
          <w:rFonts w:eastAsia="仿宋_GB2312"/>
          <w:sz w:val="32"/>
          <w:szCs w:val="32"/>
        </w:rPr>
        <w:t>加强被征地农民养老保障经办工作；</w:t>
      </w:r>
      <w:r>
        <w:rPr>
          <w:rFonts w:eastAsia="仿宋_GB2312"/>
          <w:kern w:val="0"/>
          <w:sz w:val="32"/>
          <w:szCs w:val="32"/>
        </w:rPr>
        <w:t>继续推进社保扶贫工作，</w:t>
      </w:r>
      <w:r>
        <w:rPr>
          <w:rFonts w:eastAsia="仿宋_GB2312"/>
          <w:sz w:val="32"/>
          <w:szCs w:val="32"/>
        </w:rPr>
        <w:t>巩固社保扶贫成果，</w:t>
      </w:r>
      <w:r>
        <w:rPr>
          <w:rFonts w:eastAsia="仿宋_GB2312"/>
          <w:kern w:val="0"/>
          <w:sz w:val="32"/>
          <w:szCs w:val="32"/>
        </w:rPr>
        <w:t>全面落实好各项参保优惠、政府代缴、待遇保障政策，确保贫困人员应保尽保；</w:t>
      </w:r>
      <w:r>
        <w:rPr>
          <w:rFonts w:eastAsia="仿宋_GB2312"/>
          <w:sz w:val="32"/>
          <w:szCs w:val="32"/>
        </w:rPr>
        <w:t>推进成渝地区社保协同发展</w:t>
      </w:r>
      <w:r>
        <w:rPr>
          <w:rFonts w:eastAsia="仿宋_GB2312"/>
          <w:kern w:val="0"/>
          <w:sz w:val="32"/>
          <w:szCs w:val="32"/>
        </w:rPr>
        <w:t>，推动养老保险关系互转，领取养老金人员待遇资格认证等社会保险服务协同办理，做到信息共享、平台共建，为助推成渝地区双城经济圈建设作出积极贡献。</w:t>
      </w:r>
    </w:p>
    <w:p>
      <w:pPr>
        <w:spacing w:line="560" w:lineRule="exact"/>
        <w:ind w:firstLine="640" w:firstLineChars="200"/>
        <w:rPr>
          <w:rFonts w:eastAsia="仿宋_GB2312"/>
          <w:spacing w:val="-4"/>
          <w:sz w:val="32"/>
          <w:szCs w:val="32"/>
        </w:rPr>
      </w:pPr>
      <w:r>
        <w:rPr>
          <w:rFonts w:eastAsia="楷体_GB2312"/>
          <w:kern w:val="0"/>
          <w:sz w:val="32"/>
          <w:szCs w:val="32"/>
        </w:rPr>
        <w:t>（三）严格落实人事考试政策，加强人才队伍建设。</w:t>
      </w:r>
      <w:r>
        <w:rPr>
          <w:rFonts w:eastAsia="仿宋_GB2312"/>
          <w:spacing w:val="-4"/>
          <w:sz w:val="32"/>
          <w:szCs w:val="32"/>
        </w:rPr>
        <w:t>严格执行人事考试政策，加强事业单位人事考试的组织工作，确保全区事业单位人事考试安全、有序进行；切实加大《攀枝花人才新政七条》《促进人力资源聚集十六条措施》等政策宣传解读，落实人才强区战略，大力引进各类人才，兑现各类人才待遇；有序开展专家下基层行动、导师结对培养工作；做好基层服务人员管理服务工作；不断深化职称改革，转变服务理念，提高职称申报评审、机关事业单位工作人员技术等级考核和技师职务考评、专业技术人员公需科目培训等服务质量，尽量简化程序，实现群众“最多跑一次”目标。</w:t>
      </w:r>
    </w:p>
    <w:p>
      <w:pPr>
        <w:spacing w:line="560" w:lineRule="exact"/>
        <w:ind w:firstLine="624" w:firstLineChars="200"/>
        <w:rPr>
          <w:rFonts w:eastAsia="仿宋_GB2312"/>
          <w:spacing w:val="-4"/>
          <w:sz w:val="32"/>
          <w:szCs w:val="32"/>
        </w:rPr>
      </w:pPr>
      <w:r>
        <w:rPr>
          <w:rFonts w:eastAsia="楷体_GB2312"/>
          <w:spacing w:val="-4"/>
          <w:sz w:val="32"/>
          <w:szCs w:val="32"/>
        </w:rPr>
        <w:t>（</w:t>
      </w:r>
      <w:r>
        <w:rPr>
          <w:rFonts w:hint="eastAsia" w:eastAsia="楷体_GB2312"/>
          <w:spacing w:val="-4"/>
          <w:sz w:val="32"/>
          <w:szCs w:val="32"/>
        </w:rPr>
        <w:t>4</w:t>
      </w:r>
      <w:r>
        <w:rPr>
          <w:rFonts w:eastAsia="楷体_GB2312"/>
          <w:spacing w:val="-4"/>
          <w:sz w:val="32"/>
          <w:szCs w:val="32"/>
        </w:rPr>
        <w:t>）着力构建和谐劳动关系，切实保障劳动者权益。</w:t>
      </w:r>
      <w:r>
        <w:rPr>
          <w:rFonts w:eastAsia="仿宋_GB2312"/>
          <w:spacing w:val="-4"/>
          <w:sz w:val="32"/>
        </w:rPr>
        <w:t>2022年计划劳动保障监察按期结</w:t>
      </w:r>
      <w:r>
        <w:rPr>
          <w:rFonts w:eastAsia="仿宋_GB2312"/>
          <w:spacing w:val="-4"/>
          <w:sz w:val="32"/>
          <w:szCs w:val="32"/>
        </w:rPr>
        <w:t>案率达到100%，企业劳动合同签订率达100%。深入学习贯彻落实《劳动法》《劳动合同法》《保障农民工工资支付条例》等劳动保障法律法规，</w:t>
      </w:r>
      <w:r>
        <w:rPr>
          <w:rFonts w:eastAsia="仿宋_GB2312"/>
          <w:sz w:val="32"/>
          <w:szCs w:val="32"/>
        </w:rPr>
        <w:t>提高劳资双方遵守劳动保障法律法规意识，强化工资支付源头管控和劳动用工监督检查；开展“双随机</w:t>
      </w:r>
      <w:r>
        <w:rPr>
          <w:rFonts w:hint="eastAsia" w:eastAsia="仿宋_GB2312"/>
          <w:sz w:val="32"/>
          <w:szCs w:val="32"/>
        </w:rPr>
        <w:t>、</w:t>
      </w:r>
      <w:r>
        <w:rPr>
          <w:rFonts w:eastAsia="仿宋_GB2312"/>
          <w:sz w:val="32"/>
          <w:szCs w:val="32"/>
        </w:rPr>
        <w:t>一公开”、书面审查和企业守法诚信等级评价工作；宣传执行《拖欠农民工工资失信联合惩戒对象名单管理暂行办法》和劳动保障重大违法行为社会公布制度，健全失信联合</w:t>
      </w:r>
      <w:r>
        <w:rPr>
          <w:rFonts w:eastAsia="仿宋_GB2312"/>
          <w:bCs/>
          <w:spacing w:val="-4"/>
          <w:sz w:val="32"/>
          <w:szCs w:val="32"/>
        </w:rPr>
        <w:t>惩戒机制，使失信企业“一处失信，处处受限”，巩固农民工工资“不敢欠”“不愿欠”的良好舆论成果；建立完善劳动保障监察执法与行业（项目）主管部门、劳动人事争议仲裁机构和刑事司法部门联动机制，完善“行政+协调+仲裁+司法”多元化矛盾纠纷化解机制，为农民工维护合法权益开辟“绿色通道”；</w:t>
      </w:r>
      <w:r>
        <w:rPr>
          <w:rFonts w:eastAsia="仿宋_GB2312"/>
          <w:spacing w:val="-4"/>
          <w:sz w:val="32"/>
          <w:szCs w:val="32"/>
        </w:rPr>
        <w:t>继续以“和谐仲裁建设”为工作目标，</w:t>
      </w:r>
      <w:r>
        <w:rPr>
          <w:rFonts w:eastAsia="仿宋_GB2312"/>
          <w:sz w:val="32"/>
          <w:szCs w:val="32"/>
        </w:rPr>
        <w:t>深入</w:t>
      </w:r>
      <w:r>
        <w:rPr>
          <w:rFonts w:eastAsia="仿宋_GB2312"/>
          <w:spacing w:val="-4"/>
          <w:sz w:val="32"/>
          <w:szCs w:val="32"/>
        </w:rPr>
        <w:t>推进基层调解组织建设，进一步规范工伤认定工作。力争到2022年，劳动人事争议仲裁结案率达到95%以上，调解成功率不低于70%。</w:t>
      </w:r>
    </w:p>
    <w:p>
      <w:pPr>
        <w:spacing w:line="560" w:lineRule="exact"/>
        <w:ind w:firstLine="624" w:firstLineChars="200"/>
        <w:rPr>
          <w:rFonts w:ascii="仿宋" w:hAnsi="仿宋" w:eastAsia="仿宋"/>
          <w:bCs/>
          <w:color w:val="FF0000"/>
          <w:sz w:val="32"/>
          <w:szCs w:val="32"/>
        </w:rPr>
      </w:pPr>
      <w:r>
        <w:rPr>
          <w:rFonts w:eastAsia="楷体_GB2312"/>
          <w:spacing w:val="-4"/>
          <w:sz w:val="32"/>
          <w:szCs w:val="32"/>
        </w:rPr>
        <w:t>（</w:t>
      </w:r>
      <w:r>
        <w:rPr>
          <w:rFonts w:hint="eastAsia" w:eastAsia="楷体_GB2312"/>
          <w:spacing w:val="-4"/>
          <w:sz w:val="32"/>
          <w:szCs w:val="32"/>
        </w:rPr>
        <w:t>5</w:t>
      </w:r>
      <w:r>
        <w:rPr>
          <w:rFonts w:eastAsia="楷体_GB2312"/>
          <w:spacing w:val="-4"/>
          <w:sz w:val="32"/>
          <w:szCs w:val="32"/>
        </w:rPr>
        <w:t>）全力落实农民工工作，提高服务保障水平。</w:t>
      </w:r>
      <w:r>
        <w:rPr>
          <w:rFonts w:eastAsia="仿宋_GB2312"/>
          <w:sz w:val="32"/>
          <w:szCs w:val="32"/>
        </w:rPr>
        <w:t>认真落实农民工服务保障16条措施，加快推进农民工基本信息数据库、农民工服务网站建设；继续加大关爱慰问返乡农民工工作力度，开辟农民工证照办理“绿色通道”；采用实时监管、挂牌预警、联合惩戒方式，开展根治欠薪专项行动，切实维护农民工权益；贯彻落实《促进返乡下乡创业二十三条措施》，抓农民工职业技能培训，探索“企业+培训基地+农民工”订单式培训模式；加大宣传激励，通过农民工服务大数据平台传递信息，加大对辖区返乡创业农民工先进典型的挖掘和宣传；建立完善保障机制，强化部门联动，配齐配强工作人员，落实工作经费，加强督查考核，全面提升服务农民工工作水平。</w:t>
      </w:r>
    </w:p>
    <w:p>
      <w:pPr>
        <w:pStyle w:val="2"/>
        <w:numPr>
          <w:ilvl w:val="0"/>
          <w:numId w:val="1"/>
        </w:numPr>
        <w:adjustRightInd w:val="0"/>
        <w:snapToGrid w:val="0"/>
        <w:spacing w:beforeLines="0" w:line="353" w:lineRule="auto"/>
        <w:ind w:firstLine="630" w:firstLineChars="210"/>
        <w:outlineLvl w:val="1"/>
        <w:rPr>
          <w:rStyle w:val="26"/>
          <w:rFonts w:ascii="黑体" w:hAnsi="黑体" w:eastAsia="黑体"/>
          <w:b w:val="0"/>
          <w:bCs w:val="0"/>
        </w:rPr>
      </w:pPr>
      <w:bookmarkStart w:id="27" w:name="_Toc17085"/>
      <w:bookmarkStart w:id="28" w:name="_Toc15396601"/>
      <w:bookmarkStart w:id="29" w:name="_Toc15377200"/>
      <w:r>
        <w:rPr>
          <w:rFonts w:hint="eastAsia" w:ascii="黑体" w:hAnsi="黑体" w:eastAsia="黑体"/>
        </w:rPr>
        <w:t>机</w:t>
      </w:r>
      <w:r>
        <w:rPr>
          <w:rStyle w:val="26"/>
          <w:rFonts w:hint="eastAsia" w:ascii="黑体" w:hAnsi="黑体" w:eastAsia="黑体"/>
          <w:b w:val="0"/>
          <w:bCs w:val="0"/>
        </w:rPr>
        <w:t>构设置</w:t>
      </w:r>
      <w:bookmarkEnd w:id="27"/>
      <w:bookmarkEnd w:id="28"/>
      <w:bookmarkEnd w:id="29"/>
    </w:p>
    <w:p>
      <w:pPr>
        <w:pStyle w:val="2"/>
        <w:adjustRightInd w:val="0"/>
        <w:snapToGrid w:val="0"/>
        <w:spacing w:beforeLines="0" w:line="353" w:lineRule="auto"/>
        <w:ind w:firstLine="640" w:firstLineChars="200"/>
        <w:rPr>
          <w:rFonts w:ascii="仿宋" w:hAnsi="仿宋" w:eastAsia="仿宋"/>
          <w:sz w:val="32"/>
          <w:szCs w:val="32"/>
        </w:rPr>
      </w:pPr>
      <w:r>
        <w:rPr>
          <w:rFonts w:ascii="Times New Roman"/>
          <w:color w:val="000000"/>
          <w:sz w:val="32"/>
          <w:szCs w:val="32"/>
        </w:rPr>
        <w:t>区人力资源社会保障局行政内设机构5个（参公管理事业单位3个、事业单位2个），分别为区劳动保障监察大队、区社会保险事务中心、区就业创业促进中心、区劳动人事争议仲裁院、区人才交流服务中心（区人事考试中心）。内设股（室）5个，分别为办公室、就业促进和人力资源开发股、养老工伤保险股（社会保险基金监督股）、事业单位人事管理股（西区职称改革领导小组办公室）、劳动监察仲裁和政策法规股（农民工工作股）。纳入本单位202</w:t>
      </w:r>
      <w:r>
        <w:rPr>
          <w:rFonts w:hint="eastAsia" w:ascii="Times New Roman"/>
          <w:color w:val="000000"/>
          <w:sz w:val="32"/>
          <w:szCs w:val="32"/>
        </w:rPr>
        <w:t>1</w:t>
      </w:r>
      <w:r>
        <w:rPr>
          <w:rFonts w:ascii="Times New Roman"/>
          <w:color w:val="000000"/>
          <w:sz w:val="32"/>
          <w:szCs w:val="32"/>
        </w:rPr>
        <w:t>年度部门决算编制范围的二级独立预算单位包括：区社会保险事务中心、区就业创业促进中心。截至202</w:t>
      </w:r>
      <w:r>
        <w:rPr>
          <w:rFonts w:hint="eastAsia" w:ascii="Times New Roman"/>
          <w:color w:val="000000"/>
          <w:sz w:val="32"/>
          <w:szCs w:val="32"/>
        </w:rPr>
        <w:t>1</w:t>
      </w:r>
      <w:r>
        <w:rPr>
          <w:rFonts w:ascii="Times New Roman"/>
          <w:color w:val="000000"/>
          <w:sz w:val="32"/>
          <w:szCs w:val="32"/>
        </w:rPr>
        <w:t>年末，实有人数5</w:t>
      </w:r>
      <w:r>
        <w:rPr>
          <w:rFonts w:hint="eastAsia" w:ascii="Times New Roman"/>
          <w:color w:val="000000"/>
          <w:sz w:val="32"/>
          <w:szCs w:val="32"/>
        </w:rPr>
        <w:t>8</w:t>
      </w:r>
      <w:r>
        <w:rPr>
          <w:rFonts w:ascii="Times New Roman"/>
          <w:color w:val="000000"/>
          <w:sz w:val="32"/>
          <w:szCs w:val="32"/>
        </w:rPr>
        <w:t>人（含独立预算单位），离休人员1人、退休人员6人。其中：行政编制6人，实有6人；参公编制3</w:t>
      </w:r>
      <w:r>
        <w:rPr>
          <w:rFonts w:hint="eastAsia" w:ascii="Times New Roman"/>
          <w:color w:val="000000"/>
          <w:sz w:val="32"/>
          <w:szCs w:val="32"/>
        </w:rPr>
        <w:t>3</w:t>
      </w:r>
      <w:r>
        <w:rPr>
          <w:rFonts w:ascii="Times New Roman"/>
          <w:color w:val="000000"/>
          <w:sz w:val="32"/>
          <w:szCs w:val="32"/>
        </w:rPr>
        <w:t>人，实有</w:t>
      </w:r>
      <w:r>
        <w:rPr>
          <w:rFonts w:hint="eastAsia" w:ascii="Times New Roman"/>
          <w:color w:val="000000"/>
          <w:sz w:val="32"/>
          <w:szCs w:val="32"/>
        </w:rPr>
        <w:t>27</w:t>
      </w:r>
      <w:r>
        <w:rPr>
          <w:rFonts w:ascii="Times New Roman"/>
          <w:color w:val="000000"/>
          <w:sz w:val="32"/>
          <w:szCs w:val="32"/>
        </w:rPr>
        <w:t>人；事业编制实有</w:t>
      </w:r>
      <w:r>
        <w:rPr>
          <w:rFonts w:hint="eastAsia" w:ascii="Times New Roman"/>
          <w:color w:val="000000"/>
          <w:sz w:val="32"/>
          <w:szCs w:val="32"/>
        </w:rPr>
        <w:t>9</w:t>
      </w:r>
      <w:r>
        <w:rPr>
          <w:rFonts w:ascii="Times New Roman"/>
          <w:color w:val="000000"/>
          <w:sz w:val="32"/>
          <w:szCs w:val="32"/>
        </w:rPr>
        <w:t>人，实有</w:t>
      </w:r>
      <w:r>
        <w:rPr>
          <w:rFonts w:hint="eastAsia" w:ascii="Times New Roman"/>
          <w:color w:val="000000"/>
          <w:sz w:val="32"/>
          <w:szCs w:val="32"/>
        </w:rPr>
        <w:t>19</w:t>
      </w:r>
      <w:r>
        <w:rPr>
          <w:rFonts w:ascii="Times New Roman"/>
          <w:color w:val="000000"/>
          <w:sz w:val="32"/>
          <w:szCs w:val="32"/>
        </w:rPr>
        <w:t>人；编内聘用编制</w:t>
      </w:r>
      <w:r>
        <w:rPr>
          <w:rFonts w:hint="eastAsia" w:ascii="Times New Roman"/>
          <w:color w:val="000000"/>
          <w:sz w:val="32"/>
          <w:szCs w:val="32"/>
        </w:rPr>
        <w:t>6</w:t>
      </w:r>
      <w:r>
        <w:rPr>
          <w:rFonts w:ascii="Times New Roman"/>
          <w:color w:val="000000"/>
          <w:sz w:val="32"/>
          <w:szCs w:val="32"/>
        </w:rPr>
        <w:t>人，实有</w:t>
      </w:r>
      <w:r>
        <w:rPr>
          <w:rFonts w:hint="eastAsia" w:ascii="Times New Roman"/>
          <w:color w:val="000000"/>
          <w:sz w:val="32"/>
          <w:szCs w:val="32"/>
        </w:rPr>
        <w:t>6</w:t>
      </w:r>
      <w:r>
        <w:rPr>
          <w:rFonts w:ascii="Times New Roman"/>
          <w:color w:val="000000"/>
          <w:sz w:val="32"/>
          <w:szCs w:val="32"/>
        </w:rPr>
        <w:t>人。</w:t>
      </w:r>
      <w:r>
        <w:rPr>
          <w:rFonts w:ascii="仿宋" w:hAnsi="仿宋" w:eastAsia="仿宋"/>
          <w:sz w:val="32"/>
          <w:szCs w:val="32"/>
        </w:rPr>
        <w:br w:type="page"/>
      </w:r>
    </w:p>
    <w:p>
      <w:pPr>
        <w:pStyle w:val="3"/>
        <w:ind w:right="440"/>
        <w:jc w:val="center"/>
        <w:rPr>
          <w:rStyle w:val="25"/>
          <w:rFonts w:ascii="黑体" w:hAnsi="黑体" w:eastAsia="黑体"/>
          <w:b w:val="0"/>
          <w:bCs/>
        </w:rPr>
      </w:pPr>
      <w:bookmarkStart w:id="30" w:name="_Toc15377204"/>
      <w:bookmarkStart w:id="31" w:name="_Toc15396602"/>
      <w:bookmarkStart w:id="32" w:name="_Toc9632"/>
      <w:r>
        <w:rPr>
          <w:rFonts w:hint="eastAsia" w:ascii="黑体" w:hAnsi="黑体" w:eastAsia="黑体"/>
          <w:b w:val="0"/>
        </w:rPr>
        <w:t>第二部分 2021年度</w:t>
      </w:r>
      <w:r>
        <w:rPr>
          <w:rStyle w:val="25"/>
          <w:rFonts w:hint="eastAsia" w:ascii="黑体" w:hAnsi="黑体" w:eastAsia="黑体"/>
          <w:b w:val="0"/>
          <w:bCs/>
        </w:rPr>
        <w:t>部门决算情况说明</w:t>
      </w:r>
      <w:bookmarkEnd w:id="30"/>
      <w:bookmarkEnd w:id="31"/>
      <w:bookmarkEnd w:id="32"/>
    </w:p>
    <w:p/>
    <w:p>
      <w:pPr>
        <w:pStyle w:val="24"/>
        <w:numPr>
          <w:ilvl w:val="0"/>
          <w:numId w:val="2"/>
        </w:numPr>
        <w:spacing w:line="600" w:lineRule="exact"/>
        <w:ind w:firstLineChars="0"/>
        <w:outlineLvl w:val="1"/>
        <w:rPr>
          <w:rStyle w:val="26"/>
          <w:rFonts w:ascii="黑体" w:hAnsi="黑体" w:eastAsia="黑体"/>
          <w:b w:val="0"/>
        </w:rPr>
      </w:pPr>
      <w:bookmarkStart w:id="33" w:name="_Toc15396603"/>
      <w:bookmarkStart w:id="34" w:name="_Toc15377205"/>
      <w:bookmarkStart w:id="35" w:name="_Toc13428"/>
      <w:r>
        <w:rPr>
          <w:rFonts w:hint="eastAsia" w:ascii="黑体" w:hAnsi="黑体" w:eastAsia="黑体"/>
          <w:sz w:val="32"/>
          <w:szCs w:val="32"/>
        </w:rPr>
        <w:t>收</w:t>
      </w:r>
      <w:r>
        <w:rPr>
          <w:rStyle w:val="26"/>
          <w:rFonts w:hint="eastAsia" w:ascii="黑体" w:hAnsi="黑体" w:eastAsia="黑体"/>
          <w:b w:val="0"/>
        </w:rPr>
        <w:t>入支出决算总体情况说明</w:t>
      </w:r>
      <w:bookmarkEnd w:id="33"/>
      <w:bookmarkEnd w:id="34"/>
      <w:bookmarkEnd w:id="35"/>
    </w:p>
    <w:p>
      <w:pPr>
        <w:spacing w:line="600" w:lineRule="exact"/>
        <w:ind w:firstLine="640" w:firstLineChars="200"/>
        <w:rPr>
          <w:rFonts w:ascii="仿宋" w:hAnsi="仿宋" w:eastAsia="仿宋"/>
          <w:sz w:val="32"/>
          <w:szCs w:val="32"/>
        </w:rPr>
      </w:pPr>
      <w:r>
        <w:rPr>
          <w:rFonts w:hint="eastAsia" w:ascii="仿宋" w:hAnsi="仿宋" w:eastAsia="仿宋"/>
          <w:sz w:val="32"/>
          <w:szCs w:val="32"/>
        </w:rPr>
        <w:t>2021年度收、支总计2,762.63万元。与2020年2874.17万元相比，总计减少111.54万元，下降3.89</w:t>
      </w:r>
      <w:r>
        <w:rPr>
          <w:rFonts w:ascii="仿宋" w:hAnsi="仿宋" w:eastAsia="仿宋"/>
          <w:sz w:val="32"/>
          <w:szCs w:val="32"/>
        </w:rPr>
        <w:t>%</w:t>
      </w:r>
      <w:r>
        <w:rPr>
          <w:rFonts w:hint="eastAsia" w:ascii="仿宋" w:hAnsi="仿宋" w:eastAsia="仿宋"/>
          <w:sz w:val="32"/>
          <w:szCs w:val="32"/>
        </w:rPr>
        <w:t>。其中收入增加112.25万元，增长4.28</w:t>
      </w:r>
      <w:r>
        <w:rPr>
          <w:rFonts w:ascii="仿宋" w:hAnsi="仿宋" w:eastAsia="仿宋"/>
          <w:sz w:val="32"/>
          <w:szCs w:val="32"/>
        </w:rPr>
        <w:t>%</w:t>
      </w:r>
      <w:r>
        <w:rPr>
          <w:rFonts w:hint="eastAsia" w:ascii="仿宋" w:hAnsi="仿宋" w:eastAsia="仿宋"/>
          <w:sz w:val="32"/>
          <w:szCs w:val="32"/>
        </w:rPr>
        <w:t>。主要变动原因是财政拨款收入增加。支出减少160.21万元，减少6.16</w:t>
      </w:r>
      <w:r>
        <w:rPr>
          <w:rFonts w:ascii="仿宋" w:hAnsi="仿宋" w:eastAsia="仿宋"/>
          <w:sz w:val="32"/>
          <w:szCs w:val="32"/>
        </w:rPr>
        <w:t>%</w:t>
      </w:r>
      <w:r>
        <w:rPr>
          <w:rFonts w:hint="eastAsia" w:ascii="仿宋" w:hAnsi="仿宋" w:eastAsia="仿宋"/>
          <w:sz w:val="32"/>
          <w:szCs w:val="32"/>
        </w:rPr>
        <w:t>减少主要变动原因是控制开支。</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pStyle w:val="2"/>
        <w:spacing w:before="93"/>
        <w:rPr>
          <w:rFonts w:ascii="仿宋" w:hAnsi="仿宋" w:eastAsia="仿宋"/>
          <w:sz w:val="32"/>
          <w:szCs w:val="32"/>
        </w:rPr>
      </w:pPr>
      <w:r>
        <w:drawing>
          <wp:anchor distT="0" distB="0" distL="114300" distR="114300" simplePos="0" relativeHeight="251659264" behindDoc="0" locked="0" layoutInCell="1" allowOverlap="1">
            <wp:simplePos x="0" y="0"/>
            <wp:positionH relativeFrom="column">
              <wp:posOffset>44450</wp:posOffset>
            </wp:positionH>
            <wp:positionV relativeFrom="paragraph">
              <wp:posOffset>425450</wp:posOffset>
            </wp:positionV>
            <wp:extent cx="5008880" cy="3014980"/>
            <wp:effectExtent l="0" t="0" r="7620" b="762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008880" cy="3014980"/>
                    </a:xfrm>
                    <a:prstGeom prst="rect">
                      <a:avLst/>
                    </a:prstGeom>
                    <a:noFill/>
                    <a:ln>
                      <a:noFill/>
                    </a:ln>
                  </pic:spPr>
                </pic:pic>
              </a:graphicData>
            </a:graphic>
          </wp:anchor>
        </w:drawing>
      </w:r>
    </w:p>
    <w:p>
      <w:pPr>
        <w:pStyle w:val="2"/>
        <w:spacing w:before="93"/>
        <w:rPr>
          <w:rFonts w:ascii="仿宋" w:hAnsi="仿宋" w:eastAsia="仿宋"/>
          <w:sz w:val="32"/>
          <w:szCs w:val="32"/>
        </w:rPr>
      </w:pPr>
    </w:p>
    <w:p>
      <w:pPr>
        <w:spacing w:line="600" w:lineRule="exact"/>
        <w:ind w:firstLine="640" w:firstLineChars="200"/>
        <w:jc w:val="left"/>
        <w:rPr>
          <w:rFonts w:ascii="仿宋_GB2312" w:eastAsia="仿宋_GB2312"/>
          <w:sz w:val="32"/>
          <w:szCs w:val="32"/>
        </w:rPr>
      </w:pPr>
    </w:p>
    <w:p>
      <w:pPr>
        <w:pStyle w:val="2"/>
        <w:spacing w:before="93"/>
        <w:rPr>
          <w:sz w:val="32"/>
          <w:szCs w:val="32"/>
        </w:rPr>
      </w:pPr>
    </w:p>
    <w:p>
      <w:pPr>
        <w:pStyle w:val="2"/>
        <w:spacing w:before="93"/>
        <w:rPr>
          <w:sz w:val="32"/>
          <w:szCs w:val="32"/>
        </w:rPr>
      </w:pPr>
    </w:p>
    <w:p>
      <w:pPr>
        <w:pStyle w:val="2"/>
        <w:spacing w:before="93"/>
        <w:rPr>
          <w:sz w:val="32"/>
          <w:szCs w:val="32"/>
        </w:rPr>
      </w:pPr>
    </w:p>
    <w:p>
      <w:pPr>
        <w:pStyle w:val="2"/>
        <w:spacing w:before="93"/>
        <w:rPr>
          <w:sz w:val="32"/>
          <w:szCs w:val="32"/>
        </w:rPr>
      </w:pPr>
    </w:p>
    <w:p>
      <w:pPr>
        <w:pStyle w:val="2"/>
        <w:spacing w:before="93"/>
        <w:rPr>
          <w:sz w:val="32"/>
          <w:szCs w:val="32"/>
        </w:rPr>
      </w:pPr>
    </w:p>
    <w:p>
      <w:pPr>
        <w:pStyle w:val="24"/>
        <w:numPr>
          <w:ilvl w:val="0"/>
          <w:numId w:val="2"/>
        </w:numPr>
        <w:spacing w:line="600" w:lineRule="exact"/>
        <w:ind w:firstLineChars="0"/>
        <w:outlineLvl w:val="1"/>
        <w:rPr>
          <w:rStyle w:val="26"/>
          <w:rFonts w:ascii="黑体" w:hAnsi="黑体" w:eastAsia="黑体"/>
          <w:b w:val="0"/>
        </w:rPr>
      </w:pPr>
      <w:bookmarkStart w:id="36" w:name="_Toc19567"/>
      <w:bookmarkStart w:id="37" w:name="_Toc15396604"/>
      <w:bookmarkStart w:id="38" w:name="_Toc15377206"/>
      <w:r>
        <w:rPr>
          <w:rFonts w:hint="eastAsia" w:ascii="黑体" w:hAnsi="黑体" w:eastAsia="黑体"/>
          <w:sz w:val="32"/>
          <w:szCs w:val="32"/>
        </w:rPr>
        <w:t>收</w:t>
      </w:r>
      <w:r>
        <w:rPr>
          <w:rStyle w:val="26"/>
          <w:rFonts w:hint="eastAsia" w:ascii="黑体" w:hAnsi="黑体" w:eastAsia="黑体"/>
          <w:b w:val="0"/>
        </w:rPr>
        <w:t>入决算情况说明</w:t>
      </w:r>
      <w:bookmarkEnd w:id="36"/>
      <w:bookmarkEnd w:id="37"/>
      <w:bookmarkEnd w:id="38"/>
    </w:p>
    <w:p>
      <w:pPr>
        <w:spacing w:line="600" w:lineRule="exact"/>
        <w:ind w:firstLine="640" w:firstLineChars="200"/>
        <w:outlineLvl w:val="1"/>
        <w:rPr>
          <w:rFonts w:ascii="仿宋" w:hAnsi="仿宋" w:eastAsia="仿宋"/>
          <w:sz w:val="32"/>
          <w:szCs w:val="32"/>
        </w:rPr>
      </w:pPr>
      <w:bookmarkStart w:id="39" w:name="_Toc13900"/>
      <w:r>
        <w:rPr>
          <w:rFonts w:ascii="仿宋" w:hAnsi="仿宋" w:eastAsia="仿宋"/>
          <w:sz w:val="32"/>
          <w:szCs w:val="32"/>
        </w:rPr>
        <w:t>20</w:t>
      </w:r>
      <w:r>
        <w:rPr>
          <w:rFonts w:hint="eastAsia" w:ascii="仿宋" w:hAnsi="仿宋" w:eastAsia="仿宋"/>
          <w:sz w:val="32"/>
          <w:szCs w:val="32"/>
        </w:rPr>
        <w:t>21年本年收入合计2733.72万元，其中：一般公共预算财政拨款收入2710.47万元，占99.1</w:t>
      </w:r>
      <w:r>
        <w:rPr>
          <w:rFonts w:hint="eastAsia" w:ascii="仿宋" w:hAnsi="仿宋" w:eastAsia="仿宋"/>
          <w:sz w:val="32"/>
          <w:szCs w:val="32"/>
          <w:lang w:val="en-US" w:eastAsia="zh-CN"/>
        </w:rPr>
        <w:t>5</w:t>
      </w:r>
      <w:r>
        <w:rPr>
          <w:rFonts w:ascii="仿宋" w:hAnsi="仿宋" w:eastAsia="仿宋"/>
          <w:sz w:val="32"/>
          <w:szCs w:val="32"/>
        </w:rPr>
        <w:t>%</w:t>
      </w:r>
      <w:r>
        <w:rPr>
          <w:rFonts w:hint="eastAsia" w:ascii="仿宋" w:hAnsi="仿宋" w:eastAsia="仿宋"/>
          <w:sz w:val="32"/>
          <w:szCs w:val="32"/>
        </w:rPr>
        <w:t>；政府性基金预算财政拨款收入23.25万元，占0.85</w:t>
      </w:r>
      <w:r>
        <w:rPr>
          <w:rFonts w:ascii="仿宋" w:hAnsi="仿宋" w:eastAsia="仿宋"/>
          <w:sz w:val="32"/>
          <w:szCs w:val="32"/>
        </w:rPr>
        <w:t>%</w:t>
      </w:r>
      <w:r>
        <w:rPr>
          <w:rFonts w:hint="eastAsia" w:ascii="仿宋" w:hAnsi="仿宋" w:eastAsia="仿宋"/>
          <w:sz w:val="32"/>
          <w:szCs w:val="32"/>
        </w:rPr>
        <w:t>；国有资本经营预算财政拨款收入0万元，占0</w:t>
      </w:r>
      <w:r>
        <w:rPr>
          <w:rFonts w:ascii="仿宋" w:hAnsi="仿宋" w:eastAsia="仿宋"/>
          <w:sz w:val="32"/>
          <w:szCs w:val="32"/>
        </w:rPr>
        <w:t>%</w:t>
      </w:r>
      <w:r>
        <w:rPr>
          <w:rFonts w:hint="eastAsia" w:ascii="仿宋" w:hAnsi="仿宋" w:eastAsia="仿宋"/>
          <w:sz w:val="32"/>
          <w:szCs w:val="32"/>
        </w:rPr>
        <w:t>；上级补助收入0万元，占0</w:t>
      </w:r>
      <w:r>
        <w:rPr>
          <w:rFonts w:ascii="仿宋" w:hAnsi="仿宋" w:eastAsia="仿宋"/>
          <w:sz w:val="32"/>
          <w:szCs w:val="32"/>
        </w:rPr>
        <w:t>%</w:t>
      </w:r>
      <w:r>
        <w:rPr>
          <w:rFonts w:hint="eastAsia" w:ascii="仿宋" w:hAnsi="仿宋" w:eastAsia="仿宋"/>
          <w:sz w:val="32"/>
          <w:szCs w:val="32"/>
        </w:rPr>
        <w:t>；事业收入0万元，占0</w:t>
      </w:r>
      <w:r>
        <w:rPr>
          <w:rFonts w:ascii="仿宋" w:hAnsi="仿宋" w:eastAsia="仿宋"/>
          <w:sz w:val="32"/>
          <w:szCs w:val="32"/>
        </w:rPr>
        <w:t>%</w:t>
      </w:r>
      <w:r>
        <w:rPr>
          <w:rFonts w:hint="eastAsia" w:ascii="仿宋" w:hAnsi="仿宋" w:eastAsia="仿宋"/>
          <w:sz w:val="32"/>
          <w:szCs w:val="32"/>
        </w:rPr>
        <w:t>；经营收入0万元，占0</w:t>
      </w:r>
      <w:r>
        <w:rPr>
          <w:rFonts w:ascii="仿宋" w:hAnsi="仿宋" w:eastAsia="仿宋"/>
          <w:sz w:val="32"/>
          <w:szCs w:val="32"/>
        </w:rPr>
        <w:t>%</w:t>
      </w:r>
      <w:r>
        <w:rPr>
          <w:rFonts w:hint="eastAsia" w:ascii="仿宋" w:hAnsi="仿宋" w:eastAsia="仿宋"/>
          <w:sz w:val="32"/>
          <w:szCs w:val="32"/>
        </w:rPr>
        <w:t>；附属单位上缴收入0万元，占0</w:t>
      </w:r>
      <w:r>
        <w:rPr>
          <w:rFonts w:ascii="仿宋" w:hAnsi="仿宋" w:eastAsia="仿宋"/>
          <w:sz w:val="32"/>
          <w:szCs w:val="32"/>
        </w:rPr>
        <w:t>%</w:t>
      </w:r>
      <w:r>
        <w:rPr>
          <w:rFonts w:hint="eastAsia" w:ascii="仿宋" w:hAnsi="仿宋" w:eastAsia="仿宋"/>
          <w:sz w:val="32"/>
          <w:szCs w:val="32"/>
        </w:rPr>
        <w:t>；其他收入0.01万元，占0.01</w:t>
      </w:r>
      <w:r>
        <w:rPr>
          <w:rFonts w:ascii="仿宋" w:hAnsi="仿宋" w:eastAsia="仿宋"/>
          <w:sz w:val="32"/>
          <w:szCs w:val="32"/>
        </w:rPr>
        <w:t>%</w:t>
      </w:r>
      <w:r>
        <w:rPr>
          <w:rFonts w:hint="eastAsia" w:ascii="仿宋" w:hAnsi="仿宋" w:eastAsia="仿宋"/>
          <w:sz w:val="32"/>
          <w:szCs w:val="32"/>
        </w:rPr>
        <w:t>。</w:t>
      </w:r>
      <w:bookmarkEnd w:id="39"/>
    </w:p>
    <w:p>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（图2：收入决算结构图）（饼状图）</w:t>
      </w:r>
    </w:p>
    <w:p>
      <w:pPr>
        <w:pStyle w:val="2"/>
        <w:spacing w:before="93"/>
        <w:rPr>
          <w:rFonts w:ascii="仿宋" w:hAnsi="仿宋" w:eastAsia="仿宋"/>
          <w:sz w:val="32"/>
          <w:szCs w:val="32"/>
        </w:rPr>
      </w:pPr>
      <w:r>
        <w:drawing>
          <wp:anchor distT="0" distB="0" distL="114300" distR="114300" simplePos="0" relativeHeight="251660288" behindDoc="0" locked="0" layoutInCell="1" allowOverlap="1">
            <wp:simplePos x="0" y="0"/>
            <wp:positionH relativeFrom="column">
              <wp:posOffset>43815</wp:posOffset>
            </wp:positionH>
            <wp:positionV relativeFrom="paragraph">
              <wp:posOffset>427355</wp:posOffset>
            </wp:positionV>
            <wp:extent cx="5027295" cy="3472815"/>
            <wp:effectExtent l="0" t="0" r="1905" b="698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027295" cy="3472815"/>
                    </a:xfrm>
                    <a:prstGeom prst="rect">
                      <a:avLst/>
                    </a:prstGeom>
                    <a:noFill/>
                    <a:ln>
                      <a:noFill/>
                    </a:ln>
                  </pic:spPr>
                </pic:pic>
              </a:graphicData>
            </a:graphic>
          </wp:anchor>
        </w:drawing>
      </w:r>
    </w:p>
    <w:p>
      <w:pPr>
        <w:pStyle w:val="2"/>
        <w:spacing w:before="93"/>
        <w:rPr>
          <w:rFonts w:ascii="仿宋" w:hAnsi="仿宋" w:eastAsia="仿宋"/>
          <w:sz w:val="32"/>
          <w:szCs w:val="32"/>
        </w:rPr>
      </w:pPr>
    </w:p>
    <w:p>
      <w:pPr>
        <w:spacing w:line="600" w:lineRule="exact"/>
        <w:ind w:firstLine="640" w:firstLineChars="200"/>
        <w:rPr>
          <w:rFonts w:ascii="仿宋_GB2312" w:eastAsia="仿宋_GB2312"/>
          <w:sz w:val="32"/>
          <w:szCs w:val="32"/>
        </w:rPr>
      </w:pPr>
    </w:p>
    <w:p>
      <w:pPr>
        <w:pStyle w:val="2"/>
        <w:spacing w:before="93"/>
        <w:rPr>
          <w:sz w:val="32"/>
          <w:szCs w:val="32"/>
        </w:rPr>
      </w:pPr>
    </w:p>
    <w:p>
      <w:pPr>
        <w:pStyle w:val="2"/>
        <w:spacing w:before="93"/>
        <w:rPr>
          <w:sz w:val="32"/>
          <w:szCs w:val="32"/>
        </w:rPr>
      </w:pPr>
    </w:p>
    <w:p>
      <w:pPr>
        <w:pStyle w:val="2"/>
        <w:spacing w:before="93"/>
        <w:rPr>
          <w:sz w:val="32"/>
          <w:szCs w:val="32"/>
        </w:rPr>
      </w:pPr>
    </w:p>
    <w:p>
      <w:pPr>
        <w:pStyle w:val="24"/>
        <w:widowControl w:val="0"/>
        <w:numPr>
          <w:ilvl w:val="0"/>
          <w:numId w:val="0"/>
        </w:numPr>
        <w:spacing w:line="600" w:lineRule="exact"/>
        <w:jc w:val="both"/>
        <w:outlineLvl w:val="1"/>
        <w:rPr>
          <w:rStyle w:val="26"/>
          <w:rFonts w:ascii="黑体" w:hAnsi="黑体" w:eastAsia="黑体"/>
          <w:b w:val="0"/>
        </w:rPr>
      </w:pPr>
      <w:bookmarkStart w:id="40" w:name="_Toc18697"/>
      <w:bookmarkStart w:id="41" w:name="_Toc15396605"/>
      <w:bookmarkStart w:id="42" w:name="_Toc15377207"/>
    </w:p>
    <w:p>
      <w:pPr>
        <w:pStyle w:val="24"/>
        <w:widowControl w:val="0"/>
        <w:numPr>
          <w:ilvl w:val="0"/>
          <w:numId w:val="0"/>
        </w:numPr>
        <w:spacing w:line="600" w:lineRule="exact"/>
        <w:jc w:val="both"/>
        <w:outlineLvl w:val="1"/>
        <w:rPr>
          <w:rStyle w:val="26"/>
          <w:rFonts w:ascii="黑体" w:hAnsi="黑体" w:eastAsia="黑体"/>
          <w:b w:val="0"/>
        </w:rPr>
      </w:pPr>
    </w:p>
    <w:p>
      <w:pPr>
        <w:pStyle w:val="24"/>
        <w:widowControl w:val="0"/>
        <w:numPr>
          <w:ilvl w:val="0"/>
          <w:numId w:val="0"/>
        </w:numPr>
        <w:spacing w:line="600" w:lineRule="exact"/>
        <w:jc w:val="both"/>
        <w:outlineLvl w:val="1"/>
        <w:rPr>
          <w:rStyle w:val="26"/>
          <w:rFonts w:ascii="黑体" w:hAnsi="黑体" w:eastAsia="黑体"/>
          <w:b w:val="0"/>
        </w:rPr>
      </w:pPr>
    </w:p>
    <w:p>
      <w:pPr>
        <w:pStyle w:val="24"/>
        <w:widowControl w:val="0"/>
        <w:numPr>
          <w:ilvl w:val="0"/>
          <w:numId w:val="0"/>
        </w:numPr>
        <w:spacing w:line="600" w:lineRule="exact"/>
        <w:jc w:val="both"/>
        <w:outlineLvl w:val="1"/>
        <w:rPr>
          <w:rStyle w:val="26"/>
          <w:rFonts w:ascii="黑体" w:hAnsi="黑体" w:eastAsia="黑体"/>
          <w:b w:val="0"/>
        </w:rPr>
      </w:pPr>
    </w:p>
    <w:p>
      <w:pPr>
        <w:pStyle w:val="24"/>
        <w:widowControl w:val="0"/>
        <w:numPr>
          <w:ilvl w:val="0"/>
          <w:numId w:val="0"/>
        </w:numPr>
        <w:spacing w:line="600" w:lineRule="exact"/>
        <w:jc w:val="both"/>
        <w:outlineLvl w:val="1"/>
        <w:rPr>
          <w:rStyle w:val="26"/>
          <w:rFonts w:ascii="黑体" w:hAnsi="黑体" w:eastAsia="黑体"/>
          <w:b w:val="0"/>
        </w:rPr>
      </w:pPr>
    </w:p>
    <w:p>
      <w:pPr>
        <w:pStyle w:val="24"/>
        <w:widowControl w:val="0"/>
        <w:numPr>
          <w:ilvl w:val="0"/>
          <w:numId w:val="0"/>
        </w:numPr>
        <w:spacing w:line="600" w:lineRule="exact"/>
        <w:jc w:val="both"/>
        <w:outlineLvl w:val="1"/>
        <w:rPr>
          <w:rStyle w:val="26"/>
          <w:rFonts w:ascii="黑体" w:hAnsi="黑体" w:eastAsia="黑体"/>
          <w:b w:val="0"/>
        </w:rPr>
      </w:pPr>
    </w:p>
    <w:p>
      <w:pPr>
        <w:pStyle w:val="24"/>
        <w:numPr>
          <w:ilvl w:val="0"/>
          <w:numId w:val="2"/>
        </w:numPr>
        <w:spacing w:line="600" w:lineRule="exact"/>
        <w:ind w:firstLineChars="0"/>
        <w:outlineLvl w:val="1"/>
        <w:rPr>
          <w:rStyle w:val="26"/>
          <w:rFonts w:ascii="黑体" w:hAnsi="黑体" w:eastAsia="黑体"/>
          <w:b w:val="0"/>
        </w:rPr>
      </w:pPr>
      <w:r>
        <w:rPr>
          <w:rFonts w:hint="eastAsia" w:ascii="黑体" w:hAnsi="黑体" w:eastAsia="黑体"/>
          <w:sz w:val="32"/>
          <w:szCs w:val="32"/>
        </w:rPr>
        <w:t>支</w:t>
      </w:r>
      <w:r>
        <w:rPr>
          <w:rStyle w:val="26"/>
          <w:rFonts w:hint="eastAsia" w:ascii="黑体" w:hAnsi="黑体" w:eastAsia="黑体"/>
          <w:b w:val="0"/>
        </w:rPr>
        <w:t>出决算情况说明</w:t>
      </w:r>
      <w:bookmarkEnd w:id="40"/>
      <w:bookmarkEnd w:id="41"/>
      <w:bookmarkEnd w:id="42"/>
    </w:p>
    <w:p>
      <w:pPr>
        <w:spacing w:line="600" w:lineRule="exact"/>
        <w:ind w:firstLine="640" w:firstLineChars="200"/>
        <w:outlineLvl w:val="1"/>
        <w:rPr>
          <w:rFonts w:ascii="仿宋" w:hAnsi="仿宋" w:eastAsia="仿宋"/>
          <w:sz w:val="32"/>
          <w:szCs w:val="32"/>
        </w:rPr>
      </w:pPr>
      <w:bookmarkStart w:id="43" w:name="_Toc24635"/>
      <w:r>
        <w:rPr>
          <w:rFonts w:ascii="仿宋" w:hAnsi="仿宋" w:eastAsia="仿宋"/>
          <w:sz w:val="32"/>
          <w:szCs w:val="32"/>
        </w:rPr>
        <w:t>20</w:t>
      </w:r>
      <w:r>
        <w:rPr>
          <w:rFonts w:hint="eastAsia" w:ascii="仿宋" w:hAnsi="仿宋" w:eastAsia="仿宋"/>
          <w:sz w:val="32"/>
          <w:szCs w:val="32"/>
        </w:rPr>
        <w:t>21年本年支出合计2,762.62万元，其中：基本支出1,061.64万元，占38.43</w:t>
      </w:r>
      <w:r>
        <w:rPr>
          <w:rFonts w:ascii="仿宋" w:hAnsi="仿宋" w:eastAsia="仿宋"/>
          <w:sz w:val="32"/>
          <w:szCs w:val="32"/>
        </w:rPr>
        <w:t>%</w:t>
      </w:r>
      <w:r>
        <w:rPr>
          <w:rFonts w:hint="eastAsia" w:ascii="仿宋" w:hAnsi="仿宋" w:eastAsia="仿宋"/>
          <w:sz w:val="32"/>
          <w:szCs w:val="32"/>
        </w:rPr>
        <w:t>；项目支出1,700.98万元，占61.57</w:t>
      </w:r>
      <w:r>
        <w:rPr>
          <w:rFonts w:ascii="仿宋" w:hAnsi="仿宋" w:eastAsia="仿宋"/>
          <w:sz w:val="32"/>
          <w:szCs w:val="32"/>
        </w:rPr>
        <w:t>%</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bookmarkEnd w:id="43"/>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（图3：支出决算结构图）（饼状图）</w:t>
      </w:r>
    </w:p>
    <w:p>
      <w:pPr>
        <w:spacing w:line="600" w:lineRule="exact"/>
        <w:ind w:firstLine="420" w:firstLineChars="200"/>
        <w:rPr>
          <w:rFonts w:ascii="仿宋_GB2312" w:eastAsia="仿宋_GB2312"/>
          <w:sz w:val="32"/>
          <w:szCs w:val="32"/>
        </w:rPr>
      </w:pPr>
      <w:r>
        <w:drawing>
          <wp:anchor distT="0" distB="0" distL="114300" distR="114300" simplePos="0" relativeHeight="251661312" behindDoc="0" locked="0" layoutInCell="1" allowOverlap="1">
            <wp:simplePos x="0" y="0"/>
            <wp:positionH relativeFrom="column">
              <wp:posOffset>345440</wp:posOffset>
            </wp:positionH>
            <wp:positionV relativeFrom="paragraph">
              <wp:posOffset>347980</wp:posOffset>
            </wp:positionV>
            <wp:extent cx="4818380" cy="3115310"/>
            <wp:effectExtent l="0" t="0" r="7620" b="8890"/>
            <wp:wrapNone/>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pic:cNvPicPr>
                      <a:picLocks noChangeAspect="1"/>
                    </pic:cNvPicPr>
                  </pic:nvPicPr>
                  <pic:blipFill>
                    <a:blip r:embed="rId8"/>
                    <a:stretch>
                      <a:fillRect/>
                    </a:stretch>
                  </pic:blipFill>
                  <pic:spPr>
                    <a:xfrm>
                      <a:off x="0" y="0"/>
                      <a:ext cx="4818380" cy="3115310"/>
                    </a:xfrm>
                    <a:prstGeom prst="rect">
                      <a:avLst/>
                    </a:prstGeom>
                    <a:noFill/>
                    <a:ln>
                      <a:noFill/>
                    </a:ln>
                  </pic:spPr>
                </pic:pic>
              </a:graphicData>
            </a:graphic>
          </wp:anchor>
        </w:drawing>
      </w:r>
    </w:p>
    <w:p>
      <w:pPr>
        <w:pStyle w:val="2"/>
        <w:spacing w:before="93"/>
        <w:rPr>
          <w:sz w:val="32"/>
          <w:szCs w:val="32"/>
        </w:rPr>
      </w:pPr>
    </w:p>
    <w:p>
      <w:pPr>
        <w:pStyle w:val="2"/>
        <w:spacing w:before="93"/>
        <w:rPr>
          <w:sz w:val="32"/>
          <w:szCs w:val="32"/>
        </w:rPr>
      </w:pPr>
    </w:p>
    <w:p>
      <w:pPr>
        <w:pStyle w:val="2"/>
        <w:spacing w:before="93"/>
        <w:rPr>
          <w:sz w:val="32"/>
          <w:szCs w:val="32"/>
        </w:rPr>
      </w:pPr>
    </w:p>
    <w:p>
      <w:pPr>
        <w:pStyle w:val="2"/>
        <w:spacing w:before="93"/>
        <w:rPr>
          <w:sz w:val="32"/>
          <w:szCs w:val="32"/>
        </w:rPr>
      </w:pPr>
    </w:p>
    <w:p>
      <w:pPr>
        <w:pStyle w:val="2"/>
        <w:spacing w:before="93"/>
        <w:rPr>
          <w:sz w:val="32"/>
          <w:szCs w:val="32"/>
        </w:rPr>
      </w:pPr>
    </w:p>
    <w:p>
      <w:pPr>
        <w:pStyle w:val="2"/>
        <w:spacing w:before="93"/>
        <w:rPr>
          <w:sz w:val="32"/>
          <w:szCs w:val="32"/>
        </w:rPr>
      </w:pPr>
    </w:p>
    <w:p>
      <w:pPr>
        <w:pStyle w:val="2"/>
        <w:spacing w:before="93"/>
        <w:rPr>
          <w:sz w:val="32"/>
          <w:szCs w:val="32"/>
        </w:rPr>
      </w:pPr>
    </w:p>
    <w:p>
      <w:pPr>
        <w:spacing w:line="600" w:lineRule="exact"/>
        <w:ind w:firstLine="640" w:firstLineChars="200"/>
        <w:outlineLvl w:val="1"/>
        <w:rPr>
          <w:rStyle w:val="26"/>
          <w:rFonts w:ascii="黑体" w:hAnsi="黑体" w:eastAsia="黑体"/>
          <w:b w:val="0"/>
        </w:rPr>
      </w:pPr>
      <w:bookmarkStart w:id="44" w:name="_Toc15396606"/>
      <w:bookmarkStart w:id="45" w:name="_Toc19055"/>
      <w:bookmarkStart w:id="46" w:name="_Toc15377208"/>
      <w:r>
        <w:rPr>
          <w:rFonts w:hint="eastAsia" w:ascii="黑体" w:hAnsi="黑体" w:eastAsia="黑体"/>
          <w:sz w:val="32"/>
          <w:szCs w:val="32"/>
        </w:rPr>
        <w:t>四、财</w:t>
      </w:r>
      <w:r>
        <w:rPr>
          <w:rStyle w:val="26"/>
          <w:rFonts w:hint="eastAsia" w:ascii="黑体" w:hAnsi="黑体" w:eastAsia="黑体"/>
          <w:b w:val="0"/>
        </w:rPr>
        <w:t>政拨款收入支出决算总体情况说明</w:t>
      </w:r>
      <w:bookmarkEnd w:id="44"/>
      <w:bookmarkEnd w:id="45"/>
      <w:bookmarkEnd w:id="46"/>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21年财政拨款收、支总计2,762.62万元。与</w:t>
      </w:r>
      <w:r>
        <w:rPr>
          <w:rFonts w:ascii="仿宋" w:hAnsi="仿宋" w:eastAsia="仿宋"/>
          <w:sz w:val="32"/>
          <w:szCs w:val="32"/>
        </w:rPr>
        <w:t>20</w:t>
      </w:r>
      <w:r>
        <w:rPr>
          <w:rFonts w:hint="eastAsia" w:ascii="仿宋" w:hAnsi="仿宋" w:eastAsia="仿宋"/>
          <w:sz w:val="32"/>
          <w:szCs w:val="32"/>
        </w:rPr>
        <w:t>20年2845万元相比，总计减少</w:t>
      </w:r>
      <w:r>
        <w:rPr>
          <w:rFonts w:hint="eastAsia" w:ascii="仿宋" w:hAnsi="仿宋" w:eastAsia="仿宋"/>
          <w:sz w:val="32"/>
          <w:szCs w:val="32"/>
          <w:lang w:val="en-US" w:eastAsia="zh-CN"/>
        </w:rPr>
        <w:t>82.38</w:t>
      </w:r>
      <w:r>
        <w:rPr>
          <w:rFonts w:hint="eastAsia" w:ascii="仿宋" w:hAnsi="仿宋" w:eastAsia="仿宋"/>
          <w:sz w:val="32"/>
          <w:szCs w:val="32"/>
        </w:rPr>
        <w:t>万元，下降</w:t>
      </w:r>
      <w:r>
        <w:rPr>
          <w:rFonts w:hint="eastAsia" w:ascii="仿宋" w:hAnsi="仿宋" w:eastAsia="仿宋"/>
          <w:sz w:val="32"/>
          <w:szCs w:val="32"/>
          <w:lang w:val="en-US" w:eastAsia="zh-CN"/>
        </w:rPr>
        <w:t>2.9</w:t>
      </w:r>
      <w:r>
        <w:rPr>
          <w:rFonts w:ascii="仿宋" w:hAnsi="仿宋" w:eastAsia="仿宋"/>
          <w:sz w:val="32"/>
          <w:szCs w:val="32"/>
        </w:rPr>
        <w:t>%</w:t>
      </w:r>
      <w:r>
        <w:rPr>
          <w:rFonts w:hint="eastAsia" w:ascii="仿宋" w:hAnsi="仿宋" w:eastAsia="仿宋"/>
          <w:sz w:val="32"/>
          <w:szCs w:val="32"/>
        </w:rPr>
        <w:t>。财政拨款收入增加116.33万元，增长4.44</w:t>
      </w:r>
      <w:r>
        <w:rPr>
          <w:rFonts w:ascii="仿宋" w:hAnsi="仿宋" w:eastAsia="仿宋"/>
          <w:sz w:val="32"/>
          <w:szCs w:val="32"/>
        </w:rPr>
        <w:t>%</w:t>
      </w:r>
      <w:r>
        <w:rPr>
          <w:rFonts w:hint="eastAsia" w:ascii="仿宋" w:hAnsi="仿宋" w:eastAsia="仿宋"/>
          <w:sz w:val="32"/>
          <w:szCs w:val="32"/>
        </w:rPr>
        <w:t>。主要变动原因是财政拨款收入增加。财政拨款支出增加180.05万元，增长6.97</w:t>
      </w:r>
      <w:r>
        <w:rPr>
          <w:rFonts w:ascii="仿宋" w:hAnsi="仿宋" w:eastAsia="仿宋"/>
          <w:sz w:val="32"/>
          <w:szCs w:val="32"/>
        </w:rPr>
        <w:t>%</w:t>
      </w:r>
      <w:r>
        <w:rPr>
          <w:rFonts w:hint="eastAsia" w:ascii="仿宋" w:hAnsi="仿宋" w:eastAsia="仿宋"/>
          <w:sz w:val="32"/>
          <w:szCs w:val="32"/>
        </w:rPr>
        <w:t>。主要变动原因是业务量增加。</w:t>
      </w:r>
    </w:p>
    <w:p>
      <w:pPr>
        <w:spacing w:line="600" w:lineRule="exact"/>
        <w:rPr>
          <w:rFonts w:ascii="仿宋" w:hAnsi="仿宋" w:eastAsia="仿宋"/>
          <w:sz w:val="32"/>
          <w:szCs w:val="32"/>
        </w:rPr>
      </w:pPr>
      <w:r>
        <w:rPr>
          <w:rFonts w:hint="eastAsia" w:ascii="仿宋" w:hAnsi="仿宋" w:eastAsia="仿宋"/>
          <w:sz w:val="32"/>
          <w:szCs w:val="32"/>
        </w:rPr>
        <w:t>（图4：财政拨款收、支决算总计变动情况）（柱状图）</w:t>
      </w:r>
    </w:p>
    <w:p>
      <w:pPr>
        <w:spacing w:line="600" w:lineRule="exact"/>
        <w:ind w:firstLine="640"/>
        <w:rPr>
          <w:rFonts w:ascii="仿宋" w:hAnsi="仿宋" w:eastAsia="仿宋"/>
          <w:b/>
          <w:sz w:val="32"/>
          <w:szCs w:val="32"/>
        </w:rPr>
      </w:pPr>
      <w:r>
        <w:drawing>
          <wp:anchor distT="0" distB="0" distL="114300" distR="114300" simplePos="0" relativeHeight="251662336" behindDoc="0" locked="0" layoutInCell="1" allowOverlap="1">
            <wp:simplePos x="0" y="0"/>
            <wp:positionH relativeFrom="column">
              <wp:posOffset>371475</wp:posOffset>
            </wp:positionH>
            <wp:positionV relativeFrom="paragraph">
              <wp:posOffset>136525</wp:posOffset>
            </wp:positionV>
            <wp:extent cx="4596130" cy="2931795"/>
            <wp:effectExtent l="0" t="0" r="1270" b="1905"/>
            <wp:wrapNone/>
            <wp:docPr id="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pic:cNvPicPr>
                      <a:picLocks noChangeAspect="1"/>
                    </pic:cNvPicPr>
                  </pic:nvPicPr>
                  <pic:blipFill>
                    <a:blip r:embed="rId9"/>
                    <a:stretch>
                      <a:fillRect/>
                    </a:stretch>
                  </pic:blipFill>
                  <pic:spPr>
                    <a:xfrm>
                      <a:off x="0" y="0"/>
                      <a:ext cx="4596130" cy="2931795"/>
                    </a:xfrm>
                    <a:prstGeom prst="rect">
                      <a:avLst/>
                    </a:prstGeom>
                    <a:noFill/>
                    <a:ln>
                      <a:noFill/>
                    </a:ln>
                  </pic:spPr>
                </pic:pic>
              </a:graphicData>
            </a:graphic>
          </wp:anchor>
        </w:drawing>
      </w:r>
    </w:p>
    <w:p>
      <w:pPr>
        <w:spacing w:line="600" w:lineRule="exact"/>
        <w:ind w:firstLine="640" w:firstLineChars="200"/>
        <w:rPr>
          <w:rFonts w:ascii="黑体" w:hAnsi="黑体" w:eastAsia="黑体"/>
          <w:sz w:val="32"/>
          <w:szCs w:val="32"/>
        </w:rPr>
      </w:pPr>
      <w:bookmarkStart w:id="47" w:name="_Toc15396607"/>
      <w:bookmarkStart w:id="48" w:name="_Toc15377209"/>
    </w:p>
    <w:p>
      <w:pPr>
        <w:spacing w:line="600" w:lineRule="exact"/>
        <w:ind w:firstLine="640" w:firstLineChars="200"/>
        <w:rPr>
          <w:rFonts w:ascii="黑体" w:hAnsi="黑体" w:eastAsia="黑体"/>
          <w:sz w:val="32"/>
          <w:szCs w:val="32"/>
        </w:rPr>
      </w:pPr>
    </w:p>
    <w:p>
      <w:pPr>
        <w:spacing w:line="600" w:lineRule="exact"/>
        <w:ind w:firstLine="640" w:firstLineChars="200"/>
        <w:rPr>
          <w:rFonts w:ascii="黑体" w:hAnsi="黑体" w:eastAsia="黑体"/>
          <w:sz w:val="32"/>
          <w:szCs w:val="32"/>
        </w:rPr>
      </w:pPr>
    </w:p>
    <w:p>
      <w:pPr>
        <w:spacing w:line="600" w:lineRule="exact"/>
        <w:rPr>
          <w:rFonts w:ascii="黑体" w:hAnsi="黑体" w:eastAsia="黑体"/>
          <w:sz w:val="32"/>
          <w:szCs w:val="32"/>
        </w:rPr>
      </w:pPr>
    </w:p>
    <w:p>
      <w:pPr>
        <w:spacing w:line="600" w:lineRule="exact"/>
        <w:ind w:firstLine="640" w:firstLineChars="200"/>
        <w:outlineLvl w:val="1"/>
        <w:rPr>
          <w:rStyle w:val="26"/>
          <w:rFonts w:ascii="黑体" w:hAnsi="黑体" w:eastAsia="黑体"/>
          <w:b w:val="0"/>
        </w:rPr>
      </w:pPr>
      <w:bookmarkStart w:id="49" w:name="_Toc7435"/>
      <w:r>
        <w:rPr>
          <w:rFonts w:hint="eastAsia" w:ascii="黑体" w:hAnsi="黑体" w:eastAsia="黑体"/>
          <w:sz w:val="32"/>
          <w:szCs w:val="32"/>
        </w:rPr>
        <w:t>五、</w:t>
      </w:r>
      <w:r>
        <w:rPr>
          <w:rFonts w:hint="eastAsia" w:ascii="黑体" w:hAnsi="黑体" w:eastAsia="黑体"/>
          <w:b/>
          <w:sz w:val="32"/>
          <w:szCs w:val="32"/>
        </w:rPr>
        <w:t>一</w:t>
      </w:r>
      <w:r>
        <w:rPr>
          <w:rStyle w:val="26"/>
          <w:rFonts w:hint="eastAsia" w:ascii="黑体" w:hAnsi="黑体" w:eastAsia="黑体"/>
          <w:b w:val="0"/>
        </w:rPr>
        <w:t>般公共预算财政拨款支出决算情况说明</w:t>
      </w:r>
      <w:bookmarkEnd w:id="47"/>
      <w:bookmarkEnd w:id="48"/>
      <w:bookmarkEnd w:id="49"/>
    </w:p>
    <w:p>
      <w:pPr>
        <w:spacing w:line="600" w:lineRule="exact"/>
        <w:ind w:firstLine="643" w:firstLineChars="200"/>
        <w:outlineLvl w:val="2"/>
        <w:rPr>
          <w:rFonts w:ascii="仿宋" w:hAnsi="仿宋" w:eastAsia="仿宋"/>
          <w:b/>
          <w:sz w:val="32"/>
          <w:szCs w:val="32"/>
        </w:rPr>
      </w:pPr>
      <w:bookmarkStart w:id="50" w:name="_Toc15377210"/>
      <w:r>
        <w:rPr>
          <w:rFonts w:hint="eastAsia" w:ascii="仿宋" w:hAnsi="仿宋" w:eastAsia="仿宋"/>
          <w:b/>
          <w:sz w:val="32"/>
          <w:szCs w:val="32"/>
        </w:rPr>
        <w:t>（一）一般公共预算财政拨款支出决算总体情况</w:t>
      </w:r>
      <w:bookmarkEnd w:id="50"/>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21年一般公共预算财政拨款支出2,762.62万元，占本年支出合计的100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20年2582.57万元相比，一般公共预算财政拨款支出增加180.05万元，增长6.97</w:t>
      </w:r>
      <w:r>
        <w:rPr>
          <w:rFonts w:ascii="仿宋" w:hAnsi="仿宋" w:eastAsia="仿宋"/>
          <w:sz w:val="32"/>
          <w:szCs w:val="32"/>
        </w:rPr>
        <w:t>%</w:t>
      </w:r>
      <w:r>
        <w:rPr>
          <w:rFonts w:hint="eastAsia" w:ascii="仿宋" w:hAnsi="仿宋" w:eastAsia="仿宋"/>
          <w:sz w:val="32"/>
          <w:szCs w:val="32"/>
        </w:rPr>
        <w:t>。主要变动原因是业务量增加。</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pPr>
        <w:spacing w:line="600" w:lineRule="exact"/>
        <w:ind w:firstLine="420" w:firstLineChars="200"/>
        <w:rPr>
          <w:rFonts w:ascii="仿宋" w:hAnsi="仿宋" w:eastAsia="仿宋"/>
          <w:sz w:val="32"/>
          <w:szCs w:val="32"/>
        </w:rPr>
      </w:pPr>
      <w:r>
        <w:drawing>
          <wp:anchor distT="0" distB="0" distL="114300" distR="114300" simplePos="0" relativeHeight="251663360" behindDoc="0" locked="0" layoutInCell="1" allowOverlap="1">
            <wp:simplePos x="0" y="0"/>
            <wp:positionH relativeFrom="column">
              <wp:posOffset>463550</wp:posOffset>
            </wp:positionH>
            <wp:positionV relativeFrom="paragraph">
              <wp:posOffset>140335</wp:posOffset>
            </wp:positionV>
            <wp:extent cx="4474845" cy="2602865"/>
            <wp:effectExtent l="0" t="0" r="8255" b="635"/>
            <wp:wrapNone/>
            <wp:docPr id="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
                    <pic:cNvPicPr>
                      <a:picLocks noChangeAspect="1"/>
                    </pic:cNvPicPr>
                  </pic:nvPicPr>
                  <pic:blipFill>
                    <a:blip r:embed="rId10"/>
                    <a:stretch>
                      <a:fillRect/>
                    </a:stretch>
                  </pic:blipFill>
                  <pic:spPr>
                    <a:xfrm>
                      <a:off x="0" y="0"/>
                      <a:ext cx="4474845" cy="2602865"/>
                    </a:xfrm>
                    <a:prstGeom prst="rect">
                      <a:avLst/>
                    </a:prstGeom>
                    <a:noFill/>
                    <a:ln>
                      <a:noFill/>
                    </a:ln>
                  </pic:spPr>
                </pic:pic>
              </a:graphicData>
            </a:graphic>
          </wp:anchor>
        </w:drawing>
      </w:r>
    </w:p>
    <w:p>
      <w:pPr>
        <w:pStyle w:val="2"/>
        <w:spacing w:before="93"/>
        <w:rPr>
          <w:rFonts w:ascii="仿宋" w:hAnsi="仿宋" w:eastAsia="仿宋"/>
          <w:sz w:val="32"/>
          <w:szCs w:val="32"/>
        </w:rPr>
      </w:pPr>
    </w:p>
    <w:p>
      <w:pPr>
        <w:pStyle w:val="2"/>
        <w:spacing w:before="93"/>
        <w:rPr>
          <w:rFonts w:ascii="仿宋" w:hAnsi="仿宋" w:eastAsia="仿宋"/>
          <w:sz w:val="32"/>
          <w:szCs w:val="32"/>
        </w:rPr>
      </w:pPr>
    </w:p>
    <w:p>
      <w:pPr>
        <w:pStyle w:val="2"/>
        <w:spacing w:before="93"/>
        <w:rPr>
          <w:rFonts w:ascii="仿宋" w:hAnsi="仿宋" w:eastAsia="仿宋"/>
          <w:sz w:val="32"/>
          <w:szCs w:val="32"/>
        </w:rPr>
      </w:pPr>
    </w:p>
    <w:p>
      <w:pPr>
        <w:pStyle w:val="2"/>
        <w:spacing w:before="93"/>
        <w:rPr>
          <w:rFonts w:ascii="仿宋" w:hAnsi="仿宋" w:eastAsia="仿宋"/>
          <w:sz w:val="32"/>
          <w:szCs w:val="32"/>
        </w:rPr>
      </w:pPr>
    </w:p>
    <w:p>
      <w:pPr>
        <w:spacing w:line="600" w:lineRule="exact"/>
        <w:ind w:firstLine="643" w:firstLineChars="200"/>
        <w:rPr>
          <w:rFonts w:ascii="仿宋" w:hAnsi="仿宋" w:eastAsia="仿宋"/>
          <w:b/>
          <w:sz w:val="32"/>
          <w:szCs w:val="32"/>
        </w:rPr>
      </w:pPr>
      <w:bookmarkStart w:id="51" w:name="_Toc15377211"/>
    </w:p>
    <w:p>
      <w:pPr>
        <w:spacing w:line="600" w:lineRule="exact"/>
        <w:ind w:firstLine="643" w:firstLineChars="200"/>
        <w:outlineLvl w:val="2"/>
        <w:rPr>
          <w:rFonts w:ascii="仿宋" w:hAnsi="仿宋" w:eastAsia="仿宋"/>
          <w:b/>
          <w:sz w:val="32"/>
          <w:szCs w:val="32"/>
        </w:rPr>
      </w:pPr>
    </w:p>
    <w:p>
      <w:pPr>
        <w:spacing w:line="600" w:lineRule="exact"/>
        <w:ind w:firstLine="643" w:firstLineChars="200"/>
        <w:outlineLvl w:val="2"/>
        <w:rPr>
          <w:rFonts w:ascii="仿宋" w:hAnsi="仿宋" w:eastAsia="仿宋"/>
          <w:b/>
          <w:sz w:val="32"/>
          <w:szCs w:val="32"/>
        </w:rPr>
      </w:pPr>
      <w:r>
        <w:rPr>
          <w:rFonts w:hint="eastAsia" w:ascii="仿宋" w:hAnsi="仿宋" w:eastAsia="仿宋"/>
          <w:b/>
          <w:sz w:val="32"/>
          <w:szCs w:val="32"/>
        </w:rPr>
        <w:t>（二）一般公共预算财政拨款支出决算结构情况</w:t>
      </w:r>
      <w:bookmarkEnd w:id="51"/>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21年一般公共预算财政拨款支出2,762.62万元，主要用于以下方面</w:t>
      </w:r>
      <w:r>
        <w:rPr>
          <w:rFonts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支出2,610.71万元，占94.5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城乡社区支出</w:t>
      </w:r>
      <w:r>
        <w:rPr>
          <w:rFonts w:hint="eastAsia" w:ascii="仿宋" w:hAnsi="仿宋" w:eastAsia="仿宋"/>
          <w:sz w:val="32"/>
          <w:szCs w:val="32"/>
        </w:rPr>
        <w:t>23.25万元，占0.84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47.09万元，占1.7</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rPr>
        <w:t>81.58万元，占2.95</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pPr>
        <w:spacing w:line="600" w:lineRule="exact"/>
        <w:ind w:firstLine="420" w:firstLineChars="200"/>
        <w:rPr>
          <w:rFonts w:ascii="仿宋" w:hAnsi="仿宋" w:eastAsia="仿宋"/>
          <w:sz w:val="32"/>
          <w:szCs w:val="32"/>
        </w:rPr>
      </w:pPr>
      <w:r>
        <w:drawing>
          <wp:anchor distT="0" distB="0" distL="114300" distR="114300" simplePos="0" relativeHeight="251664384" behindDoc="0" locked="0" layoutInCell="1" allowOverlap="1">
            <wp:simplePos x="0" y="0"/>
            <wp:positionH relativeFrom="column">
              <wp:posOffset>425450</wp:posOffset>
            </wp:positionH>
            <wp:positionV relativeFrom="paragraph">
              <wp:posOffset>254000</wp:posOffset>
            </wp:positionV>
            <wp:extent cx="4818380" cy="2963545"/>
            <wp:effectExtent l="0" t="0" r="7620" b="8255"/>
            <wp:wrapNone/>
            <wp:docPr id="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1"/>
                    <pic:cNvPicPr>
                      <a:picLocks noChangeAspect="1"/>
                    </pic:cNvPicPr>
                  </pic:nvPicPr>
                  <pic:blipFill>
                    <a:blip r:embed="rId11"/>
                    <a:stretch>
                      <a:fillRect/>
                    </a:stretch>
                  </pic:blipFill>
                  <pic:spPr>
                    <a:xfrm>
                      <a:off x="0" y="0"/>
                      <a:ext cx="4818380" cy="2963545"/>
                    </a:xfrm>
                    <a:prstGeom prst="rect">
                      <a:avLst/>
                    </a:prstGeom>
                    <a:noFill/>
                    <a:ln>
                      <a:noFill/>
                    </a:ln>
                  </pic:spPr>
                </pic:pic>
              </a:graphicData>
            </a:graphic>
          </wp:anchor>
        </w:drawing>
      </w:r>
    </w:p>
    <w:p>
      <w:pPr>
        <w:spacing w:line="600" w:lineRule="exact"/>
        <w:ind w:firstLine="643" w:firstLineChars="200"/>
        <w:rPr>
          <w:rFonts w:ascii="仿宋" w:hAnsi="仿宋" w:eastAsia="仿宋"/>
          <w:b/>
          <w:sz w:val="32"/>
          <w:szCs w:val="32"/>
        </w:rPr>
      </w:pPr>
      <w:bookmarkStart w:id="52" w:name="_Toc15377212"/>
    </w:p>
    <w:p>
      <w:pPr>
        <w:spacing w:line="600" w:lineRule="exact"/>
        <w:ind w:firstLine="643" w:firstLineChars="200"/>
        <w:rPr>
          <w:rFonts w:ascii="仿宋" w:hAnsi="仿宋" w:eastAsia="仿宋"/>
          <w:b/>
          <w:sz w:val="32"/>
          <w:szCs w:val="32"/>
        </w:rPr>
      </w:pPr>
    </w:p>
    <w:p>
      <w:pPr>
        <w:spacing w:line="600" w:lineRule="exact"/>
        <w:ind w:firstLine="643" w:firstLineChars="200"/>
        <w:rPr>
          <w:rFonts w:ascii="仿宋" w:hAnsi="仿宋" w:eastAsia="仿宋"/>
          <w:b/>
          <w:sz w:val="32"/>
          <w:szCs w:val="32"/>
        </w:rPr>
      </w:pPr>
    </w:p>
    <w:p>
      <w:pPr>
        <w:spacing w:line="600" w:lineRule="exact"/>
        <w:ind w:firstLine="643" w:firstLineChars="200"/>
        <w:rPr>
          <w:rFonts w:ascii="仿宋" w:hAnsi="仿宋" w:eastAsia="仿宋"/>
          <w:b/>
          <w:sz w:val="32"/>
          <w:szCs w:val="32"/>
        </w:rPr>
      </w:pPr>
    </w:p>
    <w:p>
      <w:pPr>
        <w:spacing w:line="600" w:lineRule="exact"/>
        <w:ind w:firstLine="643" w:firstLineChars="200"/>
        <w:rPr>
          <w:rFonts w:ascii="仿宋" w:hAnsi="仿宋" w:eastAsia="仿宋"/>
          <w:b/>
          <w:sz w:val="32"/>
          <w:szCs w:val="32"/>
        </w:rPr>
      </w:pPr>
    </w:p>
    <w:p>
      <w:pPr>
        <w:spacing w:line="600" w:lineRule="exact"/>
        <w:ind w:firstLine="643" w:firstLineChars="200"/>
        <w:rPr>
          <w:rFonts w:ascii="仿宋" w:hAnsi="仿宋" w:eastAsia="仿宋"/>
          <w:b/>
          <w:sz w:val="32"/>
          <w:szCs w:val="32"/>
        </w:rPr>
      </w:pPr>
    </w:p>
    <w:p>
      <w:pPr>
        <w:spacing w:line="600" w:lineRule="exact"/>
        <w:ind w:firstLine="643" w:firstLineChars="200"/>
        <w:rPr>
          <w:rFonts w:ascii="仿宋" w:hAnsi="仿宋" w:eastAsia="仿宋"/>
          <w:b/>
          <w:sz w:val="32"/>
          <w:szCs w:val="32"/>
        </w:rPr>
      </w:pPr>
    </w:p>
    <w:p>
      <w:pPr>
        <w:spacing w:line="600" w:lineRule="exact"/>
        <w:ind w:firstLine="643" w:firstLineChars="200"/>
        <w:rPr>
          <w:rFonts w:ascii="仿宋" w:hAnsi="仿宋" w:eastAsia="仿宋"/>
          <w:b/>
          <w:sz w:val="32"/>
          <w:szCs w:val="32"/>
        </w:rPr>
      </w:pPr>
    </w:p>
    <w:p>
      <w:pPr>
        <w:spacing w:line="600" w:lineRule="exact"/>
        <w:ind w:firstLine="643" w:firstLineChars="200"/>
        <w:rPr>
          <w:rFonts w:ascii="仿宋" w:hAnsi="仿宋" w:eastAsia="仿宋"/>
          <w:b/>
          <w:sz w:val="32"/>
          <w:szCs w:val="32"/>
        </w:rPr>
      </w:pPr>
    </w:p>
    <w:p>
      <w:pPr>
        <w:spacing w:line="600" w:lineRule="exact"/>
        <w:ind w:firstLine="643" w:firstLineChars="200"/>
        <w:rPr>
          <w:rFonts w:ascii="仿宋" w:hAnsi="仿宋" w:eastAsia="仿宋"/>
          <w:b/>
          <w:sz w:val="32"/>
          <w:szCs w:val="32"/>
        </w:rPr>
      </w:pPr>
    </w:p>
    <w:p>
      <w:pPr>
        <w:spacing w:line="600" w:lineRule="exact"/>
        <w:ind w:firstLine="643" w:firstLineChars="200"/>
        <w:outlineLvl w:val="2"/>
        <w:rPr>
          <w:rFonts w:ascii="仿宋" w:hAnsi="仿宋" w:eastAsia="仿宋"/>
          <w:b/>
          <w:sz w:val="32"/>
          <w:szCs w:val="32"/>
        </w:rPr>
      </w:pPr>
      <w:r>
        <w:rPr>
          <w:rFonts w:hint="eastAsia" w:ascii="仿宋" w:hAnsi="仿宋" w:eastAsia="仿宋"/>
          <w:b/>
          <w:sz w:val="32"/>
          <w:szCs w:val="32"/>
        </w:rPr>
        <w:t>（三）一般公共预算财政拨款支出决算具体情况</w:t>
      </w:r>
      <w:bookmarkEnd w:id="52"/>
    </w:p>
    <w:p>
      <w:pPr>
        <w:spacing w:line="600" w:lineRule="exact"/>
        <w:ind w:firstLine="643" w:firstLineChars="200"/>
        <w:outlineLvl w:val="2"/>
        <w:rPr>
          <w:rFonts w:ascii="仿宋" w:hAnsi="仿宋" w:eastAsia="仿宋"/>
          <w:sz w:val="32"/>
          <w:szCs w:val="32"/>
        </w:rPr>
      </w:pPr>
      <w:bookmarkStart w:id="53" w:name="_Toc15378460"/>
      <w:bookmarkStart w:id="54" w:name="_Toc15377213"/>
      <w:bookmarkStart w:id="55" w:name="_Toc15377444"/>
      <w:r>
        <w:rPr>
          <w:rFonts w:hint="eastAsia" w:ascii="仿宋" w:hAnsi="仿宋" w:eastAsia="仿宋"/>
          <w:b/>
          <w:sz w:val="32"/>
          <w:szCs w:val="32"/>
        </w:rPr>
        <w:t>2021年一般公共预算支出决算数为2,739.37万元</w:t>
      </w:r>
      <w:r>
        <w:rPr>
          <w:rFonts w:hint="eastAsia" w:ascii="仿宋" w:hAnsi="仿宋" w:eastAsia="仿宋"/>
          <w:sz w:val="32"/>
          <w:szCs w:val="32"/>
        </w:rPr>
        <w:t>，</w:t>
      </w:r>
      <w:r>
        <w:rPr>
          <w:rStyle w:val="15"/>
          <w:rFonts w:hint="eastAsia" w:ascii="仿宋" w:hAnsi="仿宋" w:eastAsia="仿宋"/>
          <w:bCs/>
          <w:sz w:val="32"/>
          <w:szCs w:val="32"/>
        </w:rPr>
        <w:t>完成预算100</w:t>
      </w:r>
      <w:r>
        <w:rPr>
          <w:rStyle w:val="15"/>
          <w:rFonts w:ascii="仿宋" w:hAnsi="仿宋" w:eastAsia="仿宋"/>
          <w:bCs/>
          <w:sz w:val="32"/>
          <w:szCs w:val="32"/>
        </w:rPr>
        <w:t>%</w:t>
      </w:r>
      <w:r>
        <w:rPr>
          <w:rStyle w:val="15"/>
          <w:rFonts w:hint="eastAsia" w:ascii="仿宋" w:hAnsi="仿宋" w:eastAsia="仿宋"/>
          <w:bCs/>
          <w:sz w:val="32"/>
          <w:szCs w:val="32"/>
        </w:rPr>
        <w:t>。其中：</w:t>
      </w:r>
      <w:bookmarkEnd w:id="53"/>
      <w:bookmarkEnd w:id="54"/>
      <w:bookmarkEnd w:id="55"/>
    </w:p>
    <w:p>
      <w:pPr>
        <w:numPr>
          <w:ilvl w:val="0"/>
          <w:numId w:val="3"/>
        </w:numPr>
        <w:spacing w:line="600" w:lineRule="exact"/>
        <w:ind w:left="-10" w:leftChars="0" w:firstLine="640" w:firstLineChars="0"/>
        <w:rPr>
          <w:rStyle w:val="15"/>
          <w:rFonts w:ascii="仿宋" w:hAnsi="仿宋" w:eastAsia="仿宋"/>
          <w:b w:val="0"/>
          <w:bCs/>
          <w:sz w:val="32"/>
          <w:szCs w:val="32"/>
        </w:rPr>
      </w:pPr>
      <w:r>
        <w:rPr>
          <w:rStyle w:val="15"/>
          <w:rFonts w:hint="eastAsia" w:ascii="方正仿宋_GBK" w:hAnsi="仿宋" w:eastAsia="方正仿宋_GBK" w:cs="Times New Roman"/>
          <w:b w:val="0"/>
          <w:bCs/>
          <w:kern w:val="0"/>
          <w:sz w:val="32"/>
          <w:szCs w:val="32"/>
          <w:lang w:val="en-US" w:eastAsia="zh-CN" w:bidi="ar-SA"/>
        </w:rPr>
        <w:t>住房保障支出（类）住房改革支出（款）住房公积金（项）</w:t>
      </w:r>
      <w:r>
        <w:rPr>
          <w:rStyle w:val="15"/>
          <w:rFonts w:ascii="仿宋" w:hAnsi="仿宋" w:eastAsia="仿宋"/>
          <w:b w:val="0"/>
          <w:bCs/>
          <w:sz w:val="32"/>
          <w:szCs w:val="32"/>
        </w:rPr>
        <w:t xml:space="preserve"> </w:t>
      </w:r>
      <w:r>
        <w:rPr>
          <w:rStyle w:val="15"/>
          <w:rFonts w:hint="eastAsia" w:ascii="仿宋" w:hAnsi="仿宋" w:eastAsia="仿宋"/>
          <w:b w:val="0"/>
          <w:bCs/>
          <w:sz w:val="32"/>
          <w:szCs w:val="32"/>
        </w:rPr>
        <w:t>支出决算为81.58万元。完成预算100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p>
    <w:p>
      <w:pPr>
        <w:spacing w:line="600" w:lineRule="exact"/>
        <w:ind w:firstLine="640" w:firstLineChars="200"/>
        <w:rPr>
          <w:rStyle w:val="15"/>
          <w:rFonts w:ascii="仿宋" w:hAnsi="仿宋" w:eastAsia="仿宋"/>
          <w:b w:val="0"/>
          <w:bCs/>
          <w:sz w:val="32"/>
          <w:szCs w:val="32"/>
        </w:rPr>
      </w:pPr>
      <w:r>
        <w:rPr>
          <w:rStyle w:val="15"/>
          <w:rFonts w:hint="eastAsia" w:ascii="方正仿宋_GBK" w:hAnsi="仿宋" w:eastAsia="方正仿宋_GBK" w:cs="Times New Roman"/>
          <w:b w:val="0"/>
          <w:bCs/>
          <w:kern w:val="0"/>
          <w:sz w:val="32"/>
          <w:szCs w:val="32"/>
          <w:lang w:val="en-US" w:eastAsia="zh-CN" w:bidi="ar-SA"/>
        </w:rPr>
        <w:t>2.社会保障和就业（类）人力资源和社会保障管理事务（款）行政运行（项）:</w:t>
      </w:r>
      <w:r>
        <w:rPr>
          <w:rStyle w:val="15"/>
          <w:rFonts w:ascii="仿宋" w:hAnsi="仿宋" w:eastAsia="仿宋"/>
          <w:b w:val="0"/>
          <w:bCs/>
          <w:sz w:val="32"/>
          <w:szCs w:val="32"/>
        </w:rPr>
        <w:t xml:space="preserve"> </w:t>
      </w:r>
      <w:r>
        <w:rPr>
          <w:rStyle w:val="15"/>
          <w:rFonts w:hint="eastAsia" w:ascii="仿宋" w:hAnsi="仿宋" w:eastAsia="仿宋"/>
          <w:b w:val="0"/>
          <w:bCs/>
          <w:sz w:val="32"/>
          <w:szCs w:val="32"/>
        </w:rPr>
        <w:t>支出决算为486.91万元，完成预算100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p>
    <w:p>
      <w:pPr>
        <w:pStyle w:val="2"/>
        <w:spacing w:before="93"/>
        <w:ind w:firstLine="640" w:firstLineChars="200"/>
      </w:pPr>
      <w:r>
        <w:rPr>
          <w:rStyle w:val="15"/>
          <w:rFonts w:hint="eastAsia" w:ascii="方正仿宋_GBK" w:hAnsi="仿宋" w:eastAsia="方正仿宋_GBK"/>
          <w:b w:val="0"/>
          <w:bCs/>
          <w:sz w:val="32"/>
          <w:szCs w:val="32"/>
        </w:rPr>
        <w:t>3.社会保障和就业（类）人力资源和社会保障管理事务（款）社会保险经办机构（项）</w:t>
      </w:r>
      <w:r>
        <w:rPr>
          <w:rFonts w:hint="eastAsia"/>
          <w:color w:val="auto"/>
        </w:rPr>
        <w:t>65.41万</w:t>
      </w:r>
      <w:r>
        <w:rPr>
          <w:rFonts w:hint="eastAsia"/>
        </w:rPr>
        <w:t>元，</w:t>
      </w:r>
      <w:r>
        <w:rPr>
          <w:rStyle w:val="15"/>
          <w:rFonts w:hint="eastAsia" w:ascii="仿宋" w:hAnsi="仿宋" w:eastAsia="仿宋"/>
          <w:b w:val="0"/>
          <w:bCs/>
          <w:sz w:val="32"/>
          <w:szCs w:val="32"/>
        </w:rPr>
        <w:t>完成预算100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p>
    <w:p>
      <w:pPr>
        <w:pStyle w:val="2"/>
        <w:spacing w:before="93"/>
        <w:ind w:firstLine="640" w:firstLineChars="200"/>
      </w:pPr>
      <w:r>
        <w:rPr>
          <w:rStyle w:val="15"/>
          <w:rFonts w:hint="eastAsia" w:ascii="方正仿宋_GBK" w:hAnsi="仿宋" w:eastAsia="方正仿宋_GBK"/>
          <w:b w:val="0"/>
          <w:bCs/>
          <w:sz w:val="32"/>
          <w:szCs w:val="32"/>
        </w:rPr>
        <w:t>4.社会保障和就业（类）人力资源和社会保障管理事务（款）事业运行(项</w:t>
      </w:r>
      <w:r>
        <w:rPr>
          <w:rFonts w:hint="eastAsia"/>
        </w:rPr>
        <w:t>）205.33万元，</w:t>
      </w:r>
      <w:r>
        <w:rPr>
          <w:rStyle w:val="15"/>
          <w:rFonts w:hint="eastAsia" w:ascii="仿宋" w:hAnsi="仿宋" w:eastAsia="仿宋"/>
          <w:b w:val="0"/>
          <w:bCs/>
          <w:sz w:val="32"/>
          <w:szCs w:val="32"/>
        </w:rPr>
        <w:t>完成预算100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p>
    <w:p>
      <w:pPr>
        <w:pStyle w:val="2"/>
        <w:spacing w:before="93"/>
        <w:ind w:firstLine="640" w:firstLineChars="200"/>
      </w:pPr>
      <w:r>
        <w:rPr>
          <w:rStyle w:val="15"/>
          <w:rFonts w:hint="eastAsia" w:ascii="方正仿宋_GBK" w:hAnsi="仿宋" w:eastAsia="方正仿宋_GBK"/>
          <w:b w:val="0"/>
          <w:bCs/>
          <w:sz w:val="32"/>
          <w:szCs w:val="32"/>
          <w:lang w:val="en-US" w:eastAsia="zh-CN"/>
        </w:rPr>
        <w:t>5</w:t>
      </w:r>
      <w:r>
        <w:rPr>
          <w:rStyle w:val="15"/>
          <w:rFonts w:hint="eastAsia" w:ascii="方正仿宋_GBK" w:hAnsi="仿宋" w:eastAsia="方正仿宋_GBK"/>
          <w:b w:val="0"/>
          <w:bCs/>
          <w:sz w:val="32"/>
          <w:szCs w:val="32"/>
        </w:rPr>
        <w:t>.社会保障和就业（类）人力资源和社会保障管理事务（款）其他人力资源和社会保障管理事务支出（项）</w:t>
      </w:r>
      <w:r>
        <w:rPr>
          <w:rFonts w:hint="eastAsia"/>
        </w:rPr>
        <w:t xml:space="preserve"> 170.27万元，</w:t>
      </w:r>
      <w:r>
        <w:rPr>
          <w:rStyle w:val="15"/>
          <w:rFonts w:hint="eastAsia" w:ascii="仿宋" w:hAnsi="仿宋" w:eastAsia="仿宋"/>
          <w:b w:val="0"/>
          <w:bCs/>
          <w:sz w:val="32"/>
          <w:szCs w:val="32"/>
        </w:rPr>
        <w:t>完成预算100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p>
    <w:p>
      <w:pPr>
        <w:pStyle w:val="2"/>
        <w:spacing w:before="93"/>
        <w:ind w:firstLine="640" w:firstLineChars="200"/>
      </w:pPr>
      <w:r>
        <w:rPr>
          <w:rStyle w:val="15"/>
          <w:rFonts w:hint="eastAsia" w:ascii="方正仿宋_GBK" w:hAnsi="仿宋" w:eastAsia="方正仿宋_GBK"/>
          <w:b w:val="0"/>
          <w:bCs/>
          <w:sz w:val="32"/>
          <w:szCs w:val="32"/>
          <w:lang w:val="en-US" w:eastAsia="zh-CN"/>
        </w:rPr>
        <w:t>6</w:t>
      </w:r>
      <w:r>
        <w:rPr>
          <w:rStyle w:val="15"/>
          <w:rFonts w:hint="eastAsia" w:ascii="方正仿宋_GBK" w:hAnsi="仿宋" w:eastAsia="方正仿宋_GBK"/>
          <w:b w:val="0"/>
          <w:bCs/>
          <w:sz w:val="32"/>
          <w:szCs w:val="32"/>
        </w:rPr>
        <w:t>.社会保障和就业（类）行政事业单位养老支出（款）其他人行政单位离退休（项）</w:t>
      </w:r>
      <w:r>
        <w:rPr>
          <w:rFonts w:hint="eastAsia"/>
        </w:rPr>
        <w:t>26.36万元，</w:t>
      </w:r>
      <w:r>
        <w:rPr>
          <w:rStyle w:val="15"/>
          <w:rFonts w:hint="eastAsia" w:ascii="仿宋" w:hAnsi="仿宋" w:eastAsia="仿宋"/>
          <w:b w:val="0"/>
          <w:bCs/>
          <w:sz w:val="32"/>
          <w:szCs w:val="32"/>
        </w:rPr>
        <w:t>完成预算100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p>
    <w:p>
      <w:pPr>
        <w:pStyle w:val="2"/>
        <w:spacing w:before="93"/>
        <w:ind w:firstLine="640" w:firstLineChars="200"/>
      </w:pPr>
      <w:r>
        <w:rPr>
          <w:rStyle w:val="15"/>
          <w:rFonts w:hint="eastAsia" w:ascii="方正仿宋_GBK" w:hAnsi="仿宋" w:eastAsia="方正仿宋_GBK"/>
          <w:b w:val="0"/>
          <w:bCs/>
          <w:sz w:val="32"/>
          <w:szCs w:val="32"/>
          <w:lang w:val="en-US" w:eastAsia="zh-CN"/>
        </w:rPr>
        <w:t>7</w:t>
      </w:r>
      <w:r>
        <w:rPr>
          <w:rStyle w:val="15"/>
          <w:rFonts w:hint="eastAsia" w:ascii="方正仿宋_GBK" w:hAnsi="仿宋" w:eastAsia="方正仿宋_GBK"/>
          <w:b w:val="0"/>
          <w:bCs/>
          <w:sz w:val="32"/>
          <w:szCs w:val="32"/>
        </w:rPr>
        <w:t>.社会保障和就业（类）行政事业单位养老支出（款）其他人机关事业单位基本养老保险缴费支出（项）</w:t>
      </w:r>
      <w:r>
        <w:rPr>
          <w:rFonts w:hint="eastAsia"/>
        </w:rPr>
        <w:tab/>
      </w:r>
      <w:r>
        <w:rPr>
          <w:rFonts w:hint="eastAsia"/>
        </w:rPr>
        <w:t>65.24万元，</w:t>
      </w:r>
      <w:r>
        <w:rPr>
          <w:rStyle w:val="15"/>
          <w:rFonts w:hint="eastAsia" w:ascii="仿宋" w:hAnsi="仿宋" w:eastAsia="仿宋"/>
          <w:b w:val="0"/>
          <w:bCs/>
          <w:sz w:val="32"/>
          <w:szCs w:val="32"/>
        </w:rPr>
        <w:t>完成预算100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p>
    <w:p>
      <w:pPr>
        <w:pStyle w:val="2"/>
        <w:spacing w:before="93"/>
        <w:ind w:firstLine="640" w:firstLineChars="200"/>
      </w:pPr>
      <w:r>
        <w:rPr>
          <w:rStyle w:val="15"/>
          <w:rFonts w:hint="eastAsia" w:ascii="方正仿宋_GBK" w:hAnsi="仿宋" w:eastAsia="方正仿宋_GBK"/>
          <w:b w:val="0"/>
          <w:bCs/>
          <w:sz w:val="32"/>
          <w:szCs w:val="32"/>
          <w:lang w:val="en-US" w:eastAsia="zh-CN"/>
        </w:rPr>
        <w:t>8</w:t>
      </w:r>
      <w:r>
        <w:rPr>
          <w:rStyle w:val="15"/>
          <w:rFonts w:hint="eastAsia" w:ascii="方正仿宋_GBK" w:hAnsi="仿宋" w:eastAsia="方正仿宋_GBK"/>
          <w:b w:val="0"/>
          <w:bCs/>
          <w:sz w:val="32"/>
          <w:szCs w:val="32"/>
        </w:rPr>
        <w:t>.社会保障和就业（类）行政事业单位养老支出（款）机关事业单位职业年金缴费支出（项）</w:t>
      </w:r>
      <w:r>
        <w:rPr>
          <w:rFonts w:hint="eastAsia"/>
        </w:rPr>
        <w:t>5.33万元，</w:t>
      </w:r>
      <w:r>
        <w:rPr>
          <w:rStyle w:val="15"/>
          <w:rFonts w:hint="eastAsia" w:ascii="仿宋" w:hAnsi="仿宋" w:eastAsia="仿宋"/>
          <w:b w:val="0"/>
          <w:bCs/>
          <w:sz w:val="32"/>
          <w:szCs w:val="32"/>
        </w:rPr>
        <w:t>完成预算100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p>
    <w:p>
      <w:pPr>
        <w:pStyle w:val="2"/>
        <w:spacing w:before="93"/>
        <w:ind w:firstLine="640" w:firstLineChars="200"/>
      </w:pPr>
      <w:r>
        <w:rPr>
          <w:rStyle w:val="15"/>
          <w:rFonts w:hint="eastAsia" w:ascii="方正仿宋_GBK" w:hAnsi="仿宋" w:eastAsia="方正仿宋_GBK"/>
          <w:b w:val="0"/>
          <w:bCs/>
          <w:sz w:val="32"/>
          <w:szCs w:val="32"/>
          <w:lang w:val="en-US" w:eastAsia="zh-CN"/>
        </w:rPr>
        <w:t>9</w:t>
      </w:r>
      <w:r>
        <w:rPr>
          <w:rStyle w:val="15"/>
          <w:rFonts w:hint="eastAsia" w:ascii="方正仿宋_GBK" w:hAnsi="仿宋" w:eastAsia="方正仿宋_GBK"/>
          <w:b w:val="0"/>
          <w:bCs/>
          <w:sz w:val="32"/>
          <w:szCs w:val="32"/>
        </w:rPr>
        <w:t>.社会保障和就业（类）就业补助（款）其他就业补助支出（项）</w:t>
      </w:r>
      <w:r>
        <w:rPr>
          <w:rFonts w:hint="eastAsia"/>
        </w:rPr>
        <w:t>1,568.01万元，</w:t>
      </w:r>
      <w:r>
        <w:rPr>
          <w:rStyle w:val="15"/>
          <w:rFonts w:hint="eastAsia" w:ascii="仿宋" w:hAnsi="仿宋" w:eastAsia="仿宋"/>
          <w:b w:val="0"/>
          <w:bCs/>
          <w:sz w:val="32"/>
          <w:szCs w:val="32"/>
        </w:rPr>
        <w:t>完成预算100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p>
    <w:p>
      <w:pPr>
        <w:pStyle w:val="2"/>
        <w:spacing w:before="93"/>
        <w:ind w:firstLine="640" w:firstLineChars="200"/>
        <w:rPr>
          <w:rStyle w:val="15"/>
          <w:rFonts w:ascii="仿宋" w:hAnsi="仿宋" w:eastAsia="仿宋"/>
          <w:b w:val="0"/>
          <w:bCs/>
          <w:sz w:val="32"/>
          <w:szCs w:val="32"/>
        </w:rPr>
      </w:pPr>
      <w:r>
        <w:rPr>
          <w:rStyle w:val="15"/>
          <w:rFonts w:hint="eastAsia" w:ascii="方正仿宋_GBK" w:hAnsi="仿宋" w:eastAsia="方正仿宋_GBK"/>
          <w:b w:val="0"/>
          <w:bCs/>
          <w:sz w:val="32"/>
          <w:szCs w:val="32"/>
          <w:lang w:val="en-US" w:eastAsia="zh-CN"/>
        </w:rPr>
        <w:t>10</w:t>
      </w:r>
      <w:r>
        <w:rPr>
          <w:rStyle w:val="15"/>
          <w:rFonts w:hint="eastAsia" w:ascii="方正仿宋_GBK" w:hAnsi="仿宋" w:eastAsia="方正仿宋_GBK"/>
          <w:b w:val="0"/>
          <w:bCs/>
          <w:sz w:val="32"/>
          <w:szCs w:val="32"/>
        </w:rPr>
        <w:t>.社会保障和就业（类）财政代缴城乡居民基本养老保险费支出（款）</w:t>
      </w:r>
      <w:r>
        <w:rPr>
          <w:rFonts w:hint="eastAsia"/>
        </w:rPr>
        <w:t>财政代缴城乡居民基本养老保险费支出</w:t>
      </w:r>
      <w:r>
        <w:rPr>
          <w:rStyle w:val="15"/>
          <w:rFonts w:hint="eastAsia" w:ascii="方正仿宋_GBK" w:hAnsi="仿宋" w:eastAsia="方正仿宋_GBK"/>
          <w:b w:val="0"/>
          <w:bCs/>
          <w:sz w:val="32"/>
          <w:szCs w:val="32"/>
        </w:rPr>
        <w:t>（项）</w:t>
      </w:r>
      <w:r>
        <w:rPr>
          <w:rFonts w:hint="eastAsia"/>
        </w:rPr>
        <w:t>17.85万元，</w:t>
      </w:r>
      <w:r>
        <w:rPr>
          <w:rStyle w:val="15"/>
          <w:rFonts w:hint="eastAsia" w:ascii="仿宋" w:hAnsi="仿宋" w:eastAsia="仿宋"/>
          <w:b w:val="0"/>
          <w:bCs/>
          <w:sz w:val="32"/>
          <w:szCs w:val="32"/>
        </w:rPr>
        <w:t>完成预算100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p>
    <w:p>
      <w:pPr>
        <w:pStyle w:val="2"/>
        <w:spacing w:before="93"/>
        <w:ind w:firstLine="640" w:firstLineChars="200"/>
      </w:pPr>
      <w:r>
        <w:rPr>
          <w:rStyle w:val="15"/>
          <w:rFonts w:hint="eastAsia" w:ascii="方正仿宋_GBK" w:hAnsi="仿宋" w:eastAsia="方正仿宋_GBK"/>
          <w:b w:val="0"/>
          <w:bCs/>
          <w:sz w:val="32"/>
          <w:szCs w:val="32"/>
          <w:lang w:val="en-US" w:eastAsia="zh-CN"/>
        </w:rPr>
        <w:t>11</w:t>
      </w:r>
      <w:r>
        <w:rPr>
          <w:rStyle w:val="15"/>
          <w:rFonts w:hint="eastAsia" w:ascii="方正仿宋_GBK" w:hAnsi="仿宋" w:eastAsia="方正仿宋_GBK"/>
          <w:b w:val="0"/>
          <w:bCs/>
          <w:sz w:val="32"/>
          <w:szCs w:val="32"/>
        </w:rPr>
        <w:t>.卫生健康支出（类）行政事业单位医疗（款）行政单位医疗（项）</w:t>
      </w:r>
      <w:r>
        <w:rPr>
          <w:rFonts w:hint="eastAsia"/>
        </w:rPr>
        <w:t>28.69万元。</w:t>
      </w:r>
      <w:r>
        <w:rPr>
          <w:rStyle w:val="15"/>
          <w:rFonts w:hint="eastAsia" w:ascii="仿宋" w:hAnsi="仿宋" w:eastAsia="仿宋"/>
          <w:b w:val="0"/>
          <w:bCs/>
          <w:sz w:val="32"/>
          <w:szCs w:val="32"/>
        </w:rPr>
        <w:t>完成预算100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p>
    <w:p>
      <w:pPr>
        <w:pStyle w:val="2"/>
        <w:spacing w:before="93"/>
        <w:ind w:firstLine="640" w:firstLineChars="200"/>
      </w:pPr>
      <w:r>
        <w:rPr>
          <w:rStyle w:val="15"/>
          <w:rFonts w:hint="eastAsia" w:ascii="方正仿宋_GBK" w:hAnsi="仿宋" w:eastAsia="方正仿宋_GBK"/>
          <w:b w:val="0"/>
          <w:bCs/>
          <w:sz w:val="32"/>
          <w:szCs w:val="32"/>
          <w:lang w:val="en-US" w:eastAsia="zh-CN"/>
        </w:rPr>
        <w:t>12</w:t>
      </w:r>
      <w:r>
        <w:rPr>
          <w:rStyle w:val="15"/>
          <w:rFonts w:hint="eastAsia" w:ascii="方正仿宋_GBK" w:hAnsi="仿宋" w:eastAsia="方正仿宋_GBK"/>
          <w:b w:val="0"/>
          <w:bCs/>
          <w:sz w:val="32"/>
          <w:szCs w:val="32"/>
        </w:rPr>
        <w:t>.卫生健康支出（类）行政事业单位医疗（款）事业单位医疗（项）</w:t>
      </w:r>
      <w:r>
        <w:rPr>
          <w:rFonts w:hint="eastAsia"/>
        </w:rPr>
        <w:tab/>
      </w:r>
      <w:r>
        <w:rPr>
          <w:rFonts w:hint="eastAsia"/>
        </w:rPr>
        <w:t>12.88万元。</w:t>
      </w:r>
      <w:r>
        <w:rPr>
          <w:rStyle w:val="15"/>
          <w:rFonts w:hint="eastAsia" w:ascii="仿宋" w:hAnsi="仿宋" w:eastAsia="仿宋"/>
          <w:b w:val="0"/>
          <w:bCs/>
          <w:sz w:val="32"/>
          <w:szCs w:val="32"/>
        </w:rPr>
        <w:t>完成预算100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p>
    <w:p>
      <w:pPr>
        <w:pStyle w:val="2"/>
        <w:spacing w:before="93"/>
        <w:ind w:firstLine="640" w:firstLineChars="200"/>
      </w:pPr>
      <w:r>
        <w:rPr>
          <w:rStyle w:val="15"/>
          <w:rFonts w:hint="eastAsia" w:ascii="方正仿宋_GBK" w:hAnsi="仿宋" w:eastAsia="方正仿宋_GBK"/>
          <w:b w:val="0"/>
          <w:bCs/>
          <w:sz w:val="32"/>
          <w:szCs w:val="32"/>
          <w:lang w:val="en-US" w:eastAsia="zh-CN"/>
        </w:rPr>
        <w:t>13</w:t>
      </w:r>
      <w:r>
        <w:rPr>
          <w:rStyle w:val="15"/>
          <w:rFonts w:hint="eastAsia" w:ascii="方正仿宋_GBK" w:hAnsi="仿宋" w:eastAsia="方正仿宋_GBK"/>
          <w:b w:val="0"/>
          <w:bCs/>
          <w:sz w:val="32"/>
          <w:szCs w:val="32"/>
        </w:rPr>
        <w:t>.卫生健康支出（类）行政事业单位医疗（款）公务员医疗补助（项）</w:t>
      </w:r>
      <w:r>
        <w:rPr>
          <w:rFonts w:hint="eastAsia"/>
        </w:rPr>
        <w:t>5.51万元。</w:t>
      </w:r>
      <w:r>
        <w:rPr>
          <w:rStyle w:val="15"/>
          <w:rFonts w:hint="eastAsia" w:ascii="仿宋" w:hAnsi="仿宋" w:eastAsia="仿宋"/>
          <w:b w:val="0"/>
          <w:bCs/>
          <w:sz w:val="32"/>
          <w:szCs w:val="32"/>
        </w:rPr>
        <w:t>完成预算100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p>
    <w:p>
      <w:pPr>
        <w:tabs>
          <w:tab w:val="right" w:pos="8306"/>
        </w:tabs>
        <w:spacing w:line="600" w:lineRule="exact"/>
        <w:ind w:firstLine="640"/>
        <w:outlineLvl w:val="1"/>
        <w:rPr>
          <w:rStyle w:val="26"/>
        </w:rPr>
      </w:pPr>
      <w:bookmarkStart w:id="56" w:name="_Toc16928"/>
      <w:bookmarkStart w:id="57" w:name="_Toc15377214"/>
      <w:bookmarkStart w:id="58"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6"/>
          <w:rFonts w:hint="eastAsia" w:ascii="黑体" w:hAnsi="黑体" w:eastAsia="黑体"/>
          <w:b w:val="0"/>
        </w:rPr>
        <w:t>般公共预算财政拨款基本支出决算情况说明</w:t>
      </w:r>
      <w:bookmarkEnd w:id="56"/>
      <w:bookmarkEnd w:id="57"/>
      <w:bookmarkEnd w:id="58"/>
      <w:r>
        <w:rPr>
          <w:rStyle w:val="26"/>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21年一般公共预算财政拨款基本支出1061.64万元，其中：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876.35万元，主要包括：基本工资196.26万元、津贴补贴261.64万元、奖金36.98万元、伙食补助费0万元、绩效工资113.47万元、机关事业单位基本养老保险缴费65.24万元、职业年金缴费5.33万元、职工基本医疗保险缴费41.57万元其他社会保障缴费2.20万元、其他工资福利支出21.93万元、离休费13.05万元、退休费0万元、抚恤金0万元、生活补助31.57万元、医疗费补助5.51万元、奖励金0万元、住房公积金81.58万元、其他对个人和家庭的补助支出0.02万元等。</w:t>
      </w:r>
      <w:r>
        <w:rPr>
          <w:rFonts w:ascii="仿宋" w:hAnsi="仿宋" w:eastAsia="仿宋"/>
          <w:sz w:val="32"/>
          <w:szCs w:val="32"/>
        </w:rPr>
        <w:br w:type="textWrapping"/>
      </w:r>
      <w:r>
        <w:rPr>
          <w:rFonts w:hint="eastAsia" w:ascii="仿宋" w:hAnsi="仿宋" w:eastAsia="仿宋"/>
          <w:sz w:val="32"/>
          <w:szCs w:val="32"/>
        </w:rPr>
        <w:t>　　公用经费185.28万元，主要包括：办公费10.96万元、印刷费0.21万元、咨询费0.30万元、手续费0.12万元、水费0万元、电费0万元、邮电费1.63万元、取暖费0万元、物业管理费0万元、差旅费4.54万元、因公出国（境）费用0万元、维修（护）费0.72万元、租赁费0.10万元、会议费0万元、培训费0.90万元、公务接待费0.37万元、劳务费120.70万元、委托业务费0万元、工会经费7.90万元、福利费0.99万元、公务用车运行维护费0万元、其他交通费30.95万元、税金及附加费用0万元、其他商品和服务支出4.89万元、办公设备购置0万元、专用设备购置0万元、信息网络及软件购置更新0万元、其他资本性支出0万元等。</w:t>
      </w:r>
    </w:p>
    <w:p>
      <w:pPr>
        <w:spacing w:line="600" w:lineRule="exact"/>
        <w:ind w:firstLine="640"/>
        <w:outlineLvl w:val="1"/>
        <w:rPr>
          <w:rStyle w:val="26"/>
          <w:rFonts w:ascii="黑体" w:hAnsi="黑体" w:eastAsia="黑体"/>
          <w:b w:val="0"/>
        </w:rPr>
      </w:pPr>
      <w:bookmarkStart w:id="59" w:name="_Toc15377215"/>
      <w:bookmarkStart w:id="60" w:name="_Toc10581"/>
      <w:bookmarkStart w:id="61" w:name="_Toc15396609"/>
      <w:r>
        <w:rPr>
          <w:rFonts w:hint="eastAsia" w:ascii="黑体" w:eastAsia="黑体"/>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59"/>
      <w:bookmarkEnd w:id="60"/>
      <w:bookmarkEnd w:id="61"/>
    </w:p>
    <w:p>
      <w:pPr>
        <w:spacing w:line="600" w:lineRule="exact"/>
        <w:ind w:firstLine="640"/>
        <w:outlineLvl w:val="2"/>
        <w:rPr>
          <w:rFonts w:ascii="仿宋" w:hAnsi="仿宋" w:eastAsia="仿宋"/>
          <w:b/>
          <w:sz w:val="32"/>
          <w:szCs w:val="32"/>
        </w:rPr>
      </w:pPr>
      <w:bookmarkStart w:id="62" w:name="_Toc15377216"/>
      <w:r>
        <w:rPr>
          <w:rFonts w:hint="eastAsia" w:ascii="仿宋" w:hAnsi="仿宋" w:eastAsia="仿宋"/>
          <w:b/>
          <w:sz w:val="32"/>
          <w:szCs w:val="32"/>
        </w:rPr>
        <w:t>（一）“三公”经费财政拨款支出决算总体情况说明</w:t>
      </w:r>
      <w:bookmarkEnd w:id="62"/>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21年“三公”经费财政拨款支出决算为0.37万元，完成预算100</w:t>
      </w:r>
      <w:r>
        <w:rPr>
          <w:rFonts w:ascii="仿宋" w:hAnsi="仿宋" w:eastAsia="仿宋"/>
          <w:sz w:val="32"/>
          <w:szCs w:val="32"/>
        </w:rPr>
        <w:t>%</w:t>
      </w:r>
      <w:r>
        <w:rPr>
          <w:rFonts w:hint="eastAsia" w:ascii="仿宋" w:hAnsi="仿宋" w:eastAsia="仿宋"/>
          <w:sz w:val="32"/>
          <w:szCs w:val="32"/>
        </w:rPr>
        <w:t>，决算数小于预算数的主要原因是按照财政要求控制成本支出。</w:t>
      </w:r>
    </w:p>
    <w:p>
      <w:pPr>
        <w:spacing w:line="600" w:lineRule="exact"/>
        <w:ind w:firstLine="640"/>
        <w:outlineLvl w:val="2"/>
        <w:rPr>
          <w:rFonts w:ascii="仿宋" w:hAnsi="仿宋" w:eastAsia="仿宋"/>
          <w:b/>
          <w:sz w:val="32"/>
          <w:szCs w:val="32"/>
        </w:rPr>
      </w:pPr>
      <w:bookmarkStart w:id="63" w:name="_Toc15377217"/>
      <w:r>
        <w:rPr>
          <w:rFonts w:hint="eastAsia" w:ascii="仿宋" w:hAnsi="仿宋" w:eastAsia="仿宋"/>
          <w:b/>
          <w:sz w:val="32"/>
          <w:szCs w:val="32"/>
        </w:rPr>
        <w:t>（二）“三公”经费财政拨款支出决算具体情况说明</w:t>
      </w:r>
      <w:bookmarkEnd w:id="63"/>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；公务用车购置及运行维护费支出决算0万元，占0</w:t>
      </w:r>
      <w:r>
        <w:rPr>
          <w:rFonts w:ascii="仿宋" w:hAnsi="仿宋" w:eastAsia="仿宋"/>
          <w:sz w:val="32"/>
          <w:szCs w:val="32"/>
        </w:rPr>
        <w:t>%</w:t>
      </w:r>
      <w:r>
        <w:rPr>
          <w:rFonts w:hint="eastAsia" w:ascii="仿宋" w:hAnsi="仿宋" w:eastAsia="仿宋"/>
          <w:sz w:val="32"/>
          <w:szCs w:val="32"/>
        </w:rPr>
        <w:t>；公务接待费支出决算0.37万元，占100</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pPr>
        <w:pStyle w:val="2"/>
        <w:spacing w:before="93"/>
        <w:rPr>
          <w:rFonts w:ascii="仿宋" w:hAnsi="仿宋" w:eastAsia="仿宋"/>
          <w:sz w:val="32"/>
          <w:szCs w:val="32"/>
        </w:rPr>
      </w:pPr>
      <w:r>
        <w:drawing>
          <wp:anchor distT="0" distB="0" distL="114300" distR="114300" simplePos="0" relativeHeight="251665408" behindDoc="0" locked="0" layoutInCell="1" allowOverlap="1">
            <wp:simplePos x="0" y="0"/>
            <wp:positionH relativeFrom="column">
              <wp:posOffset>267335</wp:posOffset>
            </wp:positionH>
            <wp:positionV relativeFrom="paragraph">
              <wp:posOffset>105410</wp:posOffset>
            </wp:positionV>
            <wp:extent cx="4956810" cy="3058795"/>
            <wp:effectExtent l="0" t="0" r="8890" b="1905"/>
            <wp:wrapNone/>
            <wp:docPr id="1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3"/>
                    <pic:cNvPicPr>
                      <a:picLocks noChangeAspect="1"/>
                    </pic:cNvPicPr>
                  </pic:nvPicPr>
                  <pic:blipFill>
                    <a:blip r:embed="rId12"/>
                    <a:stretch>
                      <a:fillRect/>
                    </a:stretch>
                  </pic:blipFill>
                  <pic:spPr>
                    <a:xfrm>
                      <a:off x="0" y="0"/>
                      <a:ext cx="4956810" cy="3058795"/>
                    </a:xfrm>
                    <a:prstGeom prst="rect">
                      <a:avLst/>
                    </a:prstGeom>
                    <a:noFill/>
                    <a:ln>
                      <a:noFill/>
                    </a:ln>
                  </pic:spPr>
                </pic:pic>
              </a:graphicData>
            </a:graphic>
          </wp:anchor>
        </w:drawing>
      </w:r>
    </w:p>
    <w:p>
      <w:pPr>
        <w:pStyle w:val="2"/>
        <w:spacing w:before="93"/>
        <w:rPr>
          <w:rFonts w:ascii="仿宋" w:hAnsi="仿宋" w:eastAsia="仿宋"/>
          <w:sz w:val="32"/>
          <w:szCs w:val="32"/>
        </w:rPr>
      </w:pPr>
    </w:p>
    <w:p>
      <w:pPr>
        <w:pStyle w:val="2"/>
        <w:spacing w:before="93"/>
        <w:rPr>
          <w:rFonts w:ascii="仿宋" w:hAnsi="仿宋" w:eastAsia="仿宋"/>
          <w:sz w:val="32"/>
          <w:szCs w:val="32"/>
        </w:rPr>
      </w:pPr>
    </w:p>
    <w:p>
      <w:pPr>
        <w:pStyle w:val="2"/>
        <w:spacing w:before="93"/>
        <w:rPr>
          <w:rFonts w:ascii="仿宋" w:hAnsi="仿宋" w:eastAsia="仿宋"/>
          <w:sz w:val="32"/>
          <w:szCs w:val="32"/>
        </w:rPr>
      </w:pPr>
    </w:p>
    <w:p>
      <w:pPr>
        <w:pStyle w:val="2"/>
        <w:spacing w:before="93"/>
        <w:rPr>
          <w:rFonts w:ascii="仿宋" w:hAnsi="仿宋" w:eastAsia="仿宋"/>
          <w:sz w:val="32"/>
          <w:szCs w:val="32"/>
        </w:rPr>
      </w:pPr>
    </w:p>
    <w:p>
      <w:pPr>
        <w:pStyle w:val="2"/>
        <w:spacing w:before="93"/>
        <w:rPr>
          <w:rFonts w:ascii="仿宋" w:hAnsi="仿宋" w:eastAsia="仿宋"/>
          <w:sz w:val="32"/>
          <w:szCs w:val="32"/>
        </w:rPr>
      </w:pPr>
    </w:p>
    <w:p>
      <w:pPr>
        <w:pStyle w:val="2"/>
        <w:spacing w:before="93"/>
        <w:rPr>
          <w:rFonts w:ascii="仿宋" w:hAnsi="仿宋" w:eastAsia="仿宋"/>
          <w:sz w:val="32"/>
          <w:szCs w:val="32"/>
        </w:rPr>
      </w:pPr>
    </w:p>
    <w:p>
      <w:pPr>
        <w:numPr>
          <w:ilvl w:val="0"/>
          <w:numId w:val="4"/>
        </w:numPr>
        <w:spacing w:line="600" w:lineRule="exact"/>
        <w:ind w:firstLine="640"/>
        <w:rPr>
          <w:rFonts w:ascii="仿宋_GB2312" w:eastAsia="仿宋_GB2312"/>
          <w:sz w:val="32"/>
          <w:szCs w:val="32"/>
        </w:rPr>
      </w:pP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5"/>
          <w:rFonts w:hint="eastAsia" w:ascii="仿宋" w:hAnsi="仿宋" w:eastAsia="仿宋"/>
          <w:b w:val="0"/>
          <w:bCs/>
          <w:sz w:val="32"/>
          <w:szCs w:val="32"/>
        </w:rPr>
        <w:t>完成预算0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全年安排因公出国（境）团组0次，出国（境）0人。因公出国（境）支出决算比</w:t>
      </w:r>
      <w:r>
        <w:rPr>
          <w:rFonts w:ascii="仿宋_GB2312" w:eastAsia="仿宋_GB2312"/>
          <w:sz w:val="32"/>
          <w:szCs w:val="32"/>
        </w:rPr>
        <w:t>20</w:t>
      </w:r>
      <w:r>
        <w:rPr>
          <w:rFonts w:hint="eastAsia" w:ascii="仿宋_GB2312" w:eastAsia="仿宋_GB2312"/>
          <w:sz w:val="32"/>
          <w:szCs w:val="32"/>
        </w:rPr>
        <w:t>20年增加0万元，增长0</w:t>
      </w:r>
      <w:r>
        <w:rPr>
          <w:rFonts w:ascii="仿宋_GB2312" w:eastAsia="仿宋_GB2312"/>
          <w:sz w:val="32"/>
          <w:szCs w:val="32"/>
        </w:rPr>
        <w:t>%</w:t>
      </w:r>
      <w:r>
        <w:rPr>
          <w:rFonts w:hint="eastAsia" w:ascii="仿宋_GB2312" w:eastAsia="仿宋_GB2312"/>
          <w:sz w:val="32"/>
          <w:szCs w:val="32"/>
        </w:rPr>
        <w:t>。</w:t>
      </w:r>
    </w:p>
    <w:p>
      <w:pPr>
        <w:spacing w:line="600" w:lineRule="exact"/>
        <w:ind w:firstLine="643" w:firstLineChars="20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0万元,</w:t>
      </w:r>
      <w:r>
        <w:rPr>
          <w:rStyle w:val="15"/>
          <w:rFonts w:hint="eastAsia" w:ascii="仿宋" w:hAnsi="仿宋" w:eastAsia="仿宋"/>
          <w:b w:val="0"/>
          <w:bCs/>
          <w:sz w:val="32"/>
          <w:szCs w:val="32"/>
        </w:rPr>
        <w:t>完成预算0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20年增加0万元，增长0</w:t>
      </w:r>
      <w:r>
        <w:rPr>
          <w:rFonts w:ascii="仿宋_GB2312" w:eastAsia="仿宋_GB2312"/>
          <w:sz w:val="32"/>
          <w:szCs w:val="32"/>
        </w:rPr>
        <w:t>%</w:t>
      </w:r>
      <w:r>
        <w:rPr>
          <w:rFonts w:hint="eastAsia" w:ascii="仿宋_GB2312" w:eastAsia="仿宋_GB2312"/>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0万元。全年按规定更新购置公务用车0辆，其中：轿车0辆、金额0万元，越野车0辆、金额0万元，载客汽车0辆、金额0万元，截至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月底，单位共有公务用车0辆，其中：轿车0辆、越野车0辆、载客汽车0辆。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0万元。</w:t>
      </w:r>
    </w:p>
    <w:p>
      <w:pPr>
        <w:spacing w:line="600" w:lineRule="exact"/>
        <w:ind w:firstLine="640"/>
        <w:rPr>
          <w:rFonts w:ascii="仿宋" w:hAnsi="仿宋" w:eastAsia="仿宋"/>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0.37万元，</w:t>
      </w:r>
      <w:r>
        <w:rPr>
          <w:rStyle w:val="15"/>
          <w:rFonts w:hint="eastAsia" w:ascii="仿宋" w:hAnsi="仿宋" w:eastAsia="仿宋"/>
          <w:b w:val="0"/>
          <w:bCs/>
          <w:sz w:val="32"/>
          <w:szCs w:val="32"/>
        </w:rPr>
        <w:t>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20年减少0.74万元，下降66.72</w:t>
      </w:r>
      <w:r>
        <w:rPr>
          <w:rFonts w:ascii="仿宋_GB2312" w:eastAsia="仿宋_GB2312"/>
          <w:sz w:val="32"/>
          <w:szCs w:val="32"/>
        </w:rPr>
        <w:t>%</w:t>
      </w:r>
      <w:r>
        <w:rPr>
          <w:rFonts w:hint="eastAsia" w:ascii="仿宋_GB2312" w:eastAsia="仿宋_GB2312"/>
          <w:sz w:val="32"/>
          <w:szCs w:val="32"/>
        </w:rPr>
        <w:t>。主要原因是</w:t>
      </w:r>
      <w:r>
        <w:rPr>
          <w:rFonts w:hint="eastAsia" w:ascii="仿宋" w:hAnsi="仿宋" w:eastAsia="仿宋"/>
          <w:sz w:val="32"/>
          <w:szCs w:val="32"/>
        </w:rPr>
        <w:t>按照财政要求控制成本支出。</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_GB2312" w:eastAsia="仿宋_GB2312"/>
          <w:sz w:val="32"/>
          <w:szCs w:val="32"/>
        </w:rPr>
        <w:t>0.37万元，主要用于</w:t>
      </w:r>
      <w:r>
        <w:rPr>
          <w:rFonts w:eastAsia="仿宋_GB2312"/>
          <w:color w:val="000000"/>
          <w:sz w:val="32"/>
          <w:szCs w:val="32"/>
        </w:rPr>
        <w:t>主要用于执行公务、开展业务活动开支用餐费等</w:t>
      </w:r>
      <w:r>
        <w:rPr>
          <w:rFonts w:hint="eastAsia" w:ascii="仿宋_GB2312" w:eastAsia="仿宋_GB2312"/>
          <w:sz w:val="32"/>
          <w:szCs w:val="32"/>
        </w:rPr>
        <w:t>。国内公务接待3批次，35人次（不包括陪同人员），共计支出0.37万元。</w:t>
      </w:r>
    </w:p>
    <w:p>
      <w:pPr>
        <w:spacing w:line="600" w:lineRule="exact"/>
        <w:ind w:firstLine="643" w:firstLineChars="200"/>
        <w:rPr>
          <w:rFonts w:ascii="黑体" w:eastAsia="黑体"/>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万元，外事接待0批次，0人，共计支出0万元。</w:t>
      </w:r>
      <w:bookmarkStart w:id="64" w:name="_Toc15377218"/>
      <w:bookmarkStart w:id="65" w:name="_Toc15396610"/>
    </w:p>
    <w:p>
      <w:pPr>
        <w:spacing w:line="600" w:lineRule="exact"/>
        <w:ind w:firstLine="640"/>
        <w:outlineLvl w:val="1"/>
        <w:rPr>
          <w:rStyle w:val="26"/>
          <w:rFonts w:ascii="黑体" w:hAnsi="黑体" w:eastAsia="黑体"/>
        </w:rPr>
      </w:pPr>
      <w:bookmarkStart w:id="66" w:name="_Toc10445"/>
      <w:r>
        <w:rPr>
          <w:rFonts w:hint="eastAsia" w:ascii="黑体" w:eastAsia="黑体"/>
          <w:sz w:val="32"/>
          <w:szCs w:val="32"/>
        </w:rPr>
        <w:t>八、</w:t>
      </w:r>
      <w:r>
        <w:rPr>
          <w:rStyle w:val="26"/>
          <w:rFonts w:hint="eastAsia" w:ascii="黑体" w:hAnsi="黑体" w:eastAsia="黑体"/>
          <w:b w:val="0"/>
        </w:rPr>
        <w:t>政府性基金预算支出决算情况说明</w:t>
      </w:r>
      <w:bookmarkEnd w:id="64"/>
      <w:bookmarkEnd w:id="65"/>
      <w:bookmarkEnd w:id="66"/>
    </w:p>
    <w:p>
      <w:pPr>
        <w:pStyle w:val="2"/>
        <w:spacing w:before="93"/>
        <w:ind w:firstLine="640" w:firstLineChars="200"/>
        <w:rPr>
          <w:rFonts w:ascii="仿宋_GB2312" w:eastAsia="仿宋_GB2312"/>
          <w:sz w:val="32"/>
          <w:szCs w:val="32"/>
        </w:rPr>
      </w:pPr>
      <w:r>
        <w:rPr>
          <w:rStyle w:val="15"/>
          <w:rFonts w:hint="eastAsia" w:ascii="方正仿宋_GBK" w:hAnsi="仿宋" w:eastAsia="方正仿宋_GBK"/>
          <w:b w:val="0"/>
          <w:bCs/>
          <w:sz w:val="32"/>
          <w:szCs w:val="32"/>
        </w:rPr>
        <w:t>城乡社区支出（类）国有土地使用权出让收入安排的支出（款）土地开发支出（项）</w:t>
      </w:r>
      <w:r>
        <w:rPr>
          <w:rFonts w:ascii="仿宋_GB2312" w:eastAsia="仿宋_GB2312"/>
          <w:sz w:val="32"/>
          <w:szCs w:val="32"/>
        </w:rPr>
        <w:t>20</w:t>
      </w:r>
      <w:r>
        <w:rPr>
          <w:rFonts w:hint="eastAsia" w:ascii="仿宋_GB2312" w:eastAsia="仿宋_GB2312"/>
          <w:sz w:val="32"/>
          <w:szCs w:val="32"/>
        </w:rPr>
        <w:t>21年政府性基金预算财政拨款支出23.25万元</w:t>
      </w:r>
      <w:r>
        <w:rPr>
          <w:rFonts w:hint="eastAsia"/>
        </w:rPr>
        <w:t>。</w:t>
      </w:r>
      <w:r>
        <w:rPr>
          <w:rStyle w:val="15"/>
          <w:rFonts w:hint="eastAsia" w:ascii="仿宋" w:hAnsi="仿宋" w:eastAsia="仿宋"/>
          <w:b w:val="0"/>
          <w:bCs/>
          <w:sz w:val="32"/>
          <w:szCs w:val="32"/>
        </w:rPr>
        <w:t>完成预算100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p>
    <w:p>
      <w:pPr>
        <w:numPr>
          <w:ilvl w:val="0"/>
          <w:numId w:val="5"/>
        </w:numPr>
        <w:spacing w:line="600" w:lineRule="exact"/>
        <w:ind w:firstLine="640"/>
        <w:outlineLvl w:val="1"/>
        <w:rPr>
          <w:rStyle w:val="26"/>
          <w:rFonts w:ascii="黑体" w:hAnsi="黑体" w:eastAsia="黑体"/>
          <w:b w:val="0"/>
        </w:rPr>
      </w:pPr>
      <w:bookmarkStart w:id="67" w:name="_Toc8658"/>
      <w:bookmarkStart w:id="68" w:name="_Toc15377219"/>
      <w:bookmarkStart w:id="69" w:name="_Toc15396611"/>
      <w:r>
        <w:rPr>
          <w:rStyle w:val="26"/>
          <w:rFonts w:hint="eastAsia" w:ascii="黑体" w:hAnsi="黑体" w:eastAsia="黑体"/>
          <w:b w:val="0"/>
        </w:rPr>
        <w:t>国有资本经营预算支出决算情况说明</w:t>
      </w:r>
      <w:bookmarkEnd w:id="67"/>
      <w:bookmarkEnd w:id="68"/>
      <w:bookmarkEnd w:id="69"/>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21年国有资本经营预算财政拨款支出0万元。</w:t>
      </w:r>
    </w:p>
    <w:p>
      <w:pPr>
        <w:spacing w:line="580" w:lineRule="exact"/>
        <w:jc w:val="center"/>
        <w:rPr>
          <w:rFonts w:ascii="方正小标宋简体" w:hAnsi="方正小标宋简体" w:eastAsia="方正小标宋简体" w:cs="方正小标宋简体"/>
          <w:sz w:val="44"/>
          <w:szCs w:val="44"/>
        </w:rPr>
      </w:pPr>
    </w:p>
    <w:p>
      <w:pPr>
        <w:numPr>
          <w:ilvl w:val="0"/>
          <w:numId w:val="5"/>
        </w:numPr>
        <w:spacing w:line="600" w:lineRule="exact"/>
        <w:ind w:firstLine="640"/>
        <w:outlineLvl w:val="1"/>
        <w:rPr>
          <w:rStyle w:val="26"/>
          <w:rFonts w:ascii="黑体" w:hAnsi="黑体" w:eastAsia="黑体"/>
          <w:b w:val="0"/>
        </w:rPr>
      </w:pPr>
      <w:bookmarkStart w:id="70" w:name="_Toc19559"/>
      <w:bookmarkStart w:id="71" w:name="_Toc15396612"/>
      <w:bookmarkStart w:id="72" w:name="_Toc15377221"/>
      <w:r>
        <w:rPr>
          <w:rStyle w:val="26"/>
          <w:rFonts w:hint="eastAsia" w:ascii="黑体" w:hAnsi="黑体" w:eastAsia="黑体"/>
          <w:b w:val="0"/>
        </w:rPr>
        <w:t>其他重要事项的情况说明</w:t>
      </w:r>
      <w:bookmarkEnd w:id="70"/>
      <w:bookmarkEnd w:id="71"/>
      <w:bookmarkEnd w:id="72"/>
    </w:p>
    <w:p>
      <w:pPr>
        <w:spacing w:line="600" w:lineRule="exact"/>
        <w:ind w:firstLine="643" w:firstLineChars="200"/>
        <w:outlineLvl w:val="2"/>
        <w:rPr>
          <w:rFonts w:ascii="仿宋" w:hAnsi="仿宋" w:eastAsia="仿宋"/>
          <w:sz w:val="32"/>
          <w:szCs w:val="32"/>
        </w:rPr>
      </w:pPr>
      <w:bookmarkStart w:id="73" w:name="_Toc15377222"/>
      <w:r>
        <w:rPr>
          <w:rFonts w:hint="eastAsia" w:ascii="仿宋" w:hAnsi="仿宋" w:eastAsia="仿宋"/>
          <w:b/>
          <w:sz w:val="32"/>
          <w:szCs w:val="32"/>
        </w:rPr>
        <w:t>（一）机关运行经费支出情况</w:t>
      </w:r>
      <w:bookmarkEnd w:id="73"/>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21年，机关运行经费支出185.28万元，比</w:t>
      </w:r>
      <w:r>
        <w:rPr>
          <w:rFonts w:ascii="仿宋_GB2312" w:eastAsia="仿宋_GB2312"/>
          <w:sz w:val="32"/>
          <w:szCs w:val="32"/>
        </w:rPr>
        <w:t>20</w:t>
      </w:r>
      <w:r>
        <w:rPr>
          <w:rFonts w:hint="eastAsia" w:ascii="仿宋_GB2312" w:eastAsia="仿宋_GB2312"/>
          <w:sz w:val="32"/>
          <w:szCs w:val="32"/>
        </w:rPr>
        <w:t>20年增加119.69万元，增长182.48</w:t>
      </w:r>
      <w:r>
        <w:rPr>
          <w:rFonts w:ascii="仿宋_GB2312" w:eastAsia="仿宋_GB2312"/>
          <w:sz w:val="32"/>
          <w:szCs w:val="32"/>
        </w:rPr>
        <w:t>%</w:t>
      </w:r>
      <w:r>
        <w:rPr>
          <w:rFonts w:hint="eastAsia" w:ascii="仿宋_GB2312" w:eastAsia="仿宋_GB2312"/>
          <w:sz w:val="32"/>
          <w:szCs w:val="32"/>
        </w:rPr>
        <w:t>。主要原因是劳动保障协理员人员经费从项目支出调整到基本支出。</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74" w:name="_Toc15377223"/>
      <w:r>
        <w:rPr>
          <w:rFonts w:hint="eastAsia" w:ascii="仿宋" w:hAnsi="仿宋" w:eastAsia="仿宋"/>
          <w:b/>
          <w:sz w:val="32"/>
          <w:szCs w:val="32"/>
        </w:rPr>
        <w:t>（二）政府采购支出情况</w:t>
      </w:r>
      <w:bookmarkEnd w:id="74"/>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21年，政府采购支出总额0.70万元，其中：政府采购货物支出0.70万元、政府采购工程支出0万元、政府采购服务支出0万元。主要用于办公家具设备采购。授予中小企业合同金额0.70万元，占政府采购支出总额的100</w:t>
      </w:r>
      <w:r>
        <w:rPr>
          <w:rFonts w:ascii="仿宋_GB2312" w:eastAsia="仿宋_GB2312"/>
          <w:sz w:val="32"/>
          <w:szCs w:val="32"/>
        </w:rPr>
        <w:t>%</w:t>
      </w:r>
      <w:r>
        <w:rPr>
          <w:rFonts w:hint="eastAsia" w:ascii="仿宋_GB2312" w:eastAsia="仿宋_GB2312"/>
          <w:sz w:val="32"/>
          <w:szCs w:val="32"/>
        </w:rPr>
        <w:t>，其中：授予小微企业合同金额0.70万元，占政府采购支出总额的100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75" w:name="_Toc15377224"/>
      <w:r>
        <w:rPr>
          <w:rFonts w:hint="eastAsia" w:ascii="仿宋" w:hAnsi="仿宋" w:eastAsia="仿宋"/>
          <w:b/>
          <w:sz w:val="32"/>
          <w:szCs w:val="32"/>
        </w:rPr>
        <w:t>（三）国有资产占有使用情况</w:t>
      </w:r>
      <w:bookmarkEnd w:id="75"/>
    </w:p>
    <w:p>
      <w:pPr>
        <w:autoSpaceDE w:val="0"/>
        <w:autoSpaceDN w:val="0"/>
        <w:adjustRightInd w:val="0"/>
        <w:spacing w:line="600" w:lineRule="exact"/>
        <w:ind w:firstLine="640" w:firstLineChars="200"/>
        <w:jc w:val="left"/>
        <w:rPr>
          <w:rFonts w:ascii="仿宋" w:hAnsi="仿宋" w:eastAsia="仿宋"/>
          <w:b/>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日，共有车辆0辆，其中：主要领导干部用车0辆、机要通信用车0辆、应急保障用车0辆、其他用车0辆，单价</w:t>
      </w:r>
      <w:r>
        <w:rPr>
          <w:rFonts w:ascii="仿宋_GB2312" w:eastAsia="仿宋_GB2312"/>
          <w:sz w:val="32"/>
          <w:szCs w:val="32"/>
        </w:rPr>
        <w:t>50</w:t>
      </w:r>
      <w:r>
        <w:rPr>
          <w:rFonts w:hint="eastAsia" w:ascii="仿宋_GB2312" w:eastAsia="仿宋_GB2312"/>
          <w:sz w:val="32"/>
          <w:szCs w:val="32"/>
        </w:rPr>
        <w:t>万元以上通用设备0台（套），单价</w:t>
      </w:r>
      <w:r>
        <w:rPr>
          <w:rFonts w:ascii="仿宋_GB2312" w:eastAsia="仿宋_GB2312"/>
          <w:sz w:val="32"/>
          <w:szCs w:val="32"/>
        </w:rPr>
        <w:t>100</w:t>
      </w:r>
      <w:r>
        <w:rPr>
          <w:rFonts w:hint="eastAsia" w:ascii="仿宋_GB2312" w:eastAsia="仿宋_GB2312"/>
          <w:sz w:val="32"/>
          <w:szCs w:val="32"/>
        </w:rPr>
        <w:t>万元以上专用设备0台（套）。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353"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eastAsia="仿宋_GB2312"/>
          <w:sz w:val="32"/>
          <w:szCs w:val="32"/>
        </w:rPr>
        <w:t>根据预算绩效管理要求，本部门（单位）在年初预算编制阶段，组织对“金保网络专项经费”“人才引进经费（含考试考务费）”“</w:t>
      </w:r>
      <w:r>
        <w:rPr>
          <w:rFonts w:hint="eastAsia" w:eastAsia="仿宋_GB2312"/>
          <w:sz w:val="32"/>
          <w:szCs w:val="32"/>
        </w:rPr>
        <w:t>根治欠薪工作经费</w:t>
      </w:r>
      <w:r>
        <w:rPr>
          <w:rFonts w:eastAsia="仿宋_GB2312"/>
          <w:sz w:val="32"/>
          <w:szCs w:val="32"/>
        </w:rPr>
        <w:t>”“</w:t>
      </w:r>
      <w:r>
        <w:rPr>
          <w:rFonts w:hint="eastAsia" w:eastAsia="仿宋_GB2312"/>
          <w:sz w:val="32"/>
          <w:szCs w:val="32"/>
        </w:rPr>
        <w:t>农民工服务保障工作经费</w:t>
      </w:r>
      <w:r>
        <w:rPr>
          <w:rFonts w:eastAsia="仿宋_GB2312"/>
          <w:sz w:val="32"/>
          <w:szCs w:val="32"/>
        </w:rPr>
        <w:t>”“</w:t>
      </w:r>
      <w:r>
        <w:rPr>
          <w:rFonts w:hint="eastAsia" w:eastAsia="仿宋_GB2312"/>
          <w:sz w:val="32"/>
          <w:szCs w:val="32"/>
        </w:rPr>
        <w:t>劳动和谐关系工作经费</w:t>
      </w:r>
      <w:r>
        <w:rPr>
          <w:rFonts w:eastAsia="仿宋_GB2312"/>
          <w:sz w:val="32"/>
          <w:szCs w:val="32"/>
        </w:rPr>
        <w:t>”</w:t>
      </w:r>
      <w:r>
        <w:rPr>
          <w:rFonts w:hint="eastAsia" w:eastAsia="仿宋_GB2312"/>
          <w:sz w:val="32"/>
          <w:szCs w:val="32"/>
        </w:rPr>
        <w:t>“三支一扶志愿者经费”</w:t>
      </w:r>
      <w:r>
        <w:rPr>
          <w:rFonts w:eastAsia="仿宋_GB2312"/>
          <w:sz w:val="32"/>
          <w:szCs w:val="32"/>
        </w:rPr>
        <w:t>等</w:t>
      </w:r>
      <w:r>
        <w:rPr>
          <w:rFonts w:hint="eastAsia" w:eastAsia="仿宋_GB2312"/>
          <w:sz w:val="32"/>
          <w:szCs w:val="32"/>
        </w:rPr>
        <w:t>6</w:t>
      </w:r>
      <w:r>
        <w:rPr>
          <w:rFonts w:eastAsia="仿宋_GB2312"/>
          <w:sz w:val="32"/>
          <w:szCs w:val="32"/>
        </w:rPr>
        <w:t>个项目开展了预算事前绩效评估，对</w:t>
      </w:r>
      <w:r>
        <w:rPr>
          <w:rFonts w:hint="eastAsia" w:eastAsia="仿宋_GB2312"/>
          <w:sz w:val="32"/>
          <w:szCs w:val="32"/>
        </w:rPr>
        <w:t>6</w:t>
      </w:r>
      <w:r>
        <w:rPr>
          <w:rFonts w:eastAsia="仿宋_GB2312"/>
          <w:sz w:val="32"/>
          <w:szCs w:val="32"/>
        </w:rPr>
        <w:t>个项目编制了绩效目标，预算执行过程中，选取</w:t>
      </w:r>
      <w:r>
        <w:rPr>
          <w:rFonts w:hint="eastAsia" w:eastAsia="仿宋_GB2312"/>
          <w:sz w:val="32"/>
          <w:szCs w:val="32"/>
        </w:rPr>
        <w:t>5</w:t>
      </w:r>
      <w:r>
        <w:rPr>
          <w:rFonts w:eastAsia="仿宋_GB2312"/>
          <w:sz w:val="32"/>
          <w:szCs w:val="32"/>
        </w:rPr>
        <w:t>个项目开展绩效监控，年终执行完毕后，对</w:t>
      </w:r>
      <w:r>
        <w:rPr>
          <w:rFonts w:hint="eastAsia" w:eastAsia="仿宋_GB2312"/>
          <w:sz w:val="32"/>
          <w:szCs w:val="32"/>
        </w:rPr>
        <w:t>5</w:t>
      </w:r>
      <w:r>
        <w:rPr>
          <w:rFonts w:eastAsia="仿宋_GB2312"/>
          <w:sz w:val="32"/>
          <w:szCs w:val="32"/>
        </w:rPr>
        <w:t>个项目开展了绩效目标完成情况自评。</w:t>
      </w:r>
      <w:r>
        <w:rPr>
          <w:rFonts w:hint="eastAsia" w:ascii="仿宋_GB2312" w:hAnsi="仿宋_GB2312" w:eastAsia="仿宋_GB2312" w:cs="仿宋_GB2312"/>
          <w:color w:val="000000" w:themeColor="text1"/>
          <w:sz w:val="32"/>
          <w:szCs w:val="32"/>
          <w14:textFill>
            <w14:solidFill>
              <w14:schemeClr w14:val="tx1"/>
            </w14:solidFill>
          </w14:textFill>
        </w:rPr>
        <w:t>同时，本部门对2021年部门整体开展绩效自评，《2021年区人社局部门整体绩效评价报告》见附件（第四部分）。</w:t>
      </w:r>
    </w:p>
    <w:p>
      <w:pPr>
        <w:widowControl/>
        <w:jc w:val="left"/>
        <w:rPr>
          <w:rFonts w:ascii="仿宋_GB2312" w:eastAsia="仿宋_GB2312"/>
          <w:b/>
          <w:color w:val="FF0000"/>
          <w:sz w:val="32"/>
          <w:szCs w:val="32"/>
        </w:rPr>
      </w:pPr>
      <w:r>
        <w:rPr>
          <w:rFonts w:ascii="仿宋_GB2312" w:eastAsia="仿宋_GB2312"/>
          <w:b/>
          <w:color w:val="FF0000"/>
          <w:sz w:val="32"/>
          <w:szCs w:val="32"/>
        </w:rPr>
        <w:br w:type="page"/>
      </w:r>
    </w:p>
    <w:p>
      <w:pPr>
        <w:widowControl/>
        <w:jc w:val="center"/>
        <w:outlineLvl w:val="0"/>
        <w:rPr>
          <w:rStyle w:val="25"/>
          <w:rFonts w:eastAsia="黑体"/>
          <w:b w:val="0"/>
          <w:bCs w:val="0"/>
          <w:sz w:val="32"/>
          <w:szCs w:val="32"/>
        </w:rPr>
      </w:pPr>
      <w:bookmarkStart w:id="76" w:name="_Toc22506"/>
      <w:r>
        <w:rPr>
          <w:rStyle w:val="25"/>
          <w:rFonts w:eastAsia="黑体"/>
          <w:b w:val="0"/>
          <w:bCs w:val="0"/>
          <w:sz w:val="32"/>
          <w:szCs w:val="32"/>
        </w:rPr>
        <w:t>第三部分 名词解释</w:t>
      </w:r>
      <w:bookmarkEnd w:id="76"/>
    </w:p>
    <w:p>
      <w:pPr>
        <w:spacing w:line="600" w:lineRule="exact"/>
        <w:jc w:val="left"/>
        <w:rPr>
          <w:b/>
          <w:color w:val="000000"/>
          <w:sz w:val="32"/>
          <w:szCs w:val="32"/>
        </w:rPr>
      </w:pPr>
      <w:r>
        <w:rPr>
          <w:b/>
          <w:color w:val="000000"/>
          <w:sz w:val="44"/>
          <w:szCs w:val="44"/>
        </w:rPr>
        <w:t xml:space="preserve">    </w:t>
      </w:r>
    </w:p>
    <w:p>
      <w:pPr>
        <w:pStyle w:val="17"/>
        <w:spacing w:line="353" w:lineRule="auto"/>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1.财政拨款收入：指单位从同级财政部门取得的财政预算资金。</w:t>
      </w:r>
    </w:p>
    <w:p>
      <w:pPr>
        <w:pStyle w:val="17"/>
        <w:spacing w:line="353" w:lineRule="auto"/>
        <w:ind w:left="672"/>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.其他收入：指单位取得的除上述收入以外的各项收入。</w:t>
      </w:r>
    </w:p>
    <w:p>
      <w:pPr>
        <w:pStyle w:val="17"/>
        <w:spacing w:line="353" w:lineRule="auto"/>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.年初结转和结余：指以前年度尚未完成、结转到本年按有关规定继续使用的资金。</w:t>
      </w:r>
    </w:p>
    <w:p>
      <w:pPr>
        <w:pStyle w:val="17"/>
        <w:spacing w:line="353" w:lineRule="auto"/>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.结余分配：指事业单位按照事业单位会计制度的规定从非财政补助结余中分配的事业基金和职工福利基金等。</w:t>
      </w:r>
    </w:p>
    <w:p>
      <w:pPr>
        <w:pStyle w:val="17"/>
        <w:spacing w:line="353" w:lineRule="auto"/>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.年末结转和结余：指单位按有关规定结转到下年或以后年度继续使用的资金。</w:t>
      </w:r>
    </w:p>
    <w:p>
      <w:pPr>
        <w:spacing w:line="353" w:lineRule="auto"/>
        <w:ind w:firstLine="596" w:firstLineChars="200"/>
        <w:rPr>
          <w:rFonts w:eastAsia="仿宋_GB2312"/>
          <w:color w:val="000000"/>
          <w:spacing w:val="-11"/>
          <w:sz w:val="32"/>
        </w:rPr>
      </w:pPr>
      <w:r>
        <w:rPr>
          <w:rFonts w:hint="eastAsia" w:eastAsia="仿宋_GB2312"/>
          <w:color w:val="000000"/>
          <w:spacing w:val="-11"/>
          <w:sz w:val="32"/>
          <w:lang w:val="en-US" w:eastAsia="zh-CN"/>
        </w:rPr>
        <w:t>6</w:t>
      </w:r>
      <w:r>
        <w:rPr>
          <w:rFonts w:eastAsia="仿宋_GB2312"/>
          <w:color w:val="000000"/>
          <w:spacing w:val="-11"/>
          <w:sz w:val="32"/>
        </w:rPr>
        <w:t>.社会保障和就业：指反应政府在社会保障与就业方面的支出。</w:t>
      </w:r>
    </w:p>
    <w:p>
      <w:pPr>
        <w:spacing w:line="353" w:lineRule="auto"/>
        <w:ind w:firstLine="640" w:firstLineChars="200"/>
        <w:rPr>
          <w:rFonts w:eastAsia="仿宋_GB2312"/>
          <w:color w:val="000000"/>
          <w:sz w:val="32"/>
        </w:rPr>
      </w:pPr>
      <w:r>
        <w:rPr>
          <w:rFonts w:hint="eastAsia" w:eastAsia="仿宋_GB2312"/>
          <w:color w:val="000000"/>
          <w:sz w:val="32"/>
          <w:lang w:val="en-US" w:eastAsia="zh-CN"/>
        </w:rPr>
        <w:t>7</w:t>
      </w:r>
      <w:r>
        <w:rPr>
          <w:rFonts w:eastAsia="仿宋_GB2312"/>
          <w:color w:val="000000"/>
          <w:sz w:val="32"/>
        </w:rPr>
        <w:t>.医疗卫生与计划生育：指反映医疗卫生与计划生育、中医等管理事务方面的支出。</w:t>
      </w:r>
    </w:p>
    <w:p>
      <w:pPr>
        <w:spacing w:line="353" w:lineRule="auto"/>
        <w:ind w:firstLine="640" w:firstLineChars="200"/>
        <w:rPr>
          <w:rFonts w:eastAsia="仿宋_GB2312"/>
          <w:color w:val="000000"/>
          <w:sz w:val="32"/>
        </w:rPr>
      </w:pPr>
      <w:r>
        <w:rPr>
          <w:rFonts w:hint="eastAsia" w:eastAsia="仿宋_GB2312"/>
          <w:color w:val="000000"/>
          <w:sz w:val="32"/>
          <w:lang w:val="en-US" w:eastAsia="zh-CN"/>
        </w:rPr>
        <w:t>8</w:t>
      </w:r>
      <w:r>
        <w:rPr>
          <w:rFonts w:eastAsia="仿宋_GB2312"/>
          <w:color w:val="000000"/>
          <w:sz w:val="32"/>
        </w:rPr>
        <w:t>.住房保障：指集中反映政府用于住房方面的支出。</w:t>
      </w:r>
    </w:p>
    <w:p>
      <w:pPr>
        <w:spacing w:line="353" w:lineRule="auto"/>
        <w:ind w:firstLine="640" w:firstLineChars="200"/>
        <w:rPr>
          <w:rFonts w:eastAsia="仿宋_GB2312"/>
          <w:color w:val="000000"/>
          <w:sz w:val="32"/>
        </w:rPr>
      </w:pPr>
      <w:r>
        <w:rPr>
          <w:rFonts w:hint="eastAsia" w:eastAsia="仿宋_GB2312"/>
          <w:color w:val="000000"/>
          <w:sz w:val="32"/>
          <w:lang w:val="en-US" w:eastAsia="zh-CN"/>
        </w:rPr>
        <w:t>9</w:t>
      </w:r>
      <w:r>
        <w:rPr>
          <w:rFonts w:eastAsia="仿宋_GB2312"/>
          <w:color w:val="000000"/>
          <w:sz w:val="32"/>
        </w:rPr>
        <w:t>.城乡社区支出：指反映政府城乡社区事务支出。</w:t>
      </w:r>
    </w:p>
    <w:p>
      <w:pPr>
        <w:spacing w:line="353" w:lineRule="auto"/>
        <w:ind w:firstLine="640" w:firstLineChars="200"/>
        <w:rPr>
          <w:rFonts w:eastAsia="仿宋_GB2312"/>
          <w:color w:val="000000"/>
          <w:sz w:val="32"/>
        </w:rPr>
      </w:pPr>
      <w:r>
        <w:rPr>
          <w:rFonts w:hint="eastAsia" w:eastAsia="仿宋_GB2312"/>
          <w:color w:val="000000"/>
          <w:sz w:val="32"/>
          <w:lang w:val="en-US" w:eastAsia="zh-CN"/>
        </w:rPr>
        <w:t>10</w:t>
      </w:r>
      <w:r>
        <w:rPr>
          <w:rFonts w:eastAsia="仿宋_GB2312"/>
          <w:color w:val="000000"/>
          <w:sz w:val="32"/>
        </w:rPr>
        <w:t>.基本支出：指为保障机构正常运转、完成日常工作任务而发生的人员支出和公用支出。</w:t>
      </w:r>
    </w:p>
    <w:p>
      <w:pPr>
        <w:spacing w:line="353" w:lineRule="auto"/>
        <w:ind w:firstLine="640" w:firstLineChars="200"/>
        <w:rPr>
          <w:rFonts w:eastAsia="仿宋_GB2312"/>
          <w:color w:val="000000"/>
          <w:sz w:val="32"/>
        </w:rPr>
      </w:pPr>
      <w:r>
        <w:rPr>
          <w:rFonts w:hint="eastAsia" w:eastAsia="仿宋_GB2312"/>
          <w:color w:val="000000"/>
          <w:sz w:val="32"/>
          <w:lang w:val="en-US" w:eastAsia="zh-CN"/>
        </w:rPr>
        <w:t>11</w:t>
      </w:r>
      <w:r>
        <w:rPr>
          <w:rFonts w:eastAsia="仿宋_GB2312"/>
          <w:color w:val="000000"/>
          <w:sz w:val="32"/>
        </w:rPr>
        <w:t>.项目支出：指在基本支出之外为完成特定行政任务和事业发展目标所发生的支出。</w:t>
      </w:r>
    </w:p>
    <w:p>
      <w:pPr>
        <w:pStyle w:val="17"/>
        <w:spacing w:line="353" w:lineRule="auto"/>
        <w:ind w:firstLine="640" w:firstLineChars="200"/>
        <w:jc w:val="both"/>
        <w:rPr>
          <w:rFonts w:ascii="Times New Roman" w:hAnsi="Times New Roman" w:eastAsia="仿宋_GB2312" w:cs="Times New Roman"/>
          <w:sz w:val="32"/>
        </w:rPr>
      </w:pPr>
      <w:r>
        <w:rPr>
          <w:rFonts w:hint="eastAsia" w:ascii="Times New Roman" w:hAnsi="Times New Roman" w:eastAsia="仿宋_GB2312" w:cs="Times New Roman"/>
          <w:sz w:val="32"/>
          <w:lang w:val="en-US" w:eastAsia="zh-CN"/>
        </w:rPr>
        <w:t>12</w:t>
      </w:r>
      <w:r>
        <w:rPr>
          <w:rFonts w:ascii="Times New Roman" w:hAnsi="Times New Roman" w:eastAsia="仿宋_GB2312" w:cs="Times New Roman"/>
          <w:sz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17"/>
        <w:spacing w:line="560" w:lineRule="exact"/>
        <w:ind w:firstLine="640" w:firstLineChars="200"/>
        <w:rPr>
          <w:rFonts w:ascii="仿宋_GB2312" w:eastAsia="仿宋_GB2312" w:cs="黑体"/>
          <w:color w:val="FF0000"/>
          <w:sz w:val="32"/>
          <w:szCs w:val="32"/>
        </w:rPr>
      </w:pPr>
      <w:r>
        <w:rPr>
          <w:rFonts w:hint="eastAsia" w:ascii="Times New Roman" w:hAnsi="Times New Roman" w:eastAsia="仿宋_GB2312" w:cs="Times New Roman"/>
          <w:sz w:val="32"/>
          <w:lang w:val="en-US" w:eastAsia="zh-CN"/>
        </w:rPr>
        <w:t>13</w:t>
      </w:r>
      <w:r>
        <w:rPr>
          <w:rFonts w:ascii="Times New Roman" w:hAnsi="Times New Roman" w:eastAsia="仿宋_GB2312" w:cs="Times New Roman"/>
          <w:sz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w:t>
      </w:r>
      <w:r>
        <w:rPr>
          <w:rFonts w:ascii="Times New Roman" w:hAnsi="Times New Roman" w:eastAsia="仿宋_GB2312" w:cs="Times New Roman"/>
          <w:sz w:val="32"/>
          <w:szCs w:val="32"/>
        </w:rPr>
        <w:t>以及其他费用。</w:t>
      </w:r>
    </w:p>
    <w:p>
      <w:pPr>
        <w:spacing w:line="600" w:lineRule="exact"/>
        <w:jc w:val="center"/>
        <w:outlineLvl w:val="0"/>
        <w:rPr>
          <w:rFonts w:ascii="黑体" w:hAnsi="黑体" w:eastAsia="黑体"/>
          <w:color w:val="1E1C11" w:themeColor="background2" w:themeShade="1A"/>
          <w:sz w:val="44"/>
          <w:szCs w:val="44"/>
        </w:rPr>
      </w:pPr>
      <w:bookmarkStart w:id="77" w:name="_Toc28431"/>
      <w:bookmarkStart w:id="78" w:name="_Toc15396614"/>
      <w:bookmarkStart w:id="79" w:name="_Toc15377226"/>
    </w:p>
    <w:p>
      <w:pPr>
        <w:spacing w:line="600" w:lineRule="exact"/>
        <w:jc w:val="center"/>
        <w:outlineLvl w:val="0"/>
        <w:rPr>
          <w:rFonts w:ascii="黑体" w:hAnsi="黑体" w:eastAsia="黑体"/>
          <w:color w:val="1E1C11" w:themeColor="background2" w:themeShade="1A"/>
          <w:sz w:val="44"/>
          <w:szCs w:val="44"/>
        </w:rPr>
      </w:pPr>
    </w:p>
    <w:p>
      <w:pPr>
        <w:spacing w:line="600" w:lineRule="exact"/>
        <w:jc w:val="center"/>
        <w:outlineLvl w:val="0"/>
        <w:rPr>
          <w:rFonts w:ascii="黑体" w:hAnsi="黑体" w:eastAsia="黑体"/>
          <w:color w:val="1E1C11" w:themeColor="background2" w:themeShade="1A"/>
          <w:sz w:val="44"/>
          <w:szCs w:val="44"/>
        </w:rPr>
      </w:pPr>
    </w:p>
    <w:p>
      <w:pPr>
        <w:spacing w:line="600" w:lineRule="exact"/>
        <w:jc w:val="center"/>
        <w:outlineLvl w:val="0"/>
        <w:rPr>
          <w:rFonts w:ascii="黑体" w:hAnsi="黑体" w:eastAsia="黑体"/>
          <w:color w:val="1E1C11" w:themeColor="background2" w:themeShade="1A"/>
          <w:sz w:val="44"/>
          <w:szCs w:val="44"/>
        </w:rPr>
      </w:pPr>
    </w:p>
    <w:p>
      <w:pPr>
        <w:pStyle w:val="2"/>
        <w:rPr>
          <w:rFonts w:ascii="黑体" w:hAnsi="黑体" w:eastAsia="黑体"/>
          <w:color w:val="1E1C11" w:themeColor="background2" w:themeShade="1A"/>
          <w:sz w:val="44"/>
          <w:szCs w:val="44"/>
        </w:rPr>
      </w:pPr>
    </w:p>
    <w:p>
      <w:pPr>
        <w:pStyle w:val="2"/>
        <w:rPr>
          <w:rFonts w:ascii="黑体" w:hAnsi="黑体" w:eastAsia="黑体"/>
          <w:color w:val="1E1C11" w:themeColor="background2" w:themeShade="1A"/>
          <w:sz w:val="44"/>
          <w:szCs w:val="44"/>
        </w:rPr>
      </w:pPr>
    </w:p>
    <w:p>
      <w:pPr>
        <w:pStyle w:val="2"/>
        <w:rPr>
          <w:rFonts w:ascii="黑体" w:hAnsi="黑体" w:eastAsia="黑体"/>
          <w:color w:val="1E1C11" w:themeColor="background2" w:themeShade="1A"/>
          <w:sz w:val="44"/>
          <w:szCs w:val="44"/>
        </w:rPr>
      </w:pPr>
    </w:p>
    <w:p>
      <w:pPr>
        <w:pStyle w:val="2"/>
        <w:rPr>
          <w:rFonts w:ascii="黑体" w:hAnsi="黑体" w:eastAsia="黑体"/>
          <w:color w:val="1E1C11" w:themeColor="background2" w:themeShade="1A"/>
          <w:sz w:val="44"/>
          <w:szCs w:val="44"/>
        </w:rPr>
      </w:pPr>
    </w:p>
    <w:p>
      <w:pPr>
        <w:spacing w:line="600" w:lineRule="exact"/>
        <w:jc w:val="center"/>
        <w:outlineLvl w:val="0"/>
        <w:rPr>
          <w:rFonts w:ascii="黑体" w:hAnsi="黑体" w:eastAsia="黑体"/>
          <w:color w:val="1E1C11" w:themeColor="background2" w:themeShade="1A"/>
          <w:sz w:val="44"/>
          <w:szCs w:val="44"/>
        </w:rPr>
      </w:pPr>
    </w:p>
    <w:p>
      <w:pPr>
        <w:spacing w:line="600" w:lineRule="exact"/>
        <w:jc w:val="center"/>
        <w:outlineLvl w:val="0"/>
        <w:rPr>
          <w:rStyle w:val="25"/>
          <w:rFonts w:ascii="黑体" w:hAnsi="黑体" w:eastAsia="黑体"/>
          <w:b w:val="0"/>
          <w:color w:val="1E1C11" w:themeColor="background2" w:themeShade="1A"/>
        </w:rPr>
      </w:pPr>
      <w:r>
        <w:rPr>
          <w:rFonts w:hint="eastAsia" w:ascii="黑体" w:hAnsi="黑体" w:eastAsia="黑体"/>
          <w:color w:val="1E1C11" w:themeColor="background2" w:themeShade="1A"/>
          <w:sz w:val="44"/>
          <w:szCs w:val="44"/>
        </w:rPr>
        <w:t>第</w:t>
      </w:r>
      <w:r>
        <w:rPr>
          <w:rStyle w:val="25"/>
          <w:rFonts w:hint="eastAsia" w:ascii="黑体" w:hAnsi="黑体" w:eastAsia="黑体"/>
          <w:b w:val="0"/>
          <w:color w:val="1E1C11" w:themeColor="background2" w:themeShade="1A"/>
        </w:rPr>
        <w:t>四部分 附件</w:t>
      </w:r>
      <w:bookmarkEnd w:id="77"/>
      <w:bookmarkEnd w:id="78"/>
    </w:p>
    <w:p>
      <w:pPr>
        <w:spacing w:line="572" w:lineRule="exact"/>
        <w:jc w:val="left"/>
        <w:outlineLvl w:val="0"/>
        <w:rPr>
          <w:rFonts w:ascii="方正小标宋简体" w:hAnsi="宋体" w:eastAsia="方正小标宋简体"/>
          <w:kern w:val="0"/>
          <w:sz w:val="40"/>
          <w:szCs w:val="44"/>
        </w:rPr>
      </w:pPr>
      <w:bookmarkStart w:id="80" w:name="_Toc10816"/>
      <w:r>
        <w:rPr>
          <w:rFonts w:hint="eastAsia" w:ascii="黑体" w:hAnsi="黑体" w:eastAsia="黑体" w:cs="黑体"/>
          <w:color w:val="1E1C11" w:themeColor="background2" w:themeShade="1A"/>
          <w:sz w:val="32"/>
          <w:szCs w:val="32"/>
        </w:rPr>
        <w:t>附件</w:t>
      </w:r>
      <w:bookmarkEnd w:id="80"/>
    </w:p>
    <w:p>
      <w:pPr>
        <w:spacing w:line="572" w:lineRule="exact"/>
        <w:jc w:val="center"/>
        <w:rPr>
          <w:rFonts w:ascii="方正小标宋简体" w:hAnsi="宋体" w:eastAsia="方正小标宋简体"/>
          <w:kern w:val="0"/>
          <w:sz w:val="40"/>
          <w:szCs w:val="44"/>
        </w:rPr>
      </w:pPr>
      <w:r>
        <w:rPr>
          <w:rFonts w:hint="eastAsia" w:ascii="方正小标宋简体" w:hAnsi="宋体" w:eastAsia="方正小标宋简体"/>
          <w:kern w:val="0"/>
          <w:sz w:val="40"/>
          <w:szCs w:val="44"/>
        </w:rPr>
        <w:t>2021年攀枝花市西区人力资源和社会保障</w:t>
      </w:r>
    </w:p>
    <w:p>
      <w:pPr>
        <w:spacing w:line="572" w:lineRule="exact"/>
        <w:jc w:val="center"/>
        <w:rPr>
          <w:rFonts w:ascii="方正小标宋简体" w:hAnsi="宋体" w:eastAsia="方正小标宋简体"/>
          <w:kern w:val="0"/>
          <w:sz w:val="40"/>
          <w:szCs w:val="44"/>
          <w:lang w:val="zh-CN"/>
        </w:rPr>
      </w:pPr>
      <w:r>
        <w:rPr>
          <w:rFonts w:hint="eastAsia" w:ascii="方正小标宋简体" w:hAnsi="宋体" w:eastAsia="方正小标宋简体"/>
          <w:kern w:val="0"/>
          <w:sz w:val="40"/>
          <w:szCs w:val="44"/>
        </w:rPr>
        <w:t>整体绩效评价报告</w:t>
      </w:r>
    </w:p>
    <w:p>
      <w:pPr>
        <w:pStyle w:val="7"/>
        <w:spacing w:line="0" w:lineRule="atLeast"/>
        <w:jc w:val="center"/>
        <w:rPr>
          <w:rFonts w:ascii="黑体" w:hAnsi="宋体" w:eastAsia="黑体" w:cs="宋体"/>
          <w:kern w:val="0"/>
          <w:sz w:val="24"/>
          <w:szCs w:val="32"/>
          <w:shd w:val="clear" w:color="auto" w:fill="FFFFFF"/>
        </w:rPr>
      </w:pPr>
      <w:r>
        <w:rPr>
          <w:rFonts w:hint="eastAsia" w:ascii="仿宋_GB2312" w:hAnsi="宋体" w:eastAsia="仿宋_GB2312"/>
          <w:sz w:val="32"/>
          <w:szCs w:val="32"/>
          <w:shd w:val="clear" w:color="auto" w:fill="FFFFFF"/>
        </w:rPr>
        <w:t>（</w:t>
      </w:r>
      <w:r>
        <w:rPr>
          <w:rFonts w:ascii="Times New Roman" w:hAnsi="Times New Roman" w:eastAsia="楷体_GB2312"/>
          <w:sz w:val="32"/>
          <w:szCs w:val="32"/>
        </w:rPr>
        <w:t>含区社会保险事务中心、区就业创业促进中心）</w:t>
      </w: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lang w:val="zh-CN"/>
        </w:rPr>
      </w:pPr>
      <w:r>
        <w:rPr>
          <w:rFonts w:hint="eastAsia" w:ascii="黑体" w:hAnsi="宋体" w:eastAsia="黑体" w:cs="宋体"/>
          <w:kern w:val="0"/>
          <w:sz w:val="32"/>
          <w:szCs w:val="32"/>
          <w:shd w:val="clear" w:color="auto" w:fill="FFFFFF"/>
        </w:rPr>
        <w:t>一、</w:t>
      </w:r>
      <w:r>
        <w:rPr>
          <w:rFonts w:hint="eastAsia" w:ascii="黑体" w:hAnsi="宋体" w:eastAsia="黑体" w:cs="宋体"/>
          <w:kern w:val="0"/>
          <w:sz w:val="32"/>
          <w:szCs w:val="32"/>
          <w:shd w:val="clear" w:color="auto" w:fill="FFFFFF"/>
          <w:lang w:val="zh-CN"/>
        </w:rPr>
        <w:t>部门（单位）概况</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（一）机构组成。</w:t>
      </w:r>
    </w:p>
    <w:p>
      <w:pPr>
        <w:pStyle w:val="2"/>
        <w:spacing w:before="93"/>
        <w:ind w:firstLine="640" w:firstLineChars="200"/>
        <w:rPr>
          <w:rFonts w:ascii="Times New Roman"/>
          <w:sz w:val="32"/>
          <w:szCs w:val="32"/>
          <w:lang w:val="zh-CN"/>
        </w:rPr>
      </w:pPr>
      <w:r>
        <w:rPr>
          <w:rFonts w:ascii="Times New Roman"/>
          <w:color w:val="000000"/>
          <w:sz w:val="32"/>
          <w:szCs w:val="32"/>
        </w:rPr>
        <w:t>截至202</w:t>
      </w:r>
      <w:r>
        <w:rPr>
          <w:rFonts w:hint="eastAsia"/>
          <w:color w:val="000000"/>
          <w:sz w:val="32"/>
          <w:szCs w:val="32"/>
        </w:rPr>
        <w:t>1</w:t>
      </w:r>
      <w:r>
        <w:rPr>
          <w:rFonts w:ascii="Times New Roman"/>
          <w:color w:val="000000"/>
          <w:sz w:val="32"/>
          <w:szCs w:val="32"/>
        </w:rPr>
        <w:t>年末，区人力资源社会保障局行政内设机构5个（参公管理事业单位3个、事业单位2个），分别为区劳动保障监察大队、区社会保险事务中心、区就业创业促进中心、区劳动人事争议仲裁院、区人才交流服务中心（区人事考试中心）。内设股（室）5个，分别为办公室、就业促进和人力资源开发股、养老工伤保险股（社会保险基金监督股）、事业单位人事管理股（西区职称改革领导小组办公室）、劳动监察仲裁和政策法规股（</w:t>
      </w:r>
      <w:r>
        <w:rPr>
          <w:rFonts w:ascii="Times New Roman"/>
          <w:sz w:val="32"/>
          <w:szCs w:val="32"/>
        </w:rPr>
        <w:t>农民工工作股）。</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（二）机构</w:t>
      </w:r>
      <w:bookmarkStart w:id="112" w:name="_GoBack"/>
      <w:bookmarkEnd w:id="112"/>
      <w:r>
        <w:rPr>
          <w:rFonts w:hint="eastAsia" w:ascii="仿宋_GB2312" w:hAnsi="宋体" w:eastAsia="仿宋_GB2312" w:cs="宋体"/>
          <w:kern w:val="0"/>
          <w:sz w:val="32"/>
          <w:szCs w:val="32"/>
          <w:shd w:val="clear" w:color="auto" w:fill="FFFFFF"/>
          <w:lang w:val="zh-CN"/>
        </w:rPr>
        <w:t>职能。</w:t>
      </w:r>
    </w:p>
    <w:p>
      <w:pPr>
        <w:spacing w:line="353" w:lineRule="auto"/>
        <w:ind w:firstLine="624" w:firstLineChars="200"/>
        <w:rPr>
          <w:rFonts w:eastAsia="仿宋_GB2312"/>
          <w:color w:val="000000"/>
          <w:spacing w:val="-4"/>
          <w:sz w:val="32"/>
          <w:szCs w:val="32"/>
        </w:rPr>
      </w:pPr>
      <w:r>
        <w:rPr>
          <w:rFonts w:eastAsia="仿宋_GB2312"/>
          <w:color w:val="000000"/>
          <w:spacing w:val="-4"/>
          <w:sz w:val="32"/>
          <w:szCs w:val="32"/>
        </w:rPr>
        <w:t>1.贯彻执行国家、省、市人力资源和社会保障工作的法律、法规、规章和政策，拟订全区人力资源和社会保障事业发展规划、政策并组织实施，统筹推进人力资源和社会保障事业发展。</w:t>
      </w:r>
    </w:p>
    <w:p>
      <w:pPr>
        <w:spacing w:line="353" w:lineRule="auto"/>
        <w:ind w:firstLine="624" w:firstLineChars="200"/>
        <w:rPr>
          <w:rFonts w:eastAsia="仿宋_GB2312"/>
          <w:color w:val="000000"/>
          <w:spacing w:val="-4"/>
          <w:sz w:val="32"/>
          <w:szCs w:val="32"/>
        </w:rPr>
      </w:pPr>
      <w:r>
        <w:rPr>
          <w:rFonts w:eastAsia="仿宋_GB2312"/>
          <w:color w:val="000000"/>
          <w:spacing w:val="-4"/>
          <w:sz w:val="32"/>
          <w:szCs w:val="32"/>
        </w:rPr>
        <w:t>2.拟订并组织实施全区人力资源市场发展规划和人力资源服务业发展、人力资源流动政策，建立、健全全区统一规范的人力资源市场，促进人力资源合理流动，有效配置。</w:t>
      </w:r>
    </w:p>
    <w:p>
      <w:pPr>
        <w:spacing w:line="353" w:lineRule="auto"/>
        <w:ind w:firstLine="624" w:firstLineChars="200"/>
        <w:rPr>
          <w:rFonts w:eastAsia="仿宋_GB2312"/>
          <w:color w:val="000000"/>
          <w:spacing w:val="-4"/>
          <w:sz w:val="32"/>
          <w:szCs w:val="32"/>
        </w:rPr>
      </w:pPr>
      <w:r>
        <w:rPr>
          <w:rFonts w:eastAsia="仿宋_GB2312"/>
          <w:color w:val="000000"/>
          <w:spacing w:val="-4"/>
          <w:sz w:val="32"/>
          <w:szCs w:val="32"/>
        </w:rPr>
        <w:t>3.负责促进就业工作，拟订统筹全区城乡的就业发展规划和政策，完善公共就业创业服务体系，组织落实创业、就业援助制度，提出就业资金安排计划并组织实施；建立健全失业预警制度，稳定就业形势。落实城乡劳动者的职业技能培训制度；组织实施社会力量举办的职业技能培训，指导企业在职职工技能培训和再就业培训、农村劳动力技能培训等工作；贯彻执行高校毕业生就业政策，组织实施高校毕业生就业创业服务工作。</w:t>
      </w:r>
    </w:p>
    <w:p>
      <w:pPr>
        <w:spacing w:line="353" w:lineRule="auto"/>
        <w:ind w:firstLine="624" w:firstLineChars="200"/>
        <w:rPr>
          <w:rFonts w:eastAsia="仿宋_GB2312"/>
          <w:color w:val="000000"/>
          <w:spacing w:val="-4"/>
          <w:sz w:val="32"/>
          <w:szCs w:val="32"/>
        </w:rPr>
      </w:pPr>
      <w:r>
        <w:rPr>
          <w:rFonts w:eastAsia="仿宋_GB2312"/>
          <w:color w:val="000000"/>
          <w:spacing w:val="-4"/>
          <w:sz w:val="32"/>
          <w:szCs w:val="32"/>
        </w:rPr>
        <w:t>4.统筹推进建立覆盖全区城乡的多层次社会保障体系。贯彻执行国家、省、市养老、失业、工伤等社会保险及其补充保险政策和标准，贯彻落实养老保险全国统筹办法和全国统一的养老、失业、工伤保险关系转续办法；负责对养老、失业、工伤保险基金管理实施行政监督；综合管理就业、社保经办机构；组织实施全区养老、失业、工伤服务体系建设；负责企业职工正常退休和特殊工种提前退休审批；协助办理工伤和特殊工种认定及劳动能力鉴定工作；会同有关部门实施全民参保计划并建立全区统一的养老、失业，工伤社会保险公共服务平台。</w:t>
      </w:r>
    </w:p>
    <w:p>
      <w:pPr>
        <w:spacing w:line="353" w:lineRule="auto"/>
        <w:ind w:firstLine="624" w:firstLineChars="200"/>
        <w:rPr>
          <w:rFonts w:eastAsia="仿宋_GB2312"/>
          <w:color w:val="000000"/>
          <w:spacing w:val="-4"/>
          <w:sz w:val="32"/>
          <w:szCs w:val="32"/>
        </w:rPr>
      </w:pPr>
      <w:r>
        <w:rPr>
          <w:rFonts w:eastAsia="仿宋_GB2312"/>
          <w:color w:val="000000"/>
          <w:spacing w:val="-4"/>
          <w:sz w:val="32"/>
          <w:szCs w:val="32"/>
        </w:rPr>
        <w:t>5.负责就业、失业及社会保障基金监测预警，拟订应对预案，实施预防、调节和控制，保持就业形势稳定和相关社会保险基金总体收支平衡。</w:t>
      </w:r>
    </w:p>
    <w:p>
      <w:pPr>
        <w:spacing w:line="353" w:lineRule="auto"/>
        <w:ind w:firstLine="624" w:firstLineChars="200"/>
        <w:rPr>
          <w:rFonts w:eastAsia="仿宋_GB2312"/>
          <w:color w:val="000000"/>
          <w:spacing w:val="-4"/>
          <w:sz w:val="32"/>
          <w:szCs w:val="32"/>
        </w:rPr>
      </w:pPr>
      <w:r>
        <w:rPr>
          <w:rFonts w:eastAsia="仿宋_GB2312"/>
          <w:color w:val="000000"/>
          <w:spacing w:val="-4"/>
          <w:sz w:val="32"/>
          <w:szCs w:val="32"/>
        </w:rPr>
        <w:t>6.贯彻执行劳动人事争议调解仲裁制度和劳动关系政策，完善劳动关系协调机制，贯彻执行劳动者权益保护政策，协调劳动者维权工作，组织实施劳动保障监察，依法查处侵犯劳动者合法权益的案件。</w:t>
      </w:r>
    </w:p>
    <w:p>
      <w:pPr>
        <w:widowControl/>
        <w:spacing w:line="353" w:lineRule="auto"/>
        <w:ind w:firstLine="624" w:firstLineChars="200"/>
        <w:jc w:val="left"/>
        <w:rPr>
          <w:rFonts w:eastAsia="仿宋_GB2312"/>
          <w:color w:val="000000"/>
          <w:spacing w:val="-4"/>
          <w:sz w:val="32"/>
          <w:szCs w:val="32"/>
        </w:rPr>
      </w:pPr>
      <w:r>
        <w:rPr>
          <w:rFonts w:eastAsia="仿宋_GB2312"/>
          <w:color w:val="000000"/>
          <w:spacing w:val="-4"/>
          <w:sz w:val="32"/>
          <w:szCs w:val="32"/>
        </w:rPr>
        <w:t>7.实施事业单位人员综合管理工作，会同有关部门指导事业单位人事制度改革，按照管理权限承办事业单位岗位设置、公开招聘、人员聘用等人事综合管理工作，拟订事业单位人员和机关工勤人员管理政策；负责专业技术人员管理和继续教育工作；组织实施深化职称制度改革；负责高层次专业技术人才选拔和培养工作，组织实施技能人才培养评价、使用和激励制度，健全职业技能多元化评价政策。指导、监督各级各类技工学校、民办职业培训机构按国家、省和我市有关规定履行安全管理责任。</w:t>
      </w:r>
    </w:p>
    <w:p>
      <w:pPr>
        <w:widowControl/>
        <w:spacing w:line="353" w:lineRule="auto"/>
        <w:ind w:firstLine="624" w:firstLineChars="200"/>
        <w:jc w:val="left"/>
        <w:rPr>
          <w:rFonts w:eastAsia="仿宋_GB2312"/>
          <w:color w:val="000000"/>
          <w:spacing w:val="-4"/>
          <w:sz w:val="32"/>
          <w:szCs w:val="32"/>
        </w:rPr>
      </w:pPr>
      <w:r>
        <w:rPr>
          <w:rFonts w:eastAsia="仿宋_GB2312"/>
          <w:color w:val="000000"/>
          <w:spacing w:val="-4"/>
          <w:sz w:val="32"/>
          <w:szCs w:val="32"/>
        </w:rPr>
        <w:t>8.组织实施国家表彰制度，综合管理政府表彰奖励工作，承担评比达标表彰等工作。承办区委管理的部分领导人员的行政任免手续。</w:t>
      </w:r>
    </w:p>
    <w:p>
      <w:pPr>
        <w:widowControl/>
        <w:spacing w:line="353" w:lineRule="auto"/>
        <w:ind w:firstLine="624" w:firstLineChars="200"/>
        <w:jc w:val="left"/>
        <w:rPr>
          <w:rFonts w:eastAsia="仿宋_GB2312"/>
          <w:color w:val="000000"/>
          <w:spacing w:val="-4"/>
          <w:sz w:val="32"/>
          <w:szCs w:val="32"/>
        </w:rPr>
      </w:pPr>
      <w:r>
        <w:rPr>
          <w:rFonts w:eastAsia="仿宋_GB2312"/>
          <w:color w:val="000000"/>
          <w:spacing w:val="-4"/>
          <w:sz w:val="32"/>
          <w:szCs w:val="32"/>
        </w:rPr>
        <w:t>9.贯彻执行国家、省、市企业职工工资收入分配、支付、保障和调控政策，贯彻落实事业单位人员工资收入分配政策，建立事业单位人员工资决定、正常增长和支付保障机制，贯彻落实企事业单位人员工资福利和退休政策。</w:t>
      </w:r>
    </w:p>
    <w:p>
      <w:pPr>
        <w:widowControl/>
        <w:spacing w:line="353" w:lineRule="auto"/>
        <w:ind w:firstLine="624" w:firstLineChars="200"/>
        <w:jc w:val="left"/>
        <w:rPr>
          <w:rFonts w:eastAsia="仿宋_GB2312"/>
          <w:color w:val="000000"/>
          <w:spacing w:val="-4"/>
          <w:sz w:val="32"/>
          <w:szCs w:val="32"/>
        </w:rPr>
      </w:pPr>
      <w:r>
        <w:rPr>
          <w:rFonts w:eastAsia="仿宋_GB2312"/>
          <w:color w:val="000000"/>
          <w:spacing w:val="-4"/>
          <w:sz w:val="32"/>
          <w:szCs w:val="32"/>
        </w:rPr>
        <w:t>10.会同有关部门拟订劳务开发及农民工工作综合性政策和规划并推动相关政策的落实，协调解决重点难点问题，维护农民工合法权益。</w:t>
      </w:r>
    </w:p>
    <w:p>
      <w:pPr>
        <w:spacing w:line="353" w:lineRule="auto"/>
        <w:ind w:firstLine="624" w:firstLineChars="200"/>
        <w:rPr>
          <w:rFonts w:eastAsia="仿宋_GB2312"/>
          <w:color w:val="000000"/>
          <w:spacing w:val="-4"/>
          <w:sz w:val="32"/>
          <w:szCs w:val="32"/>
        </w:rPr>
      </w:pPr>
      <w:r>
        <w:rPr>
          <w:rFonts w:eastAsia="仿宋_GB2312"/>
          <w:color w:val="000000"/>
          <w:spacing w:val="-4"/>
          <w:sz w:val="32"/>
          <w:szCs w:val="32"/>
        </w:rPr>
        <w:t>11.受理人力资源和社会保障方面的信访事项，会同有关部门协调处理重大信访事件或突发事件。</w:t>
      </w:r>
      <w:r>
        <w:rPr>
          <w:rFonts w:eastAsia="仿宋_GB2312"/>
          <w:color w:val="000000"/>
          <w:spacing w:val="-4"/>
          <w:sz w:val="32"/>
          <w:szCs w:val="32"/>
        </w:rPr>
        <w:br w:type="textWrapping"/>
      </w:r>
      <w:r>
        <w:rPr>
          <w:rFonts w:eastAsia="仿宋_GB2312"/>
          <w:color w:val="000000"/>
          <w:spacing w:val="-4"/>
          <w:sz w:val="32"/>
          <w:szCs w:val="32"/>
        </w:rPr>
        <w:t xml:space="preserve">    12.负责区人力资源社会保障领域的对外交流与合作工作，</w:t>
      </w:r>
      <w:r>
        <w:rPr>
          <w:rFonts w:eastAsia="仿宋_GB2312"/>
          <w:color w:val="000000"/>
          <w:spacing w:val="-4"/>
          <w:sz w:val="32"/>
          <w:szCs w:val="32"/>
        </w:rPr>
        <w:br w:type="textWrapping"/>
      </w:r>
      <w:r>
        <w:rPr>
          <w:rFonts w:eastAsia="仿宋_GB2312"/>
          <w:color w:val="000000"/>
          <w:spacing w:val="-4"/>
          <w:sz w:val="32"/>
          <w:szCs w:val="32"/>
        </w:rPr>
        <w:t xml:space="preserve">    13.承担职责范围内的安全生产和职业健康、生态环境保护、审批服务便民化等工作。</w:t>
      </w:r>
      <w:r>
        <w:rPr>
          <w:rFonts w:eastAsia="仿宋_GB2312"/>
          <w:color w:val="000000"/>
          <w:spacing w:val="-4"/>
          <w:sz w:val="32"/>
          <w:szCs w:val="32"/>
        </w:rPr>
        <w:br w:type="textWrapping"/>
      </w:r>
      <w:r>
        <w:rPr>
          <w:rFonts w:eastAsia="仿宋_GB2312"/>
          <w:color w:val="000000"/>
          <w:spacing w:val="-4"/>
          <w:sz w:val="32"/>
          <w:szCs w:val="32"/>
        </w:rPr>
        <w:t xml:space="preserve">    14.完成区委和区政府交办的其他任务。</w:t>
      </w:r>
      <w:r>
        <w:rPr>
          <w:rFonts w:eastAsia="仿宋_GB2312"/>
          <w:color w:val="000000"/>
          <w:spacing w:val="-4"/>
          <w:sz w:val="32"/>
          <w:szCs w:val="32"/>
        </w:rPr>
        <w:br w:type="textWrapping"/>
      </w:r>
      <w:r>
        <w:rPr>
          <w:rFonts w:eastAsia="仿宋_GB2312"/>
          <w:color w:val="000000"/>
          <w:spacing w:val="-4"/>
          <w:sz w:val="32"/>
          <w:szCs w:val="32"/>
        </w:rPr>
        <w:t xml:space="preserve">    15.职能转变。深入推进简政放权、放管结合、优化服务改革，进一步减少行政审批事项，规范和优化对外办理事项，减少职业资格许可和认定等事项，实行国家职业资格目录清单管理，加强事中事后监管，创新就业和社会保障等公共服务方式，加强信息共享，提高公共服务水平。</w:t>
      </w:r>
    </w:p>
    <w:p>
      <w:pPr>
        <w:spacing w:line="353" w:lineRule="auto"/>
        <w:ind w:firstLine="624" w:firstLineChars="200"/>
        <w:rPr>
          <w:rFonts w:eastAsia="仿宋_GB2312"/>
          <w:sz w:val="32"/>
          <w:szCs w:val="32"/>
        </w:rPr>
      </w:pPr>
      <w:r>
        <w:rPr>
          <w:rFonts w:eastAsia="仿宋_GB2312"/>
          <w:spacing w:val="-4"/>
          <w:sz w:val="32"/>
          <w:szCs w:val="32"/>
        </w:rPr>
        <w:t>16.区社会保险事务中心主要职责：</w:t>
      </w:r>
      <w:r>
        <w:rPr>
          <w:rFonts w:eastAsia="仿宋_GB2312"/>
          <w:sz w:val="32"/>
          <w:szCs w:val="32"/>
        </w:rPr>
        <w:t>主要承担“五险合一”的集中征缴和支付，包括企业职工养老保险、医疗保险、工伤保险、生育保险、失业保险的征缴及待遇支付职能；机关事业单位养老保险及职业年金的征缴和机关事业单位退休人员的待遇发放。</w:t>
      </w:r>
    </w:p>
    <w:p>
      <w:pPr>
        <w:spacing w:line="353" w:lineRule="auto"/>
        <w:ind w:firstLine="624" w:firstLineChars="200"/>
        <w:rPr>
          <w:lang w:val="zh-CN"/>
        </w:rPr>
      </w:pPr>
      <w:r>
        <w:rPr>
          <w:rFonts w:eastAsia="仿宋_GB2312"/>
          <w:spacing w:val="-4"/>
          <w:sz w:val="32"/>
          <w:szCs w:val="32"/>
        </w:rPr>
        <w:t>17.区就业创业促进中心主要职责：</w:t>
      </w:r>
      <w:r>
        <w:rPr>
          <w:rFonts w:eastAsia="仿宋_GB2312"/>
          <w:sz w:val="32"/>
          <w:szCs w:val="32"/>
        </w:rPr>
        <w:t>负责贯彻执行《中华人民共和国就业促进法》、省、市有关促进就业的法律、法规、方针和政策，组织实施积极的就业政策，促进城乡劳动者充分就业、自主创业；组织开展全区就业管理服务，制定并实施全区公共就业服务计划；组织实施统筹城乡就业，为辖区失业登记人员、进城务工农民、失地农民、外来务工人员和高校毕业生等城乡劳动者提供均等化就业服务，协调有关部门落实好促进就业和创业促就业的政策、措施；负责全区公共就业服务体系建设。指导检查各街道（乡、镇）、社区（村）公共就业服务机构实施基层平台建设，开展就业（失业）登记、职业介绍、就业指导、就业培训等就业服务工作；负责全区就业创业培训工作，全面开展对城乡劳动者、大学生的就业技能培训和创业培训；贯彻落实中央、省、市关于失业保险法律、法规和政策，负责失业保险各项待遇的申领发放和为领取失业保险金期间失业人员代缴基本医疗保险费等工作；负责全区就业援助工作，组织实施就业困难人员的认定，积极开展就业援助，并负责做好职业介绍补贴、社会保险补贴、职业培训补贴、岗位补贴、高校毕业生创业补贴等促进就业创业政策；负责高校毕业生就业创业服务、就业见习基地及见习生的认定审核、离校未就业的高校毕业生跟踪服务和实名制管理、困难高校毕业生的就业援助、大学生就业创业培训；负责对城乡各类失业人员自主创业、合伙经营企业的创业担保贷款进行审核、推荐；负责全区公共就业服务信息化建设，组织开展人力资源调查、失业预警监测、综合分析统计；行使区人力资源和社会保障局赋予的其他职权，完成区委、区政府和区人力资源和社会保障局交办的其它工作。</w:t>
      </w:r>
    </w:p>
    <w:p>
      <w:pPr>
        <w:widowControl/>
        <w:numPr>
          <w:ilvl w:val="0"/>
          <w:numId w:val="6"/>
        </w:numPr>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人员概况。</w:t>
      </w:r>
    </w:p>
    <w:p>
      <w:pPr>
        <w:spacing w:line="353" w:lineRule="auto"/>
        <w:ind w:firstLine="640" w:firstLineChars="200"/>
        <w:rPr>
          <w:rFonts w:eastAsia="仿宋_GB2312"/>
          <w:color w:val="000000"/>
          <w:sz w:val="32"/>
          <w:szCs w:val="32"/>
        </w:rPr>
      </w:pPr>
      <w:r>
        <w:rPr>
          <w:rFonts w:eastAsia="仿宋_GB2312"/>
          <w:color w:val="000000"/>
          <w:sz w:val="32"/>
          <w:szCs w:val="32"/>
        </w:rPr>
        <w:t>纳入本单位202</w:t>
      </w:r>
      <w:r>
        <w:rPr>
          <w:rFonts w:hint="eastAsia"/>
          <w:color w:val="000000"/>
          <w:sz w:val="32"/>
          <w:szCs w:val="32"/>
        </w:rPr>
        <w:t>1</w:t>
      </w:r>
      <w:r>
        <w:rPr>
          <w:rFonts w:eastAsia="仿宋_GB2312"/>
          <w:color w:val="000000"/>
          <w:sz w:val="32"/>
          <w:szCs w:val="32"/>
        </w:rPr>
        <w:t>年度部门决算编制范围的二级</w:t>
      </w:r>
      <w:r>
        <w:rPr>
          <w:color w:val="000000"/>
          <w:sz w:val="32"/>
          <w:szCs w:val="32"/>
        </w:rPr>
        <w:t>独立</w:t>
      </w:r>
      <w:r>
        <w:rPr>
          <w:rFonts w:eastAsia="仿宋_GB2312"/>
          <w:color w:val="000000"/>
          <w:sz w:val="32"/>
          <w:szCs w:val="32"/>
        </w:rPr>
        <w:t>预算单位包括：区社会保险事务中心、区就业创业促进中心。截至202</w:t>
      </w:r>
      <w:r>
        <w:rPr>
          <w:rFonts w:hint="eastAsia"/>
          <w:color w:val="000000"/>
          <w:sz w:val="32"/>
          <w:szCs w:val="32"/>
        </w:rPr>
        <w:t>1</w:t>
      </w:r>
      <w:r>
        <w:rPr>
          <w:rFonts w:eastAsia="仿宋_GB2312"/>
          <w:color w:val="000000"/>
          <w:sz w:val="32"/>
          <w:szCs w:val="32"/>
        </w:rPr>
        <w:t>年末，实有人数5</w:t>
      </w:r>
      <w:r>
        <w:rPr>
          <w:rFonts w:hint="eastAsia"/>
          <w:color w:val="000000"/>
          <w:sz w:val="32"/>
          <w:szCs w:val="32"/>
        </w:rPr>
        <w:t>8</w:t>
      </w:r>
      <w:r>
        <w:rPr>
          <w:rFonts w:eastAsia="仿宋_GB2312"/>
          <w:color w:val="000000"/>
          <w:sz w:val="32"/>
          <w:szCs w:val="32"/>
        </w:rPr>
        <w:t>人（含独立预算单位），离休人员1人、退休人员6人。其中：行政编制6人，实有6人；参公编制3</w:t>
      </w:r>
      <w:r>
        <w:rPr>
          <w:rFonts w:hint="eastAsia" w:eastAsia="仿宋_GB2312"/>
          <w:color w:val="000000"/>
          <w:sz w:val="32"/>
          <w:szCs w:val="32"/>
        </w:rPr>
        <w:t>3</w:t>
      </w:r>
      <w:r>
        <w:rPr>
          <w:rFonts w:eastAsia="仿宋_GB2312"/>
          <w:color w:val="000000"/>
          <w:sz w:val="32"/>
          <w:szCs w:val="32"/>
        </w:rPr>
        <w:t>人，实有</w:t>
      </w:r>
      <w:r>
        <w:rPr>
          <w:rFonts w:hint="eastAsia" w:eastAsia="仿宋_GB2312"/>
          <w:color w:val="000000"/>
          <w:sz w:val="32"/>
          <w:szCs w:val="32"/>
        </w:rPr>
        <w:t>27</w:t>
      </w:r>
      <w:r>
        <w:rPr>
          <w:rFonts w:eastAsia="仿宋_GB2312"/>
          <w:color w:val="000000"/>
          <w:sz w:val="32"/>
          <w:szCs w:val="32"/>
        </w:rPr>
        <w:t>人；事业编制实有</w:t>
      </w:r>
      <w:r>
        <w:rPr>
          <w:rFonts w:hint="eastAsia" w:eastAsia="仿宋_GB2312"/>
          <w:color w:val="000000"/>
          <w:sz w:val="32"/>
          <w:szCs w:val="32"/>
        </w:rPr>
        <w:t>9</w:t>
      </w:r>
      <w:r>
        <w:rPr>
          <w:rFonts w:eastAsia="仿宋_GB2312"/>
          <w:color w:val="000000"/>
          <w:sz w:val="32"/>
          <w:szCs w:val="32"/>
        </w:rPr>
        <w:t>人，实有</w:t>
      </w:r>
      <w:r>
        <w:rPr>
          <w:rFonts w:hint="eastAsia" w:eastAsia="仿宋_GB2312"/>
          <w:color w:val="000000"/>
          <w:sz w:val="32"/>
          <w:szCs w:val="32"/>
        </w:rPr>
        <w:t>19</w:t>
      </w:r>
      <w:r>
        <w:rPr>
          <w:rFonts w:eastAsia="仿宋_GB2312"/>
          <w:color w:val="000000"/>
          <w:sz w:val="32"/>
          <w:szCs w:val="32"/>
        </w:rPr>
        <w:t>人；编内聘用编制</w:t>
      </w:r>
      <w:r>
        <w:rPr>
          <w:rFonts w:hint="eastAsia"/>
          <w:color w:val="000000"/>
          <w:sz w:val="32"/>
          <w:szCs w:val="32"/>
        </w:rPr>
        <w:t>6</w:t>
      </w:r>
      <w:r>
        <w:rPr>
          <w:rFonts w:eastAsia="仿宋_GB2312"/>
          <w:color w:val="000000"/>
          <w:sz w:val="32"/>
          <w:szCs w:val="32"/>
        </w:rPr>
        <w:t>人，实有</w:t>
      </w:r>
      <w:r>
        <w:rPr>
          <w:rFonts w:hint="eastAsia"/>
          <w:color w:val="000000"/>
          <w:sz w:val="32"/>
          <w:szCs w:val="32"/>
        </w:rPr>
        <w:t>6</w:t>
      </w:r>
      <w:r>
        <w:rPr>
          <w:rFonts w:eastAsia="仿宋_GB2312"/>
          <w:color w:val="000000"/>
          <w:sz w:val="32"/>
          <w:szCs w:val="32"/>
        </w:rPr>
        <w:t>人。</w:t>
      </w:r>
      <w:r>
        <w:rPr>
          <w:rFonts w:hint="eastAsia" w:eastAsia="仿宋_GB2312"/>
          <w:color w:val="000000"/>
          <w:sz w:val="32"/>
          <w:szCs w:val="32"/>
        </w:rPr>
        <w:t xml:space="preserve">      </w:t>
      </w:r>
    </w:p>
    <w:p>
      <w:pPr>
        <w:widowControl/>
        <w:adjustRightInd w:val="0"/>
        <w:snapToGrid w:val="0"/>
        <w:spacing w:line="572" w:lineRule="exact"/>
        <w:ind w:firstLine="320" w:firstLineChars="1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二、部门财政资金收支情况</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（一）部门财政资金收入情况。</w:t>
      </w:r>
    </w:p>
    <w:p>
      <w:pPr>
        <w:spacing w:line="353" w:lineRule="auto"/>
        <w:ind w:firstLine="640" w:firstLineChars="200"/>
        <w:outlineLvl w:val="1"/>
        <w:rPr>
          <w:rFonts w:eastAsia="仿宋_GB2312"/>
          <w:color w:val="000000" w:themeColor="text1"/>
          <w:sz w:val="32"/>
          <w:szCs w:val="32"/>
          <w14:textFill>
            <w14:solidFill>
              <w14:schemeClr w14:val="tx1"/>
            </w14:solidFill>
          </w14:textFill>
        </w:rPr>
      </w:pPr>
      <w:bookmarkStart w:id="81" w:name="_Toc11707"/>
      <w:r>
        <w:rPr>
          <w:rFonts w:eastAsia="仿宋_GB2312"/>
          <w:color w:val="000000"/>
          <w:sz w:val="32"/>
          <w:szCs w:val="32"/>
        </w:rPr>
        <w:t>202</w:t>
      </w:r>
      <w:r>
        <w:rPr>
          <w:rFonts w:hint="eastAsia" w:eastAsia="仿宋_GB2312"/>
          <w:color w:val="000000"/>
          <w:sz w:val="32"/>
          <w:szCs w:val="32"/>
        </w:rPr>
        <w:t>1</w:t>
      </w:r>
      <w:r>
        <w:rPr>
          <w:rFonts w:eastAsia="仿宋_GB2312"/>
          <w:color w:val="000000"/>
          <w:sz w:val="32"/>
          <w:szCs w:val="32"/>
        </w:rPr>
        <w:t>年本年收入合计2,</w:t>
      </w:r>
      <w:r>
        <w:rPr>
          <w:rFonts w:hint="eastAsia" w:eastAsia="仿宋_GB2312"/>
          <w:color w:val="000000"/>
          <w:sz w:val="32"/>
          <w:szCs w:val="32"/>
        </w:rPr>
        <w:t>733</w:t>
      </w:r>
      <w:r>
        <w:rPr>
          <w:rFonts w:eastAsia="仿宋_GB2312"/>
          <w:color w:val="000000"/>
          <w:sz w:val="32"/>
          <w:szCs w:val="32"/>
        </w:rPr>
        <w:t>.</w:t>
      </w:r>
      <w:r>
        <w:rPr>
          <w:rFonts w:hint="eastAsia" w:eastAsia="仿宋_GB2312"/>
          <w:color w:val="000000"/>
          <w:sz w:val="32"/>
          <w:szCs w:val="32"/>
        </w:rPr>
        <w:t>72</w:t>
      </w:r>
      <w:r>
        <w:rPr>
          <w:rFonts w:eastAsia="仿宋_GB2312"/>
          <w:color w:val="000000"/>
          <w:sz w:val="32"/>
          <w:szCs w:val="32"/>
        </w:rPr>
        <w:t>万元，其中：一般公共预算财政拨款收入2,</w:t>
      </w:r>
      <w:r>
        <w:rPr>
          <w:rFonts w:hint="eastAsia" w:eastAsia="仿宋_GB2312"/>
          <w:color w:val="000000"/>
          <w:sz w:val="32"/>
          <w:szCs w:val="32"/>
        </w:rPr>
        <w:t>710.47</w:t>
      </w:r>
      <w:r>
        <w:rPr>
          <w:rFonts w:eastAsia="仿宋_GB2312"/>
          <w:color w:val="000000"/>
          <w:sz w:val="32"/>
          <w:szCs w:val="32"/>
        </w:rPr>
        <w:t>万元，占99.</w:t>
      </w:r>
      <w:r>
        <w:rPr>
          <w:rFonts w:hint="eastAsia" w:eastAsia="仿宋_GB2312"/>
          <w:color w:val="000000"/>
          <w:sz w:val="32"/>
          <w:szCs w:val="32"/>
        </w:rPr>
        <w:t>15</w:t>
      </w:r>
      <w:r>
        <w:rPr>
          <w:rFonts w:eastAsia="仿宋_GB2312"/>
          <w:color w:val="000000"/>
          <w:sz w:val="32"/>
          <w:szCs w:val="32"/>
        </w:rPr>
        <w:t>%；政府性基金预算财政拨款收入</w:t>
      </w:r>
      <w:r>
        <w:rPr>
          <w:rFonts w:hint="eastAsia" w:eastAsia="仿宋_GB2312"/>
          <w:color w:val="000000"/>
          <w:sz w:val="32"/>
          <w:szCs w:val="32"/>
        </w:rPr>
        <w:t>23.25</w:t>
      </w:r>
      <w:r>
        <w:rPr>
          <w:rFonts w:eastAsia="仿宋_GB2312"/>
          <w:color w:val="000000"/>
          <w:sz w:val="32"/>
          <w:szCs w:val="32"/>
        </w:rPr>
        <w:t>万元，占0.</w:t>
      </w:r>
      <w:r>
        <w:rPr>
          <w:rFonts w:hint="eastAsia" w:eastAsia="仿宋_GB2312"/>
          <w:color w:val="000000"/>
          <w:sz w:val="32"/>
          <w:szCs w:val="32"/>
          <w:lang w:val="en-US" w:eastAsia="zh-CN"/>
        </w:rPr>
        <w:t>85</w:t>
      </w:r>
      <w:r>
        <w:rPr>
          <w:rFonts w:eastAsia="仿宋_GB2312"/>
          <w:color w:val="000000"/>
          <w:sz w:val="32"/>
          <w:szCs w:val="32"/>
        </w:rPr>
        <w:t>%；上级补助收入0万元，占0%；事业收入0万元，占0%；经营收入0万元，占0%</w:t>
      </w:r>
      <w:r>
        <w:rPr>
          <w:rFonts w:hint="eastAsia" w:eastAsia="仿宋_GB2312"/>
          <w:color w:val="000000"/>
          <w:sz w:val="32"/>
          <w:szCs w:val="32"/>
        </w:rPr>
        <w:t>；</w:t>
      </w:r>
      <w:r>
        <w:rPr>
          <w:rFonts w:eastAsia="仿宋_GB2312"/>
          <w:color w:val="000000"/>
          <w:sz w:val="32"/>
          <w:szCs w:val="32"/>
        </w:rPr>
        <w:t>附属单位上缴收入0万元，占0%；</w:t>
      </w:r>
      <w:r>
        <w:rPr>
          <w:rFonts w:eastAsia="仿宋_GB2312"/>
          <w:color w:val="000000" w:themeColor="text1"/>
          <w:sz w:val="32"/>
          <w:szCs w:val="32"/>
          <w14:textFill>
            <w14:solidFill>
              <w14:schemeClr w14:val="tx1"/>
            </w14:solidFill>
          </w14:textFill>
        </w:rPr>
        <w:t>其他收入</w:t>
      </w:r>
      <w:r>
        <w:rPr>
          <w:rFonts w:hint="eastAsia" w:eastAsia="仿宋_GB2312"/>
          <w:color w:val="000000" w:themeColor="text1"/>
          <w:sz w:val="32"/>
          <w:szCs w:val="32"/>
          <w14:textFill>
            <w14:solidFill>
              <w14:schemeClr w14:val="tx1"/>
            </w14:solidFill>
          </w14:textFill>
        </w:rPr>
        <w:t>0.52</w:t>
      </w:r>
      <w:r>
        <w:rPr>
          <w:rFonts w:eastAsia="仿宋_GB2312"/>
          <w:color w:val="000000" w:themeColor="text1"/>
          <w:sz w:val="32"/>
          <w:szCs w:val="32"/>
          <w14:textFill>
            <w14:solidFill>
              <w14:schemeClr w14:val="tx1"/>
            </w14:solidFill>
          </w14:textFill>
        </w:rPr>
        <w:t>万元，占</w:t>
      </w:r>
      <w:r>
        <w:rPr>
          <w:rFonts w:hint="eastAsia" w:eastAsia="仿宋_GB2312"/>
          <w:color w:val="000000" w:themeColor="text1"/>
          <w:sz w:val="32"/>
          <w:szCs w:val="32"/>
          <w14:textFill>
            <w14:solidFill>
              <w14:schemeClr w14:val="tx1"/>
            </w14:solidFill>
          </w14:textFill>
        </w:rPr>
        <w:t>0.02%。</w:t>
      </w:r>
      <w:bookmarkEnd w:id="81"/>
    </w:p>
    <w:p>
      <w:pPr>
        <w:pStyle w:val="2"/>
        <w:spacing w:before="93"/>
      </w:pPr>
    </w:p>
    <w:p>
      <w:pPr>
        <w:pStyle w:val="2"/>
        <w:spacing w:before="93"/>
      </w:pPr>
      <w:r>
        <w:rPr>
          <w:rFonts w:hint="eastAsia" w:ascii="Times New Roman"/>
          <w:color w:val="000000" w:themeColor="text1"/>
          <w:sz w:val="32"/>
          <w:szCs w:val="32"/>
          <w14:textFill>
            <w14:solidFill>
              <w14:schemeClr w14:val="tx1"/>
            </w14:solidFill>
          </w14:textFill>
        </w:rPr>
        <w:drawing>
          <wp:inline distT="0" distB="0" distL="114300" distR="114300">
            <wp:extent cx="5080000" cy="3810000"/>
            <wp:effectExtent l="4445" t="4445" r="5715" b="1079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widowControl/>
        <w:numPr>
          <w:ilvl w:val="0"/>
          <w:numId w:val="7"/>
        </w:numPr>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部门财政资金支出情况。</w:t>
      </w:r>
    </w:p>
    <w:p>
      <w:pPr>
        <w:spacing w:line="353" w:lineRule="auto"/>
        <w:ind w:firstLine="640" w:firstLineChars="200"/>
        <w:outlineLvl w:val="1"/>
        <w:rPr>
          <w:rFonts w:eastAsia="仿宋_GB2312"/>
          <w:color w:val="000000"/>
          <w:sz w:val="32"/>
          <w:szCs w:val="32"/>
        </w:rPr>
      </w:pPr>
      <w:bookmarkStart w:id="82" w:name="_Toc8021"/>
      <w:r>
        <w:rPr>
          <w:rFonts w:eastAsia="仿宋_GB2312"/>
          <w:color w:val="000000"/>
          <w:sz w:val="32"/>
          <w:szCs w:val="32"/>
        </w:rPr>
        <w:t>202</w:t>
      </w:r>
      <w:r>
        <w:rPr>
          <w:rFonts w:hint="eastAsia" w:eastAsia="仿宋_GB2312"/>
          <w:color w:val="000000"/>
          <w:sz w:val="32"/>
          <w:szCs w:val="32"/>
        </w:rPr>
        <w:t>1</w:t>
      </w:r>
      <w:r>
        <w:rPr>
          <w:rFonts w:eastAsia="仿宋_GB2312"/>
          <w:color w:val="000000"/>
          <w:sz w:val="32"/>
          <w:szCs w:val="32"/>
        </w:rPr>
        <w:t>年本年支出合计2,</w:t>
      </w:r>
      <w:r>
        <w:rPr>
          <w:rFonts w:hint="eastAsia" w:eastAsia="仿宋_GB2312"/>
          <w:color w:val="000000"/>
          <w:sz w:val="32"/>
          <w:szCs w:val="32"/>
        </w:rPr>
        <w:t>762.62</w:t>
      </w:r>
      <w:r>
        <w:rPr>
          <w:rFonts w:eastAsia="仿宋_GB2312"/>
          <w:color w:val="000000"/>
          <w:sz w:val="32"/>
          <w:szCs w:val="32"/>
        </w:rPr>
        <w:t>万元，其中：基本支出</w:t>
      </w:r>
      <w:r>
        <w:rPr>
          <w:rFonts w:hint="eastAsia" w:eastAsia="仿宋_GB2312"/>
          <w:color w:val="000000"/>
          <w:sz w:val="32"/>
          <w:szCs w:val="32"/>
        </w:rPr>
        <w:t>1，061.62</w:t>
      </w:r>
      <w:r>
        <w:rPr>
          <w:rFonts w:eastAsia="仿宋_GB2312"/>
          <w:color w:val="000000"/>
          <w:sz w:val="32"/>
          <w:szCs w:val="32"/>
        </w:rPr>
        <w:t>万元，占3</w:t>
      </w:r>
      <w:r>
        <w:rPr>
          <w:rFonts w:hint="eastAsia" w:eastAsia="仿宋_GB2312"/>
          <w:color w:val="000000"/>
          <w:sz w:val="32"/>
          <w:szCs w:val="32"/>
        </w:rPr>
        <w:t>8.43</w:t>
      </w:r>
      <w:r>
        <w:rPr>
          <w:rFonts w:eastAsia="仿宋_GB2312"/>
          <w:color w:val="000000"/>
          <w:sz w:val="32"/>
          <w:szCs w:val="32"/>
        </w:rPr>
        <w:t>%；项目支出1,</w:t>
      </w:r>
      <w:r>
        <w:rPr>
          <w:rFonts w:hint="eastAsia" w:eastAsia="仿宋_GB2312"/>
          <w:color w:val="000000"/>
          <w:sz w:val="32"/>
          <w:szCs w:val="32"/>
        </w:rPr>
        <w:t>700.98</w:t>
      </w:r>
      <w:r>
        <w:rPr>
          <w:rFonts w:eastAsia="仿宋_GB2312"/>
          <w:color w:val="000000"/>
          <w:sz w:val="32"/>
          <w:szCs w:val="32"/>
        </w:rPr>
        <w:t>元，占6</w:t>
      </w:r>
      <w:r>
        <w:rPr>
          <w:rFonts w:hint="eastAsia" w:eastAsia="仿宋_GB2312"/>
          <w:color w:val="000000"/>
          <w:sz w:val="32"/>
          <w:szCs w:val="32"/>
        </w:rPr>
        <w:t>1.5</w:t>
      </w:r>
      <w:r>
        <w:rPr>
          <w:rFonts w:hint="eastAsia" w:eastAsia="仿宋_GB2312"/>
          <w:color w:val="000000"/>
          <w:sz w:val="32"/>
          <w:szCs w:val="32"/>
          <w:lang w:val="en-US" w:eastAsia="zh-CN"/>
        </w:rPr>
        <w:t>7</w:t>
      </w:r>
      <w:r>
        <w:rPr>
          <w:rFonts w:eastAsia="仿宋_GB2312"/>
          <w:color w:val="000000"/>
          <w:sz w:val="32"/>
          <w:szCs w:val="32"/>
        </w:rPr>
        <w:t>%；上缴上级支出0万元，占0%；经营支出0万元，占0%；对附属单位补助支出0万元，占0%。</w:t>
      </w:r>
      <w:bookmarkEnd w:id="82"/>
    </w:p>
    <w:p>
      <w:pPr>
        <w:pStyle w:val="2"/>
        <w:spacing w:before="93"/>
        <w:rPr>
          <w:lang w:val="zh-CN"/>
        </w:rPr>
      </w:pPr>
      <w:r>
        <w:drawing>
          <wp:inline distT="0" distB="0" distL="114300" distR="114300">
            <wp:extent cx="4660900" cy="2590800"/>
            <wp:effectExtent l="4445" t="4445" r="13335" b="1079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widowControl/>
        <w:adjustRightInd w:val="0"/>
        <w:snapToGrid w:val="0"/>
        <w:spacing w:line="572" w:lineRule="exact"/>
        <w:ind w:firstLine="640" w:firstLineChars="200"/>
        <w:contextualSpacing/>
        <w:jc w:val="left"/>
        <w:rPr>
          <w:rFonts w:eastAsia="仿宋_GB2312"/>
          <w:sz w:val="32"/>
          <w:szCs w:val="32"/>
          <w14:textFill>
            <w14:gradFill>
              <w14:gsLst>
                <w14:gs w14:pos="0">
                  <w14:srgbClr w14:val="007BD3"/>
                </w14:gs>
                <w14:gs w14:pos="100000">
                  <w14:srgbClr w14:val="034373"/>
                </w14:gs>
              </w14:gsLst>
              <w14:lin w14:ang="0" w14:scaled="0"/>
            </w14:gradFill>
          </w14:textFill>
        </w:rPr>
      </w:pPr>
      <w:r>
        <w:rPr>
          <w:rFonts w:hint="eastAsia" w:ascii="黑体" w:hAnsi="宋体" w:eastAsia="黑体" w:cs="宋体"/>
          <w:kern w:val="0"/>
          <w:sz w:val="32"/>
          <w:szCs w:val="32"/>
          <w:shd w:val="clear" w:color="auto" w:fill="FFFFFF"/>
        </w:rPr>
        <w:t>三、部门整体预算绩效管理情况（涉及到有专项预算的部门，专项预算项目自评报告作为附件报送；特定目标类部门预算项目绩效目标自评表作为附表报送）</w:t>
      </w:r>
    </w:p>
    <w:p>
      <w:pPr>
        <w:spacing w:line="353" w:lineRule="auto"/>
        <w:ind w:firstLine="640" w:firstLineChars="200"/>
        <w:rPr>
          <w:rFonts w:eastAsia="仿宋_GB2312"/>
          <w:sz w:val="32"/>
          <w:szCs w:val="32"/>
        </w:rPr>
      </w:pPr>
      <w:r>
        <w:rPr>
          <w:rFonts w:eastAsia="仿宋_GB2312"/>
          <w:sz w:val="32"/>
          <w:szCs w:val="32"/>
        </w:rPr>
        <w:t>本单位按要求对202</w:t>
      </w:r>
      <w:r>
        <w:rPr>
          <w:rFonts w:hint="eastAsia" w:eastAsia="仿宋_GB2312"/>
          <w:sz w:val="32"/>
          <w:szCs w:val="32"/>
        </w:rPr>
        <w:t>1</w:t>
      </w:r>
      <w:r>
        <w:rPr>
          <w:rFonts w:eastAsia="仿宋_GB2312"/>
          <w:sz w:val="32"/>
          <w:szCs w:val="32"/>
        </w:rPr>
        <w:t>年部门整体支出开展绩效自评，</w:t>
      </w:r>
      <w:r>
        <w:rPr>
          <w:rFonts w:eastAsia="仿宋_GB2312"/>
          <w:sz w:val="32"/>
          <w:szCs w:val="22"/>
        </w:rPr>
        <w:t>从评价情况来看，我单位部门预算绩效目标完成较好，预算执行率高，极大地</w:t>
      </w:r>
      <w:r>
        <w:rPr>
          <w:rFonts w:eastAsia="仿宋_GB2312"/>
          <w:sz w:val="32"/>
          <w:szCs w:val="32"/>
        </w:rPr>
        <w:t>维护了社会稳定和谐，促进了民生事业发展。</w:t>
      </w:r>
    </w:p>
    <w:p>
      <w:pPr>
        <w:spacing w:line="353" w:lineRule="auto"/>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1</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根治欠薪工作经费</w:t>
      </w:r>
      <w:r>
        <w:rPr>
          <w:rFonts w:eastAsia="仿宋_GB2312"/>
          <w:color w:val="000000" w:themeColor="text1"/>
          <w:sz w:val="32"/>
          <w:szCs w:val="32"/>
          <w14:textFill>
            <w14:solidFill>
              <w14:schemeClr w14:val="tx1"/>
            </w14:solidFill>
          </w14:textFill>
        </w:rPr>
        <w:t>”项目绩效目标完成情况综述。项目全年预算数</w:t>
      </w:r>
      <w:r>
        <w:rPr>
          <w:rFonts w:hint="eastAsia" w:eastAsia="仿宋_GB2312"/>
          <w:color w:val="000000" w:themeColor="text1"/>
          <w:sz w:val="32"/>
          <w:szCs w:val="32"/>
          <w14:textFill>
            <w14:solidFill>
              <w14:schemeClr w14:val="tx1"/>
            </w14:solidFill>
          </w14:textFill>
        </w:rPr>
        <w:t>2</w:t>
      </w:r>
      <w:r>
        <w:rPr>
          <w:rFonts w:eastAsia="仿宋_GB2312"/>
          <w:color w:val="000000" w:themeColor="text1"/>
          <w:sz w:val="32"/>
          <w:szCs w:val="32"/>
          <w14:textFill>
            <w14:solidFill>
              <w14:schemeClr w14:val="tx1"/>
            </w14:solidFill>
          </w14:textFill>
        </w:rPr>
        <w:t>万元，执行数为</w:t>
      </w:r>
      <w:r>
        <w:rPr>
          <w:rFonts w:hint="eastAsia" w:eastAsia="仿宋_GB2312"/>
          <w:color w:val="000000" w:themeColor="text1"/>
          <w:sz w:val="32"/>
          <w:szCs w:val="32"/>
          <w:lang w:val="en-US" w:eastAsia="zh-CN"/>
          <w14:textFill>
            <w14:solidFill>
              <w14:schemeClr w14:val="tx1"/>
            </w14:solidFill>
          </w14:textFill>
        </w:rPr>
        <w:t>2</w:t>
      </w:r>
      <w:r>
        <w:rPr>
          <w:rFonts w:eastAsia="仿宋_GB2312"/>
          <w:color w:val="000000" w:themeColor="text1"/>
          <w:sz w:val="32"/>
          <w:szCs w:val="32"/>
          <w14:textFill>
            <w14:solidFill>
              <w14:schemeClr w14:val="tx1"/>
            </w14:solidFill>
          </w14:textFill>
        </w:rPr>
        <w:t>万元，完成预算的</w:t>
      </w:r>
      <w:r>
        <w:rPr>
          <w:rFonts w:hint="eastAsia" w:eastAsia="仿宋_GB2312"/>
          <w:color w:val="000000" w:themeColor="text1"/>
          <w:sz w:val="32"/>
          <w:szCs w:val="32"/>
          <w:lang w:val="en-US" w:eastAsia="zh-CN"/>
          <w14:textFill>
            <w14:solidFill>
              <w14:schemeClr w14:val="tx1"/>
            </w14:solidFill>
          </w14:textFill>
        </w:rPr>
        <w:t>100</w:t>
      </w:r>
      <w:r>
        <w:rPr>
          <w:rFonts w:eastAsia="仿宋_GB2312"/>
          <w:color w:val="000000" w:themeColor="text1"/>
          <w:sz w:val="32"/>
          <w:szCs w:val="32"/>
          <w14:textFill>
            <w14:solidFill>
              <w14:schemeClr w14:val="tx1"/>
            </w14:solidFill>
          </w14:textFill>
        </w:rPr>
        <w:t>%。通过项目实施，提高劳动人事争议仲裁法律法规普及力度，营造和谐劳动关系</w:t>
      </w:r>
      <w:r>
        <w:rPr>
          <w:rFonts w:hint="eastAsia" w:eastAsia="仿宋_GB2312"/>
          <w:color w:val="000000" w:themeColor="text1"/>
          <w:sz w:val="32"/>
          <w:szCs w:val="32"/>
          <w14:textFill>
            <w14:solidFill>
              <w14:schemeClr w14:val="tx1"/>
            </w14:solidFill>
          </w14:textFill>
        </w:rPr>
        <w:t>，提高办案效率，保护当事人合法权益，营造和谐劳动关系。</w:t>
      </w:r>
    </w:p>
    <w:p>
      <w:pPr>
        <w:spacing w:line="353" w:lineRule="auto"/>
        <w:ind w:firstLine="640" w:firstLineChars="200"/>
        <w:rPr>
          <w:rFonts w:eastAsia="仿宋_GB2312"/>
          <w:sz w:val="32"/>
          <w:szCs w:val="32"/>
        </w:rPr>
      </w:pPr>
      <w:r>
        <w:rPr>
          <w:rFonts w:eastAsia="仿宋_GB2312"/>
          <w:sz w:val="32"/>
          <w:szCs w:val="32"/>
        </w:rPr>
        <w:t>（</w:t>
      </w:r>
      <w:r>
        <w:rPr>
          <w:rFonts w:hint="eastAsia" w:eastAsia="仿宋_GB2312"/>
          <w:sz w:val="32"/>
          <w:szCs w:val="32"/>
        </w:rPr>
        <w:t>2</w:t>
      </w:r>
      <w:r>
        <w:rPr>
          <w:rFonts w:eastAsia="仿宋_GB2312"/>
          <w:sz w:val="32"/>
          <w:szCs w:val="32"/>
        </w:rPr>
        <w:t>）</w:t>
      </w:r>
      <w:r>
        <w:rPr>
          <w:rFonts w:eastAsia="仿宋_GB2312"/>
          <w:color w:val="000000" w:themeColor="text1"/>
          <w:sz w:val="32"/>
          <w:szCs w:val="32"/>
          <w14:textFill>
            <w14:solidFill>
              <w14:schemeClr w14:val="tx1"/>
            </w14:solidFill>
          </w14:textFill>
        </w:rPr>
        <w:t>“金保网络专项经费”项</w:t>
      </w:r>
      <w:r>
        <w:rPr>
          <w:rFonts w:eastAsia="仿宋_GB2312"/>
          <w:sz w:val="32"/>
          <w:szCs w:val="32"/>
        </w:rPr>
        <w:t>目绩效目标完成情况综述。项目全年预算数9万元，执行数为</w:t>
      </w:r>
      <w:r>
        <w:rPr>
          <w:rFonts w:hint="eastAsia" w:eastAsia="仿宋_GB2312"/>
          <w:sz w:val="32"/>
          <w:szCs w:val="32"/>
        </w:rPr>
        <w:t>6.</w:t>
      </w:r>
      <w:r>
        <w:rPr>
          <w:rFonts w:eastAsia="仿宋_GB2312"/>
          <w:sz w:val="32"/>
          <w:szCs w:val="32"/>
        </w:rPr>
        <w:t>9</w:t>
      </w:r>
      <w:r>
        <w:rPr>
          <w:rFonts w:hint="eastAsia" w:eastAsia="仿宋_GB2312"/>
          <w:sz w:val="32"/>
          <w:szCs w:val="32"/>
        </w:rPr>
        <w:t>4</w:t>
      </w:r>
      <w:r>
        <w:rPr>
          <w:rFonts w:eastAsia="仿宋_GB2312"/>
          <w:sz w:val="32"/>
          <w:szCs w:val="32"/>
        </w:rPr>
        <w:t>万元，完成预算的</w:t>
      </w:r>
      <w:r>
        <w:rPr>
          <w:rFonts w:hint="eastAsia" w:eastAsia="仿宋_GB2312"/>
          <w:sz w:val="32"/>
          <w:szCs w:val="32"/>
          <w:lang w:val="en-US" w:eastAsia="zh-CN"/>
        </w:rPr>
        <w:t>77.11</w:t>
      </w:r>
      <w:r>
        <w:rPr>
          <w:rFonts w:eastAsia="仿宋_GB2312"/>
          <w:sz w:val="32"/>
          <w:szCs w:val="32"/>
        </w:rPr>
        <w:t>%。通过项目实施，保障了全区人力资源和社会保障局服务平台基本运行，保障了区、镇（街道）、村（社区）三级联网，为就业（失业）登记、社保（医保）参保和待遇办理、社会保障信息查询、劳动保障监察等民生工作提供技术支持，打通服务联系群众的“最后一公里”。</w:t>
      </w:r>
    </w:p>
    <w:p>
      <w:pPr>
        <w:spacing w:line="353" w:lineRule="auto"/>
        <w:ind w:firstLine="640" w:firstLineChars="200"/>
        <w:rPr>
          <w:rFonts w:eastAsia="仿宋_GB2312"/>
          <w:color w:val="000000" w:themeColor="text1"/>
          <w:sz w:val="32"/>
          <w:szCs w:val="32"/>
          <w14:textFill>
            <w14:solidFill>
              <w14:schemeClr w14:val="tx1"/>
            </w14:solidFill>
          </w14:textFill>
        </w:rPr>
      </w:pPr>
      <w:r>
        <w:rPr>
          <w:rFonts w:eastAsia="仿宋_GB2312"/>
          <w:sz w:val="32"/>
          <w:szCs w:val="32"/>
        </w:rPr>
        <w:t>（</w:t>
      </w:r>
      <w:r>
        <w:rPr>
          <w:rFonts w:hint="eastAsia" w:eastAsia="仿宋_GB2312"/>
          <w:sz w:val="32"/>
          <w:szCs w:val="32"/>
        </w:rPr>
        <w:t>3</w:t>
      </w:r>
      <w:r>
        <w:rPr>
          <w:rFonts w:eastAsia="仿宋_GB2312"/>
          <w:color w:val="000000" w:themeColor="text1"/>
          <w:sz w:val="32"/>
          <w:szCs w:val="32"/>
          <w14:textFill>
            <w14:solidFill>
              <w14:schemeClr w14:val="tx1"/>
            </w14:solidFill>
          </w14:textFill>
        </w:rPr>
        <w:t>）“劳动</w:t>
      </w:r>
      <w:r>
        <w:rPr>
          <w:rFonts w:hint="eastAsia" w:eastAsia="仿宋_GB2312"/>
          <w:color w:val="000000" w:themeColor="text1"/>
          <w:sz w:val="32"/>
          <w:szCs w:val="32"/>
          <w14:textFill>
            <w14:solidFill>
              <w14:schemeClr w14:val="tx1"/>
            </w14:solidFill>
          </w14:textFill>
        </w:rPr>
        <w:t>和谐</w:t>
      </w:r>
      <w:r>
        <w:rPr>
          <w:rFonts w:eastAsia="仿宋_GB2312"/>
          <w:color w:val="000000" w:themeColor="text1"/>
          <w:sz w:val="32"/>
          <w:szCs w:val="32"/>
          <w14:textFill>
            <w14:solidFill>
              <w14:schemeClr w14:val="tx1"/>
            </w14:solidFill>
          </w14:textFill>
        </w:rPr>
        <w:t>关系</w:t>
      </w:r>
      <w:r>
        <w:rPr>
          <w:rFonts w:hint="eastAsia" w:eastAsia="仿宋_GB2312"/>
          <w:color w:val="000000" w:themeColor="text1"/>
          <w:sz w:val="32"/>
          <w:szCs w:val="32"/>
          <w14:textFill>
            <w14:solidFill>
              <w14:schemeClr w14:val="tx1"/>
            </w14:solidFill>
          </w14:textFill>
        </w:rPr>
        <w:t>协调业务</w:t>
      </w:r>
      <w:r>
        <w:rPr>
          <w:rFonts w:eastAsia="仿宋_GB2312"/>
          <w:color w:val="000000" w:themeColor="text1"/>
          <w:sz w:val="32"/>
          <w:szCs w:val="32"/>
          <w14:textFill>
            <w14:solidFill>
              <w14:schemeClr w14:val="tx1"/>
            </w14:solidFill>
          </w14:textFill>
        </w:rPr>
        <w:t>经费”</w:t>
      </w:r>
      <w:r>
        <w:rPr>
          <w:rFonts w:eastAsia="仿宋_GB2312"/>
          <w:sz w:val="32"/>
          <w:szCs w:val="32"/>
        </w:rPr>
        <w:t>项目绩效目标完成情况综述。项目全年预算数</w:t>
      </w:r>
      <w:r>
        <w:rPr>
          <w:rFonts w:hint="eastAsia" w:eastAsia="仿宋_GB2312"/>
          <w:sz w:val="32"/>
          <w:szCs w:val="32"/>
        </w:rPr>
        <w:t>2</w:t>
      </w:r>
      <w:r>
        <w:rPr>
          <w:rFonts w:eastAsia="仿宋_GB2312"/>
          <w:sz w:val="32"/>
          <w:szCs w:val="32"/>
        </w:rPr>
        <w:t>万元，执行数为</w:t>
      </w:r>
      <w:r>
        <w:rPr>
          <w:rFonts w:hint="eastAsia" w:eastAsia="仿宋_GB2312"/>
          <w:sz w:val="32"/>
          <w:szCs w:val="32"/>
        </w:rPr>
        <w:t>2</w:t>
      </w:r>
      <w:r>
        <w:rPr>
          <w:rFonts w:eastAsia="仿宋_GB2312"/>
          <w:sz w:val="32"/>
          <w:szCs w:val="32"/>
        </w:rPr>
        <w:t>万元，完成预算的100%。通过项目实施，提高了辖区农民工群体维权意识，一定程度上规范了企业用工行为，维护了农民工群体的基本利益，完成农民工工资拖欠专项检查任务。</w:t>
      </w:r>
      <w:r>
        <w:rPr>
          <w:rFonts w:eastAsia="仿宋_GB2312"/>
          <w:color w:val="000000" w:themeColor="text1"/>
          <w:sz w:val="32"/>
          <w:szCs w:val="32"/>
          <w14:textFill>
            <w14:solidFill>
              <w14:schemeClr w14:val="tx1"/>
            </w14:solidFill>
          </w14:textFill>
        </w:rPr>
        <w:t>202</w:t>
      </w:r>
      <w:r>
        <w:rPr>
          <w:rFonts w:hint="eastAsia" w:eastAsia="仿宋_GB2312"/>
          <w:color w:val="000000" w:themeColor="text1"/>
          <w:sz w:val="32"/>
          <w:szCs w:val="32"/>
          <w14:textFill>
            <w14:solidFill>
              <w14:schemeClr w14:val="tx1"/>
            </w14:solidFill>
          </w14:textFill>
        </w:rPr>
        <w:t>1</w:t>
      </w:r>
      <w:r>
        <w:rPr>
          <w:rFonts w:eastAsia="仿宋_GB2312"/>
          <w:color w:val="000000" w:themeColor="text1"/>
          <w:sz w:val="32"/>
          <w:szCs w:val="32"/>
          <w14:textFill>
            <w14:solidFill>
              <w14:schemeClr w14:val="tx1"/>
            </w14:solidFill>
          </w14:textFill>
        </w:rPr>
        <w:t>年，共</w:t>
      </w:r>
      <w:r>
        <w:rPr>
          <w:rFonts w:eastAsia="仿宋_GB2312"/>
          <w:color w:val="000000" w:themeColor="text1"/>
          <w:spacing w:val="-4"/>
          <w:sz w:val="32"/>
          <w:szCs w:val="32"/>
          <w14:textFill>
            <w14:solidFill>
              <w14:schemeClr w14:val="tx1"/>
            </w14:solidFill>
          </w14:textFill>
        </w:rPr>
        <w:t>处理欠薪隐患案件57件，涉及劳动者2283人，清欠工资4420万元；立案处理欠薪案件5件，清欠农民工工资26.4513万元，涉及54人</w:t>
      </w:r>
      <w:r>
        <w:rPr>
          <w:rFonts w:eastAsia="仿宋_GB2312"/>
          <w:color w:val="000000" w:themeColor="text1"/>
          <w:sz w:val="32"/>
          <w14:textFill>
            <w14:solidFill>
              <w14:schemeClr w14:val="tx1"/>
            </w14:solidFill>
          </w14:textFill>
        </w:rPr>
        <w:t>，</w:t>
      </w:r>
      <w:r>
        <w:rPr>
          <w:rFonts w:eastAsia="仿宋_GB2312"/>
          <w:color w:val="000000" w:themeColor="text1"/>
          <w:kern w:val="0"/>
          <w:sz w:val="32"/>
          <w:szCs w:val="32"/>
          <w14:textFill>
            <w14:solidFill>
              <w14:schemeClr w14:val="tx1"/>
            </w14:solidFill>
          </w14:textFill>
        </w:rPr>
        <w:t>立案受理劳动争议118件，结案112件，涉及1041名劳动者，金额1370.47万元，结案率95.7%，</w:t>
      </w:r>
      <w:r>
        <w:rPr>
          <w:rFonts w:eastAsia="仿宋_GB2312"/>
          <w:color w:val="000000" w:themeColor="text1"/>
          <w:sz w:val="32"/>
          <w:szCs w:val="32"/>
          <w14:textFill>
            <w14:solidFill>
              <w14:schemeClr w14:val="tx1"/>
            </w14:solidFill>
          </w14:textFill>
        </w:rPr>
        <w:t>为营造和谐的劳动用工关系奠定了基础。</w:t>
      </w:r>
    </w:p>
    <w:p>
      <w:pPr>
        <w:spacing w:line="353" w:lineRule="auto"/>
        <w:ind w:firstLine="640" w:firstLineChars="200"/>
        <w:rPr>
          <w:rFonts w:eastAsia="仿宋_GB2312"/>
          <w:sz w:val="32"/>
          <w:szCs w:val="32"/>
        </w:rPr>
      </w:pPr>
      <w:r>
        <w:rPr>
          <w:rFonts w:eastAsia="仿宋_GB2312"/>
          <w:sz w:val="32"/>
          <w:szCs w:val="32"/>
        </w:rPr>
        <w:t>（</w:t>
      </w:r>
      <w:r>
        <w:rPr>
          <w:rFonts w:hint="eastAsia" w:eastAsia="仿宋_GB2312"/>
          <w:sz w:val="32"/>
          <w:szCs w:val="32"/>
        </w:rPr>
        <w:t>4</w:t>
      </w:r>
      <w:r>
        <w:rPr>
          <w:rFonts w:eastAsia="仿宋_GB2312"/>
          <w:sz w:val="32"/>
          <w:szCs w:val="32"/>
        </w:rPr>
        <w:t>）</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农民工服务工作保障经费</w:t>
      </w:r>
      <w:r>
        <w:rPr>
          <w:rFonts w:eastAsia="仿宋_GB2312"/>
          <w:color w:val="000000" w:themeColor="text1"/>
          <w:sz w:val="32"/>
          <w:szCs w:val="32"/>
          <w14:textFill>
            <w14:solidFill>
              <w14:schemeClr w14:val="tx1"/>
            </w14:solidFill>
          </w14:textFill>
        </w:rPr>
        <w:t>”</w:t>
      </w:r>
      <w:r>
        <w:rPr>
          <w:rFonts w:eastAsia="仿宋_GB2312"/>
          <w:sz w:val="32"/>
          <w:szCs w:val="32"/>
        </w:rPr>
        <w:t>项目绩效目标完成情况综述。项目全年预算</w:t>
      </w:r>
      <w:r>
        <w:rPr>
          <w:rFonts w:hint="eastAsia" w:eastAsia="仿宋_GB2312"/>
          <w:sz w:val="32"/>
          <w:szCs w:val="32"/>
        </w:rPr>
        <w:t>2</w:t>
      </w:r>
      <w:r>
        <w:rPr>
          <w:rFonts w:eastAsia="仿宋_GB2312"/>
          <w:sz w:val="32"/>
          <w:szCs w:val="32"/>
        </w:rPr>
        <w:t>万元，执行数为</w:t>
      </w:r>
      <w:r>
        <w:rPr>
          <w:rFonts w:hint="eastAsia" w:eastAsia="仿宋_GB2312"/>
          <w:sz w:val="32"/>
          <w:szCs w:val="32"/>
          <w:lang w:val="en-US" w:eastAsia="zh-CN"/>
        </w:rPr>
        <w:t>0.99</w:t>
      </w:r>
      <w:r>
        <w:rPr>
          <w:rFonts w:eastAsia="仿宋_GB2312"/>
          <w:sz w:val="32"/>
          <w:szCs w:val="32"/>
        </w:rPr>
        <w:t>万元，完成预算的</w:t>
      </w:r>
      <w:r>
        <w:rPr>
          <w:rFonts w:hint="eastAsia" w:eastAsia="仿宋_GB2312"/>
          <w:sz w:val="32"/>
          <w:szCs w:val="32"/>
          <w:lang w:val="en-US" w:eastAsia="zh-CN"/>
        </w:rPr>
        <w:t>49.50</w:t>
      </w:r>
      <w:r>
        <w:rPr>
          <w:rFonts w:eastAsia="仿宋_GB2312"/>
          <w:sz w:val="32"/>
          <w:szCs w:val="32"/>
        </w:rPr>
        <w:t>%。通过项目实施，营造良好劳动就业环境，为群众提供优质劳动就业等政策服务，构建和谐劳动就业关系。</w:t>
      </w:r>
    </w:p>
    <w:p>
      <w:pPr>
        <w:spacing w:line="353" w:lineRule="auto"/>
        <w:ind w:firstLine="640" w:firstLineChars="200"/>
        <w:rPr>
          <w:rFonts w:eastAsia="仿宋_GB2312"/>
          <w:color w:val="000000" w:themeColor="text1"/>
          <w:spacing w:val="-4"/>
          <w:sz w:val="32"/>
          <w:szCs w:val="32"/>
          <w14:textFill>
            <w14:solidFill>
              <w14:schemeClr w14:val="tx1"/>
            </w14:solidFill>
          </w14:textFill>
        </w:rPr>
      </w:pPr>
      <w:r>
        <w:rPr>
          <w:rFonts w:eastAsia="仿宋_GB2312"/>
          <w:sz w:val="32"/>
          <w:szCs w:val="32"/>
        </w:rPr>
        <w:t>（</w:t>
      </w:r>
      <w:r>
        <w:rPr>
          <w:rFonts w:hint="eastAsia" w:eastAsia="仿宋_GB2312"/>
          <w:sz w:val="32"/>
          <w:szCs w:val="32"/>
        </w:rPr>
        <w:t>5</w:t>
      </w:r>
      <w:r>
        <w:rPr>
          <w:rFonts w:eastAsia="仿宋_GB2312"/>
          <w:sz w:val="32"/>
          <w:szCs w:val="32"/>
        </w:rPr>
        <w:t>）</w:t>
      </w:r>
      <w:r>
        <w:rPr>
          <w:rFonts w:eastAsia="仿宋_GB2312"/>
          <w:color w:val="000000" w:themeColor="text1"/>
          <w:sz w:val="32"/>
          <w:szCs w:val="32"/>
          <w14:textFill>
            <w14:solidFill>
              <w14:schemeClr w14:val="tx1"/>
            </w14:solidFill>
          </w14:textFill>
        </w:rPr>
        <w:t>“人才引进经费（含考试考务费）”</w:t>
      </w:r>
      <w:r>
        <w:rPr>
          <w:rFonts w:eastAsia="仿宋_GB2312"/>
          <w:sz w:val="32"/>
          <w:szCs w:val="32"/>
        </w:rPr>
        <w:t>项目绩效目标完成情况综述。项目全年预算数</w:t>
      </w:r>
      <w:r>
        <w:rPr>
          <w:rFonts w:hint="eastAsia" w:eastAsia="仿宋_GB2312"/>
          <w:sz w:val="32"/>
          <w:szCs w:val="32"/>
        </w:rPr>
        <w:t>20</w:t>
      </w:r>
      <w:r>
        <w:rPr>
          <w:rFonts w:eastAsia="仿宋_GB2312"/>
          <w:sz w:val="32"/>
          <w:szCs w:val="32"/>
        </w:rPr>
        <w:t>万元，执行数为</w:t>
      </w:r>
      <w:r>
        <w:rPr>
          <w:rFonts w:hint="eastAsia" w:eastAsia="仿宋_GB2312"/>
          <w:sz w:val="32"/>
          <w:szCs w:val="32"/>
        </w:rPr>
        <w:t>6.39</w:t>
      </w:r>
      <w:r>
        <w:rPr>
          <w:rFonts w:eastAsia="仿宋_GB2312"/>
          <w:sz w:val="32"/>
          <w:szCs w:val="32"/>
        </w:rPr>
        <w:t>万元，完成预算的</w:t>
      </w:r>
      <w:r>
        <w:rPr>
          <w:rFonts w:hint="eastAsia" w:eastAsia="仿宋_GB2312"/>
          <w:sz w:val="32"/>
          <w:szCs w:val="32"/>
          <w:lang w:val="en-US" w:eastAsia="zh-CN"/>
        </w:rPr>
        <w:t>31.95</w:t>
      </w:r>
      <w:r>
        <w:rPr>
          <w:rFonts w:eastAsia="仿宋_GB2312"/>
          <w:sz w:val="32"/>
          <w:szCs w:val="32"/>
        </w:rPr>
        <w:t>%。通过项目实施，充实了全区人才队伍</w:t>
      </w:r>
      <w:r>
        <w:rPr>
          <w:rFonts w:eastAsia="仿宋_GB2312"/>
          <w:spacing w:val="-4"/>
          <w:sz w:val="32"/>
          <w:szCs w:val="32"/>
        </w:rPr>
        <w:t>。全年</w:t>
      </w:r>
      <w:r>
        <w:rPr>
          <w:rFonts w:eastAsia="仿宋_GB2312"/>
          <w:color w:val="000000"/>
          <w:spacing w:val="-4"/>
          <w:sz w:val="32"/>
          <w:szCs w:val="32"/>
        </w:rPr>
        <w:t>完成20</w:t>
      </w:r>
      <w:r>
        <w:rPr>
          <w:rFonts w:hint="eastAsia" w:eastAsia="仿宋_GB2312"/>
          <w:color w:val="000000"/>
          <w:spacing w:val="-4"/>
          <w:sz w:val="32"/>
          <w:szCs w:val="32"/>
        </w:rPr>
        <w:t>20</w:t>
      </w:r>
      <w:r>
        <w:rPr>
          <w:rFonts w:eastAsia="仿宋_GB2312"/>
          <w:color w:val="000000"/>
          <w:spacing w:val="-4"/>
          <w:sz w:val="32"/>
          <w:szCs w:val="32"/>
        </w:rPr>
        <w:t>年事业单位公开考聘和202</w:t>
      </w:r>
      <w:r>
        <w:rPr>
          <w:rFonts w:hint="eastAsia" w:eastAsia="仿宋_GB2312"/>
          <w:color w:val="000000"/>
          <w:spacing w:val="-4"/>
          <w:sz w:val="32"/>
          <w:szCs w:val="32"/>
        </w:rPr>
        <w:t>1</w:t>
      </w:r>
      <w:r>
        <w:rPr>
          <w:rFonts w:eastAsia="仿宋_GB2312"/>
          <w:color w:val="000000"/>
          <w:spacing w:val="-4"/>
          <w:sz w:val="32"/>
          <w:szCs w:val="32"/>
        </w:rPr>
        <w:t>年公开考调事业单位工作人员工作；落实“攀枝花人才新政七条”</w:t>
      </w:r>
      <w:r>
        <w:rPr>
          <w:rFonts w:eastAsia="仿宋_GB2312"/>
          <w:color w:val="000000" w:themeColor="text1"/>
          <w:spacing w:val="-4"/>
          <w:sz w:val="32"/>
          <w:szCs w:val="32"/>
          <w14:textFill>
            <w14:solidFill>
              <w14:schemeClr w14:val="tx1"/>
            </w14:solidFill>
          </w14:textFill>
        </w:rPr>
        <w:t>，考核招聘高层次和紧缺专业人才</w:t>
      </w:r>
      <w:r>
        <w:rPr>
          <w:rFonts w:hint="eastAsia" w:eastAsia="仿宋_GB2312"/>
          <w:color w:val="000000" w:themeColor="text1"/>
          <w:spacing w:val="-4"/>
          <w:sz w:val="32"/>
          <w:szCs w:val="32"/>
          <w14:textFill>
            <w14:solidFill>
              <w14:schemeClr w14:val="tx1"/>
            </w14:solidFill>
          </w14:textFill>
        </w:rPr>
        <w:t>32</w:t>
      </w:r>
      <w:r>
        <w:rPr>
          <w:rFonts w:eastAsia="仿宋_GB2312"/>
          <w:color w:val="000000" w:themeColor="text1"/>
          <w:spacing w:val="-4"/>
          <w:sz w:val="32"/>
          <w:szCs w:val="32"/>
          <w14:textFill>
            <w14:solidFill>
              <w14:schemeClr w14:val="tx1"/>
            </w14:solidFill>
          </w14:textFill>
        </w:rPr>
        <w:t>名。</w:t>
      </w:r>
    </w:p>
    <w:p>
      <w:pPr>
        <w:pStyle w:val="2"/>
        <w:spacing w:before="93"/>
        <w:rPr>
          <w:color w:val="000000" w:themeColor="text1"/>
          <w:lang w:val="zh-CN"/>
          <w14:textFill>
            <w14:solidFill>
              <w14:schemeClr w14:val="tx1"/>
            </w14:solidFill>
          </w14:textFill>
        </w:rPr>
      </w:pPr>
      <w:r>
        <w:rPr>
          <w:rFonts w:hint="eastAsia"/>
          <w:color w:val="000000" w:themeColor="text1"/>
          <w:spacing w:val="-4"/>
          <w:sz w:val="32"/>
          <w:szCs w:val="32"/>
          <w14:textFill>
            <w14:solidFill>
              <w14:schemeClr w14:val="tx1"/>
            </w14:solidFill>
          </w14:textFill>
        </w:rPr>
        <w:t>（6）</w:t>
      </w:r>
      <w:r>
        <w:rPr>
          <w:rFonts w:hint="eastAsia"/>
          <w:color w:val="000000" w:themeColor="text1"/>
          <w:sz w:val="32"/>
          <w:szCs w:val="32"/>
          <w14:textFill>
            <w14:solidFill>
              <w14:schemeClr w14:val="tx1"/>
            </w14:solidFill>
          </w14:textFill>
        </w:rPr>
        <w:t>“三支一扶志愿者经费”</w:t>
      </w:r>
      <w:r>
        <w:rPr>
          <w:rFonts w:ascii="Times New Roman"/>
          <w:color w:val="000000" w:themeColor="text1"/>
          <w:sz w:val="32"/>
          <w:szCs w:val="32"/>
          <w14:textFill>
            <w14:solidFill>
              <w14:schemeClr w14:val="tx1"/>
            </w14:solidFill>
          </w14:textFill>
        </w:rPr>
        <w:t>项目绩效目标完成情况综述</w:t>
      </w:r>
      <w:r>
        <w:rPr>
          <w:rFonts w:hint="eastAsia" w:ascii="Times New Roman"/>
          <w:color w:val="000000" w:themeColor="text1"/>
          <w:sz w:val="32"/>
          <w:szCs w:val="32"/>
          <w14:textFill>
            <w14:solidFill>
              <w14:schemeClr w14:val="tx1"/>
            </w14:solidFill>
          </w14:textFill>
        </w:rPr>
        <w:t>。</w:t>
      </w:r>
      <w:r>
        <w:rPr>
          <w:rFonts w:ascii="Times New Roman"/>
          <w:color w:val="000000" w:themeColor="text1"/>
          <w:sz w:val="32"/>
          <w:szCs w:val="32"/>
          <w14:textFill>
            <w14:solidFill>
              <w14:schemeClr w14:val="tx1"/>
            </w14:solidFill>
          </w14:textFill>
        </w:rPr>
        <w:t>项目全年预算数</w:t>
      </w:r>
      <w:r>
        <w:rPr>
          <w:rFonts w:hint="eastAsia"/>
          <w:color w:val="000000" w:themeColor="text1"/>
          <w:sz w:val="32"/>
          <w:szCs w:val="32"/>
          <w14:textFill>
            <w14:solidFill>
              <w14:schemeClr w14:val="tx1"/>
            </w14:solidFill>
          </w14:textFill>
        </w:rPr>
        <w:t>8</w:t>
      </w:r>
      <w:r>
        <w:rPr>
          <w:rFonts w:ascii="Times New Roman"/>
          <w:color w:val="000000" w:themeColor="text1"/>
          <w:sz w:val="32"/>
          <w:szCs w:val="32"/>
          <w14:textFill>
            <w14:solidFill>
              <w14:schemeClr w14:val="tx1"/>
            </w14:solidFill>
          </w14:textFill>
        </w:rPr>
        <w:t>万元，执行数为</w:t>
      </w:r>
      <w:r>
        <w:rPr>
          <w:rFonts w:hint="eastAsia" w:ascii="Times New Roman"/>
          <w:color w:val="000000" w:themeColor="text1"/>
          <w:sz w:val="32"/>
          <w:szCs w:val="32"/>
          <w:lang w:val="en-US" w:eastAsia="zh-CN"/>
          <w14:textFill>
            <w14:solidFill>
              <w14:schemeClr w14:val="tx1"/>
            </w14:solidFill>
          </w14:textFill>
        </w:rPr>
        <w:t>8</w:t>
      </w:r>
      <w:r>
        <w:rPr>
          <w:rFonts w:ascii="Times New Roman"/>
          <w:color w:val="000000" w:themeColor="text1"/>
          <w:sz w:val="32"/>
          <w:szCs w:val="32"/>
          <w14:textFill>
            <w14:solidFill>
              <w14:schemeClr w14:val="tx1"/>
            </w14:solidFill>
          </w14:textFill>
        </w:rPr>
        <w:t>万元，完成预算的100%。通过项目实施，</w:t>
      </w:r>
      <w:r>
        <w:rPr>
          <w:rFonts w:hint="eastAsia" w:ascii="Times New Roman"/>
          <w:color w:val="000000" w:themeColor="text1"/>
          <w:spacing w:val="-4"/>
          <w:sz w:val="32"/>
          <w:szCs w:val="32"/>
          <w14:textFill>
            <w14:solidFill>
              <w14:schemeClr w14:val="tx1"/>
            </w14:solidFill>
          </w14:textFill>
        </w:rPr>
        <w:t>缓解大学生就业，充实西区乡镇人才队伍，促进西区乡镇发展</w:t>
      </w:r>
      <w:r>
        <w:rPr>
          <w:rFonts w:ascii="Times New Roman"/>
          <w:color w:val="000000" w:themeColor="text1"/>
          <w:spacing w:val="-4"/>
          <w:sz w:val="32"/>
          <w:szCs w:val="32"/>
          <w14:textFill>
            <w14:solidFill>
              <w14:schemeClr w14:val="tx1"/>
            </w14:solidFill>
          </w14:textFill>
        </w:rPr>
        <w:t>提供持续人才支撑。</w:t>
      </w:r>
    </w:p>
    <w:p>
      <w:pPr>
        <w:widowControl/>
        <w:adjustRightInd w:val="0"/>
        <w:snapToGrid w:val="0"/>
        <w:spacing w:line="572" w:lineRule="exact"/>
        <w:ind w:firstLine="640" w:firstLineChars="200"/>
        <w:contextualSpacing/>
        <w:jc w:val="left"/>
        <w:rPr>
          <w:rFonts w:ascii="仿宋_GB2312" w:hAnsi="宋体" w:eastAsia="仿宋_GB2312" w:cs="宋体"/>
          <w:color w:val="000000" w:themeColor="text1"/>
          <w:kern w:val="0"/>
          <w:sz w:val="32"/>
          <w:szCs w:val="32"/>
          <w:shd w:val="clear" w:color="auto" w:fill="FFFFFF"/>
          <w:lang w:val="zh-CN"/>
          <w14:textFill>
            <w14:solidFill>
              <w14:schemeClr w14:val="tx1"/>
            </w14:solidFill>
          </w14:textFill>
        </w:rPr>
      </w:pPr>
      <w:r>
        <w:rPr>
          <w:rFonts w:hint="eastAsia" w:ascii="仿宋_GB2312" w:hAnsi="宋体" w:eastAsia="仿宋_GB2312" w:cs="宋体"/>
          <w:color w:val="000000" w:themeColor="text1"/>
          <w:kern w:val="0"/>
          <w:sz w:val="32"/>
          <w:szCs w:val="32"/>
          <w:shd w:val="clear" w:color="auto" w:fill="FFFFFF"/>
          <w:lang w:val="zh-CN"/>
          <w14:textFill>
            <w14:solidFill>
              <w14:schemeClr w14:val="tx1"/>
            </w14:solidFill>
          </w14:textFill>
        </w:rPr>
        <w:t>（二）结果应用情况。</w:t>
      </w:r>
    </w:p>
    <w:p>
      <w:pPr>
        <w:adjustRightInd w:val="0"/>
        <w:snapToGrid w:val="0"/>
        <w:spacing w:line="355" w:lineRule="auto"/>
        <w:ind w:firstLine="640" w:firstLineChars="200"/>
        <w:rPr>
          <w:rFonts w:eastAsia="仿宋_GB2312"/>
          <w:kern w:val="0"/>
          <w:sz w:val="32"/>
          <w:szCs w:val="32"/>
        </w:rPr>
      </w:pPr>
      <w:r>
        <w:rPr>
          <w:rFonts w:hint="eastAsia" w:eastAsia="仿宋_GB2312"/>
          <w:kern w:val="0"/>
          <w:sz w:val="32"/>
          <w:szCs w:val="32"/>
        </w:rPr>
        <w:t>我单位预算整体绩效结果同内部年终考核挂钩，充分实现绩效和干部职工的奖励评价关联。平时通过定期将完成情况公开方式让全体职工知晓，达到绩效目标及时公示。</w:t>
      </w:r>
    </w:p>
    <w:p>
      <w:pPr>
        <w:widowControl/>
        <w:numPr>
          <w:ilvl w:val="0"/>
          <w:numId w:val="8"/>
        </w:numPr>
        <w:adjustRightInd w:val="0"/>
        <w:snapToGrid w:val="0"/>
        <w:spacing w:line="580" w:lineRule="exact"/>
        <w:ind w:firstLine="640" w:firstLineChars="200"/>
        <w:contextualSpacing/>
        <w:jc w:val="left"/>
        <w:rPr>
          <w:rFonts w:ascii="仿宋_GB2312" w:hAnsi="宋体" w:eastAsia="仿宋_GB2312" w:cs="宋体"/>
          <w:color w:val="002060"/>
          <w:kern w:val="0"/>
          <w:sz w:val="32"/>
          <w:szCs w:val="32"/>
          <w:shd w:val="clear" w:color="auto" w:fill="FFFFFF"/>
          <w:lang w:val="zh-CN"/>
        </w:rPr>
      </w:pPr>
      <w:r>
        <w:rPr>
          <w:rFonts w:hint="eastAsia" w:ascii="仿宋_GB2312" w:hAnsi="宋体" w:eastAsia="仿宋_GB2312" w:cs="宋体"/>
          <w:color w:val="002060"/>
          <w:kern w:val="0"/>
          <w:sz w:val="32"/>
          <w:szCs w:val="32"/>
          <w:shd w:val="clear" w:color="auto" w:fill="FFFFFF"/>
          <w:lang w:val="zh-CN"/>
        </w:rPr>
        <w:t>自评质量</w:t>
      </w:r>
    </w:p>
    <w:p>
      <w:pPr>
        <w:widowControl/>
        <w:adjustRightInd w:val="0"/>
        <w:snapToGrid w:val="0"/>
        <w:spacing w:line="355" w:lineRule="auto"/>
        <w:ind w:firstLine="640" w:firstLineChars="200"/>
        <w:rPr>
          <w:rFonts w:eastAsia="仿宋_GB2312"/>
          <w:sz w:val="32"/>
          <w:szCs w:val="32"/>
        </w:rPr>
      </w:pPr>
      <w:r>
        <w:rPr>
          <w:rFonts w:eastAsia="仿宋_GB2312"/>
          <w:kern w:val="0"/>
          <w:sz w:val="32"/>
          <w:szCs w:val="32"/>
        </w:rPr>
        <w:t xml:space="preserve"> </w:t>
      </w:r>
      <w:r>
        <w:rPr>
          <w:rFonts w:hint="eastAsia" w:eastAsia="仿宋_GB2312"/>
          <w:kern w:val="0"/>
          <w:sz w:val="32"/>
          <w:szCs w:val="32"/>
        </w:rPr>
        <w:t>我单位整体绩效目标由中心领导和办公室根据单位工作职能共同设定，并结合群众反馈意见等因素科学进行评价，自评质量较好。</w:t>
      </w:r>
    </w:p>
    <w:p>
      <w:pPr>
        <w:widowControl/>
        <w:adjustRightInd w:val="0"/>
        <w:snapToGrid w:val="0"/>
        <w:spacing w:line="576"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四、评价结论及建议</w:t>
      </w:r>
    </w:p>
    <w:p>
      <w:pPr>
        <w:widowControl/>
        <w:adjustRightInd w:val="0"/>
        <w:snapToGrid w:val="0"/>
        <w:spacing w:line="576"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（一）评价结论。</w:t>
      </w:r>
    </w:p>
    <w:p>
      <w:pPr>
        <w:pStyle w:val="7"/>
        <w:spacing w:line="353" w:lineRule="auto"/>
        <w:ind w:firstLine="640" w:firstLineChars="200"/>
        <w:rPr>
          <w:lang w:val="zh-CN"/>
        </w:rPr>
      </w:pPr>
      <w:r>
        <w:rPr>
          <w:rFonts w:ascii="Times New Roman" w:hAnsi="Times New Roman" w:eastAsia="黑体"/>
          <w:sz w:val="32"/>
          <w:szCs w:val="32"/>
        </w:rPr>
        <w:t xml:space="preserve"> </w:t>
      </w:r>
      <w:r>
        <w:rPr>
          <w:rFonts w:ascii="Times New Roman" w:hAnsi="Times New Roman" w:eastAsia="仿宋_GB2312"/>
          <w:sz w:val="32"/>
          <w:szCs w:val="32"/>
        </w:rPr>
        <w:t>202</w:t>
      </w:r>
      <w:r>
        <w:rPr>
          <w:rFonts w:hint="eastAsia" w:ascii="Times New Roman" w:hAnsi="Times New Roman" w:eastAsia="仿宋_GB2312"/>
          <w:sz w:val="32"/>
          <w:szCs w:val="32"/>
        </w:rPr>
        <w:t>1</w:t>
      </w:r>
      <w:r>
        <w:rPr>
          <w:rFonts w:ascii="Times New Roman" w:hAnsi="Times New Roman" w:eastAsia="仿宋_GB2312"/>
          <w:sz w:val="32"/>
          <w:szCs w:val="32"/>
        </w:rPr>
        <w:t>年西区人力资源和社会保障局资金使用情况严格按照财政预算批复和调整情况执行，严格执行财经纪律、相关财经法规和单位内部控制制度的规定，严格做到专款专用，202</w:t>
      </w:r>
      <w:r>
        <w:rPr>
          <w:rFonts w:hint="eastAsia" w:ascii="Times New Roman" w:hAnsi="Times New Roman" w:eastAsia="仿宋_GB2312"/>
          <w:sz w:val="32"/>
          <w:szCs w:val="32"/>
        </w:rPr>
        <w:t>1</w:t>
      </w:r>
      <w:r>
        <w:rPr>
          <w:rFonts w:ascii="Times New Roman" w:hAnsi="Times New Roman" w:eastAsia="仿宋_GB2312"/>
          <w:sz w:val="32"/>
          <w:szCs w:val="32"/>
        </w:rPr>
        <w:t>年部门整体支出情况良好。</w:t>
      </w:r>
    </w:p>
    <w:p>
      <w:pPr>
        <w:widowControl/>
        <w:numPr>
          <w:ilvl w:val="0"/>
          <w:numId w:val="7"/>
        </w:numPr>
        <w:adjustRightInd w:val="0"/>
        <w:snapToGrid w:val="0"/>
        <w:spacing w:line="576"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存在问题。</w:t>
      </w:r>
    </w:p>
    <w:p>
      <w:pPr>
        <w:pStyle w:val="2"/>
        <w:spacing w:before="93"/>
        <w:ind w:firstLine="640" w:firstLineChars="200"/>
        <w:rPr>
          <w:rFonts w:ascii="Times New Roman"/>
          <w:kern w:val="2"/>
          <w:sz w:val="32"/>
          <w:szCs w:val="32"/>
          <w:lang w:val="zh-CN"/>
        </w:rPr>
      </w:pPr>
      <w:r>
        <w:rPr>
          <w:rFonts w:hint="eastAsia" w:ascii="Times New Roman"/>
          <w:kern w:val="2"/>
          <w:sz w:val="32"/>
          <w:szCs w:val="32"/>
          <w:lang w:val="zh-CN"/>
        </w:rPr>
        <w:t>无。</w:t>
      </w:r>
    </w:p>
    <w:p>
      <w:pPr>
        <w:widowControl/>
        <w:numPr>
          <w:ilvl w:val="0"/>
          <w:numId w:val="7"/>
        </w:numPr>
        <w:adjustRightInd w:val="0"/>
        <w:snapToGrid w:val="0"/>
        <w:spacing w:line="576"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改进建议。</w:t>
      </w:r>
    </w:p>
    <w:p>
      <w:pPr>
        <w:pStyle w:val="2"/>
        <w:spacing w:before="93" w:after="120"/>
        <w:ind w:firstLine="640" w:firstLineChars="200"/>
        <w:rPr>
          <w:rFonts w:ascii="Times New Roman"/>
          <w:kern w:val="2"/>
          <w:sz w:val="32"/>
          <w:szCs w:val="32"/>
          <w:lang w:val="zh-CN"/>
        </w:rPr>
      </w:pPr>
      <w:r>
        <w:rPr>
          <w:rFonts w:hint="eastAsia" w:ascii="Times New Roman"/>
          <w:kern w:val="2"/>
          <w:sz w:val="32"/>
          <w:szCs w:val="32"/>
          <w:lang w:val="zh-CN"/>
        </w:rPr>
        <w:t>无。</w:t>
      </w:r>
    </w:p>
    <w:p>
      <w:pPr>
        <w:spacing w:line="572" w:lineRule="exact"/>
        <w:jc w:val="center"/>
        <w:rPr>
          <w:rFonts w:ascii="方正小标宋简体" w:hAnsi="宋体" w:eastAsia="方正小标宋简体"/>
          <w:kern w:val="0"/>
          <w:sz w:val="40"/>
          <w:szCs w:val="44"/>
        </w:rPr>
      </w:pPr>
    </w:p>
    <w:p>
      <w:pPr>
        <w:spacing w:line="572" w:lineRule="exact"/>
        <w:jc w:val="center"/>
        <w:rPr>
          <w:rFonts w:ascii="方正小标宋简体" w:hAnsi="宋体" w:eastAsia="方正小标宋简体"/>
          <w:kern w:val="0"/>
          <w:sz w:val="40"/>
          <w:szCs w:val="44"/>
        </w:rPr>
      </w:pPr>
    </w:p>
    <w:p>
      <w:pPr>
        <w:spacing w:line="572" w:lineRule="exact"/>
        <w:jc w:val="center"/>
        <w:rPr>
          <w:rFonts w:ascii="方正小标宋简体" w:hAnsi="宋体" w:eastAsia="方正小标宋简体"/>
          <w:kern w:val="0"/>
          <w:sz w:val="40"/>
          <w:szCs w:val="44"/>
        </w:rPr>
      </w:pPr>
    </w:p>
    <w:p>
      <w:pPr>
        <w:pStyle w:val="2"/>
        <w:rPr>
          <w:rFonts w:ascii="方正小标宋简体" w:hAnsi="宋体" w:eastAsia="方正小标宋简体"/>
          <w:kern w:val="0"/>
          <w:sz w:val="40"/>
          <w:szCs w:val="44"/>
        </w:rPr>
      </w:pPr>
    </w:p>
    <w:p>
      <w:pPr>
        <w:pStyle w:val="2"/>
        <w:rPr>
          <w:rFonts w:ascii="方正小标宋简体" w:hAnsi="宋体" w:eastAsia="方正小标宋简体"/>
          <w:kern w:val="0"/>
          <w:sz w:val="40"/>
          <w:szCs w:val="44"/>
        </w:rPr>
      </w:pPr>
    </w:p>
    <w:p>
      <w:pPr>
        <w:pStyle w:val="2"/>
        <w:rPr>
          <w:rFonts w:ascii="方正小标宋简体" w:hAnsi="宋体" w:eastAsia="方正小标宋简体"/>
          <w:kern w:val="0"/>
          <w:sz w:val="40"/>
          <w:szCs w:val="44"/>
        </w:rPr>
      </w:pPr>
    </w:p>
    <w:p>
      <w:pPr>
        <w:pStyle w:val="2"/>
        <w:rPr>
          <w:rFonts w:ascii="方正小标宋简体" w:hAnsi="宋体" w:eastAsia="方正小标宋简体"/>
          <w:kern w:val="0"/>
          <w:sz w:val="40"/>
          <w:szCs w:val="44"/>
        </w:rPr>
      </w:pPr>
    </w:p>
    <w:p>
      <w:pPr>
        <w:pStyle w:val="2"/>
        <w:rPr>
          <w:rFonts w:ascii="方正小标宋简体" w:hAnsi="宋体" w:eastAsia="方正小标宋简体"/>
          <w:kern w:val="0"/>
          <w:sz w:val="40"/>
          <w:szCs w:val="44"/>
        </w:rPr>
      </w:pPr>
    </w:p>
    <w:p>
      <w:pPr>
        <w:pStyle w:val="2"/>
        <w:rPr>
          <w:rFonts w:ascii="方正小标宋简体" w:hAnsi="宋体" w:eastAsia="方正小标宋简体"/>
          <w:kern w:val="0"/>
          <w:sz w:val="40"/>
          <w:szCs w:val="44"/>
        </w:rPr>
      </w:pPr>
    </w:p>
    <w:p>
      <w:pPr>
        <w:pStyle w:val="2"/>
        <w:rPr>
          <w:rFonts w:ascii="方正小标宋简体" w:hAnsi="宋体" w:eastAsia="方正小标宋简体"/>
          <w:kern w:val="0"/>
          <w:sz w:val="40"/>
          <w:szCs w:val="44"/>
        </w:rPr>
      </w:pPr>
    </w:p>
    <w:p>
      <w:pPr>
        <w:pStyle w:val="2"/>
        <w:rPr>
          <w:rFonts w:ascii="方正小标宋简体" w:hAnsi="宋体" w:eastAsia="方正小标宋简体"/>
          <w:kern w:val="0"/>
          <w:sz w:val="40"/>
          <w:szCs w:val="44"/>
        </w:rPr>
      </w:pPr>
    </w:p>
    <w:p>
      <w:pPr>
        <w:spacing w:line="572" w:lineRule="exact"/>
        <w:jc w:val="center"/>
        <w:rPr>
          <w:rFonts w:ascii="方正小标宋简体" w:hAnsi="宋体" w:eastAsia="方正小标宋简体"/>
          <w:kern w:val="0"/>
          <w:sz w:val="40"/>
          <w:szCs w:val="44"/>
        </w:rPr>
      </w:pPr>
    </w:p>
    <w:p>
      <w:pPr>
        <w:spacing w:line="572" w:lineRule="exact"/>
        <w:jc w:val="center"/>
        <w:rPr>
          <w:rFonts w:ascii="方正小标宋简体" w:hAnsi="宋体" w:eastAsia="方正小标宋简体"/>
          <w:kern w:val="0"/>
          <w:sz w:val="40"/>
          <w:szCs w:val="44"/>
        </w:rPr>
      </w:pPr>
    </w:p>
    <w:p>
      <w:pPr>
        <w:spacing w:line="572" w:lineRule="exact"/>
        <w:jc w:val="center"/>
        <w:rPr>
          <w:rFonts w:ascii="方正小标宋简体" w:hAnsi="宋体" w:eastAsia="方正小标宋简体"/>
          <w:kern w:val="0"/>
          <w:sz w:val="40"/>
          <w:szCs w:val="44"/>
        </w:rPr>
      </w:pPr>
      <w:r>
        <w:rPr>
          <w:rFonts w:hint="eastAsia" w:ascii="方正小标宋简体" w:hAnsi="宋体" w:eastAsia="方正小标宋简体"/>
          <w:kern w:val="0"/>
          <w:sz w:val="40"/>
          <w:szCs w:val="44"/>
        </w:rPr>
        <w:t>2021年攀枝花市西区社会保险事务中心</w:t>
      </w:r>
    </w:p>
    <w:p>
      <w:pPr>
        <w:widowControl/>
        <w:adjustRightInd w:val="0"/>
        <w:snapToGrid w:val="0"/>
        <w:spacing w:line="580" w:lineRule="exact"/>
        <w:ind w:firstLine="800" w:firstLineChars="200"/>
        <w:contextualSpacing/>
        <w:jc w:val="center"/>
        <w:rPr>
          <w:rFonts w:ascii="黑体" w:hAnsi="宋体" w:eastAsia="黑体" w:cs="宋体"/>
          <w:color w:val="000000"/>
          <w:kern w:val="0"/>
          <w:sz w:val="32"/>
          <w:szCs w:val="32"/>
          <w:shd w:val="clear" w:color="auto" w:fill="FFFFFF"/>
        </w:rPr>
      </w:pPr>
      <w:r>
        <w:rPr>
          <w:rFonts w:hint="eastAsia" w:ascii="方正小标宋简体" w:hAnsi="宋体" w:eastAsia="方正小标宋简体"/>
          <w:kern w:val="0"/>
          <w:sz w:val="40"/>
          <w:szCs w:val="44"/>
        </w:rPr>
        <w:t>整体绩效评价报告</w:t>
      </w:r>
    </w:p>
    <w:p>
      <w:pPr>
        <w:widowControl/>
        <w:adjustRightInd w:val="0"/>
        <w:snapToGrid w:val="0"/>
        <w:spacing w:line="580" w:lineRule="exact"/>
        <w:ind w:firstLine="640" w:firstLineChars="200"/>
        <w:contextualSpacing/>
        <w:jc w:val="center"/>
        <w:rPr>
          <w:rFonts w:ascii="黑体" w:hAnsi="宋体" w:eastAsia="黑体" w:cs="宋体"/>
          <w:color w:val="000000"/>
          <w:kern w:val="0"/>
          <w:sz w:val="32"/>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（一）机构组成。</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仿宋" w:eastAsia="仿宋_GB2312"/>
          <w:sz w:val="32"/>
          <w:szCs w:val="32"/>
        </w:rPr>
        <w:t>攀枝花市西区社会保险事务中心是攀枝花市西区人力资源和社会保障局下属的二级部门，属于参照公务员法管理的事业单位。</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（二）机构职能。</w:t>
      </w:r>
    </w:p>
    <w:p>
      <w:pPr>
        <w:ind w:firstLine="630"/>
        <w:rPr>
          <w:rFonts w:ascii="仿宋_GB2312" w:eastAsia="仿宋_GB2312"/>
          <w:sz w:val="32"/>
          <w:szCs w:val="32"/>
        </w:rPr>
      </w:pPr>
      <w:r>
        <w:rPr>
          <w:rFonts w:hint="eastAsia" w:ascii="仿宋_GB2312" w:eastAsia="仿宋_GB2312"/>
          <w:sz w:val="32"/>
          <w:szCs w:val="32"/>
        </w:rPr>
        <w:t>1、贯彻执行党和国家有关社会保险的路线、方针、政策和法律、法规。</w:t>
      </w:r>
    </w:p>
    <w:p>
      <w:pPr>
        <w:ind w:firstLine="630"/>
        <w:rPr>
          <w:rFonts w:ascii="仿宋_GB2312" w:eastAsia="仿宋_GB2312"/>
          <w:sz w:val="32"/>
          <w:szCs w:val="32"/>
        </w:rPr>
      </w:pPr>
      <w:r>
        <w:rPr>
          <w:rFonts w:hint="eastAsia" w:ascii="仿宋_GB2312" w:eastAsia="仿宋_GB2312"/>
          <w:sz w:val="32"/>
          <w:szCs w:val="32"/>
        </w:rPr>
        <w:t>2、负责辖区内参保单位和个人养老、工伤、生育、失业、医疗保险基金的征收、管理、拨付等工作；</w:t>
      </w:r>
    </w:p>
    <w:p>
      <w:pPr>
        <w:ind w:firstLine="630"/>
        <w:rPr>
          <w:rFonts w:ascii="仿宋_GB2312" w:eastAsia="仿宋_GB2312"/>
          <w:sz w:val="32"/>
          <w:szCs w:val="32"/>
        </w:rPr>
      </w:pPr>
      <w:r>
        <w:rPr>
          <w:rFonts w:hint="eastAsia" w:ascii="仿宋_GB2312" w:eastAsia="仿宋_GB2312"/>
          <w:sz w:val="32"/>
          <w:szCs w:val="32"/>
        </w:rPr>
        <w:t>3、承办辖区参保单位社会保险登记、变更、注销，职工保险关系转移，灵活就业人员参保、续保工作；</w:t>
      </w:r>
    </w:p>
    <w:p>
      <w:pPr>
        <w:ind w:firstLine="630"/>
        <w:rPr>
          <w:rFonts w:ascii="仿宋_GB2312" w:eastAsia="仿宋_GB2312"/>
          <w:sz w:val="32"/>
          <w:szCs w:val="32"/>
        </w:rPr>
      </w:pPr>
      <w:r>
        <w:rPr>
          <w:rFonts w:hint="eastAsia" w:ascii="仿宋_GB2312" w:eastAsia="仿宋_GB2312"/>
          <w:sz w:val="32"/>
          <w:szCs w:val="32"/>
        </w:rPr>
        <w:t>4、审核参保职工待遇享受条件、计算其待遇，按时足额发放各类社会保险金。指导、督促协调街镇搞好社会保险工作；</w:t>
      </w:r>
    </w:p>
    <w:p>
      <w:pPr>
        <w:ind w:firstLine="630"/>
        <w:rPr>
          <w:rFonts w:ascii="仿宋_GB2312" w:eastAsia="仿宋_GB2312"/>
          <w:sz w:val="32"/>
          <w:szCs w:val="32"/>
        </w:rPr>
      </w:pPr>
      <w:r>
        <w:rPr>
          <w:rFonts w:hint="eastAsia" w:ascii="仿宋_GB2312" w:eastAsia="仿宋_GB2312"/>
          <w:sz w:val="32"/>
          <w:szCs w:val="32"/>
        </w:rPr>
        <w:t>5、负责社会保险数据、信息的处理和管理；</w:t>
      </w:r>
    </w:p>
    <w:p>
      <w:pPr>
        <w:ind w:firstLine="630"/>
        <w:rPr>
          <w:rFonts w:ascii="仿宋_GB2312" w:eastAsia="仿宋_GB2312"/>
          <w:sz w:val="32"/>
          <w:szCs w:val="32"/>
        </w:rPr>
      </w:pPr>
      <w:r>
        <w:rPr>
          <w:rFonts w:hint="eastAsia" w:ascii="仿宋_GB2312" w:eastAsia="仿宋_GB2312"/>
          <w:sz w:val="32"/>
          <w:szCs w:val="32"/>
        </w:rPr>
        <w:t>6、为参保单位和个人提供有关社会保险政策宣传咨询服务，受理群众来信来访；</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eastAsia="仿宋_GB2312"/>
          <w:sz w:val="32"/>
          <w:szCs w:val="32"/>
        </w:rPr>
        <w:t>7、负责完成区委、区政府和上级部门交办的各项工作任务。</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（三）人员概况。</w:t>
      </w:r>
    </w:p>
    <w:p>
      <w:pPr>
        <w:widowControl/>
        <w:adjustRightInd w:val="0"/>
        <w:snapToGrid w:val="0"/>
        <w:spacing w:line="580" w:lineRule="exact"/>
        <w:ind w:firstLine="640" w:firstLineChars="200"/>
        <w:contextualSpacing/>
        <w:jc w:val="left"/>
        <w:rPr>
          <w:rFonts w:ascii="仿宋_GB2312" w:hAnsi="宋体" w:eastAsia="仿宋_GB2312" w:cs="宋体"/>
          <w:color w:val="000000" w:themeColor="text1"/>
          <w:kern w:val="0"/>
          <w:sz w:val="32"/>
          <w:szCs w:val="32"/>
          <w:shd w:val="clear" w:color="auto" w:fill="FFFFFF"/>
          <w:lang w:val="zh-CN"/>
          <w14:textFill>
            <w14:solidFill>
              <w14:schemeClr w14:val="tx1"/>
            </w14:solidFill>
          </w14:textFill>
        </w:rPr>
      </w:pPr>
      <w:r>
        <w:rPr>
          <w:rFonts w:eastAsia="仿宋_GB2312"/>
          <w:color w:val="000000" w:themeColor="text1"/>
          <w:sz w:val="32"/>
          <w:szCs w:val="32"/>
          <w14:textFill>
            <w14:solidFill>
              <w14:schemeClr w14:val="tx1"/>
            </w14:solidFill>
          </w14:textFill>
        </w:rPr>
        <w:t>截至202</w:t>
      </w:r>
      <w:r>
        <w:rPr>
          <w:rFonts w:hint="eastAsia"/>
          <w:color w:val="000000" w:themeColor="text1"/>
          <w:sz w:val="32"/>
          <w:szCs w:val="32"/>
          <w14:textFill>
            <w14:solidFill>
              <w14:schemeClr w14:val="tx1"/>
            </w14:solidFill>
          </w14:textFill>
        </w:rPr>
        <w:t>1</w:t>
      </w:r>
      <w:r>
        <w:rPr>
          <w:rFonts w:eastAsia="仿宋_GB2312"/>
          <w:color w:val="000000" w:themeColor="text1"/>
          <w:sz w:val="32"/>
          <w:szCs w:val="32"/>
          <w14:textFill>
            <w14:solidFill>
              <w14:schemeClr w14:val="tx1"/>
            </w14:solidFill>
          </w14:textFill>
        </w:rPr>
        <w:t>年末，实有人数</w:t>
      </w:r>
      <w:r>
        <w:rPr>
          <w:rFonts w:hint="eastAsia" w:eastAsia="仿宋_GB2312"/>
          <w:color w:val="000000" w:themeColor="text1"/>
          <w:sz w:val="32"/>
          <w:szCs w:val="32"/>
          <w14:textFill>
            <w14:solidFill>
              <w14:schemeClr w14:val="tx1"/>
            </w14:solidFill>
          </w14:textFill>
        </w:rPr>
        <w:t>21</w:t>
      </w:r>
      <w:r>
        <w:rPr>
          <w:rFonts w:eastAsia="仿宋_GB2312"/>
          <w:color w:val="000000" w:themeColor="text1"/>
          <w:sz w:val="32"/>
          <w:szCs w:val="32"/>
          <w14:textFill>
            <w14:solidFill>
              <w14:schemeClr w14:val="tx1"/>
            </w14:solidFill>
          </w14:textFill>
        </w:rPr>
        <w:t>人</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其中：</w:t>
      </w:r>
      <w:r>
        <w:rPr>
          <w:rFonts w:hint="eastAsia" w:ascii="仿宋_GB2312" w:eastAsia="仿宋_GB2312"/>
          <w:color w:val="000000" w:themeColor="text1"/>
          <w:sz w:val="32"/>
          <w:szCs w:val="32"/>
          <w14:textFill>
            <w14:solidFill>
              <w14:schemeClr w14:val="tx1"/>
            </w14:solidFill>
          </w14:textFill>
        </w:rPr>
        <w:t>参公管理人员编制16人，实有16人（含工勤人员1人）；事业人员编制0人，实有1人（占用区人才交流中心编制）。退休人员2人；编内聘用人员编制5人，实有4人。</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p>
    <w:p>
      <w:pPr>
        <w:widowControl/>
        <w:adjustRightInd w:val="0"/>
        <w:snapToGrid w:val="0"/>
        <w:spacing w:line="580" w:lineRule="exact"/>
        <w:ind w:firstLine="640" w:firstLineChars="200"/>
        <w:contextualSpacing/>
        <w:jc w:val="left"/>
        <w:rPr>
          <w:rFonts w:ascii="仿宋_GB2312" w:hAnsi="仿宋" w:eastAsia="仿宋_GB2312"/>
          <w:sz w:val="32"/>
          <w:szCs w:val="32"/>
        </w:rPr>
      </w:pPr>
      <w:r>
        <w:rPr>
          <w:rFonts w:ascii="仿宋_GB2312" w:hAnsi="仿宋" w:eastAsia="仿宋_GB2312"/>
          <w:sz w:val="32"/>
          <w:szCs w:val="32"/>
        </w:rPr>
        <w:t>20</w:t>
      </w:r>
      <w:r>
        <w:rPr>
          <w:rFonts w:hint="eastAsia" w:ascii="仿宋_GB2312" w:hAnsi="仿宋" w:eastAsia="仿宋_GB2312"/>
          <w:sz w:val="32"/>
          <w:szCs w:val="32"/>
        </w:rPr>
        <w:t>21年本年收入合计342.14万元，全部为一般公共预算财政拨款收入。</w:t>
      </w:r>
    </w:p>
    <w:p>
      <w:pPr>
        <w:widowControl/>
        <w:adjustRightInd w:val="0"/>
        <w:snapToGrid w:val="0"/>
        <w:spacing w:line="58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（二）部门财政资金支出情况。</w:t>
      </w:r>
    </w:p>
    <w:p>
      <w:pPr>
        <w:widowControl/>
        <w:adjustRightInd w:val="0"/>
        <w:snapToGrid w:val="0"/>
        <w:spacing w:line="580" w:lineRule="exact"/>
        <w:ind w:firstLine="640" w:firstLineChars="200"/>
        <w:contextualSpacing/>
        <w:jc w:val="left"/>
        <w:rPr>
          <w:rFonts w:ascii="仿宋_GB2312" w:hAnsi="仿宋" w:eastAsia="仿宋_GB2312"/>
          <w:sz w:val="32"/>
          <w:szCs w:val="32"/>
        </w:rPr>
      </w:pPr>
      <w:r>
        <w:rPr>
          <w:rFonts w:ascii="仿宋_GB2312" w:hAnsi="仿宋" w:eastAsia="仿宋_GB2312"/>
          <w:sz w:val="32"/>
          <w:szCs w:val="32"/>
        </w:rPr>
        <w:t>20</w:t>
      </w:r>
      <w:r>
        <w:rPr>
          <w:rFonts w:hint="eastAsia" w:ascii="仿宋_GB2312" w:hAnsi="仿宋" w:eastAsia="仿宋_GB2312"/>
          <w:sz w:val="32"/>
          <w:szCs w:val="32"/>
        </w:rPr>
        <w:t>21年本年支出合计342.55万元，其中：基本支出273.49万元，占79.84</w:t>
      </w:r>
      <w:r>
        <w:rPr>
          <w:rFonts w:ascii="仿宋_GB2312" w:hAnsi="仿宋" w:eastAsia="仿宋_GB2312"/>
          <w:sz w:val="32"/>
          <w:szCs w:val="32"/>
        </w:rPr>
        <w:t>%</w:t>
      </w:r>
      <w:r>
        <w:rPr>
          <w:rFonts w:hint="eastAsia" w:ascii="仿宋_GB2312" w:hAnsi="仿宋" w:eastAsia="仿宋_GB2312"/>
          <w:sz w:val="32"/>
          <w:szCs w:val="32"/>
        </w:rPr>
        <w:t>；项目支出69.06万元，占20.16</w:t>
      </w:r>
      <w:r>
        <w:rPr>
          <w:rFonts w:ascii="仿宋_GB2312" w:hAnsi="仿宋" w:eastAsia="仿宋_GB2312"/>
          <w:sz w:val="32"/>
          <w:szCs w:val="32"/>
        </w:rPr>
        <w:t>%</w:t>
      </w:r>
      <w:r>
        <w:rPr>
          <w:rFonts w:hint="eastAsia" w:ascii="仿宋_GB2312" w:hAnsi="仿宋" w:eastAsia="仿宋_GB2312"/>
          <w:sz w:val="32"/>
          <w:szCs w:val="32"/>
        </w:rPr>
        <w:t>。</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西区社保中心在年度预算管理过程中，进一步强化资金的分配、使用、管理等关键环节的事前防范、事中控制、事后监督，努力提高项目资金的配置效率。</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在制度建设方面，我局不断建立完善制度体系，围绕预算编制、执行、支付、监督等方面不断完善，建立用制度管人、管事、管财的长效机制，并在实际工作中认真贯彻执行，确保资金使用的安全、合规。</w:t>
      </w:r>
    </w:p>
    <w:p>
      <w:pPr>
        <w:widowControl/>
        <w:adjustRightInd w:val="0"/>
        <w:snapToGrid w:val="0"/>
        <w:spacing w:line="580" w:lineRule="exact"/>
        <w:ind w:firstLine="640" w:firstLineChars="200"/>
        <w:contextualSpacing/>
        <w:jc w:val="left"/>
        <w:rPr>
          <w:rFonts w:ascii="仿宋_GB2312" w:eastAsia="仿宋_GB2312"/>
          <w:sz w:val="32"/>
          <w:szCs w:val="32"/>
        </w:rPr>
      </w:pPr>
      <w:r>
        <w:rPr>
          <w:rFonts w:hint="eastAsia" w:ascii="仿宋_GB2312" w:eastAsia="仿宋_GB2312"/>
          <w:sz w:val="32"/>
          <w:szCs w:val="32"/>
        </w:rPr>
        <w:t>在预算执行管理方面，我局切实履行预算管理职责，加强预算执行的监督管理，维护预算的严肃性。定期检查预算的执行进度情况，分析解决预算执行中存在的问题和困难，根据预算项目用途，确保专款专用。</w:t>
      </w:r>
    </w:p>
    <w:p>
      <w:pPr>
        <w:widowControl/>
        <w:adjustRightInd w:val="0"/>
        <w:snapToGrid w:val="0"/>
        <w:spacing w:line="580" w:lineRule="exact"/>
        <w:ind w:firstLine="640" w:firstLineChars="200"/>
        <w:contextualSpacing/>
        <w:jc w:val="left"/>
        <w:rPr>
          <w:rFonts w:ascii="仿宋_GB2312" w:eastAsia="仿宋_GB2312"/>
          <w:sz w:val="32"/>
          <w:szCs w:val="32"/>
        </w:rPr>
      </w:pPr>
      <w:r>
        <w:rPr>
          <w:rFonts w:hint="eastAsia" w:ascii="仿宋_GB2312" w:eastAsia="仿宋_GB2312"/>
          <w:sz w:val="32"/>
          <w:szCs w:val="32"/>
        </w:rPr>
        <w:t>（二）结果应用情况。</w:t>
      </w:r>
    </w:p>
    <w:p>
      <w:pPr>
        <w:widowControl/>
        <w:adjustRightInd w:val="0"/>
        <w:snapToGrid w:val="0"/>
        <w:spacing w:line="580" w:lineRule="exact"/>
        <w:ind w:firstLine="640" w:firstLineChars="200"/>
        <w:contextualSpacing/>
        <w:jc w:val="left"/>
        <w:rPr>
          <w:rFonts w:ascii="仿宋_GB2312" w:eastAsia="仿宋_GB2312"/>
          <w:sz w:val="32"/>
          <w:szCs w:val="32"/>
        </w:rPr>
      </w:pPr>
      <w:r>
        <w:rPr>
          <w:rFonts w:hint="eastAsia" w:ascii="仿宋_GB2312" w:eastAsia="仿宋_GB2312"/>
          <w:sz w:val="32"/>
          <w:szCs w:val="32"/>
        </w:rPr>
        <w:t>绩效自评结果的应用，是加强资金管理，增强资金绩效意识，合理配置资金，强化资金管理、提高资金使用效益的重要手段，不断补充和完善绩效评价指标，建立激励与约束机制。通过绩效自评，调整预算执行的进度，保障预算项目的全面落实。</w:t>
      </w:r>
    </w:p>
    <w:p>
      <w:pPr>
        <w:pStyle w:val="2"/>
        <w:spacing w:before="93"/>
        <w:ind w:firstLine="600" w:firstLineChars="200"/>
        <w:rPr>
          <w:rFonts w:hAnsi="宋体" w:cs="宋体"/>
          <w:sz w:val="32"/>
          <w:szCs w:val="32"/>
          <w:shd w:val="clear" w:color="auto" w:fill="FFFFFF"/>
          <w:lang w:val="zh-CN"/>
        </w:rPr>
      </w:pPr>
      <w:r>
        <w:rPr>
          <w:rFonts w:hint="eastAsia"/>
        </w:rPr>
        <w:t>（三）</w:t>
      </w:r>
      <w:r>
        <w:rPr>
          <w:rFonts w:hint="eastAsia" w:hAnsi="宋体" w:cs="宋体"/>
          <w:sz w:val="32"/>
          <w:szCs w:val="32"/>
          <w:shd w:val="clear" w:color="auto" w:fill="FFFFFF"/>
          <w:lang w:val="zh-CN"/>
        </w:rPr>
        <w:t>自评质量</w:t>
      </w:r>
    </w:p>
    <w:p>
      <w:pPr>
        <w:pStyle w:val="2"/>
        <w:spacing w:before="93"/>
        <w:ind w:firstLine="640" w:firstLineChars="200"/>
      </w:pPr>
      <w:r>
        <w:rPr>
          <w:rFonts w:hint="eastAsia" w:hAnsi="宋体" w:cs="宋体"/>
          <w:sz w:val="32"/>
          <w:szCs w:val="32"/>
          <w:shd w:val="clear" w:color="auto" w:fill="FFFFFF"/>
        </w:rPr>
        <w:t>西区社保中心对照设定的单位整体支出绩效目标开展自评，自评结果准确。</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（一）评价结论。</w:t>
      </w:r>
    </w:p>
    <w:p>
      <w:pPr>
        <w:widowControl/>
        <w:adjustRightInd w:val="0"/>
        <w:snapToGrid w:val="0"/>
        <w:spacing w:line="580" w:lineRule="exact"/>
        <w:ind w:firstLine="640" w:firstLineChars="200"/>
        <w:contextualSpacing/>
        <w:jc w:val="left"/>
        <w:rPr>
          <w:rFonts w:ascii="仿宋_GB2312" w:eastAsia="仿宋_GB2312"/>
          <w:sz w:val="32"/>
          <w:szCs w:val="32"/>
        </w:rPr>
      </w:pPr>
      <w:r>
        <w:rPr>
          <w:rFonts w:hint="eastAsia" w:ascii="仿宋_GB2312" w:eastAsia="仿宋_GB2312"/>
          <w:sz w:val="32"/>
          <w:szCs w:val="32"/>
        </w:rPr>
        <w:t>西区社保中心2021年绩效目标完成，职责履行良好，履职效益明显，预算配置科学，预算执行有效，预算管理规范，综合绩效指标自评良。</w:t>
      </w:r>
    </w:p>
    <w:p>
      <w:pPr>
        <w:widowControl/>
        <w:adjustRightInd w:val="0"/>
        <w:snapToGrid w:val="0"/>
        <w:spacing w:line="580" w:lineRule="exact"/>
        <w:ind w:firstLine="640" w:firstLineChars="200"/>
        <w:contextualSpacing/>
        <w:jc w:val="left"/>
        <w:rPr>
          <w:rFonts w:ascii="仿宋_GB2312" w:eastAsia="仿宋_GB2312"/>
          <w:sz w:val="32"/>
          <w:szCs w:val="32"/>
        </w:rPr>
      </w:pPr>
      <w:r>
        <w:rPr>
          <w:rFonts w:hint="eastAsia" w:ascii="仿宋_GB2312" w:eastAsia="仿宋_GB2312"/>
          <w:sz w:val="32"/>
          <w:szCs w:val="32"/>
        </w:rPr>
        <w:t>（二）存在问题。</w:t>
      </w:r>
    </w:p>
    <w:p>
      <w:pPr>
        <w:widowControl/>
        <w:adjustRightInd w:val="0"/>
        <w:snapToGrid w:val="0"/>
        <w:spacing w:line="580" w:lineRule="exact"/>
        <w:ind w:firstLine="640" w:firstLineChars="200"/>
        <w:contextualSpacing/>
        <w:jc w:val="left"/>
        <w:rPr>
          <w:rFonts w:ascii="仿宋_GB2312" w:eastAsia="仿宋_GB2312"/>
          <w:sz w:val="32"/>
          <w:szCs w:val="32"/>
        </w:rPr>
      </w:pPr>
      <w:r>
        <w:rPr>
          <w:rFonts w:hint="eastAsia" w:ascii="仿宋_GB2312" w:eastAsia="仿宋_GB2312"/>
          <w:sz w:val="32"/>
          <w:szCs w:val="32"/>
        </w:rPr>
        <w:t>通过绩效评价，我局存在的问题主要是预算年度工作计划难以细化，导致预算执行进度不均衡。</w:t>
      </w:r>
    </w:p>
    <w:p>
      <w:pPr>
        <w:widowControl/>
        <w:adjustRightInd w:val="0"/>
        <w:snapToGrid w:val="0"/>
        <w:spacing w:line="580" w:lineRule="exact"/>
        <w:ind w:firstLine="640" w:firstLineChars="200"/>
        <w:contextualSpacing/>
        <w:jc w:val="left"/>
        <w:rPr>
          <w:rFonts w:ascii="仿宋_GB2312" w:eastAsia="仿宋_GB2312"/>
          <w:sz w:val="32"/>
          <w:szCs w:val="32"/>
        </w:rPr>
      </w:pPr>
      <w:r>
        <w:rPr>
          <w:rFonts w:hint="eastAsia" w:ascii="仿宋_GB2312" w:eastAsia="仿宋_GB2312"/>
          <w:sz w:val="32"/>
          <w:szCs w:val="32"/>
        </w:rPr>
        <w:t>（三）改进建议。</w:t>
      </w:r>
    </w:p>
    <w:p>
      <w:pPr>
        <w:spacing w:line="580" w:lineRule="exact"/>
        <w:ind w:firstLine="640" w:firstLineChars="200"/>
        <w:rPr>
          <w:rFonts w:ascii="黑体" w:hAnsi="黑体" w:eastAsia="黑体" w:cs="黑体"/>
          <w:sz w:val="32"/>
          <w:szCs w:val="32"/>
        </w:rPr>
      </w:pPr>
      <w:r>
        <w:rPr>
          <w:rFonts w:hint="eastAsia" w:ascii="仿宋_GB2312" w:eastAsia="仿宋_GB2312"/>
          <w:sz w:val="32"/>
          <w:szCs w:val="32"/>
        </w:rPr>
        <w:t>针对此问题，我局将进一步强化预算年度工作计划，提高预算编制质量。在编制预算年度工作计划时，要求项目实施科室一起制定工作计划和实施方案，提高工作计划和实施方案的准确性和可操作性。通过抓预算年度细化工作计划，合理科学编制预算，从而有效保障部门预算的执行。</w:t>
      </w:r>
    </w:p>
    <w:p>
      <w:pPr>
        <w:spacing w:line="353" w:lineRule="auto"/>
        <w:jc w:val="center"/>
        <w:rPr>
          <w:rFonts w:ascii="方正小标宋简体" w:hAnsi="宋体" w:eastAsia="方正小标宋简体"/>
          <w:kern w:val="0"/>
          <w:sz w:val="40"/>
          <w:szCs w:val="44"/>
        </w:rPr>
      </w:pPr>
    </w:p>
    <w:p>
      <w:pPr>
        <w:spacing w:line="353" w:lineRule="auto"/>
        <w:jc w:val="center"/>
        <w:rPr>
          <w:rFonts w:ascii="方正小标宋简体" w:hAnsi="宋体" w:eastAsia="方正小标宋简体"/>
          <w:kern w:val="0"/>
          <w:sz w:val="40"/>
          <w:szCs w:val="44"/>
        </w:rPr>
      </w:pPr>
    </w:p>
    <w:p>
      <w:pPr>
        <w:spacing w:line="353" w:lineRule="auto"/>
        <w:jc w:val="center"/>
        <w:rPr>
          <w:rFonts w:ascii="方正小标宋简体" w:hAnsi="宋体" w:eastAsia="方正小标宋简体"/>
          <w:kern w:val="0"/>
          <w:sz w:val="40"/>
          <w:szCs w:val="44"/>
        </w:rPr>
      </w:pPr>
    </w:p>
    <w:p>
      <w:pPr>
        <w:spacing w:line="353" w:lineRule="auto"/>
        <w:jc w:val="center"/>
        <w:rPr>
          <w:rFonts w:ascii="方正小标宋简体" w:hAnsi="宋体" w:eastAsia="方正小标宋简体"/>
          <w:kern w:val="0"/>
          <w:sz w:val="40"/>
          <w:szCs w:val="44"/>
        </w:rPr>
      </w:pPr>
    </w:p>
    <w:p>
      <w:pPr>
        <w:spacing w:line="353" w:lineRule="auto"/>
        <w:jc w:val="center"/>
        <w:rPr>
          <w:rFonts w:ascii="方正小标宋简体" w:hAnsi="宋体" w:eastAsia="方正小标宋简体"/>
          <w:kern w:val="0"/>
          <w:sz w:val="40"/>
          <w:szCs w:val="44"/>
        </w:rPr>
      </w:pPr>
    </w:p>
    <w:p>
      <w:pPr>
        <w:spacing w:line="353" w:lineRule="auto"/>
        <w:jc w:val="center"/>
        <w:rPr>
          <w:rFonts w:ascii="方正小标宋简体" w:hAnsi="宋体" w:eastAsia="方正小标宋简体"/>
          <w:kern w:val="0"/>
          <w:sz w:val="40"/>
          <w:szCs w:val="44"/>
        </w:rPr>
      </w:pPr>
    </w:p>
    <w:p>
      <w:pPr>
        <w:spacing w:line="353" w:lineRule="auto"/>
        <w:jc w:val="center"/>
        <w:rPr>
          <w:rFonts w:ascii="方正小标宋简体" w:hAnsi="宋体" w:eastAsia="方正小标宋简体"/>
          <w:kern w:val="0"/>
          <w:sz w:val="40"/>
          <w:szCs w:val="44"/>
        </w:rPr>
      </w:pPr>
    </w:p>
    <w:p>
      <w:pPr>
        <w:spacing w:line="353" w:lineRule="auto"/>
        <w:jc w:val="center"/>
        <w:rPr>
          <w:rFonts w:ascii="方正小标宋简体" w:hAnsi="宋体" w:eastAsia="方正小标宋简体"/>
          <w:kern w:val="0"/>
          <w:sz w:val="40"/>
          <w:szCs w:val="44"/>
        </w:rPr>
      </w:pPr>
    </w:p>
    <w:p>
      <w:pPr>
        <w:spacing w:line="353" w:lineRule="auto"/>
        <w:jc w:val="center"/>
        <w:rPr>
          <w:rFonts w:ascii="方正小标宋简体" w:hAnsi="宋体" w:eastAsia="方正小标宋简体"/>
          <w:kern w:val="0"/>
          <w:sz w:val="40"/>
          <w:szCs w:val="44"/>
        </w:rPr>
      </w:pPr>
    </w:p>
    <w:p>
      <w:pPr>
        <w:spacing w:line="353" w:lineRule="auto"/>
        <w:jc w:val="center"/>
        <w:rPr>
          <w:rFonts w:ascii="方正小标宋简体" w:hAnsi="宋体" w:eastAsia="方正小标宋简体"/>
          <w:kern w:val="0"/>
          <w:sz w:val="40"/>
          <w:szCs w:val="44"/>
        </w:rPr>
      </w:pPr>
    </w:p>
    <w:p>
      <w:pPr>
        <w:spacing w:line="353" w:lineRule="auto"/>
        <w:jc w:val="center"/>
        <w:rPr>
          <w:rFonts w:ascii="方正小标宋简体" w:hAnsi="宋体" w:eastAsia="方正小标宋简体"/>
          <w:kern w:val="0"/>
          <w:sz w:val="40"/>
          <w:szCs w:val="44"/>
        </w:rPr>
      </w:pPr>
    </w:p>
    <w:p>
      <w:pPr>
        <w:spacing w:line="353" w:lineRule="auto"/>
        <w:jc w:val="center"/>
        <w:rPr>
          <w:rFonts w:ascii="方正小标宋简体" w:hAnsi="宋体" w:eastAsia="方正小标宋简体"/>
          <w:kern w:val="0"/>
          <w:sz w:val="40"/>
          <w:szCs w:val="44"/>
        </w:rPr>
      </w:pPr>
    </w:p>
    <w:p>
      <w:pPr>
        <w:spacing w:line="353" w:lineRule="auto"/>
        <w:jc w:val="center"/>
        <w:rPr>
          <w:rFonts w:ascii="方正小标宋简体" w:hAnsi="宋体" w:eastAsia="方正小标宋简体"/>
          <w:kern w:val="0"/>
          <w:sz w:val="40"/>
          <w:szCs w:val="44"/>
        </w:rPr>
      </w:pPr>
    </w:p>
    <w:p>
      <w:pPr>
        <w:spacing w:line="353" w:lineRule="auto"/>
        <w:jc w:val="center"/>
        <w:rPr>
          <w:rFonts w:ascii="方正小标宋简体" w:hAnsi="宋体" w:eastAsia="方正小标宋简体"/>
          <w:kern w:val="0"/>
          <w:sz w:val="40"/>
          <w:szCs w:val="44"/>
        </w:rPr>
      </w:pPr>
    </w:p>
    <w:p>
      <w:pPr>
        <w:spacing w:line="353" w:lineRule="auto"/>
        <w:jc w:val="center"/>
        <w:rPr>
          <w:rFonts w:ascii="方正小标宋简体" w:hAnsi="宋体" w:eastAsia="方正小标宋简体"/>
          <w:kern w:val="0"/>
          <w:sz w:val="40"/>
          <w:szCs w:val="44"/>
        </w:rPr>
      </w:pPr>
    </w:p>
    <w:p>
      <w:pPr>
        <w:spacing w:line="353" w:lineRule="auto"/>
        <w:jc w:val="center"/>
        <w:rPr>
          <w:rFonts w:ascii="方正小标宋简体" w:hAnsi="宋体" w:eastAsia="方正小标宋简体"/>
          <w:kern w:val="0"/>
          <w:sz w:val="40"/>
          <w:szCs w:val="44"/>
        </w:rPr>
      </w:pPr>
    </w:p>
    <w:p>
      <w:pPr>
        <w:spacing w:line="353" w:lineRule="auto"/>
        <w:jc w:val="center"/>
        <w:rPr>
          <w:rFonts w:ascii="方正小标宋简体" w:hAnsi="宋体" w:eastAsia="方正小标宋简体"/>
          <w:kern w:val="0"/>
          <w:sz w:val="40"/>
          <w:szCs w:val="44"/>
        </w:rPr>
      </w:pPr>
    </w:p>
    <w:p>
      <w:pPr>
        <w:pStyle w:val="2"/>
        <w:spacing w:before="93"/>
        <w:rPr>
          <w:rFonts w:ascii="方正小标宋简体" w:hAnsi="宋体" w:eastAsia="方正小标宋简体"/>
          <w:sz w:val="40"/>
          <w:szCs w:val="44"/>
        </w:rPr>
      </w:pPr>
    </w:p>
    <w:p>
      <w:pPr>
        <w:pStyle w:val="2"/>
        <w:spacing w:before="93"/>
        <w:rPr>
          <w:rFonts w:ascii="方正小标宋简体" w:hAnsi="宋体" w:eastAsia="方正小标宋简体"/>
          <w:sz w:val="40"/>
          <w:szCs w:val="44"/>
        </w:rPr>
      </w:pPr>
    </w:p>
    <w:p>
      <w:pPr>
        <w:spacing w:line="353" w:lineRule="auto"/>
        <w:jc w:val="center"/>
        <w:rPr>
          <w:rFonts w:ascii="方正小标宋简体" w:hAnsi="宋体" w:eastAsia="方正小标宋简体"/>
          <w:kern w:val="0"/>
          <w:sz w:val="40"/>
          <w:szCs w:val="44"/>
        </w:rPr>
      </w:pPr>
    </w:p>
    <w:p>
      <w:pPr>
        <w:spacing w:line="353" w:lineRule="auto"/>
        <w:jc w:val="center"/>
        <w:rPr>
          <w:rFonts w:ascii="方正小标宋简体" w:hAnsi="宋体" w:eastAsia="方正小标宋简体"/>
          <w:kern w:val="0"/>
          <w:sz w:val="40"/>
          <w:szCs w:val="44"/>
        </w:rPr>
      </w:pPr>
      <w:r>
        <w:rPr>
          <w:rFonts w:hint="eastAsia" w:ascii="方正小标宋简体" w:hAnsi="宋体" w:eastAsia="方正小标宋简体"/>
          <w:kern w:val="0"/>
          <w:sz w:val="40"/>
          <w:szCs w:val="44"/>
        </w:rPr>
        <w:t>2021年攀枝花市西区就业创业促进中心</w:t>
      </w:r>
    </w:p>
    <w:p>
      <w:pPr>
        <w:spacing w:line="353" w:lineRule="auto"/>
        <w:jc w:val="center"/>
        <w:rPr>
          <w:rFonts w:ascii="方正小标宋简体" w:hAnsi="宋体" w:eastAsia="方正小标宋简体"/>
          <w:kern w:val="0"/>
          <w:sz w:val="40"/>
          <w:szCs w:val="44"/>
          <w:lang w:val="zh-CN"/>
        </w:rPr>
      </w:pPr>
      <w:r>
        <w:rPr>
          <w:rFonts w:hint="eastAsia" w:ascii="方正小标宋简体" w:hAnsi="宋体" w:eastAsia="方正小标宋简体"/>
          <w:kern w:val="0"/>
          <w:sz w:val="40"/>
          <w:szCs w:val="44"/>
        </w:rPr>
        <w:t>整体绩效评价报告</w:t>
      </w:r>
    </w:p>
    <w:p>
      <w:pPr>
        <w:widowControl/>
        <w:adjustRightInd w:val="0"/>
        <w:snapToGrid w:val="0"/>
        <w:spacing w:line="353" w:lineRule="auto"/>
        <w:ind w:firstLine="480" w:firstLineChars="200"/>
        <w:contextualSpacing/>
        <w:jc w:val="left"/>
        <w:rPr>
          <w:rFonts w:ascii="黑体" w:hAnsi="宋体" w:eastAsia="黑体"/>
          <w:kern w:val="0"/>
          <w:sz w:val="24"/>
          <w:szCs w:val="32"/>
          <w:shd w:val="clear" w:color="auto" w:fill="FFFFFF"/>
        </w:rPr>
      </w:pPr>
    </w:p>
    <w:p>
      <w:pPr>
        <w:widowControl/>
        <w:adjustRightInd w:val="0"/>
        <w:snapToGrid w:val="0"/>
        <w:spacing w:line="353" w:lineRule="auto"/>
        <w:ind w:firstLine="640" w:firstLineChars="200"/>
        <w:contextualSpacing/>
        <w:jc w:val="left"/>
        <w:rPr>
          <w:rFonts w:ascii="黑体" w:hAnsi="宋体" w:eastAsia="黑体"/>
          <w:kern w:val="0"/>
          <w:sz w:val="32"/>
          <w:szCs w:val="32"/>
          <w:shd w:val="clear" w:color="auto" w:fill="FFFFFF"/>
          <w:lang w:val="zh-CN"/>
        </w:rPr>
      </w:pPr>
      <w:r>
        <w:rPr>
          <w:rFonts w:hint="eastAsia" w:ascii="黑体" w:hAnsi="宋体" w:eastAsia="黑体"/>
          <w:kern w:val="0"/>
          <w:sz w:val="32"/>
          <w:szCs w:val="32"/>
          <w:shd w:val="clear" w:color="auto" w:fill="FFFFFF"/>
        </w:rPr>
        <w:t>一、</w:t>
      </w:r>
      <w:r>
        <w:rPr>
          <w:rFonts w:hint="eastAsia" w:ascii="黑体" w:hAnsi="宋体" w:eastAsia="黑体"/>
          <w:kern w:val="0"/>
          <w:sz w:val="32"/>
          <w:szCs w:val="32"/>
          <w:shd w:val="clear" w:color="auto" w:fill="FFFFFF"/>
          <w:lang w:val="zh-CN"/>
        </w:rPr>
        <w:t>部门（单位）概况</w:t>
      </w:r>
    </w:p>
    <w:p>
      <w:pPr>
        <w:widowControl/>
        <w:adjustRightInd w:val="0"/>
        <w:snapToGrid w:val="0"/>
        <w:spacing w:line="353" w:lineRule="auto"/>
        <w:ind w:firstLine="640" w:firstLineChars="200"/>
        <w:contextualSpacing/>
        <w:jc w:val="left"/>
        <w:rPr>
          <w:rFonts w:ascii="楷体_GB2312" w:hAnsi="楷体_GB2312" w:eastAsia="楷体_GB2312" w:cs="楷体_GB2312"/>
          <w:kern w:val="0"/>
          <w:sz w:val="32"/>
          <w:szCs w:val="32"/>
          <w:shd w:val="clear" w:color="auto" w:fill="FFFFFF"/>
          <w:lang w:val="zh-CN"/>
        </w:rPr>
      </w:pPr>
      <w:r>
        <w:rPr>
          <w:rFonts w:hint="eastAsia" w:ascii="楷体_GB2312" w:hAnsi="楷体_GB2312" w:eastAsia="楷体_GB2312" w:cs="楷体_GB2312"/>
          <w:kern w:val="0"/>
          <w:sz w:val="32"/>
          <w:szCs w:val="32"/>
          <w:shd w:val="clear" w:color="auto" w:fill="FFFFFF"/>
          <w:lang w:val="zh-CN"/>
        </w:rPr>
        <w:t>（一）机构组成。</w:t>
      </w:r>
    </w:p>
    <w:p>
      <w:pPr>
        <w:widowControl/>
        <w:adjustRightInd w:val="0"/>
        <w:snapToGrid w:val="0"/>
        <w:spacing w:line="353" w:lineRule="auto"/>
        <w:ind w:firstLine="640" w:firstLineChars="200"/>
        <w:contextualSpacing/>
        <w:jc w:val="left"/>
        <w:rPr>
          <w:rFonts w:ascii="楷体_GB2312" w:hAnsi="楷体_GB2312" w:eastAsia="楷体_GB2312" w:cs="楷体_GB2312"/>
          <w:kern w:val="0"/>
          <w:sz w:val="32"/>
          <w:szCs w:val="32"/>
          <w:shd w:val="clear" w:color="auto" w:fill="FFFFFF"/>
          <w:lang w:val="zh-CN"/>
        </w:rPr>
      </w:pPr>
      <w:r>
        <w:rPr>
          <w:rFonts w:hint="eastAsia" w:ascii="仿宋_GB2312" w:eastAsia="仿宋_GB2312"/>
          <w:sz w:val="32"/>
          <w:szCs w:val="32"/>
        </w:rPr>
        <w:t>根据攀人办发</w:t>
      </w:r>
      <w:r>
        <w:rPr>
          <w:rFonts w:eastAsia="仿宋_GB2312"/>
          <w:spacing w:val="-4"/>
          <w:sz w:val="32"/>
          <w:szCs w:val="32"/>
        </w:rPr>
        <w:t>〔2</w:t>
      </w:r>
      <w:r>
        <w:rPr>
          <w:rFonts w:hint="eastAsia" w:eastAsia="仿宋_GB2312"/>
          <w:spacing w:val="-4"/>
          <w:sz w:val="32"/>
          <w:szCs w:val="32"/>
        </w:rPr>
        <w:t>009</w:t>
      </w:r>
      <w:r>
        <w:rPr>
          <w:rFonts w:eastAsia="仿宋_GB2312"/>
          <w:spacing w:val="-4"/>
          <w:sz w:val="32"/>
          <w:szCs w:val="32"/>
        </w:rPr>
        <w:t>〕</w:t>
      </w:r>
      <w:r>
        <w:rPr>
          <w:rFonts w:hint="eastAsia" w:ascii="仿宋_GB2312" w:eastAsia="仿宋_GB2312"/>
          <w:sz w:val="32"/>
          <w:szCs w:val="32"/>
        </w:rPr>
        <w:t>174号文、川人发</w:t>
      </w:r>
      <w:r>
        <w:rPr>
          <w:rFonts w:eastAsia="仿宋_GB2312"/>
          <w:spacing w:val="-4"/>
          <w:sz w:val="32"/>
          <w:szCs w:val="32"/>
        </w:rPr>
        <w:t>〔2</w:t>
      </w:r>
      <w:r>
        <w:rPr>
          <w:rFonts w:hint="eastAsia" w:eastAsia="仿宋_GB2312"/>
          <w:spacing w:val="-4"/>
          <w:sz w:val="32"/>
          <w:szCs w:val="32"/>
        </w:rPr>
        <w:t>009</w:t>
      </w:r>
      <w:r>
        <w:rPr>
          <w:rFonts w:eastAsia="仿宋_GB2312"/>
          <w:spacing w:val="-4"/>
          <w:sz w:val="32"/>
          <w:szCs w:val="32"/>
        </w:rPr>
        <w:t>〕</w:t>
      </w:r>
      <w:r>
        <w:rPr>
          <w:rFonts w:hint="eastAsia" w:ascii="仿宋_GB2312" w:eastAsia="仿宋_GB2312"/>
          <w:sz w:val="32"/>
          <w:szCs w:val="32"/>
        </w:rPr>
        <w:t>30号文，西区就业服务管理局于2009年4月14日获准列入参考公务员法管理范围，性质为参公事业单位。由西区人力资源和社会保障局主管。根据攀编发[2019]136号文，攀枝花市西区就业服务管理局更名为攀枝花市西区就业创业促进中心，属于纳入2020年度部门决算编制范围的预算单位。</w:t>
      </w:r>
      <w:r>
        <w:rPr>
          <w:rStyle w:val="31"/>
          <w:rFonts w:hint="default"/>
        </w:rPr>
        <w:t xml:space="preserve">2020年挂“攀枝花市西区农民工服务中心”牌子，增加参公事业编制 </w:t>
      </w:r>
      <w:r>
        <w:rPr>
          <w:rStyle w:val="32"/>
          <w:rFonts w:hint="eastAsia"/>
        </w:rPr>
        <w:t xml:space="preserve">2 </w:t>
      </w:r>
      <w:r>
        <w:rPr>
          <w:rStyle w:val="31"/>
          <w:rFonts w:hint="default"/>
        </w:rPr>
        <w:t>名，专门负责农民工服务相关工作。</w:t>
      </w:r>
    </w:p>
    <w:p>
      <w:pPr>
        <w:widowControl/>
        <w:adjustRightInd w:val="0"/>
        <w:snapToGrid w:val="0"/>
        <w:spacing w:line="353" w:lineRule="auto"/>
        <w:ind w:firstLine="640" w:firstLineChars="200"/>
        <w:contextualSpacing/>
        <w:jc w:val="left"/>
        <w:rPr>
          <w:rFonts w:ascii="楷体_GB2312" w:hAnsi="楷体_GB2312" w:eastAsia="楷体_GB2312" w:cs="楷体_GB2312"/>
          <w:kern w:val="0"/>
          <w:sz w:val="32"/>
          <w:szCs w:val="32"/>
          <w:shd w:val="clear" w:color="auto" w:fill="FFFFFF"/>
          <w:lang w:val="zh-CN"/>
        </w:rPr>
      </w:pPr>
      <w:r>
        <w:rPr>
          <w:rFonts w:hint="eastAsia" w:ascii="楷体_GB2312" w:hAnsi="楷体_GB2312" w:eastAsia="楷体_GB2312" w:cs="楷体_GB2312"/>
          <w:kern w:val="0"/>
          <w:sz w:val="32"/>
          <w:szCs w:val="32"/>
          <w:shd w:val="clear" w:color="auto" w:fill="FFFFFF"/>
          <w:lang w:val="zh-CN"/>
        </w:rPr>
        <w:t>（二）机构职能。</w:t>
      </w:r>
    </w:p>
    <w:p>
      <w:pPr>
        <w:widowControl/>
        <w:adjustRightInd w:val="0"/>
        <w:snapToGrid w:val="0"/>
        <w:spacing w:line="353" w:lineRule="auto"/>
        <w:ind w:firstLine="640" w:firstLineChars="200"/>
        <w:contextualSpacing/>
        <w:jc w:val="left"/>
        <w:rPr>
          <w:rFonts w:ascii="楷体_GB2312" w:hAnsi="楷体_GB2312" w:eastAsia="楷体_GB2312" w:cs="楷体_GB2312"/>
          <w:kern w:val="0"/>
          <w:sz w:val="32"/>
          <w:szCs w:val="32"/>
          <w:shd w:val="clear" w:color="auto" w:fill="FFFFFF"/>
          <w:lang w:val="zh-CN"/>
        </w:rPr>
      </w:pPr>
      <w:r>
        <w:rPr>
          <w:rFonts w:hint="eastAsia" w:ascii="仿宋_GB2312" w:eastAsia="仿宋_GB2312"/>
          <w:sz w:val="32"/>
          <w:szCs w:val="32"/>
        </w:rPr>
        <w:t>（1）负责贯彻执行《中华人民共和国就业促进法》、省、市有关促进就业的法律、法规、方针和政策，组织实施积极的就业政策，促进城乡劳动者充分就业、自主创业。</w:t>
      </w:r>
    </w:p>
    <w:p>
      <w:pPr>
        <w:ind w:firstLine="640" w:firstLineChars="200"/>
        <w:rPr>
          <w:rFonts w:ascii="仿宋_GB2312" w:eastAsia="仿宋_GB2312"/>
          <w:sz w:val="32"/>
          <w:szCs w:val="32"/>
        </w:rPr>
      </w:pPr>
      <w:r>
        <w:rPr>
          <w:rFonts w:hint="eastAsia" w:ascii="仿宋_GB2312" w:eastAsia="仿宋_GB2312"/>
          <w:sz w:val="32"/>
          <w:szCs w:val="32"/>
        </w:rPr>
        <w:t>(2)组织开展全区就业管理服务，制定并实施全区公共就业服务计划；组织实施统筹城乡就业，为辖区失业登记人员、进城务工农民、失地农民、外来务工人员和高校毕业生等城乡劳动者提供均等化就业服务，协调有关部门落实好促进就业和创业促就业的政策、措施。</w:t>
      </w:r>
    </w:p>
    <w:p>
      <w:pPr>
        <w:ind w:firstLine="640" w:firstLineChars="200"/>
        <w:rPr>
          <w:rFonts w:ascii="仿宋_GB2312" w:eastAsia="仿宋_GB2312"/>
          <w:sz w:val="32"/>
          <w:szCs w:val="32"/>
        </w:rPr>
      </w:pPr>
      <w:r>
        <w:rPr>
          <w:rFonts w:hint="eastAsia" w:ascii="仿宋_GB2312" w:eastAsia="仿宋_GB2312"/>
          <w:sz w:val="32"/>
          <w:szCs w:val="32"/>
        </w:rPr>
        <w:t>(3)负责全区公共就业服务体系建设。指导检查各街道（乡、镇）、社区（村）公共就业服务机构实施基层平台建设，开展就业（失业）登记、职业介绍、就业指导、就业培训等就业服务工作。</w:t>
      </w:r>
    </w:p>
    <w:p>
      <w:pPr>
        <w:ind w:firstLine="640" w:firstLineChars="200"/>
        <w:rPr>
          <w:rFonts w:ascii="仿宋_GB2312" w:eastAsia="仿宋_GB2312"/>
          <w:sz w:val="32"/>
          <w:szCs w:val="32"/>
        </w:rPr>
      </w:pPr>
      <w:r>
        <w:rPr>
          <w:rFonts w:hint="eastAsia" w:ascii="仿宋_GB2312" w:eastAsia="仿宋_GB2312"/>
          <w:sz w:val="32"/>
          <w:szCs w:val="32"/>
        </w:rPr>
        <w:t>(4)负责全区就业创业培训工作，全面开展对城乡劳动者、大学生的就业技能培训和创业培训。</w:t>
      </w:r>
    </w:p>
    <w:p>
      <w:pPr>
        <w:ind w:firstLine="640" w:firstLineChars="200"/>
        <w:rPr>
          <w:rFonts w:ascii="仿宋_GB2312" w:eastAsia="仿宋_GB2312"/>
          <w:sz w:val="32"/>
          <w:szCs w:val="32"/>
        </w:rPr>
      </w:pPr>
      <w:r>
        <w:rPr>
          <w:rFonts w:hint="eastAsia" w:ascii="仿宋_GB2312" w:eastAsia="仿宋_GB2312"/>
          <w:sz w:val="32"/>
          <w:szCs w:val="32"/>
        </w:rPr>
        <w:t>(5)贯彻落实中央、省、市关于失业保险法律、法规和政策，负责失业保险各项待遇的申领发放和为领取失业保险金期间失业人员代缴基本医疗保险费等工作。</w:t>
      </w:r>
    </w:p>
    <w:p>
      <w:pPr>
        <w:ind w:firstLine="640" w:firstLineChars="200"/>
        <w:rPr>
          <w:rFonts w:ascii="仿宋_GB2312" w:eastAsia="仿宋_GB2312"/>
          <w:sz w:val="32"/>
          <w:szCs w:val="32"/>
        </w:rPr>
      </w:pPr>
      <w:r>
        <w:rPr>
          <w:rFonts w:hint="eastAsia" w:ascii="仿宋_GB2312" w:eastAsia="仿宋_GB2312"/>
          <w:sz w:val="32"/>
          <w:szCs w:val="32"/>
        </w:rPr>
        <w:t>(6)负责全区就业援助工作，组织实施就业困难人员的认定，积极开展就业援助，并负责做好职业介绍补贴、社会保险补贴、职业培训补贴、岗位补贴、高校毕业生创业补贴等促进就业创业政策。</w:t>
      </w:r>
    </w:p>
    <w:p>
      <w:pPr>
        <w:ind w:firstLine="640" w:firstLineChars="200"/>
        <w:rPr>
          <w:rFonts w:ascii="仿宋_GB2312" w:eastAsia="仿宋_GB2312"/>
          <w:sz w:val="32"/>
          <w:szCs w:val="32"/>
        </w:rPr>
      </w:pPr>
      <w:r>
        <w:rPr>
          <w:rFonts w:hint="eastAsia" w:ascii="仿宋_GB2312" w:eastAsia="仿宋_GB2312"/>
          <w:sz w:val="32"/>
          <w:szCs w:val="32"/>
        </w:rPr>
        <w:t>(7)负责高校毕业生就业创业服务、就业见习基地及见习生的认定审核、离校未就业的高校毕业生跟踪服务和实名制管理、困难高校毕业生的就业援助、大学生就业创业培训。</w:t>
      </w:r>
    </w:p>
    <w:p>
      <w:pPr>
        <w:ind w:firstLine="640" w:firstLineChars="200"/>
        <w:rPr>
          <w:rFonts w:ascii="仿宋_GB2312" w:eastAsia="仿宋_GB2312"/>
          <w:sz w:val="32"/>
          <w:szCs w:val="32"/>
        </w:rPr>
      </w:pPr>
      <w:r>
        <w:rPr>
          <w:rFonts w:hint="eastAsia" w:ascii="仿宋_GB2312" w:eastAsia="仿宋_GB2312"/>
          <w:sz w:val="32"/>
          <w:szCs w:val="32"/>
        </w:rPr>
        <w:t>(8)负责对城乡各类失业人员自主创业、合伙经营企业的创业担保贷款进行审核、推荐。</w:t>
      </w:r>
    </w:p>
    <w:p>
      <w:pPr>
        <w:ind w:firstLine="640" w:firstLineChars="200"/>
        <w:rPr>
          <w:rFonts w:ascii="仿宋_GB2312" w:eastAsia="仿宋_GB2312"/>
          <w:sz w:val="32"/>
          <w:szCs w:val="32"/>
        </w:rPr>
      </w:pPr>
      <w:r>
        <w:rPr>
          <w:rFonts w:hint="eastAsia" w:ascii="仿宋_GB2312" w:eastAsia="仿宋_GB2312"/>
          <w:sz w:val="32"/>
          <w:szCs w:val="32"/>
        </w:rPr>
        <w:t>(9)负责全区公共就业服务信息化建设，组织开展人力资源调查、失业预警监测、综合分析统计。</w:t>
      </w:r>
    </w:p>
    <w:p>
      <w:pPr>
        <w:ind w:firstLine="640" w:firstLineChars="200"/>
        <w:rPr>
          <w:rFonts w:ascii="仿宋_GB2312" w:eastAsia="仿宋_GB2312"/>
          <w:sz w:val="32"/>
          <w:szCs w:val="32"/>
        </w:rPr>
      </w:pPr>
      <w:r>
        <w:rPr>
          <w:rFonts w:hint="eastAsia" w:ascii="仿宋_GB2312" w:eastAsia="仿宋_GB2312"/>
          <w:sz w:val="32"/>
          <w:szCs w:val="32"/>
        </w:rPr>
        <w:t>(10)行使区人力资源和社会保障局赋予的其他职权，完成区委、区政府和区人力资源和社会保障局交办的其它工作。</w:t>
      </w:r>
    </w:p>
    <w:p>
      <w:pPr>
        <w:ind w:firstLine="640" w:firstLineChars="200"/>
        <w:rPr>
          <w:rFonts w:ascii="仿宋_GB2312" w:hAnsi="仿宋" w:eastAsia="仿宋_GB2312" w:cs="仿宋"/>
          <w:bCs/>
          <w:color w:val="000000"/>
          <w:sz w:val="32"/>
          <w:szCs w:val="32"/>
        </w:rPr>
      </w:pPr>
      <w:r>
        <w:rPr>
          <w:rStyle w:val="31"/>
          <w:rFonts w:hint="default"/>
        </w:rPr>
        <w:t>(11)承担农民工回引、就业创业、技能培训、维权救助、健康服务、关怀慰问、志愿服务、表扬激励等工作；承担农民工服务网站、基本信息数据库的运行维护、各类信息数据管理等工作。</w:t>
      </w:r>
    </w:p>
    <w:p>
      <w:pPr>
        <w:ind w:firstLine="709"/>
        <w:rPr>
          <w:rFonts w:ascii="楷体_GB2312" w:hAnsi="楷体_GB2312" w:eastAsia="楷体_GB2312" w:cs="楷体_GB2312"/>
          <w:kern w:val="0"/>
          <w:sz w:val="32"/>
          <w:szCs w:val="32"/>
          <w:shd w:val="clear" w:color="auto" w:fill="FFFFFF"/>
          <w:lang w:val="zh-CN"/>
        </w:rPr>
      </w:pPr>
      <w:r>
        <w:rPr>
          <w:rFonts w:hint="eastAsia" w:ascii="楷体_GB2312" w:hAnsi="楷体_GB2312" w:eastAsia="楷体_GB2312" w:cs="楷体_GB2312"/>
          <w:kern w:val="0"/>
          <w:sz w:val="32"/>
          <w:szCs w:val="32"/>
          <w:shd w:val="clear" w:color="auto" w:fill="FFFFFF"/>
          <w:lang w:val="zh-CN"/>
        </w:rPr>
        <w:t>（三）人员概况。</w:t>
      </w:r>
    </w:p>
    <w:p>
      <w:pPr>
        <w:widowControl/>
        <w:adjustRightInd w:val="0"/>
        <w:snapToGrid w:val="0"/>
        <w:spacing w:line="353" w:lineRule="auto"/>
        <w:ind w:firstLine="640" w:firstLineChars="200"/>
        <w:contextualSpacing/>
        <w:jc w:val="left"/>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截至202</w:t>
      </w:r>
      <w:r>
        <w:rPr>
          <w:rFonts w:hint="eastAsia"/>
          <w:color w:val="000000" w:themeColor="text1"/>
          <w:sz w:val="32"/>
          <w:szCs w:val="32"/>
          <w14:textFill>
            <w14:solidFill>
              <w14:schemeClr w14:val="tx1"/>
            </w14:solidFill>
          </w14:textFill>
        </w:rPr>
        <w:t>1</w:t>
      </w:r>
      <w:r>
        <w:rPr>
          <w:rFonts w:eastAsia="仿宋_GB2312"/>
          <w:color w:val="000000" w:themeColor="text1"/>
          <w:sz w:val="32"/>
          <w:szCs w:val="32"/>
          <w14:textFill>
            <w14:solidFill>
              <w14:schemeClr w14:val="tx1"/>
            </w14:solidFill>
          </w14:textFill>
        </w:rPr>
        <w:t>年末，实有人数</w:t>
      </w:r>
      <w:r>
        <w:rPr>
          <w:rFonts w:hint="eastAsia"/>
          <w:color w:val="000000" w:themeColor="text1"/>
          <w:sz w:val="32"/>
          <w:szCs w:val="32"/>
          <w14:textFill>
            <w14:solidFill>
              <w14:schemeClr w14:val="tx1"/>
            </w14:solidFill>
          </w14:textFill>
        </w:rPr>
        <w:t>8</w:t>
      </w:r>
      <w:r>
        <w:rPr>
          <w:rFonts w:eastAsia="仿宋_GB2312"/>
          <w:color w:val="000000" w:themeColor="text1"/>
          <w:sz w:val="32"/>
          <w:szCs w:val="32"/>
          <w14:textFill>
            <w14:solidFill>
              <w14:schemeClr w14:val="tx1"/>
            </w14:solidFill>
          </w14:textFill>
        </w:rPr>
        <w:t>人</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其中：</w:t>
      </w:r>
      <w:r>
        <w:rPr>
          <w:rFonts w:hint="eastAsia" w:eastAsia="仿宋_GB2312"/>
          <w:color w:val="000000" w:themeColor="text1"/>
          <w:sz w:val="32"/>
          <w:szCs w:val="32"/>
          <w14:textFill>
            <w14:solidFill>
              <w14:schemeClr w14:val="tx1"/>
            </w14:solidFill>
          </w14:textFill>
        </w:rPr>
        <w:t>参公编制10名。年末实有人数在职职工（参公）8名，退休人员4名。</w:t>
      </w:r>
    </w:p>
    <w:p>
      <w:pPr>
        <w:widowControl/>
        <w:adjustRightInd w:val="0"/>
        <w:snapToGrid w:val="0"/>
        <w:spacing w:line="353" w:lineRule="auto"/>
        <w:ind w:firstLine="640" w:firstLineChars="200"/>
        <w:contextualSpacing/>
        <w:jc w:val="left"/>
        <w:rPr>
          <w:rFonts w:ascii="黑体" w:hAnsi="宋体" w:eastAsia="黑体"/>
          <w:kern w:val="0"/>
          <w:sz w:val="32"/>
          <w:szCs w:val="32"/>
          <w:shd w:val="clear" w:color="auto" w:fill="FFFFFF"/>
        </w:rPr>
      </w:pPr>
      <w:r>
        <w:rPr>
          <w:rFonts w:hint="eastAsia" w:ascii="黑体" w:hAnsi="宋体" w:eastAsia="黑体"/>
          <w:kern w:val="0"/>
          <w:sz w:val="32"/>
          <w:szCs w:val="32"/>
          <w:shd w:val="clear" w:color="auto" w:fill="FFFFFF"/>
        </w:rPr>
        <w:t>二、部门财政资金收支情况</w:t>
      </w:r>
    </w:p>
    <w:p>
      <w:pPr>
        <w:widowControl/>
        <w:adjustRightInd w:val="0"/>
        <w:snapToGrid w:val="0"/>
        <w:spacing w:line="353" w:lineRule="auto"/>
        <w:ind w:firstLine="640" w:firstLineChars="200"/>
        <w:contextualSpacing/>
        <w:jc w:val="left"/>
        <w:rPr>
          <w:rFonts w:ascii="楷体_GB2312" w:hAnsi="楷体_GB2312" w:eastAsia="楷体_GB2312" w:cs="楷体_GB2312"/>
          <w:kern w:val="0"/>
          <w:sz w:val="32"/>
          <w:szCs w:val="32"/>
          <w:shd w:val="clear" w:color="auto" w:fill="FFFFFF"/>
          <w:lang w:val="zh-CN"/>
        </w:rPr>
      </w:pPr>
      <w:r>
        <w:rPr>
          <w:rFonts w:hint="eastAsia" w:ascii="楷体_GB2312" w:hAnsi="楷体_GB2312" w:eastAsia="楷体_GB2312" w:cs="楷体_GB2312"/>
          <w:kern w:val="0"/>
          <w:sz w:val="32"/>
          <w:szCs w:val="32"/>
          <w:shd w:val="clear" w:color="auto" w:fill="FFFFFF"/>
          <w:lang w:val="zh-CN"/>
        </w:rPr>
        <w:t>（一）部门财政资金收入情况。</w:t>
      </w:r>
    </w:p>
    <w:p>
      <w:pPr>
        <w:pStyle w:val="2"/>
        <w:spacing w:before="93"/>
        <w:ind w:firstLine="640" w:firstLineChars="200"/>
        <w:rPr>
          <w:sz w:val="32"/>
          <w:szCs w:val="32"/>
        </w:rPr>
      </w:pPr>
      <w:r>
        <w:rPr>
          <w:rFonts w:hint="eastAsia"/>
          <w:sz w:val="32"/>
          <w:szCs w:val="32"/>
        </w:rPr>
        <w:t>2021年财政资金收入1704.86万元，其中本年收入1702.32万元，年初财政拨款结转和结余2.54万元。（其中一般公共预算财政拨款1699.94万元，政府性基金预算财政拨款4.92万元）</w:t>
      </w:r>
    </w:p>
    <w:p>
      <w:pPr>
        <w:widowControl/>
        <w:adjustRightInd w:val="0"/>
        <w:snapToGrid w:val="0"/>
        <w:spacing w:line="353" w:lineRule="auto"/>
        <w:ind w:firstLine="640" w:firstLineChars="200"/>
        <w:contextualSpacing/>
        <w:jc w:val="left"/>
        <w:rPr>
          <w:rFonts w:ascii="楷体_GB2312" w:hAnsi="楷体_GB2312" w:eastAsia="楷体_GB2312" w:cs="楷体_GB2312"/>
          <w:kern w:val="0"/>
          <w:sz w:val="32"/>
          <w:szCs w:val="32"/>
          <w:shd w:val="clear" w:color="auto" w:fill="FFFFFF"/>
          <w:lang w:val="zh-CN"/>
        </w:rPr>
      </w:pPr>
      <w:r>
        <w:rPr>
          <w:rFonts w:hint="eastAsia" w:ascii="楷体_GB2312" w:hAnsi="楷体_GB2312" w:eastAsia="楷体_GB2312" w:cs="楷体_GB2312"/>
          <w:kern w:val="0"/>
          <w:sz w:val="32"/>
          <w:szCs w:val="32"/>
          <w:shd w:val="clear" w:color="auto" w:fill="FFFFFF"/>
          <w:lang w:val="zh-CN"/>
        </w:rPr>
        <w:t>（二）部门财政资金支出情况。</w:t>
      </w:r>
    </w:p>
    <w:p>
      <w:pPr>
        <w:ind w:firstLine="640" w:firstLineChars="200"/>
        <w:rPr>
          <w:rFonts w:ascii="仿宋_GB2312" w:eastAsia="仿宋_GB2312"/>
          <w:sz w:val="32"/>
          <w:szCs w:val="32"/>
        </w:rPr>
      </w:pPr>
      <w:r>
        <w:rPr>
          <w:rFonts w:hint="eastAsia" w:ascii="仿宋_GB2312" w:eastAsia="仿宋_GB2312"/>
          <w:sz w:val="32"/>
          <w:szCs w:val="32"/>
        </w:rPr>
        <w:t>2021年财政资金支出1704.86万元，其中：基本支出129.4万元（包括人员经费118.95万元和日常公用经费10.45万元）、项目支出1575.46万元。</w:t>
      </w:r>
    </w:p>
    <w:p>
      <w:pPr>
        <w:widowControl/>
        <w:adjustRightInd w:val="0"/>
        <w:snapToGrid w:val="0"/>
        <w:spacing w:line="353" w:lineRule="auto"/>
        <w:ind w:firstLine="640" w:firstLineChars="200"/>
        <w:contextualSpacing/>
        <w:jc w:val="left"/>
        <w:rPr>
          <w:rFonts w:ascii="黑体" w:hAnsi="宋体" w:eastAsia="黑体"/>
          <w:kern w:val="0"/>
          <w:sz w:val="32"/>
          <w:szCs w:val="32"/>
          <w:shd w:val="clear" w:color="auto" w:fill="FFFFFF"/>
        </w:rPr>
      </w:pPr>
      <w:r>
        <w:rPr>
          <w:rFonts w:hint="eastAsia" w:ascii="黑体" w:hAnsi="宋体" w:eastAsia="黑体"/>
          <w:kern w:val="0"/>
          <w:sz w:val="32"/>
          <w:szCs w:val="32"/>
          <w:shd w:val="clear" w:color="auto" w:fill="FFFFFF"/>
        </w:rPr>
        <w:t>三、部门整体预算绩效管理情况</w:t>
      </w:r>
    </w:p>
    <w:p>
      <w:pPr>
        <w:widowControl/>
        <w:adjustRightInd w:val="0"/>
        <w:snapToGrid w:val="0"/>
        <w:spacing w:line="353" w:lineRule="auto"/>
        <w:ind w:firstLine="640" w:firstLineChars="200"/>
        <w:contextualSpacing/>
        <w:jc w:val="left"/>
        <w:rPr>
          <w:rFonts w:ascii="楷体_GB2312" w:hAnsi="楷体_GB2312" w:eastAsia="楷体_GB2312" w:cs="楷体_GB2312"/>
          <w:kern w:val="0"/>
          <w:sz w:val="32"/>
          <w:szCs w:val="32"/>
          <w:shd w:val="clear" w:color="auto" w:fill="FFFFFF"/>
          <w:lang w:val="zh-CN"/>
        </w:rPr>
      </w:pPr>
      <w:r>
        <w:rPr>
          <w:rFonts w:hint="eastAsia" w:ascii="楷体_GB2312" w:hAnsi="楷体_GB2312" w:eastAsia="楷体_GB2312" w:cs="楷体_GB2312"/>
          <w:kern w:val="0"/>
          <w:sz w:val="32"/>
          <w:szCs w:val="32"/>
          <w:shd w:val="clear" w:color="auto" w:fill="FFFFFF"/>
          <w:lang w:val="zh-CN"/>
        </w:rPr>
        <w:t>（一）部门预算项目绩效管理。</w:t>
      </w:r>
    </w:p>
    <w:p>
      <w:pPr>
        <w:pStyle w:val="7"/>
        <w:spacing w:line="560" w:lineRule="exact"/>
        <w:ind w:firstLine="640" w:firstLineChars="200"/>
        <w:jc w:val="left"/>
        <w:rPr>
          <w:rFonts w:ascii="仿宋_GB2312" w:hAnsi="Calibri" w:eastAsia="仿宋_GB2312"/>
          <w:sz w:val="32"/>
          <w:szCs w:val="32"/>
        </w:rPr>
      </w:pPr>
      <w:r>
        <w:rPr>
          <w:rFonts w:hint="eastAsia" w:ascii="仿宋_GB2312" w:eastAsia="仿宋_GB2312"/>
          <w:sz w:val="32"/>
          <w:szCs w:val="32"/>
        </w:rPr>
        <w:t>2021年支出1704.86万元,</w:t>
      </w:r>
      <w:r>
        <w:rPr>
          <w:rFonts w:hint="eastAsia" w:ascii="仿宋_GB2312" w:hAnsi="Calibri" w:eastAsia="仿宋_GB2312"/>
          <w:sz w:val="32"/>
          <w:szCs w:val="32"/>
        </w:rPr>
        <w:t>保证西区就业创业促进中心的正常运转支出，包括养老、医疗、办公等日常支出及保证各类就业创业任务圆满完成。</w:t>
      </w:r>
    </w:p>
    <w:p>
      <w:pPr>
        <w:ind w:firstLine="640" w:firstLineChars="200"/>
        <w:rPr>
          <w:rFonts w:ascii="仿宋_GB2312" w:eastAsia="仿宋_GB2312"/>
          <w:sz w:val="32"/>
          <w:szCs w:val="32"/>
        </w:rPr>
      </w:pPr>
      <w:r>
        <w:rPr>
          <w:rFonts w:hint="eastAsia" w:ascii="仿宋_GB2312" w:eastAsia="仿宋_GB2312"/>
          <w:sz w:val="32"/>
          <w:szCs w:val="32"/>
        </w:rPr>
        <w:t>我单位严格执行资金预算管理制度，绩效目标制定明确，各项目标完成较好、预算编制情况准确、预算执行情况好，无违规情况。预算绩效管是一项长期的工作，我们一直把制度建设作为预算绩效管理重点工作来抓。遵循全面性、重要性、制衡性、适应性和有效性原则，建立和实施内部控制制度，保证本单位业务运行合法、资产安全和使用有效、财务信息真实完整。并重点对财务收支管理、项目资金分配使用管理等经济活动的风险进行评估梳理，并研究制订风险的防范和管控措施，建立重大项目安排、大额资金使用的集体决策和内部监督机制，健全专项资金审批流程。为开展项目评价工作、提高绩效管理水平提供制度保障。</w:t>
      </w:r>
    </w:p>
    <w:p>
      <w:pPr>
        <w:ind w:firstLine="640" w:firstLineChars="200"/>
        <w:rPr>
          <w:rFonts w:ascii="仿宋_GB2312" w:eastAsia="仿宋_GB2312"/>
          <w:sz w:val="32"/>
          <w:szCs w:val="32"/>
        </w:rPr>
      </w:pPr>
      <w:r>
        <w:rPr>
          <w:rFonts w:hint="eastAsia" w:ascii="仿宋_GB2312" w:eastAsia="仿宋_GB2312"/>
          <w:sz w:val="32"/>
          <w:szCs w:val="32"/>
        </w:rPr>
        <w:t>（二）结果应用情况。</w:t>
      </w:r>
    </w:p>
    <w:p>
      <w:pPr>
        <w:ind w:firstLine="640" w:firstLineChars="200"/>
        <w:rPr>
          <w:rFonts w:ascii="仿宋_GB2312" w:eastAsia="仿宋_GB2312"/>
          <w:sz w:val="32"/>
          <w:szCs w:val="32"/>
        </w:rPr>
      </w:pPr>
      <w:r>
        <w:rPr>
          <w:rFonts w:hint="eastAsia" w:ascii="仿宋_GB2312" w:eastAsia="仿宋_GB2312"/>
          <w:sz w:val="32"/>
          <w:szCs w:val="32"/>
        </w:rPr>
        <w:t>1.内部应用：绩效自评结果拟应用于支出管理、项目管理、合理配置资源、优化支出结构、资金使用效益等方面。</w:t>
      </w:r>
    </w:p>
    <w:p>
      <w:pPr>
        <w:ind w:firstLine="640" w:firstLineChars="200"/>
        <w:rPr>
          <w:rFonts w:ascii="仿宋_GB2312" w:eastAsia="仿宋_GB2312"/>
          <w:sz w:val="32"/>
          <w:szCs w:val="32"/>
        </w:rPr>
      </w:pPr>
      <w:r>
        <w:rPr>
          <w:rFonts w:hint="eastAsia" w:ascii="仿宋_GB2312" w:eastAsia="仿宋_GB2312"/>
          <w:sz w:val="32"/>
          <w:szCs w:val="32"/>
        </w:rPr>
        <w:t>2.自评公开：我中心</w:t>
      </w:r>
      <w:r>
        <w:rPr>
          <w:rFonts w:ascii="仿宋_GB2312" w:eastAsia="仿宋_GB2312"/>
          <w:sz w:val="32"/>
          <w:szCs w:val="32"/>
        </w:rPr>
        <w:t>绩效</w:t>
      </w:r>
      <w:r>
        <w:rPr>
          <w:rFonts w:hint="eastAsia" w:ascii="仿宋_GB2312" w:eastAsia="仿宋_GB2312"/>
          <w:sz w:val="32"/>
          <w:szCs w:val="32"/>
        </w:rPr>
        <w:t>目标、绩效评价、绩效监控等信息公开均按照区财政的规定在西区公众信息网上执行公开。</w:t>
      </w:r>
    </w:p>
    <w:p>
      <w:pPr>
        <w:ind w:firstLine="640" w:firstLineChars="200"/>
        <w:rPr>
          <w:rFonts w:ascii="仿宋_GB2312" w:eastAsia="仿宋_GB2312"/>
          <w:sz w:val="32"/>
          <w:szCs w:val="32"/>
        </w:rPr>
      </w:pPr>
      <w:r>
        <w:rPr>
          <w:rFonts w:hint="eastAsia" w:ascii="仿宋_GB2312" w:eastAsia="仿宋_GB2312"/>
          <w:sz w:val="32"/>
          <w:szCs w:val="32"/>
        </w:rPr>
        <w:t>3.应用反馈：该项目的实施，为大学生、农民工、贫困家庭劳动力、退役军人、残疾人等重点群体，特别是为就业困难人员提供职业技能培训、公益性岗位安置等；启蒙了大学生的创业意识，并提供初始创业支持；为全面落实积极的就业创业政策、实现新增就业、帮助困难人员就业提供了坚实的制度和资金保障，圆满完成了就业促进民生工程目标任务，有力促进了经济发展和社会稳定，社会效益显著。</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（三）自评质量。</w:t>
      </w:r>
    </w:p>
    <w:p>
      <w:pPr>
        <w:ind w:firstLine="640" w:firstLineChars="200"/>
        <w:rPr>
          <w:rFonts w:ascii="仿宋_GB2312" w:eastAsia="仿宋_GB2312"/>
          <w:sz w:val="32"/>
          <w:szCs w:val="32"/>
        </w:rPr>
      </w:pPr>
      <w:r>
        <w:rPr>
          <w:rFonts w:hint="eastAsia" w:ascii="仿宋_GB2312" w:eastAsia="仿宋_GB2312"/>
          <w:sz w:val="32"/>
          <w:szCs w:val="32"/>
        </w:rPr>
        <w:t>西区就业创业促进中心对照设定的单位整体支出绩效目标开展自评，自评结果准确。</w:t>
      </w:r>
    </w:p>
    <w:p>
      <w:pPr>
        <w:widowControl/>
        <w:adjustRightInd w:val="0"/>
        <w:snapToGrid w:val="0"/>
        <w:spacing w:line="353" w:lineRule="auto"/>
        <w:ind w:firstLine="640" w:firstLineChars="200"/>
        <w:contextualSpacing/>
        <w:jc w:val="left"/>
        <w:rPr>
          <w:rFonts w:ascii="黑体" w:hAnsi="宋体" w:eastAsia="黑体"/>
          <w:kern w:val="0"/>
          <w:sz w:val="32"/>
          <w:szCs w:val="32"/>
          <w:shd w:val="clear" w:color="auto" w:fill="FFFFFF"/>
        </w:rPr>
      </w:pPr>
      <w:r>
        <w:rPr>
          <w:rFonts w:hint="eastAsia" w:ascii="黑体" w:hAnsi="宋体" w:eastAsia="黑体"/>
          <w:kern w:val="0"/>
          <w:sz w:val="32"/>
          <w:szCs w:val="32"/>
          <w:shd w:val="clear" w:color="auto" w:fill="FFFFFF"/>
        </w:rPr>
        <w:t>四、评价结论及建议</w:t>
      </w:r>
    </w:p>
    <w:p>
      <w:pPr>
        <w:widowControl/>
        <w:adjustRightInd w:val="0"/>
        <w:snapToGrid w:val="0"/>
        <w:spacing w:line="353" w:lineRule="auto"/>
        <w:ind w:firstLine="640" w:firstLineChars="200"/>
        <w:contextualSpacing/>
        <w:jc w:val="left"/>
        <w:rPr>
          <w:rFonts w:ascii="楷体_GB2312" w:hAnsi="楷体_GB2312" w:eastAsia="楷体_GB2312" w:cs="楷体_GB2312"/>
          <w:kern w:val="0"/>
          <w:sz w:val="32"/>
          <w:szCs w:val="32"/>
          <w:shd w:val="clear" w:color="auto" w:fill="FFFFFF"/>
          <w:lang w:val="zh-CN"/>
        </w:rPr>
      </w:pPr>
      <w:r>
        <w:rPr>
          <w:rFonts w:hint="eastAsia" w:ascii="楷体_GB2312" w:hAnsi="楷体_GB2312" w:eastAsia="楷体_GB2312" w:cs="楷体_GB2312"/>
          <w:kern w:val="0"/>
          <w:sz w:val="32"/>
          <w:szCs w:val="32"/>
          <w:shd w:val="clear" w:color="auto" w:fill="FFFFFF"/>
          <w:lang w:val="zh-CN"/>
        </w:rPr>
        <w:t>（一）评价结论。</w:t>
      </w:r>
    </w:p>
    <w:p>
      <w:pPr>
        <w:widowControl/>
        <w:adjustRightInd w:val="0"/>
        <w:snapToGrid w:val="0"/>
        <w:spacing w:line="353" w:lineRule="auto"/>
        <w:ind w:firstLine="640" w:firstLineChars="200"/>
        <w:contextualSpacing/>
        <w:jc w:val="left"/>
        <w:rPr>
          <w:rFonts w:ascii="楷体_GB2312" w:hAnsi="楷体_GB2312" w:eastAsia="楷体_GB2312" w:cs="楷体_GB2312"/>
          <w:kern w:val="0"/>
          <w:sz w:val="32"/>
          <w:szCs w:val="32"/>
          <w:shd w:val="clear" w:color="auto" w:fill="FFFFFF"/>
          <w:lang w:val="zh-CN"/>
        </w:rPr>
      </w:pPr>
      <w:r>
        <w:rPr>
          <w:rFonts w:hint="eastAsia" w:ascii="仿宋_GB2312" w:eastAsia="仿宋_GB2312"/>
          <w:sz w:val="32"/>
          <w:szCs w:val="32"/>
        </w:rPr>
        <w:t>西区就业创业促进中心严格执行资金预算管理制度，在资金管理、执行、支付等流程，进一步强化资金统筹，优化资金结构，明确开支范围，细化资金用途，全年基本支出保证了部门的正常运行和日常工作的正常开展，预算执行情况良好，无违规情况。</w:t>
      </w:r>
    </w:p>
    <w:p>
      <w:pPr>
        <w:widowControl/>
        <w:adjustRightInd w:val="0"/>
        <w:snapToGrid w:val="0"/>
        <w:spacing w:line="353" w:lineRule="auto"/>
        <w:ind w:firstLine="640" w:firstLineChars="200"/>
        <w:contextualSpacing/>
        <w:jc w:val="left"/>
        <w:rPr>
          <w:rFonts w:ascii="楷体_GB2312" w:hAnsi="楷体_GB2312" w:eastAsia="楷体_GB2312" w:cs="楷体_GB2312"/>
          <w:kern w:val="0"/>
          <w:sz w:val="32"/>
          <w:szCs w:val="32"/>
          <w:shd w:val="clear" w:color="auto" w:fill="FFFFFF"/>
          <w:lang w:val="zh-CN"/>
        </w:rPr>
      </w:pPr>
      <w:r>
        <w:rPr>
          <w:rFonts w:hint="eastAsia" w:ascii="楷体_GB2312" w:hAnsi="楷体_GB2312" w:eastAsia="楷体_GB2312" w:cs="楷体_GB2312"/>
          <w:kern w:val="0"/>
          <w:sz w:val="32"/>
          <w:szCs w:val="32"/>
          <w:shd w:val="clear" w:color="auto" w:fill="FFFFFF"/>
          <w:lang w:val="zh-CN"/>
        </w:rPr>
        <w:t>（二）存在问题。</w:t>
      </w:r>
    </w:p>
    <w:p>
      <w:pPr>
        <w:ind w:firstLine="640" w:firstLineChars="200"/>
        <w:rPr>
          <w:rFonts w:ascii="仿宋_GB2312" w:eastAsia="仿宋_GB2312"/>
          <w:sz w:val="32"/>
          <w:szCs w:val="32"/>
        </w:rPr>
      </w:pPr>
      <w:r>
        <w:rPr>
          <w:rFonts w:hint="eastAsia" w:ascii="仿宋_GB2312" w:eastAsia="仿宋_GB2312"/>
          <w:sz w:val="32"/>
          <w:szCs w:val="32"/>
        </w:rPr>
        <w:t>1.还需进一步加强预算编制的准确性和规范性，项目预算及专项经费执行情况受就业创业政策性影响较大，还需结合就业创业事业发展计划的统筹规划，提升预算编制质量和水平。</w:t>
      </w:r>
    </w:p>
    <w:p>
      <w:pPr>
        <w:ind w:firstLine="640" w:firstLineChars="200"/>
        <w:rPr>
          <w:rFonts w:ascii="仿宋_GB2312" w:eastAsia="仿宋_GB2312"/>
          <w:sz w:val="32"/>
          <w:szCs w:val="32"/>
        </w:rPr>
      </w:pPr>
      <w:r>
        <w:rPr>
          <w:rFonts w:hint="eastAsia" w:ascii="仿宋_GB2312" w:eastAsia="仿宋_GB2312"/>
          <w:sz w:val="32"/>
          <w:szCs w:val="32"/>
        </w:rPr>
        <w:t>2.还需要进一步加强项目经费事前、事中、事后监管，高校毕业生创业补贴等补贴属于动态管理项目，补贴要根据符合条件的对象的申报情况来拨付，含不定性因素，开展绩效管理还有一定的难度。</w:t>
      </w:r>
    </w:p>
    <w:p>
      <w:pPr>
        <w:widowControl/>
        <w:adjustRightInd w:val="0"/>
        <w:snapToGrid w:val="0"/>
        <w:spacing w:line="353" w:lineRule="auto"/>
        <w:ind w:firstLine="640" w:firstLineChars="200"/>
        <w:contextualSpacing/>
        <w:jc w:val="left"/>
        <w:rPr>
          <w:rFonts w:ascii="楷体_GB2312" w:hAnsi="楷体_GB2312" w:eastAsia="楷体_GB2312" w:cs="楷体_GB2312"/>
          <w:kern w:val="0"/>
          <w:sz w:val="32"/>
          <w:szCs w:val="32"/>
          <w:shd w:val="clear" w:color="auto" w:fill="FFFFFF"/>
          <w:lang w:val="zh-CN"/>
        </w:rPr>
      </w:pPr>
      <w:r>
        <w:rPr>
          <w:rFonts w:hint="eastAsia" w:ascii="楷体_GB2312" w:hAnsi="楷体_GB2312" w:eastAsia="楷体_GB2312" w:cs="楷体_GB2312"/>
          <w:kern w:val="0"/>
          <w:sz w:val="32"/>
          <w:szCs w:val="32"/>
          <w:shd w:val="clear" w:color="auto" w:fill="FFFFFF"/>
          <w:lang w:val="zh-CN"/>
        </w:rPr>
        <w:t>（三）改进建议。</w:t>
      </w:r>
    </w:p>
    <w:p>
      <w:pPr>
        <w:ind w:firstLine="640" w:firstLineChars="200"/>
        <w:rPr>
          <w:rFonts w:ascii="仿宋_GB2312" w:eastAsia="仿宋_GB2312"/>
          <w:sz w:val="32"/>
          <w:szCs w:val="32"/>
        </w:rPr>
      </w:pPr>
      <w:r>
        <w:rPr>
          <w:rFonts w:hint="eastAsia" w:ascii="仿宋_GB2312" w:eastAsia="仿宋_GB2312"/>
          <w:sz w:val="32"/>
          <w:szCs w:val="32"/>
        </w:rPr>
        <w:t>一是科学合理编制部门预算，推进预算编制科学化、准确化。加强事前、事中、事后监管，定期做好预算分析，加快预算执行进度。二是加大就业创业政策宣传力度，通过多媒体、网络、印制宣传资料等方式。三是多部门联合协作，信息共享，充分发挥主动性，主动联系符合申报条件的补贴对象前来申报补贴。三是推进制度规范化建设。学习先进单位的经验和做法，完善绩效评价制度和管理办法，充实绩效评价指标体系，提高财政资金使用效益。实现“及时纠偏、约束有力，全面覆盖、突出重点，信息共享、运用结果”的预算绩效目标。</w:t>
      </w:r>
    </w:p>
    <w:p>
      <w:pPr>
        <w:pStyle w:val="2"/>
        <w:spacing w:before="93"/>
        <w:rPr>
          <w:rFonts w:hAnsi="宋体" w:cs="宋体"/>
          <w:sz w:val="32"/>
          <w:szCs w:val="32"/>
          <w:shd w:val="clear" w:color="auto" w:fill="FFFFFF"/>
          <w:lang w:val="zh-CN"/>
        </w:rPr>
      </w:pPr>
    </w:p>
    <w:p>
      <w:pPr>
        <w:pStyle w:val="2"/>
        <w:spacing w:before="93"/>
        <w:rPr>
          <w:rFonts w:hAnsi="宋体"/>
          <w:sz w:val="32"/>
          <w:szCs w:val="32"/>
          <w:lang w:val="zh-CN"/>
        </w:rPr>
      </w:pPr>
    </w:p>
    <w:p>
      <w:pPr>
        <w:pStyle w:val="2"/>
        <w:spacing w:before="93"/>
        <w:rPr>
          <w:rFonts w:hAnsi="宋体"/>
          <w:sz w:val="32"/>
          <w:szCs w:val="32"/>
          <w:lang w:val="zh-CN"/>
        </w:rPr>
      </w:pPr>
    </w:p>
    <w:p>
      <w:pPr>
        <w:spacing w:line="0" w:lineRule="atLeast"/>
        <w:rPr>
          <w:rFonts w:eastAsia="方正小标宋简体"/>
          <w:spacing w:val="-11"/>
          <w:kern w:val="0"/>
          <w:sz w:val="44"/>
          <w:szCs w:val="44"/>
          <w:lang w:val="zh-CN"/>
        </w:rPr>
      </w:pPr>
    </w:p>
    <w:p>
      <w:pPr>
        <w:pStyle w:val="2"/>
        <w:spacing w:before="93"/>
        <w:rPr>
          <w:rFonts w:ascii="Times New Roman" w:eastAsia="方正小标宋简体"/>
          <w:spacing w:val="-11"/>
          <w:sz w:val="44"/>
          <w:szCs w:val="44"/>
          <w:lang w:val="zh-CN"/>
        </w:rPr>
      </w:pPr>
    </w:p>
    <w:p>
      <w:pPr>
        <w:pStyle w:val="2"/>
        <w:spacing w:before="93"/>
        <w:rPr>
          <w:rFonts w:ascii="Times New Roman" w:eastAsia="方正小标宋简体"/>
          <w:spacing w:val="-11"/>
          <w:sz w:val="44"/>
          <w:szCs w:val="44"/>
          <w:lang w:val="zh-CN"/>
        </w:rPr>
      </w:pPr>
    </w:p>
    <w:p>
      <w:pPr>
        <w:pStyle w:val="2"/>
        <w:spacing w:before="93"/>
        <w:rPr>
          <w:rFonts w:ascii="Times New Roman" w:eastAsia="方正小标宋简体"/>
          <w:spacing w:val="-11"/>
          <w:sz w:val="44"/>
          <w:szCs w:val="44"/>
          <w:lang w:val="zh-CN"/>
        </w:rPr>
      </w:pPr>
    </w:p>
    <w:p>
      <w:pPr>
        <w:pStyle w:val="2"/>
        <w:spacing w:before="93"/>
        <w:rPr>
          <w:rFonts w:ascii="Times New Roman" w:eastAsia="方正小标宋简体"/>
          <w:spacing w:val="-11"/>
          <w:sz w:val="44"/>
          <w:szCs w:val="44"/>
          <w:lang w:val="zh-CN"/>
        </w:rPr>
      </w:pPr>
    </w:p>
    <w:p>
      <w:pPr>
        <w:pStyle w:val="2"/>
        <w:spacing w:before="93"/>
        <w:rPr>
          <w:rFonts w:ascii="Times New Roman" w:eastAsia="方正小标宋简体"/>
          <w:spacing w:val="-11"/>
          <w:sz w:val="44"/>
          <w:szCs w:val="44"/>
          <w:lang w:val="zh-CN"/>
        </w:rPr>
      </w:pPr>
    </w:p>
    <w:p>
      <w:pPr>
        <w:pStyle w:val="2"/>
        <w:spacing w:before="93"/>
        <w:rPr>
          <w:rFonts w:ascii="Times New Roman" w:eastAsia="方正小标宋简体"/>
          <w:spacing w:val="-11"/>
          <w:sz w:val="44"/>
          <w:szCs w:val="44"/>
          <w:lang w:val="zh-CN"/>
        </w:rPr>
      </w:pPr>
    </w:p>
    <w:p>
      <w:pPr>
        <w:pStyle w:val="2"/>
        <w:spacing w:before="93"/>
        <w:rPr>
          <w:rFonts w:ascii="Times New Roman" w:eastAsia="方正小标宋简体"/>
          <w:spacing w:val="-11"/>
          <w:sz w:val="44"/>
          <w:szCs w:val="44"/>
          <w:lang w:val="zh-CN"/>
        </w:rPr>
      </w:pPr>
    </w:p>
    <w:p>
      <w:pPr>
        <w:spacing w:line="0" w:lineRule="atLeast"/>
        <w:jc w:val="center"/>
        <w:rPr>
          <w:rFonts w:eastAsia="方正小标宋简体"/>
          <w:spacing w:val="-11"/>
          <w:kern w:val="0"/>
          <w:sz w:val="44"/>
          <w:szCs w:val="44"/>
          <w:lang w:val="zh-CN"/>
        </w:rPr>
      </w:pPr>
    </w:p>
    <w:p>
      <w:pPr>
        <w:spacing w:line="0" w:lineRule="atLeast"/>
        <w:jc w:val="center"/>
        <w:rPr>
          <w:rFonts w:eastAsia="方正小标宋简体"/>
          <w:spacing w:val="-11"/>
          <w:kern w:val="0"/>
          <w:sz w:val="44"/>
          <w:szCs w:val="44"/>
          <w:lang w:val="zh-CN"/>
        </w:rPr>
      </w:pPr>
      <w:r>
        <w:rPr>
          <w:rFonts w:eastAsia="方正小标宋简体"/>
          <w:spacing w:val="-11"/>
          <w:kern w:val="0"/>
          <w:sz w:val="44"/>
          <w:szCs w:val="44"/>
          <w:lang w:val="zh-CN"/>
        </w:rPr>
        <w:t>“金保网络专项经费”项目</w:t>
      </w:r>
      <w:r>
        <w:rPr>
          <w:rFonts w:eastAsia="方正小标宋简体"/>
          <w:spacing w:val="-11"/>
          <w:kern w:val="0"/>
          <w:sz w:val="44"/>
          <w:szCs w:val="44"/>
        </w:rPr>
        <w:t>202</w:t>
      </w:r>
      <w:r>
        <w:rPr>
          <w:rFonts w:hint="eastAsia" w:eastAsia="方正小标宋简体"/>
          <w:spacing w:val="-11"/>
          <w:kern w:val="0"/>
          <w:sz w:val="44"/>
          <w:szCs w:val="44"/>
        </w:rPr>
        <w:t>1</w:t>
      </w:r>
      <w:r>
        <w:rPr>
          <w:rFonts w:eastAsia="方正小标宋简体"/>
          <w:spacing w:val="-11"/>
          <w:kern w:val="0"/>
          <w:sz w:val="44"/>
          <w:szCs w:val="44"/>
        </w:rPr>
        <w:t>年</w:t>
      </w:r>
      <w:r>
        <w:rPr>
          <w:rFonts w:eastAsia="方正小标宋简体"/>
          <w:spacing w:val="-11"/>
          <w:kern w:val="0"/>
          <w:sz w:val="44"/>
          <w:szCs w:val="44"/>
          <w:lang w:val="zh-CN"/>
        </w:rPr>
        <w:t>绩效评价报告</w:t>
      </w:r>
    </w:p>
    <w:p>
      <w:pPr>
        <w:jc w:val="center"/>
      </w:pPr>
    </w:p>
    <w:p>
      <w:pPr>
        <w:adjustRightInd w:val="0"/>
        <w:snapToGrid w:val="0"/>
        <w:spacing w:line="600" w:lineRule="exact"/>
        <w:ind w:firstLine="640" w:firstLineChars="200"/>
        <w:rPr>
          <w:rFonts w:eastAsia="黑体"/>
          <w:bCs/>
          <w:sz w:val="32"/>
          <w:szCs w:val="32"/>
        </w:rPr>
      </w:pPr>
      <w:r>
        <w:rPr>
          <w:rFonts w:eastAsia="黑体"/>
          <w:bCs/>
          <w:sz w:val="32"/>
          <w:szCs w:val="32"/>
        </w:rPr>
        <w:t>一、项目概况</w:t>
      </w:r>
    </w:p>
    <w:p>
      <w:pPr>
        <w:adjustRightInd w:val="0"/>
        <w:snapToGrid w:val="0"/>
        <w:spacing w:line="600" w:lineRule="exact"/>
        <w:ind w:firstLine="640" w:firstLineChars="200"/>
        <w:rPr>
          <w:rFonts w:eastAsia="楷体_GB2312"/>
          <w:sz w:val="32"/>
          <w:szCs w:val="32"/>
        </w:rPr>
      </w:pPr>
      <w:r>
        <w:rPr>
          <w:rFonts w:eastAsia="楷体_GB2312"/>
          <w:sz w:val="32"/>
          <w:szCs w:val="32"/>
        </w:rPr>
        <w:t>（一）项目基本情况。</w:t>
      </w:r>
    </w:p>
    <w:p>
      <w:pPr>
        <w:tabs>
          <w:tab w:val="left" w:pos="1344"/>
        </w:tabs>
        <w:spacing w:line="560" w:lineRule="exact"/>
        <w:ind w:firstLine="640" w:firstLineChars="200"/>
        <w:rPr>
          <w:rFonts w:eastAsia="仿宋_GB2312"/>
          <w:color w:val="000000"/>
          <w:spacing w:val="-4"/>
          <w:sz w:val="32"/>
          <w:szCs w:val="32"/>
        </w:rPr>
      </w:pPr>
      <w:r>
        <w:rPr>
          <w:rFonts w:eastAsia="仿宋_GB2312"/>
          <w:kern w:val="0"/>
          <w:sz w:val="32"/>
          <w:szCs w:val="32"/>
        </w:rPr>
        <w:t>根据《四川省人力资源和社会保障厅关于印发〈四川省基层人力资源和社会保障公共服务平台标准化建设规划（2018-2020年）〉的通知》和《四川省人力资源和社会保障厅关于印发〈四川省基层人力资源和社会保障公共服务平台标准化建设标准（试行）〉的通知》文件精神，</w:t>
      </w:r>
      <w:r>
        <w:rPr>
          <w:rFonts w:eastAsia="仿宋_GB2312"/>
          <w:color w:val="000000"/>
          <w:spacing w:val="-4"/>
          <w:sz w:val="32"/>
          <w:szCs w:val="32"/>
        </w:rPr>
        <w:t>紧扣“一号工程”，大力实施基层平台“标准化、信息化、一体化、专业化”建设，保障全区各基层劳动保障服务站所、政务中心、局机关所有金保网点，顺利使用，为辖区人民群众提供高效、便捷的人社公共服务，切实提升群众满意度获得感。</w:t>
      </w:r>
    </w:p>
    <w:p>
      <w:pPr>
        <w:adjustRightInd w:val="0"/>
        <w:snapToGrid w:val="0"/>
        <w:spacing w:line="600" w:lineRule="exact"/>
        <w:ind w:firstLine="640" w:firstLineChars="200"/>
        <w:rPr>
          <w:rFonts w:eastAsia="楷体_GB2312"/>
          <w:sz w:val="32"/>
          <w:szCs w:val="32"/>
        </w:rPr>
      </w:pPr>
      <w:r>
        <w:rPr>
          <w:rFonts w:eastAsia="楷体_GB2312"/>
          <w:sz w:val="32"/>
          <w:szCs w:val="32"/>
        </w:rPr>
        <w:t>（二）项目绩效目标。</w:t>
      </w:r>
    </w:p>
    <w:p>
      <w:pPr>
        <w:adjustRightInd w:val="0"/>
        <w:snapToGrid w:val="0"/>
        <w:spacing w:line="600" w:lineRule="exact"/>
        <w:ind w:firstLine="627" w:firstLineChars="196"/>
        <w:rPr>
          <w:rFonts w:eastAsia="仿宋_GB2312"/>
          <w:bCs/>
          <w:sz w:val="32"/>
          <w:szCs w:val="32"/>
        </w:rPr>
      </w:pPr>
      <w:r>
        <w:rPr>
          <w:rFonts w:eastAsia="仿宋_GB2312"/>
          <w:bCs/>
          <w:sz w:val="32"/>
          <w:szCs w:val="32"/>
        </w:rPr>
        <w:t>保障全区各基层劳动保障服务站所、政务中心、局机关所有金保网点，顺利使用。</w:t>
      </w:r>
    </w:p>
    <w:p>
      <w:pPr>
        <w:adjustRightInd w:val="0"/>
        <w:snapToGrid w:val="0"/>
        <w:spacing w:line="600" w:lineRule="exact"/>
        <w:ind w:firstLine="640" w:firstLineChars="200"/>
        <w:rPr>
          <w:rFonts w:eastAsia="黑体"/>
          <w:bCs/>
          <w:sz w:val="32"/>
          <w:szCs w:val="32"/>
        </w:rPr>
      </w:pPr>
      <w:r>
        <w:rPr>
          <w:rFonts w:eastAsia="黑体"/>
          <w:bCs/>
          <w:sz w:val="32"/>
          <w:szCs w:val="32"/>
        </w:rPr>
        <w:t>二、项目资金申报及使用情况</w:t>
      </w:r>
    </w:p>
    <w:p>
      <w:pPr>
        <w:adjustRightInd w:val="0"/>
        <w:snapToGrid w:val="0"/>
        <w:spacing w:line="600" w:lineRule="exact"/>
        <w:ind w:firstLine="627" w:firstLineChars="196"/>
        <w:rPr>
          <w:rFonts w:eastAsia="仿宋_GB2312"/>
          <w:bCs/>
          <w:sz w:val="32"/>
          <w:szCs w:val="32"/>
        </w:rPr>
      </w:pPr>
      <w:r>
        <w:rPr>
          <w:rFonts w:eastAsia="仿宋_GB2312"/>
          <w:bCs/>
          <w:sz w:val="32"/>
          <w:szCs w:val="32"/>
        </w:rPr>
        <w:t>202</w:t>
      </w:r>
      <w:r>
        <w:rPr>
          <w:rFonts w:hint="eastAsia" w:eastAsia="仿宋_GB2312"/>
          <w:bCs/>
          <w:sz w:val="32"/>
          <w:szCs w:val="32"/>
        </w:rPr>
        <w:t>1</w:t>
      </w:r>
      <w:r>
        <w:rPr>
          <w:rFonts w:eastAsia="仿宋_GB2312"/>
          <w:bCs/>
          <w:sz w:val="32"/>
          <w:szCs w:val="32"/>
        </w:rPr>
        <w:t>年全年申报预算9万元，全部到位。</w:t>
      </w:r>
    </w:p>
    <w:p>
      <w:pPr>
        <w:adjustRightInd w:val="0"/>
        <w:snapToGrid w:val="0"/>
        <w:spacing w:line="600" w:lineRule="exact"/>
        <w:ind w:firstLine="640" w:firstLineChars="200"/>
        <w:rPr>
          <w:rFonts w:eastAsia="黑体"/>
          <w:bCs/>
          <w:sz w:val="32"/>
          <w:szCs w:val="32"/>
        </w:rPr>
      </w:pPr>
      <w:r>
        <w:rPr>
          <w:rFonts w:eastAsia="黑体"/>
          <w:bCs/>
          <w:sz w:val="32"/>
          <w:szCs w:val="32"/>
        </w:rPr>
        <w:t>三、项目实施及管理情况</w:t>
      </w:r>
    </w:p>
    <w:p>
      <w:pPr>
        <w:rPr>
          <w:rFonts w:eastAsia="仿宋_GB2312"/>
          <w:bCs/>
          <w:sz w:val="32"/>
          <w:szCs w:val="32"/>
        </w:rPr>
      </w:pPr>
      <w:r>
        <w:rPr>
          <w:rFonts w:eastAsia="仿宋_GB2312"/>
          <w:bCs/>
          <w:sz w:val="32"/>
          <w:szCs w:val="32"/>
        </w:rPr>
        <w:t>202</w:t>
      </w:r>
      <w:r>
        <w:rPr>
          <w:rFonts w:hint="eastAsia" w:eastAsia="仿宋_GB2312"/>
          <w:bCs/>
          <w:sz w:val="32"/>
          <w:szCs w:val="32"/>
        </w:rPr>
        <w:t>1</w:t>
      </w:r>
      <w:r>
        <w:rPr>
          <w:rFonts w:hint="eastAsia" w:ascii="仿宋_GB2312" w:hAnsi="黑体" w:eastAsia="仿宋_GB2312"/>
          <w:sz w:val="32"/>
          <w:szCs w:val="32"/>
        </w:rPr>
        <w:t>为28个镇（街道）、村（社区）基层平台配备金保专线网络，每个基层平台网络费100元/月，区级政务中心1200元/月，共需经费48000元;以及全区30个金保网网点和局机关网络维护及使用费42000元。</w:t>
      </w:r>
      <w:r>
        <w:rPr>
          <w:rFonts w:eastAsia="仿宋_GB2312"/>
          <w:bCs/>
          <w:sz w:val="32"/>
          <w:szCs w:val="32"/>
        </w:rPr>
        <w:t>。通过严格资金使用、管理和监控等程序，保障各平台人力资源和社会保障工作顺利开展，为辖区14万人提供人力资源和社会保障服务。</w:t>
      </w:r>
    </w:p>
    <w:p>
      <w:pPr>
        <w:adjustRightInd w:val="0"/>
        <w:snapToGrid w:val="0"/>
        <w:spacing w:line="600" w:lineRule="exact"/>
        <w:ind w:firstLine="640" w:firstLineChars="200"/>
        <w:rPr>
          <w:rFonts w:eastAsia="黑体"/>
          <w:bCs/>
          <w:sz w:val="32"/>
          <w:szCs w:val="32"/>
        </w:rPr>
      </w:pPr>
      <w:r>
        <w:rPr>
          <w:rFonts w:eastAsia="黑体"/>
          <w:bCs/>
          <w:sz w:val="32"/>
          <w:szCs w:val="32"/>
        </w:rPr>
        <w:t>四、项目绩效情况</w:t>
      </w:r>
    </w:p>
    <w:p>
      <w:pPr>
        <w:adjustRightInd w:val="0"/>
        <w:snapToGrid w:val="0"/>
        <w:spacing w:line="600" w:lineRule="exact"/>
        <w:ind w:firstLine="627" w:firstLineChars="196"/>
        <w:rPr>
          <w:rFonts w:eastAsia="仿宋_GB2312"/>
          <w:bCs/>
          <w:sz w:val="32"/>
          <w:szCs w:val="32"/>
        </w:rPr>
      </w:pPr>
      <w:r>
        <w:rPr>
          <w:rFonts w:eastAsia="仿宋_GB2312"/>
          <w:bCs/>
          <w:sz w:val="32"/>
          <w:szCs w:val="32"/>
        </w:rPr>
        <w:t>保障全区各基层劳动保障服务站所、政务中心、局机关所有金保网点，顺利使用。</w:t>
      </w:r>
    </w:p>
    <w:p>
      <w:pPr>
        <w:adjustRightInd w:val="0"/>
        <w:snapToGrid w:val="0"/>
        <w:spacing w:line="600" w:lineRule="exact"/>
        <w:ind w:firstLine="640" w:firstLineChars="200"/>
        <w:rPr>
          <w:rFonts w:eastAsia="黑体"/>
          <w:bCs/>
          <w:sz w:val="32"/>
          <w:szCs w:val="32"/>
        </w:rPr>
      </w:pPr>
      <w:r>
        <w:rPr>
          <w:rFonts w:eastAsia="黑体"/>
          <w:bCs/>
          <w:sz w:val="32"/>
          <w:szCs w:val="32"/>
        </w:rPr>
        <w:t>五、评价结论及建议</w:t>
      </w:r>
    </w:p>
    <w:p>
      <w:pPr>
        <w:spacing w:line="353" w:lineRule="auto"/>
        <w:ind w:firstLine="640"/>
        <w:rPr>
          <w:rStyle w:val="31"/>
          <w:rFonts w:hint="default" w:ascii="Times New Roman"/>
        </w:rPr>
      </w:pPr>
      <w:r>
        <w:rPr>
          <w:rStyle w:val="31"/>
          <w:rFonts w:hint="default" w:ascii="Times New Roman"/>
        </w:rPr>
        <w:t>坚持以习近平新时代中国特色社会主义思想为指导，深入贯彻党的十九大精神，坚持以人民为中心的发展思想，以人民群众满意为价值取向和最高目标，治痛点、疏堵点、解难点。深入推进人社公共服务体系标准化、信息化、协同化、专业化、品牌化建设，切实提升人民群众的幸福感！</w:t>
      </w:r>
    </w:p>
    <w:p>
      <w:pPr>
        <w:pStyle w:val="2"/>
        <w:spacing w:before="93"/>
        <w:rPr>
          <w:rFonts w:hAnsi="宋体"/>
          <w:sz w:val="32"/>
          <w:szCs w:val="32"/>
          <w:lang w:val="zh-CN"/>
        </w:rPr>
      </w:pPr>
    </w:p>
    <w:p>
      <w:pPr>
        <w:pStyle w:val="2"/>
        <w:spacing w:before="93"/>
        <w:rPr>
          <w:rFonts w:hAnsi="宋体"/>
          <w:sz w:val="32"/>
          <w:szCs w:val="32"/>
          <w:lang w:val="zh-CN"/>
        </w:rPr>
      </w:pPr>
    </w:p>
    <w:p>
      <w:pPr>
        <w:pStyle w:val="2"/>
        <w:spacing w:before="93"/>
        <w:rPr>
          <w:rFonts w:hAnsi="宋体"/>
          <w:sz w:val="32"/>
          <w:szCs w:val="32"/>
          <w:lang w:val="zh-CN"/>
        </w:rPr>
      </w:pPr>
    </w:p>
    <w:p>
      <w:pPr>
        <w:pStyle w:val="2"/>
        <w:spacing w:before="93"/>
        <w:rPr>
          <w:rFonts w:hAnsi="宋体"/>
          <w:sz w:val="32"/>
          <w:szCs w:val="32"/>
          <w:lang w:val="zh-CN"/>
        </w:rPr>
      </w:pPr>
    </w:p>
    <w:p>
      <w:pPr>
        <w:pStyle w:val="2"/>
        <w:spacing w:before="93"/>
        <w:rPr>
          <w:rFonts w:hAnsi="宋体"/>
          <w:sz w:val="32"/>
          <w:szCs w:val="32"/>
          <w:lang w:val="zh-CN"/>
        </w:rPr>
      </w:pPr>
    </w:p>
    <w:p>
      <w:pPr>
        <w:pStyle w:val="2"/>
        <w:spacing w:before="93"/>
        <w:rPr>
          <w:rFonts w:hAnsi="宋体"/>
          <w:sz w:val="32"/>
          <w:szCs w:val="32"/>
          <w:lang w:val="zh-CN"/>
        </w:rPr>
      </w:pPr>
    </w:p>
    <w:p>
      <w:pPr>
        <w:pStyle w:val="2"/>
        <w:spacing w:before="93"/>
        <w:rPr>
          <w:rFonts w:hAnsi="宋体"/>
          <w:sz w:val="32"/>
          <w:szCs w:val="32"/>
          <w:lang w:val="zh-CN"/>
        </w:rPr>
      </w:pPr>
    </w:p>
    <w:p>
      <w:pPr>
        <w:pStyle w:val="2"/>
        <w:spacing w:before="93"/>
        <w:rPr>
          <w:rFonts w:hAnsi="宋体"/>
          <w:sz w:val="32"/>
          <w:szCs w:val="32"/>
          <w:lang w:val="zh-CN"/>
        </w:rPr>
      </w:pPr>
    </w:p>
    <w:p>
      <w:pPr>
        <w:pStyle w:val="2"/>
        <w:spacing w:before="93"/>
        <w:rPr>
          <w:rFonts w:hAnsi="宋体"/>
          <w:sz w:val="32"/>
          <w:szCs w:val="32"/>
          <w:lang w:val="zh-CN"/>
        </w:rPr>
      </w:pPr>
    </w:p>
    <w:p>
      <w:pPr>
        <w:spacing w:line="0" w:lineRule="atLeast"/>
        <w:jc w:val="center"/>
        <w:rPr>
          <w:rFonts w:eastAsia="方正小标宋简体"/>
          <w:kern w:val="0"/>
          <w:sz w:val="44"/>
          <w:szCs w:val="44"/>
        </w:rPr>
      </w:pPr>
    </w:p>
    <w:p>
      <w:pPr>
        <w:spacing w:line="0" w:lineRule="atLeast"/>
        <w:jc w:val="center"/>
        <w:rPr>
          <w:rFonts w:eastAsia="方正小标宋简体"/>
          <w:kern w:val="0"/>
          <w:sz w:val="44"/>
          <w:szCs w:val="44"/>
          <w:lang w:val="zh-CN"/>
        </w:rPr>
      </w:pPr>
      <w:r>
        <w:rPr>
          <w:rFonts w:eastAsia="方正小标宋简体"/>
          <w:kern w:val="0"/>
          <w:sz w:val="44"/>
          <w:szCs w:val="44"/>
        </w:rPr>
        <w:t>“劳动</w:t>
      </w:r>
      <w:r>
        <w:rPr>
          <w:rFonts w:hint="eastAsia" w:eastAsia="方正小标宋简体"/>
          <w:kern w:val="0"/>
          <w:sz w:val="44"/>
          <w:szCs w:val="44"/>
        </w:rPr>
        <w:t>和谐</w:t>
      </w:r>
      <w:r>
        <w:rPr>
          <w:rFonts w:eastAsia="方正小标宋简体"/>
          <w:kern w:val="0"/>
          <w:sz w:val="44"/>
          <w:szCs w:val="44"/>
        </w:rPr>
        <w:t>关系</w:t>
      </w:r>
      <w:r>
        <w:rPr>
          <w:rFonts w:hint="eastAsia" w:eastAsia="方正小标宋简体"/>
          <w:kern w:val="0"/>
          <w:sz w:val="44"/>
          <w:szCs w:val="44"/>
        </w:rPr>
        <w:t>协调业务</w:t>
      </w:r>
      <w:r>
        <w:rPr>
          <w:rFonts w:eastAsia="方正小标宋简体"/>
          <w:kern w:val="0"/>
          <w:sz w:val="44"/>
          <w:szCs w:val="44"/>
        </w:rPr>
        <w:t>经费”</w:t>
      </w:r>
      <w:r>
        <w:rPr>
          <w:rFonts w:eastAsia="方正小标宋简体"/>
          <w:kern w:val="0"/>
          <w:sz w:val="44"/>
          <w:szCs w:val="44"/>
          <w:lang w:val="zh-CN"/>
        </w:rPr>
        <w:t>项目</w:t>
      </w:r>
      <w:r>
        <w:rPr>
          <w:rFonts w:eastAsia="方正小标宋简体"/>
          <w:kern w:val="0"/>
          <w:sz w:val="44"/>
          <w:szCs w:val="44"/>
        </w:rPr>
        <w:t>202</w:t>
      </w:r>
      <w:r>
        <w:rPr>
          <w:rFonts w:hint="eastAsia" w:eastAsia="方正小标宋简体"/>
          <w:kern w:val="0"/>
          <w:sz w:val="44"/>
          <w:szCs w:val="44"/>
        </w:rPr>
        <w:t>1</w:t>
      </w:r>
      <w:r>
        <w:rPr>
          <w:rFonts w:eastAsia="方正小标宋简体"/>
          <w:kern w:val="0"/>
          <w:sz w:val="44"/>
          <w:szCs w:val="44"/>
        </w:rPr>
        <w:t>年</w:t>
      </w:r>
      <w:r>
        <w:rPr>
          <w:rFonts w:eastAsia="方正小标宋简体"/>
          <w:kern w:val="0"/>
          <w:sz w:val="44"/>
          <w:szCs w:val="44"/>
          <w:lang w:val="zh-CN"/>
        </w:rPr>
        <w:t>绩效评价报告</w:t>
      </w:r>
    </w:p>
    <w:p>
      <w:pPr>
        <w:spacing w:line="353" w:lineRule="auto"/>
        <w:ind w:firstLine="640"/>
        <w:jc w:val="center"/>
        <w:rPr>
          <w:rStyle w:val="31"/>
          <w:rFonts w:hint="default" w:ascii="Times New Roman"/>
        </w:rPr>
      </w:pPr>
    </w:p>
    <w:p>
      <w:pPr>
        <w:adjustRightInd w:val="0"/>
        <w:snapToGrid w:val="0"/>
        <w:spacing w:line="600" w:lineRule="exact"/>
        <w:ind w:firstLine="720"/>
        <w:rPr>
          <w:rFonts w:eastAsia="黑体"/>
          <w:sz w:val="32"/>
          <w:szCs w:val="32"/>
        </w:rPr>
      </w:pPr>
      <w:r>
        <w:rPr>
          <w:rFonts w:eastAsia="黑体"/>
          <w:sz w:val="32"/>
          <w:szCs w:val="32"/>
        </w:rPr>
        <w:t>一、项目概况</w:t>
      </w:r>
    </w:p>
    <w:p>
      <w:pPr>
        <w:adjustRightInd w:val="0"/>
        <w:snapToGrid w:val="0"/>
        <w:spacing w:line="600" w:lineRule="exact"/>
        <w:ind w:firstLine="720"/>
        <w:rPr>
          <w:rFonts w:eastAsia="楷体_GB2312"/>
          <w:sz w:val="32"/>
          <w:szCs w:val="32"/>
        </w:rPr>
      </w:pPr>
      <w:r>
        <w:rPr>
          <w:rFonts w:eastAsia="楷体_GB2312"/>
          <w:sz w:val="32"/>
          <w:szCs w:val="32"/>
        </w:rPr>
        <w:t>（一）项目基本情况。</w:t>
      </w:r>
    </w:p>
    <w:p>
      <w:pPr>
        <w:adjustRightInd w:val="0"/>
        <w:snapToGrid w:val="0"/>
        <w:spacing w:line="600" w:lineRule="exact"/>
        <w:ind w:firstLine="720"/>
        <w:rPr>
          <w:rFonts w:eastAsia="仿宋_GB2312"/>
          <w:sz w:val="32"/>
          <w:szCs w:val="32"/>
        </w:rPr>
      </w:pPr>
      <w:r>
        <w:rPr>
          <w:rFonts w:eastAsia="仿宋_GB2312"/>
          <w:sz w:val="32"/>
          <w:szCs w:val="32"/>
        </w:rPr>
        <w:t>1.区人力资源和社会保障局主要有如下职能：一是宣传劳动保障法律、</w:t>
      </w:r>
      <w:r>
        <w:fldChar w:fldCharType="begin"/>
      </w:r>
      <w:r>
        <w:instrText xml:space="preserve"> HYPERLINK "http://www.64365.com/fagui/" \t "http://www.64365.com/special/xldbzjcddzz/_blank" \o "法规" </w:instrText>
      </w:r>
      <w:r>
        <w:fldChar w:fldCharType="separate"/>
      </w:r>
      <w:r>
        <w:rPr>
          <w:rFonts w:eastAsia="仿宋_GB2312"/>
          <w:sz w:val="32"/>
          <w:szCs w:val="32"/>
        </w:rPr>
        <w:t>法规</w:t>
      </w:r>
      <w:r>
        <w:rPr>
          <w:rFonts w:eastAsia="仿宋_GB2312"/>
          <w:sz w:val="32"/>
          <w:szCs w:val="32"/>
        </w:rPr>
        <w:fldChar w:fldCharType="end"/>
      </w:r>
      <w:r>
        <w:rPr>
          <w:rFonts w:eastAsia="仿宋_GB2312"/>
          <w:sz w:val="32"/>
          <w:szCs w:val="32"/>
        </w:rPr>
        <w:t>和规章，督促用人单位贯彻执行;二是</w:t>
      </w:r>
      <w:r>
        <w:rPr>
          <w:rFonts w:eastAsia="仿宋_GB2312"/>
          <w:sz w:val="32"/>
          <w:szCs w:val="32"/>
        </w:rPr>
        <w:br w:type="textWrapping"/>
      </w:r>
      <w:r>
        <w:rPr>
          <w:rFonts w:eastAsia="仿宋_GB2312"/>
          <w:sz w:val="32"/>
          <w:szCs w:val="32"/>
        </w:rPr>
        <w:t>检查本行政区域内用人单位遵守劳动保障法律、法规和规章的情况;三是受理对违反劳动保障法律、法规或者规章的行为的举报、投诉；依法纠正和查处违反劳动保障法律、法规或者规章的行为。</w:t>
      </w:r>
    </w:p>
    <w:p>
      <w:pPr>
        <w:adjustRightInd w:val="0"/>
        <w:snapToGrid w:val="0"/>
        <w:spacing w:line="600" w:lineRule="exact"/>
        <w:ind w:firstLine="720"/>
        <w:rPr>
          <w:rFonts w:eastAsia="仿宋_GB2312"/>
          <w:sz w:val="32"/>
          <w:szCs w:val="32"/>
        </w:rPr>
      </w:pPr>
      <w:r>
        <w:rPr>
          <w:rFonts w:eastAsia="仿宋_GB2312"/>
          <w:sz w:val="32"/>
          <w:szCs w:val="32"/>
        </w:rPr>
        <w:t>2.项目立项、资金申报的依据：《劳动法》《劳动合同法》《劳动保障监察条例》、攀枝花市人民政府办公室《关于印发攀枝花市保障农民工工资支付工作考核办法的通知》（攀办发〔2018〕93号）。</w:t>
      </w:r>
    </w:p>
    <w:p>
      <w:pPr>
        <w:adjustRightInd w:val="0"/>
        <w:snapToGrid w:val="0"/>
        <w:spacing w:line="600" w:lineRule="exact"/>
        <w:ind w:firstLine="720"/>
        <w:rPr>
          <w:rFonts w:eastAsia="仿宋_GB2312"/>
          <w:sz w:val="32"/>
          <w:szCs w:val="32"/>
        </w:rPr>
      </w:pPr>
      <w:r>
        <w:rPr>
          <w:rFonts w:eastAsia="仿宋_GB2312"/>
          <w:sz w:val="32"/>
          <w:szCs w:val="32"/>
        </w:rPr>
        <w:t>3.资金管理办法制定情况，资金支持具体项目的条件、范围与支持方式概况：主要用于农民工工资专项行动检查、主动监察用人单位和处理投诉案件。</w:t>
      </w:r>
    </w:p>
    <w:p>
      <w:pPr>
        <w:adjustRightInd w:val="0"/>
        <w:snapToGrid w:val="0"/>
        <w:spacing w:line="600" w:lineRule="exact"/>
        <w:ind w:firstLine="720"/>
        <w:rPr>
          <w:rFonts w:eastAsia="仿宋_GB2312"/>
          <w:sz w:val="32"/>
          <w:szCs w:val="32"/>
        </w:rPr>
      </w:pPr>
      <w:r>
        <w:rPr>
          <w:rFonts w:eastAsia="仿宋_GB2312"/>
          <w:sz w:val="32"/>
          <w:szCs w:val="32"/>
        </w:rPr>
        <w:t>4.资金分配的原则及考虑因素：按照具体工作开展情况和轻重缓急进行资金分配。</w:t>
      </w:r>
    </w:p>
    <w:p>
      <w:pPr>
        <w:adjustRightInd w:val="0"/>
        <w:snapToGrid w:val="0"/>
        <w:spacing w:line="600" w:lineRule="exact"/>
        <w:ind w:firstLine="720"/>
        <w:rPr>
          <w:rFonts w:eastAsia="楷体_GB2312"/>
          <w:sz w:val="32"/>
          <w:szCs w:val="32"/>
        </w:rPr>
      </w:pPr>
      <w:r>
        <w:rPr>
          <w:rFonts w:eastAsia="楷体_GB2312"/>
          <w:sz w:val="32"/>
          <w:szCs w:val="32"/>
        </w:rPr>
        <w:t>（二）项目绩效目标。</w:t>
      </w:r>
    </w:p>
    <w:p>
      <w:pPr>
        <w:adjustRightInd w:val="0"/>
        <w:snapToGrid w:val="0"/>
        <w:spacing w:line="600" w:lineRule="exact"/>
        <w:ind w:firstLine="720"/>
        <w:rPr>
          <w:rFonts w:eastAsia="仿宋_GB2312"/>
          <w:sz w:val="32"/>
          <w:szCs w:val="32"/>
        </w:rPr>
      </w:pPr>
      <w:r>
        <w:rPr>
          <w:rFonts w:eastAsia="仿宋_GB2312"/>
          <w:sz w:val="32"/>
          <w:szCs w:val="32"/>
        </w:rPr>
        <w:t>1.项目主要内容为构建和谐劳动关系经费，一是主动监察用人单位，二是处理投诉案件。</w:t>
      </w:r>
    </w:p>
    <w:p>
      <w:pPr>
        <w:adjustRightInd w:val="0"/>
        <w:snapToGrid w:val="0"/>
        <w:spacing w:line="600" w:lineRule="exact"/>
        <w:ind w:firstLine="720"/>
        <w:rPr>
          <w:rFonts w:eastAsia="仿宋_GB2312"/>
          <w:sz w:val="32"/>
          <w:szCs w:val="32"/>
        </w:rPr>
      </w:pPr>
      <w:r>
        <w:rPr>
          <w:rFonts w:eastAsia="仿宋_GB2312"/>
          <w:sz w:val="32"/>
          <w:szCs w:val="32"/>
        </w:rPr>
        <w:t>2.申报的内容与实际相符且合理。</w:t>
      </w:r>
    </w:p>
    <w:p>
      <w:pPr>
        <w:adjustRightInd w:val="0"/>
        <w:snapToGrid w:val="0"/>
        <w:spacing w:line="600" w:lineRule="exact"/>
        <w:ind w:firstLine="720"/>
        <w:rPr>
          <w:rFonts w:eastAsia="楷体_GB2312"/>
          <w:sz w:val="32"/>
          <w:szCs w:val="32"/>
        </w:rPr>
      </w:pPr>
      <w:r>
        <w:rPr>
          <w:rFonts w:eastAsia="楷体_GB2312"/>
          <w:sz w:val="32"/>
          <w:szCs w:val="32"/>
        </w:rPr>
        <w:t>（三）项目自评步骤及方法。</w:t>
      </w:r>
    </w:p>
    <w:p>
      <w:pPr>
        <w:adjustRightInd w:val="0"/>
        <w:snapToGrid w:val="0"/>
        <w:spacing w:line="600" w:lineRule="exact"/>
        <w:ind w:firstLine="720"/>
        <w:rPr>
          <w:rFonts w:eastAsia="仿宋_GB2312"/>
          <w:sz w:val="32"/>
          <w:szCs w:val="32"/>
        </w:rPr>
      </w:pPr>
      <w:r>
        <w:rPr>
          <w:rFonts w:eastAsia="仿宋_GB2312"/>
          <w:sz w:val="32"/>
          <w:szCs w:val="32"/>
        </w:rPr>
        <w:t>一是摸底排查辖区在建工程项目数，预估本地区农民工人数；二是根据前一年开展农民工工资专项检查的用人单位户数来制定本年度目标；三是根据上一年的主动监察情况制定本年度主动监察用人单位户数；四是根据上一年案件办理情况预估本年度投诉案件数量。</w:t>
      </w:r>
    </w:p>
    <w:p>
      <w:pPr>
        <w:adjustRightInd w:val="0"/>
        <w:snapToGrid w:val="0"/>
        <w:spacing w:line="600" w:lineRule="exact"/>
        <w:ind w:firstLine="720"/>
        <w:rPr>
          <w:rFonts w:eastAsia="黑体"/>
          <w:sz w:val="32"/>
          <w:szCs w:val="32"/>
        </w:rPr>
      </w:pPr>
      <w:r>
        <w:rPr>
          <w:rFonts w:eastAsia="黑体"/>
          <w:sz w:val="32"/>
          <w:szCs w:val="32"/>
        </w:rPr>
        <w:t>二、项目资金申报及使用情况</w:t>
      </w:r>
    </w:p>
    <w:p>
      <w:pPr>
        <w:adjustRightInd w:val="0"/>
        <w:snapToGrid w:val="0"/>
        <w:spacing w:line="600" w:lineRule="exact"/>
        <w:ind w:firstLine="720"/>
        <w:rPr>
          <w:rFonts w:eastAsia="仿宋_GB2312"/>
          <w:sz w:val="32"/>
          <w:szCs w:val="32"/>
        </w:rPr>
      </w:pPr>
      <w:r>
        <w:rPr>
          <w:rFonts w:eastAsia="楷体_GB2312"/>
          <w:sz w:val="32"/>
          <w:szCs w:val="32"/>
        </w:rPr>
        <w:t>（一）项目资金申报及批复情况。</w:t>
      </w:r>
    </w:p>
    <w:p>
      <w:pPr>
        <w:adjustRightInd w:val="0"/>
        <w:snapToGrid w:val="0"/>
        <w:spacing w:line="600" w:lineRule="exact"/>
        <w:ind w:firstLine="627" w:firstLineChars="196"/>
        <w:rPr>
          <w:rFonts w:eastAsia="仿宋_GB2312"/>
          <w:bCs/>
          <w:sz w:val="32"/>
          <w:szCs w:val="32"/>
        </w:rPr>
      </w:pPr>
      <w:r>
        <w:rPr>
          <w:rFonts w:eastAsia="仿宋_GB2312"/>
          <w:bCs/>
          <w:sz w:val="32"/>
          <w:szCs w:val="32"/>
        </w:rPr>
        <w:t>202</w:t>
      </w:r>
      <w:r>
        <w:rPr>
          <w:rFonts w:hint="eastAsia" w:eastAsia="仿宋_GB2312"/>
          <w:bCs/>
          <w:sz w:val="32"/>
          <w:szCs w:val="32"/>
        </w:rPr>
        <w:t>1</w:t>
      </w:r>
      <w:r>
        <w:rPr>
          <w:rFonts w:eastAsia="仿宋_GB2312"/>
          <w:bCs/>
          <w:sz w:val="32"/>
          <w:szCs w:val="32"/>
        </w:rPr>
        <w:t>年全年申报预算</w:t>
      </w:r>
      <w:r>
        <w:rPr>
          <w:rFonts w:hint="eastAsia" w:eastAsia="仿宋_GB2312"/>
          <w:bCs/>
          <w:sz w:val="32"/>
          <w:szCs w:val="32"/>
        </w:rPr>
        <w:t>2</w:t>
      </w:r>
      <w:r>
        <w:rPr>
          <w:rFonts w:eastAsia="仿宋_GB2312"/>
          <w:bCs/>
          <w:sz w:val="32"/>
          <w:szCs w:val="32"/>
        </w:rPr>
        <w:t>万元，全部到位。</w:t>
      </w:r>
    </w:p>
    <w:p>
      <w:pPr>
        <w:adjustRightInd w:val="0"/>
        <w:snapToGrid w:val="0"/>
        <w:spacing w:line="600" w:lineRule="exact"/>
        <w:ind w:firstLine="720"/>
        <w:rPr>
          <w:rFonts w:eastAsia="楷体_GB2312"/>
          <w:sz w:val="32"/>
          <w:szCs w:val="32"/>
        </w:rPr>
      </w:pPr>
      <w:r>
        <w:rPr>
          <w:rFonts w:eastAsia="楷体_GB2312"/>
          <w:sz w:val="32"/>
          <w:szCs w:val="32"/>
        </w:rPr>
        <w:t>（二）资金计划、到位及使用情况（可用表格形式反映）。</w:t>
      </w:r>
    </w:p>
    <w:p>
      <w:pPr>
        <w:adjustRightInd w:val="0"/>
        <w:snapToGrid w:val="0"/>
        <w:spacing w:line="600" w:lineRule="exact"/>
        <w:ind w:firstLine="720"/>
        <w:rPr>
          <w:rFonts w:eastAsia="仿宋_GB2312"/>
          <w:sz w:val="32"/>
          <w:szCs w:val="32"/>
        </w:rPr>
      </w:pPr>
      <w:r>
        <w:rPr>
          <w:rFonts w:eastAsia="仿宋_GB2312"/>
          <w:sz w:val="32"/>
          <w:szCs w:val="32"/>
        </w:rPr>
        <w:t>项目资金计划为</w:t>
      </w:r>
      <w:r>
        <w:rPr>
          <w:rFonts w:hint="eastAsia" w:eastAsia="仿宋_GB2312"/>
          <w:sz w:val="32"/>
          <w:szCs w:val="32"/>
        </w:rPr>
        <w:t>2</w:t>
      </w:r>
      <w:r>
        <w:rPr>
          <w:rFonts w:eastAsia="仿宋_GB2312"/>
          <w:sz w:val="32"/>
          <w:szCs w:val="32"/>
        </w:rPr>
        <w:t>万元，实际到位</w:t>
      </w:r>
      <w:r>
        <w:rPr>
          <w:rFonts w:hint="eastAsia" w:eastAsia="仿宋_GB2312"/>
          <w:sz w:val="32"/>
          <w:szCs w:val="32"/>
        </w:rPr>
        <w:t>2</w:t>
      </w:r>
      <w:r>
        <w:rPr>
          <w:rFonts w:eastAsia="仿宋_GB2312"/>
          <w:sz w:val="32"/>
          <w:szCs w:val="32"/>
        </w:rPr>
        <w:t>万元，为区级财政资金拨付，根据轻重缓急的原则，按照计划全部支出，用于和谐劳动关系构建。</w:t>
      </w:r>
    </w:p>
    <w:p>
      <w:pPr>
        <w:adjustRightInd w:val="0"/>
        <w:snapToGrid w:val="0"/>
        <w:spacing w:line="600" w:lineRule="exact"/>
        <w:ind w:firstLine="720"/>
        <w:rPr>
          <w:rFonts w:eastAsia="楷体_GB2312"/>
          <w:sz w:val="32"/>
          <w:szCs w:val="32"/>
        </w:rPr>
      </w:pPr>
      <w:r>
        <w:rPr>
          <w:rFonts w:eastAsia="楷体_GB2312"/>
          <w:sz w:val="32"/>
          <w:szCs w:val="32"/>
        </w:rPr>
        <w:t>（三）项目财务管理情况。</w:t>
      </w:r>
    </w:p>
    <w:p>
      <w:pPr>
        <w:adjustRightInd w:val="0"/>
        <w:snapToGrid w:val="0"/>
        <w:spacing w:line="600" w:lineRule="exact"/>
        <w:ind w:firstLine="720"/>
        <w:rPr>
          <w:rFonts w:eastAsia="仿宋_GB2312"/>
          <w:sz w:val="32"/>
          <w:szCs w:val="32"/>
        </w:rPr>
      </w:pPr>
      <w:r>
        <w:rPr>
          <w:rFonts w:eastAsia="仿宋_GB2312"/>
          <w:sz w:val="32"/>
          <w:szCs w:val="32"/>
        </w:rPr>
        <w:t>总体评价各项目实施单位财务管理制度健全，严格执行财务管理制度，账务处理及时，会计核算规范。</w:t>
      </w:r>
    </w:p>
    <w:p>
      <w:pPr>
        <w:adjustRightInd w:val="0"/>
        <w:snapToGrid w:val="0"/>
        <w:spacing w:line="600" w:lineRule="exact"/>
        <w:ind w:firstLine="720"/>
        <w:rPr>
          <w:rFonts w:eastAsia="黑体"/>
          <w:sz w:val="32"/>
          <w:szCs w:val="32"/>
        </w:rPr>
      </w:pPr>
      <w:r>
        <w:rPr>
          <w:rFonts w:eastAsia="黑体"/>
          <w:sz w:val="32"/>
          <w:szCs w:val="32"/>
        </w:rPr>
        <w:t>三、项目实施及管理情况</w:t>
      </w:r>
    </w:p>
    <w:p>
      <w:pPr>
        <w:adjustRightInd w:val="0"/>
        <w:snapToGrid w:val="0"/>
        <w:spacing w:line="600" w:lineRule="exact"/>
        <w:ind w:firstLine="720"/>
        <w:rPr>
          <w:rFonts w:eastAsia="仿宋_GB2312"/>
          <w:sz w:val="32"/>
          <w:szCs w:val="32"/>
        </w:rPr>
      </w:pPr>
      <w:r>
        <w:rPr>
          <w:rFonts w:eastAsia="仿宋_GB2312"/>
          <w:bCs/>
          <w:sz w:val="32"/>
          <w:szCs w:val="32"/>
        </w:rPr>
        <w:t>通过严格资金使用、管理和监控等程序，</w:t>
      </w:r>
      <w:r>
        <w:rPr>
          <w:rFonts w:eastAsia="仿宋_GB2312"/>
          <w:sz w:val="32"/>
          <w:szCs w:val="32"/>
        </w:rPr>
        <w:t>按照申报指标完成了202</w:t>
      </w:r>
      <w:r>
        <w:rPr>
          <w:rFonts w:hint="eastAsia" w:eastAsia="仿宋_GB2312"/>
          <w:sz w:val="32"/>
          <w:szCs w:val="32"/>
        </w:rPr>
        <w:t>1</w:t>
      </w:r>
      <w:r>
        <w:rPr>
          <w:rFonts w:eastAsia="仿宋_GB2312"/>
          <w:sz w:val="32"/>
          <w:szCs w:val="32"/>
        </w:rPr>
        <w:t>年“构建和谐劳动关系经费”</w:t>
      </w:r>
      <w:r>
        <w:rPr>
          <w:rFonts w:eastAsia="仿宋_GB2312"/>
          <w:sz w:val="32"/>
          <w:szCs w:val="32"/>
          <w:lang w:val="zh-CN"/>
        </w:rPr>
        <w:t>项目经费绩效目标。</w:t>
      </w:r>
    </w:p>
    <w:p>
      <w:pPr>
        <w:adjustRightInd w:val="0"/>
        <w:snapToGrid w:val="0"/>
        <w:spacing w:line="600" w:lineRule="exact"/>
        <w:ind w:firstLine="720"/>
        <w:rPr>
          <w:rFonts w:eastAsia="仿宋_GB2312"/>
          <w:sz w:val="32"/>
          <w:szCs w:val="32"/>
        </w:rPr>
      </w:pPr>
      <w:r>
        <w:rPr>
          <w:rFonts w:eastAsia="黑体"/>
          <w:sz w:val="32"/>
          <w:szCs w:val="32"/>
        </w:rPr>
        <w:t>四、项目绩效情况</w:t>
      </w:r>
      <w:r>
        <w:rPr>
          <w:rFonts w:eastAsia="仿宋_GB2312"/>
          <w:sz w:val="32"/>
          <w:szCs w:val="32"/>
        </w:rPr>
        <w:tab/>
      </w:r>
    </w:p>
    <w:p>
      <w:pPr>
        <w:adjustRightInd w:val="0"/>
        <w:snapToGrid w:val="0"/>
        <w:spacing w:line="600" w:lineRule="exact"/>
        <w:ind w:firstLine="720"/>
        <w:rPr>
          <w:rFonts w:eastAsia="楷体_GB2312"/>
          <w:sz w:val="32"/>
          <w:szCs w:val="32"/>
        </w:rPr>
      </w:pPr>
      <w:r>
        <w:rPr>
          <w:rFonts w:eastAsia="楷体_GB2312"/>
          <w:sz w:val="32"/>
          <w:szCs w:val="32"/>
        </w:rPr>
        <w:t>（一）项目完成情况。</w:t>
      </w:r>
    </w:p>
    <w:p>
      <w:pPr>
        <w:adjustRightInd w:val="0"/>
        <w:snapToGrid w:val="0"/>
        <w:spacing w:line="600" w:lineRule="exact"/>
        <w:ind w:firstLine="720"/>
        <w:rPr>
          <w:rFonts w:eastAsia="仿宋_GB2312"/>
          <w:color w:val="000000" w:themeColor="text1"/>
          <w:sz w:val="32"/>
          <w:szCs w:val="32"/>
          <w:lang w:val="zh-CN"/>
          <w14:textFill>
            <w14:solidFill>
              <w14:schemeClr w14:val="tx1"/>
            </w14:solidFill>
          </w14:textFill>
        </w:rPr>
      </w:pPr>
      <w:r>
        <w:rPr>
          <w:rFonts w:eastAsia="仿宋_GB2312"/>
          <w:color w:val="000000" w:themeColor="text1"/>
          <w:sz w:val="32"/>
          <w:szCs w:val="32"/>
          <w:lang w:val="zh-CN"/>
          <w14:textFill>
            <w14:solidFill>
              <w14:schemeClr w14:val="tx1"/>
            </w14:solidFill>
          </w14:textFill>
        </w:rPr>
        <w:t>202</w:t>
      </w:r>
      <w:r>
        <w:rPr>
          <w:rFonts w:hint="eastAsia" w:eastAsia="仿宋_GB2312"/>
          <w:color w:val="000000" w:themeColor="text1"/>
          <w:sz w:val="32"/>
          <w:szCs w:val="32"/>
          <w14:textFill>
            <w14:solidFill>
              <w14:schemeClr w14:val="tx1"/>
            </w14:solidFill>
          </w14:textFill>
        </w:rPr>
        <w:t>1</w:t>
      </w:r>
      <w:r>
        <w:rPr>
          <w:rFonts w:eastAsia="仿宋_GB2312"/>
          <w:color w:val="000000" w:themeColor="text1"/>
          <w:sz w:val="32"/>
          <w:szCs w:val="32"/>
          <w:lang w:val="zh-CN"/>
          <w14:textFill>
            <w14:solidFill>
              <w14:schemeClr w14:val="tx1"/>
            </w14:solidFill>
          </w14:textFill>
        </w:rPr>
        <w:t>年，主动监察用人单位112户次，均按要求签订劳动合同，劳动合同签订率为100%；立案处理拖欠农民工工资举报投诉案件5件，劳动保障监察举报投诉案件结案率和拖欠农民工工资举报投诉案件结案率均为100%。共立案受理劳动争议118件，结案112件，结案率94.92%，完成目标任务；案外调解929件，调解结案率90%，达成调解成功率不低60%的目标任务。</w:t>
      </w:r>
    </w:p>
    <w:p>
      <w:pPr>
        <w:adjustRightInd w:val="0"/>
        <w:snapToGrid w:val="0"/>
        <w:spacing w:line="600" w:lineRule="exact"/>
        <w:ind w:firstLine="720"/>
        <w:rPr>
          <w:rFonts w:eastAsia="楷体_GB2312"/>
          <w:sz w:val="32"/>
          <w:szCs w:val="32"/>
        </w:rPr>
      </w:pPr>
      <w:r>
        <w:rPr>
          <w:rFonts w:eastAsia="楷体_GB2312"/>
          <w:sz w:val="32"/>
          <w:szCs w:val="32"/>
        </w:rPr>
        <w:t>（二）项目效益情况。</w:t>
      </w:r>
    </w:p>
    <w:p>
      <w:pPr>
        <w:adjustRightInd w:val="0"/>
        <w:snapToGrid w:val="0"/>
        <w:spacing w:line="600" w:lineRule="exact"/>
        <w:ind w:firstLine="720"/>
        <w:rPr>
          <w:rFonts w:eastAsia="仿宋_GB2312"/>
          <w:sz w:val="32"/>
          <w:szCs w:val="32"/>
        </w:rPr>
      </w:pPr>
      <w:r>
        <w:rPr>
          <w:rFonts w:eastAsia="仿宋_GB2312"/>
          <w:sz w:val="32"/>
          <w:szCs w:val="32"/>
        </w:rPr>
        <w:t>开展构建和谐劳动关系工作，维护了农民工的合法权益，提高了农民工的维权意识，营造良好劳动就业环境，为群众提供优质劳动就业等政策服务，保障西区劳动关系基本和谐稳定。</w:t>
      </w:r>
    </w:p>
    <w:p>
      <w:pPr>
        <w:adjustRightInd w:val="0"/>
        <w:snapToGrid w:val="0"/>
        <w:spacing w:line="600" w:lineRule="exact"/>
        <w:ind w:firstLine="720"/>
        <w:rPr>
          <w:rFonts w:eastAsia="黑体"/>
          <w:sz w:val="32"/>
          <w:szCs w:val="32"/>
        </w:rPr>
      </w:pPr>
      <w:r>
        <w:rPr>
          <w:rFonts w:eastAsia="黑体"/>
          <w:sz w:val="32"/>
          <w:szCs w:val="32"/>
        </w:rPr>
        <w:t>五、评价结论及建议</w:t>
      </w:r>
    </w:p>
    <w:p>
      <w:pPr>
        <w:spacing w:line="353" w:lineRule="auto"/>
        <w:ind w:firstLine="640"/>
        <w:rPr>
          <w:rFonts w:eastAsia="方正小标宋简体"/>
          <w:kern w:val="0"/>
          <w:sz w:val="44"/>
          <w:szCs w:val="44"/>
          <w:lang w:val="zh-CN"/>
        </w:rPr>
      </w:pPr>
      <w:r>
        <w:rPr>
          <w:rFonts w:eastAsia="仿宋_GB2312"/>
          <w:spacing w:val="-4"/>
          <w:sz w:val="32"/>
          <w:szCs w:val="32"/>
        </w:rPr>
        <w:t>构建和谐劳动关系工作关系到人民群众的切身利益，关系到经济健康持续发展、社会和谐稳定及公平正义。开展</w:t>
      </w:r>
      <w:r>
        <w:rPr>
          <w:rFonts w:eastAsia="仿宋_GB2312"/>
          <w:sz w:val="32"/>
          <w:szCs w:val="32"/>
        </w:rPr>
        <w:t>构建和谐劳动关系工作</w:t>
      </w:r>
      <w:r>
        <w:rPr>
          <w:rFonts w:eastAsia="仿宋_GB2312"/>
          <w:spacing w:val="-4"/>
          <w:sz w:val="32"/>
          <w:szCs w:val="32"/>
        </w:rPr>
        <w:t>，有利于规范用人单位尤其是在建工程项目对农民工的使用，从源头上保障农民工工资实现按月足额支付，切实维护好农民工的合法权益；通过加强主动监察和对欠薪案件的处理，可以切实有效的维护好辖区工人的切身利益，提升辖区老百姓的幸福感和获得感，构建和谐劳动关系。</w:t>
      </w:r>
    </w:p>
    <w:p>
      <w:pPr>
        <w:rPr>
          <w:rFonts w:eastAsia="方正小标宋简体"/>
          <w:kern w:val="0"/>
          <w:sz w:val="44"/>
          <w:szCs w:val="44"/>
          <w:lang w:val="zh-CN"/>
        </w:rPr>
      </w:pPr>
    </w:p>
    <w:p>
      <w:pPr>
        <w:jc w:val="center"/>
        <w:rPr>
          <w:rFonts w:eastAsia="方正小标宋简体"/>
          <w:kern w:val="0"/>
          <w:sz w:val="44"/>
          <w:szCs w:val="44"/>
          <w:lang w:val="zh-CN"/>
        </w:rPr>
      </w:pPr>
      <w:r>
        <w:rPr>
          <w:rFonts w:hint="eastAsia" w:eastAsia="方正小标宋简体"/>
          <w:kern w:val="0"/>
          <w:sz w:val="44"/>
          <w:szCs w:val="44"/>
          <w:lang w:val="zh-CN"/>
        </w:rPr>
        <w:t>“农民工服务保障</w:t>
      </w:r>
      <w:r>
        <w:rPr>
          <w:rFonts w:hint="eastAsia" w:eastAsia="方正小标宋简体"/>
          <w:kern w:val="0"/>
          <w:sz w:val="44"/>
          <w:szCs w:val="44"/>
        </w:rPr>
        <w:t>工作经费</w:t>
      </w:r>
      <w:r>
        <w:rPr>
          <w:rFonts w:hint="eastAsia" w:eastAsia="方正小标宋简体"/>
          <w:kern w:val="0"/>
          <w:sz w:val="44"/>
          <w:szCs w:val="44"/>
          <w:lang w:val="zh-CN"/>
        </w:rPr>
        <w:t>”项目</w:t>
      </w:r>
    </w:p>
    <w:p>
      <w:pPr>
        <w:jc w:val="center"/>
        <w:rPr>
          <w:rFonts w:eastAsia="方正小标宋_GBK"/>
          <w:color w:val="000000" w:themeColor="text1"/>
          <w:sz w:val="44"/>
          <w:szCs w:val="44"/>
          <w14:textFill>
            <w14:solidFill>
              <w14:schemeClr w14:val="tx1"/>
            </w14:solidFill>
          </w14:textFill>
        </w:rPr>
      </w:pPr>
      <w:r>
        <w:rPr>
          <w:rFonts w:eastAsia="方正小标宋简体"/>
          <w:kern w:val="0"/>
          <w:sz w:val="44"/>
          <w:szCs w:val="44"/>
        </w:rPr>
        <w:t>202</w:t>
      </w:r>
      <w:r>
        <w:rPr>
          <w:rFonts w:hint="eastAsia" w:eastAsia="方正小标宋简体"/>
          <w:kern w:val="0"/>
          <w:sz w:val="44"/>
          <w:szCs w:val="44"/>
        </w:rPr>
        <w:t>1</w:t>
      </w:r>
      <w:r>
        <w:rPr>
          <w:rFonts w:eastAsia="方正小标宋简体"/>
          <w:kern w:val="0"/>
          <w:sz w:val="44"/>
          <w:szCs w:val="44"/>
        </w:rPr>
        <w:t>年</w:t>
      </w:r>
      <w:r>
        <w:rPr>
          <w:rFonts w:eastAsia="方正小标宋简体"/>
          <w:kern w:val="0"/>
          <w:sz w:val="44"/>
          <w:szCs w:val="44"/>
          <w:lang w:val="zh-CN"/>
        </w:rPr>
        <w:t>绩效评价报告</w:t>
      </w:r>
    </w:p>
    <w:p>
      <w:pPr>
        <w:jc w:val="center"/>
        <w:rPr>
          <w:rFonts w:eastAsia="仿宋_GB2312"/>
          <w:sz w:val="32"/>
          <w:szCs w:val="32"/>
        </w:rPr>
      </w:pPr>
    </w:p>
    <w:p>
      <w:pPr>
        <w:spacing w:line="353" w:lineRule="auto"/>
        <w:ind w:firstLine="640" w:firstLineChars="200"/>
        <w:rPr>
          <w:rFonts w:eastAsia="黑体"/>
          <w:sz w:val="32"/>
          <w:szCs w:val="32"/>
        </w:rPr>
      </w:pPr>
      <w:r>
        <w:rPr>
          <w:rFonts w:hint="eastAsia" w:hAnsi="黑体" w:eastAsia="黑体"/>
          <w:sz w:val="32"/>
          <w:szCs w:val="32"/>
        </w:rPr>
        <w:t>一、项目基本情况</w:t>
      </w:r>
    </w:p>
    <w:p>
      <w:pPr>
        <w:adjustRightInd w:val="0"/>
        <w:snapToGrid w:val="0"/>
        <w:spacing w:line="353" w:lineRule="auto"/>
        <w:ind w:firstLine="640" w:firstLineChars="200"/>
        <w:rPr>
          <w:rFonts w:eastAsia="楷体_GB2312"/>
          <w:sz w:val="32"/>
          <w:szCs w:val="32"/>
        </w:rPr>
      </w:pPr>
      <w:r>
        <w:rPr>
          <w:rFonts w:eastAsia="楷体_GB2312"/>
          <w:sz w:val="32"/>
          <w:szCs w:val="32"/>
        </w:rPr>
        <w:t>（一）项目基本情况</w:t>
      </w:r>
      <w:r>
        <w:rPr>
          <w:rFonts w:hint="eastAsia" w:eastAsia="楷体_GB2312"/>
          <w:sz w:val="32"/>
          <w:szCs w:val="32"/>
        </w:rPr>
        <w:t>。</w:t>
      </w:r>
    </w:p>
    <w:p>
      <w:pPr>
        <w:spacing w:line="353" w:lineRule="auto"/>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农民工服务保障工作立项依据是《中共四川省委办公厅、四川省人民政府办公厅关于印发&lt;加强农民工服务保障十六条措施&gt;的通知》</w:t>
      </w:r>
      <w:r>
        <w:rPr>
          <w:rFonts w:ascii="仿宋_GB2312" w:hAnsi="仿宋_GB2312" w:eastAsia="仿宋_GB2312" w:cs="仿宋_GB2312"/>
          <w:color w:val="000000"/>
          <w:kern w:val="0"/>
          <w:sz w:val="32"/>
          <w:szCs w:val="32"/>
          <w:lang w:bidi="ar"/>
        </w:rPr>
        <w:t>(</w:t>
      </w:r>
      <w:r>
        <w:rPr>
          <w:rFonts w:hint="eastAsia" w:ascii="仿宋_GB2312" w:hAnsi="仿宋_GB2312" w:eastAsia="仿宋_GB2312" w:cs="仿宋_GB2312"/>
          <w:color w:val="000000"/>
          <w:kern w:val="0"/>
          <w:sz w:val="32"/>
          <w:szCs w:val="32"/>
          <w:lang w:bidi="ar"/>
        </w:rPr>
        <w:t>川委办〔2018〕48号</w:t>
      </w:r>
      <w:r>
        <w:rPr>
          <w:rFonts w:ascii="仿宋_GB2312" w:hAnsi="仿宋_GB2312" w:eastAsia="仿宋_GB2312" w:cs="仿宋_GB2312"/>
          <w:color w:val="000000"/>
          <w:kern w:val="0"/>
          <w:sz w:val="32"/>
          <w:szCs w:val="32"/>
          <w:lang w:bidi="ar"/>
        </w:rPr>
        <w:t>)</w:t>
      </w:r>
      <w:r>
        <w:rPr>
          <w:rFonts w:hint="eastAsia" w:ascii="仿宋_GB2312" w:hAnsi="仿宋_GB2312" w:eastAsia="仿宋_GB2312" w:cs="仿宋_GB2312"/>
          <w:color w:val="000000"/>
          <w:kern w:val="0"/>
          <w:sz w:val="32"/>
          <w:szCs w:val="32"/>
          <w:lang w:bidi="ar"/>
        </w:rPr>
        <w:t>，中共攀枝花市委办公室 攀枝花市人民政府办公室关于印发《攀枝花市加强农民工服务保障工作方案》（攀委办发〔</w:t>
      </w:r>
      <w:r>
        <w:rPr>
          <w:rFonts w:ascii="仿宋_GB2312" w:hAnsi="仿宋_GB2312" w:eastAsia="仿宋_GB2312" w:cs="仿宋_GB2312"/>
          <w:color w:val="000000"/>
          <w:kern w:val="0"/>
          <w:sz w:val="32"/>
          <w:szCs w:val="32"/>
          <w:lang w:bidi="ar"/>
        </w:rPr>
        <w:t>2019</w:t>
      </w:r>
      <w:r>
        <w:rPr>
          <w:rFonts w:hint="eastAsia" w:ascii="仿宋_GB2312" w:hAnsi="仿宋_GB2312" w:eastAsia="仿宋_GB2312" w:cs="仿宋_GB2312"/>
          <w:color w:val="000000"/>
          <w:kern w:val="0"/>
          <w:sz w:val="32"/>
          <w:szCs w:val="32"/>
          <w:lang w:bidi="ar"/>
        </w:rPr>
        <w:t>〕</w:t>
      </w:r>
      <w:r>
        <w:rPr>
          <w:rFonts w:ascii="仿宋_GB2312" w:hAnsi="仿宋_GB2312" w:eastAsia="仿宋_GB2312" w:cs="仿宋_GB2312"/>
          <w:color w:val="000000"/>
          <w:kern w:val="0"/>
          <w:sz w:val="32"/>
          <w:szCs w:val="32"/>
          <w:lang w:bidi="ar"/>
        </w:rPr>
        <w:t>3</w:t>
      </w:r>
      <w:r>
        <w:rPr>
          <w:rFonts w:hint="eastAsia" w:ascii="仿宋_GB2312" w:hAnsi="仿宋_GB2312" w:eastAsia="仿宋_GB2312" w:cs="仿宋_GB2312"/>
          <w:color w:val="000000"/>
          <w:kern w:val="0"/>
          <w:sz w:val="32"/>
          <w:szCs w:val="32"/>
          <w:lang w:bidi="ar"/>
        </w:rPr>
        <w:t>号），今冬明春农民工服务保障五大专项行动工作依据是四川省农民工工作领导小组办公室 四川省人力资源和社会保障厅《关于深入开展今冬明春农民工服务保障五大专项行动的通知》（川农工办发〔</w:t>
      </w:r>
      <w:r>
        <w:rPr>
          <w:rFonts w:ascii="仿宋_GB2312" w:hAnsi="仿宋_GB2312" w:eastAsia="仿宋_GB2312" w:cs="仿宋_GB2312"/>
          <w:color w:val="000000"/>
          <w:kern w:val="0"/>
          <w:sz w:val="32"/>
          <w:szCs w:val="32"/>
          <w:lang w:bidi="ar"/>
        </w:rPr>
        <w:t>20</w:t>
      </w:r>
      <w:r>
        <w:rPr>
          <w:rFonts w:hint="eastAsia" w:ascii="仿宋_GB2312" w:hAnsi="仿宋_GB2312" w:eastAsia="仿宋_GB2312" w:cs="仿宋_GB2312"/>
          <w:color w:val="000000"/>
          <w:kern w:val="0"/>
          <w:sz w:val="32"/>
          <w:szCs w:val="32"/>
          <w:lang w:bidi="ar"/>
        </w:rPr>
        <w:t>20〕1号）。</w:t>
      </w:r>
    </w:p>
    <w:p>
      <w:pPr>
        <w:adjustRightInd w:val="0"/>
        <w:snapToGrid w:val="0"/>
        <w:spacing w:line="353" w:lineRule="auto"/>
        <w:ind w:firstLine="640" w:firstLineChars="200"/>
        <w:rPr>
          <w:rFonts w:ascii="仿宋_GB2312" w:eastAsia="仿宋_GB2312"/>
          <w:spacing w:val="-4"/>
          <w:sz w:val="32"/>
          <w:szCs w:val="32"/>
        </w:rPr>
      </w:pPr>
      <w:r>
        <w:rPr>
          <w:rFonts w:hint="eastAsia" w:eastAsia="仿宋_GB2312"/>
          <w:sz w:val="32"/>
          <w:szCs w:val="32"/>
        </w:rPr>
        <w:t>作为职能部门，要</w:t>
      </w:r>
      <w:r>
        <w:rPr>
          <w:rFonts w:hint="eastAsia" w:ascii="仿宋_GB2312" w:eastAsia="仿宋_GB2312"/>
          <w:spacing w:val="-4"/>
          <w:sz w:val="32"/>
          <w:szCs w:val="32"/>
        </w:rPr>
        <w:t>以对党和人民高度负责的态度，不折不扣地落实好党中央、国务院和省市要求，履行好工作责任，打赢根治欠薪攻坚专项行动，努力</w:t>
      </w:r>
      <w:r>
        <w:rPr>
          <w:rFonts w:eastAsia="仿宋_GB2312"/>
          <w:spacing w:val="-4"/>
          <w:sz w:val="32"/>
          <w:szCs w:val="32"/>
        </w:rPr>
        <w:t>实现我区</w:t>
      </w:r>
      <w:r>
        <w:rPr>
          <w:rFonts w:hint="eastAsia" w:ascii="仿宋_GB2312" w:eastAsia="仿宋_GB2312"/>
          <w:spacing w:val="-4"/>
          <w:sz w:val="32"/>
          <w:szCs w:val="32"/>
        </w:rPr>
        <w:t>农民工工资基本无拖欠的目标，为全区经济社会发展、巩固脱贫攻坚成果、促进社会和谐稳定做出新的贡献。</w:t>
      </w:r>
    </w:p>
    <w:p>
      <w:pPr>
        <w:adjustRightInd w:val="0"/>
        <w:snapToGrid w:val="0"/>
        <w:spacing w:line="353" w:lineRule="auto"/>
        <w:ind w:firstLine="640" w:firstLineChars="200"/>
        <w:rPr>
          <w:rFonts w:eastAsia="楷体_GB2312"/>
          <w:sz w:val="32"/>
          <w:szCs w:val="32"/>
        </w:rPr>
      </w:pPr>
      <w:r>
        <w:rPr>
          <w:rFonts w:eastAsia="楷体_GB2312"/>
          <w:sz w:val="32"/>
          <w:szCs w:val="32"/>
        </w:rPr>
        <w:t>（二）项目绩效目标。</w:t>
      </w:r>
    </w:p>
    <w:p>
      <w:pPr>
        <w:spacing w:line="353" w:lineRule="auto"/>
        <w:ind w:firstLine="624" w:firstLineChars="200"/>
        <w:rPr>
          <w:rFonts w:eastAsia="仿宋_GB2312"/>
          <w:sz w:val="32"/>
          <w:szCs w:val="32"/>
        </w:rPr>
      </w:pPr>
      <w:r>
        <w:rPr>
          <w:rFonts w:eastAsia="仿宋_GB2312"/>
          <w:color w:val="000000" w:themeColor="text1"/>
          <w:spacing w:val="-4"/>
          <w:sz w:val="32"/>
          <w:szCs w:val="32"/>
          <w14:textFill>
            <w14:solidFill>
              <w14:schemeClr w14:val="tx1"/>
            </w14:solidFill>
          </w14:textFill>
        </w:rPr>
        <w:t>绩效目标：</w:t>
      </w:r>
      <w:r>
        <w:rPr>
          <w:rFonts w:hint="eastAsia" w:eastAsia="仿宋_GB2312"/>
          <w:sz w:val="32"/>
          <w:szCs w:val="32"/>
        </w:rPr>
        <w:t>全力构建社会公平正义，营造良好劳动就业环境，为群众提供优质劳动就业等政策服务，构建和谐劳动就业关系。实现辖区农民工春节全覆盖慰问，将宣传资料发放至用人单位、建筑工地农民工手中，普及劳动保障知识，提高农民工维权意识。</w:t>
      </w:r>
    </w:p>
    <w:p>
      <w:pPr>
        <w:spacing w:line="353" w:lineRule="auto"/>
        <w:ind w:firstLine="640" w:firstLineChars="200"/>
        <w:rPr>
          <w:rFonts w:eastAsia="仿宋_GB2312"/>
          <w:sz w:val="32"/>
          <w:szCs w:val="32"/>
        </w:rPr>
      </w:pPr>
      <w:r>
        <w:rPr>
          <w:rFonts w:hint="eastAsia" w:eastAsia="仿宋_GB2312"/>
          <w:sz w:val="32"/>
          <w:szCs w:val="32"/>
        </w:rPr>
        <w:t>服务对象满意度指标：办事群众满意度达到96%以上。</w:t>
      </w:r>
    </w:p>
    <w:p>
      <w:pPr>
        <w:spacing w:line="580" w:lineRule="exact"/>
        <w:ind w:firstLine="624" w:firstLineChars="200"/>
        <w:rPr>
          <w:rFonts w:eastAsia="仿宋_GB2312"/>
          <w:color w:val="000000" w:themeColor="text1"/>
          <w:spacing w:val="-4"/>
          <w:sz w:val="32"/>
          <w:szCs w:val="32"/>
          <w14:textFill>
            <w14:solidFill>
              <w14:schemeClr w14:val="tx1"/>
            </w14:solidFill>
          </w14:textFill>
        </w:rPr>
      </w:pPr>
      <w:r>
        <w:rPr>
          <w:rFonts w:eastAsia="仿宋_GB2312"/>
          <w:color w:val="000000" w:themeColor="text1"/>
          <w:spacing w:val="-4"/>
          <w:sz w:val="32"/>
          <w:szCs w:val="32"/>
          <w14:textFill>
            <w14:solidFill>
              <w14:schemeClr w14:val="tx1"/>
            </w14:solidFill>
          </w14:textFill>
        </w:rPr>
        <w:t>项目完成数量指标：</w:t>
      </w:r>
      <w:r>
        <w:rPr>
          <w:rFonts w:hint="eastAsia" w:eastAsia="仿宋_GB2312"/>
          <w:color w:val="000000" w:themeColor="text1"/>
          <w:spacing w:val="-4"/>
          <w:sz w:val="32"/>
          <w:szCs w:val="32"/>
          <w14:textFill>
            <w14:solidFill>
              <w14:schemeClr w14:val="tx1"/>
            </w14:solidFill>
          </w14:textFill>
        </w:rPr>
        <w:t>根据省、市的工作要求和</w:t>
      </w:r>
      <w:r>
        <w:rPr>
          <w:rFonts w:eastAsia="仿宋_GB2312"/>
          <w:color w:val="000000" w:themeColor="text1"/>
          <w:spacing w:val="-4"/>
          <w:sz w:val="32"/>
          <w:szCs w:val="32"/>
          <w14:textFill>
            <w14:solidFill>
              <w14:schemeClr w14:val="tx1"/>
            </w14:solidFill>
          </w14:textFill>
        </w:rPr>
        <w:t>区委区政府的统一部署，</w:t>
      </w:r>
      <w:r>
        <w:rPr>
          <w:rFonts w:hint="eastAsia" w:eastAsia="仿宋_GB2312"/>
          <w:color w:val="000000" w:themeColor="text1"/>
          <w:spacing w:val="-4"/>
          <w:sz w:val="32"/>
          <w:szCs w:val="32"/>
          <w14:textFill>
            <w14:solidFill>
              <w14:schemeClr w14:val="tx1"/>
            </w14:solidFill>
          </w14:textFill>
        </w:rPr>
        <w:t>计划至少召开区根治拖欠农民工工资工作领导小组会议2次，开展主动监察工贸企业和在建工地200户次，开展根治欠薪春季、夏季和冬季等6项专项行动，宣传印制10000份宣传资料，办理欠薪案件50件。</w:t>
      </w:r>
    </w:p>
    <w:p>
      <w:pPr>
        <w:spacing w:line="580" w:lineRule="exact"/>
        <w:ind w:firstLine="624" w:firstLineChars="200"/>
        <w:rPr>
          <w:rFonts w:eastAsia="仿宋_GB2312"/>
          <w:color w:val="000000" w:themeColor="text1"/>
          <w:spacing w:val="-4"/>
          <w:sz w:val="32"/>
          <w:szCs w:val="32"/>
          <w14:textFill>
            <w14:solidFill>
              <w14:schemeClr w14:val="tx1"/>
            </w14:solidFill>
          </w14:textFill>
        </w:rPr>
      </w:pPr>
      <w:r>
        <w:rPr>
          <w:rFonts w:eastAsia="仿宋_GB2312"/>
          <w:color w:val="000000" w:themeColor="text1"/>
          <w:spacing w:val="-4"/>
          <w:sz w:val="32"/>
          <w:szCs w:val="32"/>
          <w14:textFill>
            <w14:solidFill>
              <w14:schemeClr w14:val="tx1"/>
            </w14:solidFill>
          </w14:textFill>
        </w:rPr>
        <w:t>社会效益指标</w:t>
      </w:r>
      <w:r>
        <w:rPr>
          <w:rFonts w:eastAsia="仿宋_GB2312"/>
          <w:color w:val="000000" w:themeColor="text1"/>
          <w:spacing w:val="-4"/>
          <w:sz w:val="32"/>
          <w:szCs w:val="32"/>
          <w14:textFill>
            <w14:solidFill>
              <w14:schemeClr w14:val="tx1"/>
            </w14:solidFill>
          </w14:textFill>
        </w:rPr>
        <w:tab/>
      </w:r>
      <w:r>
        <w:rPr>
          <w:rFonts w:eastAsia="仿宋_GB2312"/>
          <w:color w:val="000000" w:themeColor="text1"/>
          <w:spacing w:val="-4"/>
          <w:sz w:val="32"/>
          <w:szCs w:val="32"/>
          <w14:textFill>
            <w14:solidFill>
              <w14:schemeClr w14:val="tx1"/>
            </w14:solidFill>
          </w14:textFill>
        </w:rPr>
        <w:t>：严格按照国家和省、市、区</w:t>
      </w:r>
      <w:r>
        <w:rPr>
          <w:rFonts w:hint="eastAsia" w:eastAsia="仿宋_GB2312"/>
          <w:color w:val="000000" w:themeColor="text1"/>
          <w:spacing w:val="-4"/>
          <w:sz w:val="32"/>
          <w:szCs w:val="32"/>
          <w14:textFill>
            <w14:solidFill>
              <w14:schemeClr w14:val="tx1"/>
            </w14:solidFill>
          </w14:textFill>
        </w:rPr>
        <w:t>保障农民工工资支付相关工作要求</w:t>
      </w:r>
      <w:r>
        <w:rPr>
          <w:rFonts w:eastAsia="仿宋_GB2312"/>
          <w:color w:val="000000" w:themeColor="text1"/>
          <w:spacing w:val="-4"/>
          <w:sz w:val="32"/>
          <w:szCs w:val="32"/>
          <w14:textFill>
            <w14:solidFill>
              <w14:schemeClr w14:val="tx1"/>
            </w14:solidFill>
          </w14:textFill>
        </w:rPr>
        <w:t>，</w:t>
      </w:r>
      <w:r>
        <w:rPr>
          <w:rFonts w:hint="eastAsia" w:eastAsia="仿宋_GB2312"/>
          <w:color w:val="000000" w:themeColor="text1"/>
          <w:spacing w:val="-4"/>
          <w:sz w:val="32"/>
          <w:szCs w:val="32"/>
          <w14:textFill>
            <w14:solidFill>
              <w14:schemeClr w14:val="tx1"/>
            </w14:solidFill>
          </w14:textFill>
        </w:rPr>
        <w:t>开展保障农民工工资支付工作</w:t>
      </w:r>
      <w:r>
        <w:rPr>
          <w:rFonts w:eastAsia="仿宋_GB2312"/>
          <w:color w:val="000000" w:themeColor="text1"/>
          <w:spacing w:val="-4"/>
          <w:sz w:val="32"/>
          <w:szCs w:val="32"/>
          <w14:textFill>
            <w14:solidFill>
              <w14:schemeClr w14:val="tx1"/>
            </w14:solidFill>
          </w14:textFill>
        </w:rPr>
        <w:t>，促进</w:t>
      </w:r>
      <w:r>
        <w:rPr>
          <w:rFonts w:hint="eastAsia" w:eastAsia="仿宋_GB2312"/>
          <w:color w:val="000000" w:themeColor="text1"/>
          <w:spacing w:val="-4"/>
          <w:sz w:val="32"/>
          <w:szCs w:val="32"/>
          <w14:textFill>
            <w14:solidFill>
              <w14:schemeClr w14:val="tx1"/>
            </w14:solidFill>
          </w14:textFill>
        </w:rPr>
        <w:t>辖区劳动关系的和谐稳定</w:t>
      </w:r>
      <w:r>
        <w:rPr>
          <w:rFonts w:eastAsia="仿宋_GB2312"/>
          <w:color w:val="000000" w:themeColor="text1"/>
          <w:spacing w:val="-4"/>
          <w:sz w:val="32"/>
          <w:szCs w:val="32"/>
          <w14:textFill>
            <w14:solidFill>
              <w14:schemeClr w14:val="tx1"/>
            </w14:solidFill>
          </w14:textFill>
        </w:rPr>
        <w:t>，推动各项工作有序、高效、高质量完成。</w:t>
      </w:r>
    </w:p>
    <w:p>
      <w:pPr>
        <w:spacing w:line="580" w:lineRule="exact"/>
        <w:ind w:firstLine="624" w:firstLineChars="200"/>
        <w:rPr>
          <w:rFonts w:eastAsia="仿宋_GB2312"/>
          <w:color w:val="000000" w:themeColor="text1"/>
          <w:spacing w:val="-4"/>
          <w:sz w:val="32"/>
          <w:szCs w:val="32"/>
          <w14:textFill>
            <w14:solidFill>
              <w14:schemeClr w14:val="tx1"/>
            </w14:solidFill>
          </w14:textFill>
        </w:rPr>
      </w:pPr>
      <w:r>
        <w:rPr>
          <w:rFonts w:eastAsia="仿宋_GB2312"/>
          <w:color w:val="000000" w:themeColor="text1"/>
          <w:spacing w:val="-4"/>
          <w:sz w:val="32"/>
          <w:szCs w:val="32"/>
          <w14:textFill>
            <w14:solidFill>
              <w14:schemeClr w14:val="tx1"/>
            </w14:solidFill>
          </w14:textFill>
        </w:rPr>
        <w:t>服务对象满意度指标：通过</w:t>
      </w:r>
      <w:r>
        <w:rPr>
          <w:rFonts w:hint="eastAsia" w:eastAsia="仿宋_GB2312"/>
          <w:color w:val="000000" w:themeColor="text1"/>
          <w:spacing w:val="-4"/>
          <w:sz w:val="32"/>
          <w:szCs w:val="32"/>
          <w14:textFill>
            <w14:solidFill>
              <w14:schemeClr w14:val="tx1"/>
            </w14:solidFill>
          </w14:textFill>
        </w:rPr>
        <w:t>开展根治欠薪专项行动</w:t>
      </w:r>
      <w:r>
        <w:rPr>
          <w:rFonts w:eastAsia="仿宋_GB2312"/>
          <w:color w:val="000000" w:themeColor="text1"/>
          <w:spacing w:val="-4"/>
          <w:sz w:val="32"/>
          <w:szCs w:val="32"/>
          <w14:textFill>
            <w14:solidFill>
              <w14:schemeClr w14:val="tx1"/>
            </w14:solidFill>
          </w14:textFill>
        </w:rPr>
        <w:t>，</w:t>
      </w:r>
      <w:r>
        <w:rPr>
          <w:rFonts w:hint="eastAsia" w:eastAsia="仿宋_GB2312"/>
          <w:color w:val="000000" w:themeColor="text1"/>
          <w:spacing w:val="-4"/>
          <w:sz w:val="32"/>
          <w:szCs w:val="32"/>
          <w14:textFill>
            <w14:solidFill>
              <w14:schemeClr w14:val="tx1"/>
            </w14:solidFill>
          </w14:textFill>
        </w:rPr>
        <w:t>服务农民工和用人单位，及时处置欠薪案件，构建和谐劳动关系</w:t>
      </w:r>
      <w:r>
        <w:rPr>
          <w:rFonts w:eastAsia="仿宋_GB2312"/>
          <w:color w:val="000000" w:themeColor="text1"/>
          <w:spacing w:val="-4"/>
          <w:sz w:val="32"/>
          <w:szCs w:val="32"/>
          <w14:textFill>
            <w14:solidFill>
              <w14:schemeClr w14:val="tx1"/>
            </w14:solidFill>
          </w14:textFill>
        </w:rPr>
        <w:t>，实现满意度达到</w:t>
      </w:r>
      <w:r>
        <w:rPr>
          <w:rFonts w:hint="eastAsia" w:eastAsia="仿宋_GB2312"/>
          <w:color w:val="000000" w:themeColor="text1"/>
          <w:spacing w:val="-4"/>
          <w:sz w:val="32"/>
          <w:szCs w:val="32"/>
          <w14:textFill>
            <w14:solidFill>
              <w14:schemeClr w14:val="tx1"/>
            </w14:solidFill>
          </w14:textFill>
        </w:rPr>
        <w:t>96</w:t>
      </w:r>
      <w:r>
        <w:rPr>
          <w:rFonts w:eastAsia="仿宋_GB2312"/>
          <w:color w:val="000000" w:themeColor="text1"/>
          <w:spacing w:val="-4"/>
          <w:sz w:val="32"/>
          <w:szCs w:val="32"/>
          <w14:textFill>
            <w14:solidFill>
              <w14:schemeClr w14:val="tx1"/>
            </w14:solidFill>
          </w14:textFill>
        </w:rPr>
        <w:t>%</w:t>
      </w:r>
      <w:r>
        <w:rPr>
          <w:rFonts w:hint="eastAsia" w:eastAsia="仿宋_GB2312"/>
          <w:color w:val="000000" w:themeColor="text1"/>
          <w:spacing w:val="-4"/>
          <w:sz w:val="32"/>
          <w:szCs w:val="32"/>
          <w14:textFill>
            <w14:solidFill>
              <w14:schemeClr w14:val="tx1"/>
            </w14:solidFill>
          </w14:textFill>
        </w:rPr>
        <w:t>以上</w:t>
      </w:r>
      <w:r>
        <w:rPr>
          <w:rFonts w:eastAsia="仿宋_GB2312"/>
          <w:color w:val="000000" w:themeColor="text1"/>
          <w:spacing w:val="-4"/>
          <w:sz w:val="32"/>
          <w:szCs w:val="32"/>
          <w14:textFill>
            <w14:solidFill>
              <w14:schemeClr w14:val="tx1"/>
            </w14:solidFill>
          </w14:textFill>
        </w:rPr>
        <w:t>。</w:t>
      </w:r>
    </w:p>
    <w:p>
      <w:pPr>
        <w:adjustRightInd w:val="0"/>
        <w:snapToGrid w:val="0"/>
        <w:spacing w:line="353" w:lineRule="auto"/>
        <w:ind w:firstLine="640" w:firstLineChars="200"/>
        <w:rPr>
          <w:rFonts w:eastAsia="黑体"/>
          <w:bCs/>
          <w:sz w:val="32"/>
          <w:szCs w:val="32"/>
        </w:rPr>
      </w:pPr>
      <w:r>
        <w:rPr>
          <w:rFonts w:eastAsia="黑体"/>
          <w:bCs/>
          <w:sz w:val="32"/>
          <w:szCs w:val="32"/>
        </w:rPr>
        <w:t>二、项目资金申报及使用情况</w:t>
      </w:r>
    </w:p>
    <w:p>
      <w:pPr>
        <w:adjustRightInd w:val="0"/>
        <w:snapToGrid w:val="0"/>
        <w:spacing w:line="353" w:lineRule="auto"/>
        <w:ind w:firstLine="627" w:firstLineChars="196"/>
        <w:rPr>
          <w:rFonts w:eastAsia="仿宋_GB2312"/>
          <w:bCs/>
          <w:sz w:val="32"/>
          <w:szCs w:val="32"/>
        </w:rPr>
      </w:pPr>
      <w:r>
        <w:rPr>
          <w:rFonts w:eastAsia="仿宋_GB2312"/>
          <w:bCs/>
          <w:sz w:val="32"/>
          <w:szCs w:val="32"/>
        </w:rPr>
        <w:t>202</w:t>
      </w:r>
      <w:r>
        <w:rPr>
          <w:rFonts w:hint="eastAsia" w:eastAsia="仿宋_GB2312"/>
          <w:bCs/>
          <w:sz w:val="32"/>
          <w:szCs w:val="32"/>
        </w:rPr>
        <w:t>1</w:t>
      </w:r>
      <w:r>
        <w:rPr>
          <w:rFonts w:eastAsia="仿宋_GB2312"/>
          <w:bCs/>
          <w:sz w:val="32"/>
          <w:szCs w:val="32"/>
        </w:rPr>
        <w:t>年全年申报预算</w:t>
      </w:r>
      <w:r>
        <w:rPr>
          <w:rFonts w:hint="eastAsia" w:eastAsia="仿宋_GB2312"/>
          <w:bCs/>
          <w:sz w:val="32"/>
          <w:szCs w:val="32"/>
        </w:rPr>
        <w:t>2</w:t>
      </w:r>
      <w:r>
        <w:rPr>
          <w:rFonts w:eastAsia="仿宋_GB2312"/>
          <w:bCs/>
          <w:sz w:val="32"/>
          <w:szCs w:val="32"/>
        </w:rPr>
        <w:t>万元，全部到位。</w:t>
      </w:r>
    </w:p>
    <w:p>
      <w:pPr>
        <w:adjustRightInd w:val="0"/>
        <w:snapToGrid w:val="0"/>
        <w:spacing w:line="353" w:lineRule="auto"/>
        <w:ind w:firstLine="640" w:firstLineChars="200"/>
        <w:rPr>
          <w:rFonts w:eastAsia="黑体"/>
          <w:bCs/>
          <w:sz w:val="32"/>
          <w:szCs w:val="32"/>
        </w:rPr>
      </w:pPr>
      <w:r>
        <w:rPr>
          <w:rFonts w:eastAsia="黑体"/>
          <w:bCs/>
          <w:sz w:val="32"/>
          <w:szCs w:val="32"/>
        </w:rPr>
        <w:t>三、项目实施及管理情况</w:t>
      </w:r>
    </w:p>
    <w:p>
      <w:pPr>
        <w:spacing w:line="353" w:lineRule="auto"/>
        <w:ind w:firstLine="640" w:firstLineChars="200"/>
        <w:rPr>
          <w:rFonts w:eastAsia="仿宋_GB2312"/>
          <w:sz w:val="32"/>
          <w:szCs w:val="32"/>
        </w:rPr>
      </w:pPr>
      <w:r>
        <w:rPr>
          <w:rFonts w:hint="eastAsia" w:eastAsia="仿宋_GB2312"/>
          <w:sz w:val="32"/>
          <w:szCs w:val="32"/>
        </w:rPr>
        <w:t>按照“早预防、早发现、早处置、早解决”原则，完善工作保障机制，加强源头监管和治理，强化部门联动，加大日常巡查、监察力度，及时协调处置各类欠薪隐患问题，依法严厉打击恶意拖欠农民工工资的违法犯罪行为，形成“不敢欠、不能欠、不愿欠”的有效机制，确保农民工工资基本无拖欠，辖区社会和谐稳定。</w:t>
      </w:r>
    </w:p>
    <w:p>
      <w:pPr>
        <w:spacing w:line="353" w:lineRule="auto"/>
        <w:ind w:firstLine="640" w:firstLineChars="200"/>
        <w:rPr>
          <w:rFonts w:eastAsia="仿宋_GB2312"/>
          <w:sz w:val="32"/>
          <w:szCs w:val="32"/>
        </w:rPr>
      </w:pPr>
      <w:r>
        <w:rPr>
          <w:rFonts w:hint="eastAsia" w:eastAsia="仿宋_GB2312"/>
          <w:sz w:val="32"/>
          <w:szCs w:val="32"/>
        </w:rPr>
        <w:t>1-3月，开展2021年在建施工项目统计报送和劳动用工备案专项检查工作，指导施工企业严格落实根治欠薪各项核心制度；接受国务院和省、市政府对西区保障农民工工资支付考核考评工作。</w:t>
      </w:r>
    </w:p>
    <w:p>
      <w:pPr>
        <w:spacing w:line="353" w:lineRule="auto"/>
        <w:ind w:firstLine="640" w:firstLineChars="200"/>
        <w:rPr>
          <w:rFonts w:eastAsia="仿宋_GB2312"/>
          <w:sz w:val="32"/>
          <w:szCs w:val="32"/>
        </w:rPr>
      </w:pPr>
      <w:r>
        <w:rPr>
          <w:rFonts w:hint="eastAsia" w:eastAsia="仿宋_GB2312"/>
          <w:sz w:val="32"/>
          <w:szCs w:val="32"/>
        </w:rPr>
        <w:t>4-6月，开展建筑施工企业落实根治欠薪各项核心制度督查工作；开展清理整顿人力资源市场秩序专项检查行动、根治欠薪春季行动、劳动保障监察书面审查和企业守法诚信等级评价工作；组织召开保障农民工工资支付工作领导小组会议。</w:t>
      </w:r>
    </w:p>
    <w:p>
      <w:pPr>
        <w:spacing w:line="353" w:lineRule="auto"/>
        <w:ind w:firstLine="640" w:firstLineChars="200"/>
        <w:rPr>
          <w:rFonts w:eastAsia="仿宋_GB2312"/>
          <w:sz w:val="32"/>
          <w:szCs w:val="32"/>
        </w:rPr>
      </w:pPr>
      <w:r>
        <w:rPr>
          <w:rFonts w:hint="eastAsia" w:eastAsia="仿宋_GB2312"/>
          <w:sz w:val="32"/>
          <w:szCs w:val="32"/>
        </w:rPr>
        <w:t>7-9月，开展根治欠薪夏季专项检查行动；开展劳动用工密集型企业主动监察和“双随机、一公开”专项执法检查工作。</w:t>
      </w:r>
    </w:p>
    <w:p>
      <w:pPr>
        <w:spacing w:line="353" w:lineRule="auto"/>
        <w:ind w:firstLine="640" w:firstLineChars="200"/>
        <w:rPr>
          <w:rFonts w:eastAsia="仿宋_GB2312"/>
          <w:sz w:val="32"/>
          <w:szCs w:val="32"/>
        </w:rPr>
      </w:pPr>
      <w:r>
        <w:rPr>
          <w:rFonts w:hint="eastAsia" w:eastAsia="仿宋_GB2312"/>
          <w:sz w:val="32"/>
          <w:szCs w:val="32"/>
        </w:rPr>
        <w:t>10-12月，开展根治欠薪冬季攻坚专项检查行动和保障农民工工资支付督查工作；组织召开保障农民工工资支付工作领导小组会议；启动2022年度保障农民工工资支付自查工作，做好迎接国务院和省、市政府考核考评准备工作。</w:t>
      </w:r>
    </w:p>
    <w:p>
      <w:pPr>
        <w:adjustRightInd w:val="0"/>
        <w:snapToGrid w:val="0"/>
        <w:spacing w:line="353" w:lineRule="auto"/>
        <w:ind w:firstLine="640" w:firstLineChars="200"/>
        <w:rPr>
          <w:rFonts w:eastAsia="黑体"/>
          <w:bCs/>
          <w:sz w:val="32"/>
          <w:szCs w:val="32"/>
        </w:rPr>
      </w:pPr>
      <w:r>
        <w:rPr>
          <w:rFonts w:eastAsia="黑体"/>
          <w:bCs/>
          <w:sz w:val="32"/>
          <w:szCs w:val="32"/>
        </w:rPr>
        <w:t>四、项目绩效情况</w:t>
      </w:r>
    </w:p>
    <w:p>
      <w:pPr>
        <w:adjustRightInd w:val="0"/>
        <w:snapToGrid w:val="0"/>
        <w:spacing w:line="600" w:lineRule="exact"/>
        <w:ind w:firstLine="720"/>
        <w:rPr>
          <w:rFonts w:eastAsia="楷体_GB2312"/>
          <w:sz w:val="32"/>
          <w:szCs w:val="32"/>
        </w:rPr>
      </w:pPr>
      <w:r>
        <w:rPr>
          <w:rFonts w:eastAsia="楷体_GB2312"/>
          <w:sz w:val="32"/>
          <w:szCs w:val="32"/>
        </w:rPr>
        <w:t>（一）项目完成情况。</w:t>
      </w:r>
    </w:p>
    <w:p>
      <w:pPr>
        <w:adjustRightInd w:val="0"/>
        <w:snapToGrid w:val="0"/>
        <w:spacing w:line="600" w:lineRule="exact"/>
        <w:ind w:firstLine="720"/>
        <w:rPr>
          <w:rFonts w:eastAsia="仿宋_GB2312"/>
          <w:sz w:val="32"/>
          <w:szCs w:val="32"/>
          <w:lang w:val="zh-CN"/>
        </w:rPr>
      </w:pPr>
      <w:r>
        <w:rPr>
          <w:rFonts w:eastAsia="仿宋_GB2312"/>
          <w:bCs/>
          <w:sz w:val="32"/>
          <w:szCs w:val="32"/>
        </w:rPr>
        <w:t>通过严格资金使用、管理和监控等程序，</w:t>
      </w:r>
      <w:r>
        <w:rPr>
          <w:rFonts w:eastAsia="仿宋_GB2312"/>
          <w:sz w:val="32"/>
          <w:szCs w:val="32"/>
        </w:rPr>
        <w:t>按照申报指标完成了202</w:t>
      </w:r>
      <w:r>
        <w:rPr>
          <w:rFonts w:hint="eastAsia" w:eastAsia="仿宋_GB2312"/>
          <w:sz w:val="32"/>
          <w:szCs w:val="32"/>
        </w:rPr>
        <w:t>1</w:t>
      </w:r>
      <w:r>
        <w:rPr>
          <w:rFonts w:eastAsia="仿宋_GB2312"/>
          <w:sz w:val="32"/>
          <w:szCs w:val="32"/>
        </w:rPr>
        <w:t>年</w:t>
      </w:r>
      <w:r>
        <w:rPr>
          <w:rFonts w:hint="eastAsia" w:eastAsia="仿宋_GB2312"/>
          <w:sz w:val="32"/>
          <w:szCs w:val="32"/>
          <w:lang w:val="zh-CN"/>
        </w:rPr>
        <w:t>农民工服务保障工作、根治欠薪工作经费</w:t>
      </w:r>
      <w:r>
        <w:rPr>
          <w:rFonts w:eastAsia="仿宋_GB2312"/>
          <w:sz w:val="32"/>
          <w:szCs w:val="32"/>
          <w:lang w:val="zh-CN"/>
        </w:rPr>
        <w:t>项目绩效目标</w:t>
      </w:r>
      <w:r>
        <w:rPr>
          <w:rFonts w:hint="eastAsia" w:eastAsia="仿宋_GB2312"/>
          <w:sz w:val="32"/>
          <w:szCs w:val="32"/>
          <w:lang w:val="zh-CN"/>
        </w:rPr>
        <w:t>。</w:t>
      </w:r>
    </w:p>
    <w:p>
      <w:pPr>
        <w:adjustRightInd w:val="0"/>
        <w:snapToGrid w:val="0"/>
        <w:spacing w:line="600" w:lineRule="exact"/>
        <w:ind w:firstLine="720"/>
      </w:pPr>
      <w:r>
        <w:rPr>
          <w:rFonts w:eastAsia="楷体_GB2312"/>
          <w:sz w:val="32"/>
          <w:szCs w:val="32"/>
        </w:rPr>
        <w:t>（二）项目效益情况。</w:t>
      </w:r>
    </w:p>
    <w:p>
      <w:pPr>
        <w:spacing w:line="353" w:lineRule="auto"/>
        <w:ind w:firstLine="660" w:firstLineChars="200"/>
        <w:rPr>
          <w:rFonts w:eastAsia="仿宋_GB2312"/>
          <w:sz w:val="32"/>
          <w:szCs w:val="32"/>
        </w:rPr>
      </w:pPr>
      <w:r>
        <w:rPr>
          <w:rStyle w:val="31"/>
          <w:rFonts w:hint="default" w:ascii="Times New Roman" w:eastAsia="方正仿宋_GBK"/>
          <w:sz w:val="33"/>
          <w:szCs w:val="33"/>
        </w:rPr>
        <w:t>为辖区居民提供优质高效的人社公共服务，切实提升群众满意度、获得感</w:t>
      </w:r>
      <w:r>
        <w:rPr>
          <w:rStyle w:val="31"/>
          <w:rFonts w:hint="default" w:eastAsia="方正仿宋_GBK"/>
          <w:sz w:val="33"/>
          <w:szCs w:val="33"/>
        </w:rPr>
        <w:t>；使</w:t>
      </w:r>
      <w:r>
        <w:rPr>
          <w:rFonts w:hint="eastAsia" w:eastAsia="仿宋_GB2312"/>
          <w:sz w:val="32"/>
          <w:szCs w:val="32"/>
        </w:rPr>
        <w:t>劳动者劳有所得，幸福感和获得感提升，劳动关系基本和谐。</w:t>
      </w:r>
    </w:p>
    <w:p>
      <w:pPr>
        <w:adjustRightInd w:val="0"/>
        <w:snapToGrid w:val="0"/>
        <w:spacing w:line="353" w:lineRule="auto"/>
        <w:ind w:firstLine="640" w:firstLineChars="200"/>
        <w:rPr>
          <w:rFonts w:eastAsia="黑体"/>
          <w:bCs/>
          <w:sz w:val="32"/>
          <w:szCs w:val="32"/>
        </w:rPr>
      </w:pPr>
      <w:r>
        <w:rPr>
          <w:rFonts w:eastAsia="黑体"/>
          <w:bCs/>
          <w:sz w:val="32"/>
          <w:szCs w:val="32"/>
        </w:rPr>
        <w:t>五、评价结论及建议</w:t>
      </w:r>
    </w:p>
    <w:p>
      <w:pPr>
        <w:pStyle w:val="2"/>
        <w:spacing w:before="93"/>
        <w:rPr>
          <w:rFonts w:ascii="Times New Roman"/>
          <w:kern w:val="2"/>
          <w:sz w:val="32"/>
          <w:szCs w:val="32"/>
        </w:rPr>
      </w:pPr>
      <w:r>
        <w:rPr>
          <w:rFonts w:hint="eastAsia" w:ascii="Times New Roman"/>
          <w:kern w:val="2"/>
          <w:sz w:val="32"/>
          <w:szCs w:val="32"/>
        </w:rPr>
        <w:t>无。</w:t>
      </w:r>
    </w:p>
    <w:p>
      <w:pPr>
        <w:spacing w:line="353" w:lineRule="auto"/>
        <w:ind w:firstLine="660" w:firstLineChars="200"/>
        <w:rPr>
          <w:rFonts w:eastAsia="方正仿宋_GBK"/>
          <w:color w:val="000000"/>
          <w:sz w:val="33"/>
          <w:szCs w:val="33"/>
        </w:rPr>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spacing w:line="0" w:lineRule="atLeast"/>
        <w:jc w:val="center"/>
        <w:rPr>
          <w:rFonts w:eastAsia="方正小标宋简体"/>
          <w:kern w:val="0"/>
          <w:sz w:val="44"/>
          <w:szCs w:val="44"/>
          <w:lang w:val="zh-CN"/>
        </w:rPr>
      </w:pPr>
      <w:r>
        <w:rPr>
          <w:rFonts w:eastAsia="方正小标宋简体"/>
          <w:kern w:val="0"/>
          <w:sz w:val="44"/>
          <w:szCs w:val="44"/>
        </w:rPr>
        <w:t>“</w:t>
      </w:r>
      <w:r>
        <w:rPr>
          <w:rFonts w:hint="eastAsia" w:eastAsia="方正小标宋简体"/>
          <w:kern w:val="0"/>
          <w:sz w:val="44"/>
          <w:szCs w:val="44"/>
        </w:rPr>
        <w:t>人才引进工作经费</w:t>
      </w:r>
      <w:r>
        <w:rPr>
          <w:rFonts w:eastAsia="方正小标宋简体"/>
          <w:kern w:val="0"/>
          <w:sz w:val="44"/>
          <w:szCs w:val="44"/>
        </w:rPr>
        <w:t>”</w:t>
      </w:r>
      <w:r>
        <w:rPr>
          <w:rFonts w:eastAsia="方正小标宋简体"/>
          <w:kern w:val="0"/>
          <w:sz w:val="44"/>
          <w:szCs w:val="44"/>
          <w:lang w:val="zh-CN"/>
        </w:rPr>
        <w:t>项目</w:t>
      </w:r>
      <w:r>
        <w:rPr>
          <w:rFonts w:eastAsia="方正小标宋简体"/>
          <w:kern w:val="0"/>
          <w:sz w:val="44"/>
          <w:szCs w:val="44"/>
        </w:rPr>
        <w:t>2020年</w:t>
      </w:r>
      <w:r>
        <w:rPr>
          <w:rFonts w:eastAsia="方正小标宋简体"/>
          <w:kern w:val="0"/>
          <w:sz w:val="44"/>
          <w:szCs w:val="44"/>
          <w:lang w:val="zh-CN"/>
        </w:rPr>
        <w:t>绩效</w:t>
      </w:r>
    </w:p>
    <w:p>
      <w:pPr>
        <w:spacing w:line="0" w:lineRule="atLeast"/>
        <w:jc w:val="center"/>
        <w:rPr>
          <w:rFonts w:eastAsia="方正小标宋简体"/>
          <w:kern w:val="0"/>
          <w:sz w:val="44"/>
          <w:szCs w:val="44"/>
          <w:lang w:val="zh-CN"/>
        </w:rPr>
      </w:pPr>
      <w:r>
        <w:rPr>
          <w:rFonts w:eastAsia="方正小标宋简体"/>
          <w:kern w:val="0"/>
          <w:sz w:val="44"/>
          <w:szCs w:val="44"/>
          <w:lang w:val="zh-CN"/>
        </w:rPr>
        <w:t>评价报告</w:t>
      </w:r>
    </w:p>
    <w:p>
      <w:pPr>
        <w:adjustRightInd w:val="0"/>
        <w:snapToGrid w:val="0"/>
        <w:spacing w:line="600" w:lineRule="exact"/>
        <w:ind w:firstLine="720"/>
        <w:rPr>
          <w:rFonts w:eastAsia="黑体"/>
          <w:sz w:val="32"/>
          <w:szCs w:val="32"/>
        </w:rPr>
      </w:pPr>
    </w:p>
    <w:p>
      <w:pPr>
        <w:adjustRightInd w:val="0"/>
        <w:snapToGrid w:val="0"/>
        <w:spacing w:line="600" w:lineRule="exact"/>
        <w:ind w:firstLine="720"/>
        <w:rPr>
          <w:rFonts w:eastAsia="黑体"/>
          <w:sz w:val="32"/>
          <w:szCs w:val="32"/>
        </w:rPr>
      </w:pPr>
      <w:r>
        <w:rPr>
          <w:rFonts w:eastAsia="黑体"/>
          <w:sz w:val="32"/>
          <w:szCs w:val="32"/>
        </w:rPr>
        <w:t>一、项目概况</w:t>
      </w:r>
    </w:p>
    <w:p>
      <w:pPr>
        <w:adjustRightInd w:val="0"/>
        <w:snapToGrid w:val="0"/>
        <w:spacing w:line="600" w:lineRule="exact"/>
        <w:ind w:firstLine="720"/>
        <w:rPr>
          <w:rFonts w:eastAsia="楷体_GB2312"/>
          <w:sz w:val="32"/>
          <w:szCs w:val="32"/>
        </w:rPr>
      </w:pPr>
      <w:r>
        <w:rPr>
          <w:rFonts w:eastAsia="楷体_GB2312"/>
          <w:sz w:val="32"/>
          <w:szCs w:val="32"/>
        </w:rPr>
        <w:t>（一）项目基本情况。</w:t>
      </w:r>
    </w:p>
    <w:p>
      <w:pPr>
        <w:spacing w:line="540" w:lineRule="exact"/>
        <w:ind w:firstLine="624" w:firstLineChars="200"/>
        <w:rPr>
          <w:rFonts w:eastAsia="仿宋_GB2312"/>
          <w:color w:val="FF0000"/>
          <w:sz w:val="32"/>
          <w:szCs w:val="32"/>
        </w:rPr>
      </w:pPr>
      <w:r>
        <w:rPr>
          <w:rFonts w:eastAsia="仿宋_GB2312"/>
          <w:color w:val="000000" w:themeColor="text1"/>
          <w:spacing w:val="-4"/>
          <w:kern w:val="0"/>
          <w:sz w:val="32"/>
          <w:szCs w:val="32"/>
          <w14:textFill>
            <w14:solidFill>
              <w14:schemeClr w14:val="tx1"/>
            </w14:solidFill>
          </w14:textFill>
        </w:rPr>
        <w:t>为更好地改进人才服务、促进人才发展，深入贯彻落实“人才强区”战略，通过公开考试招聘、公开考核招聘的方式大力引进符合岗位需求及全区经济发展的高素质、高技能人才，不断健全人才管理制度，拓展服务方式，创新评价机制，加强培养选拔，强化作用发挥，使各类人才队伍素质有所提高，专业构成补充齐全，人才结构趋于合理。</w:t>
      </w:r>
    </w:p>
    <w:p>
      <w:pPr>
        <w:adjustRightInd w:val="0"/>
        <w:snapToGrid w:val="0"/>
        <w:spacing w:line="600" w:lineRule="exact"/>
        <w:ind w:firstLine="720"/>
        <w:rPr>
          <w:rFonts w:eastAsia="楷体_GB2312"/>
          <w:sz w:val="32"/>
          <w:szCs w:val="32"/>
        </w:rPr>
      </w:pPr>
      <w:r>
        <w:rPr>
          <w:rFonts w:eastAsia="楷体_GB2312"/>
          <w:sz w:val="32"/>
          <w:szCs w:val="32"/>
        </w:rPr>
        <w:t>（二）项目绩效目标。</w:t>
      </w:r>
    </w:p>
    <w:p>
      <w:pPr>
        <w:spacing w:line="540" w:lineRule="exact"/>
        <w:ind w:firstLine="624" w:firstLineChars="200"/>
        <w:rPr>
          <w:rFonts w:eastAsia="仿宋_GB2312"/>
          <w:color w:val="000000" w:themeColor="text1"/>
          <w:spacing w:val="-4"/>
          <w:sz w:val="32"/>
          <w:szCs w:val="32"/>
          <w14:textFill>
            <w14:solidFill>
              <w14:schemeClr w14:val="tx1"/>
            </w14:solidFill>
          </w14:textFill>
        </w:rPr>
      </w:pPr>
      <w:r>
        <w:rPr>
          <w:rFonts w:eastAsia="仿宋_GB2312"/>
          <w:color w:val="000000" w:themeColor="text1"/>
          <w:spacing w:val="-4"/>
          <w:sz w:val="32"/>
          <w:szCs w:val="32"/>
          <w14:textFill>
            <w14:solidFill>
              <w14:schemeClr w14:val="tx1"/>
            </w14:solidFill>
          </w14:textFill>
        </w:rPr>
        <w:t>绩效目标：严格按照国家和省、市、区相关人事考试政策规定，切实加强事业单位人事考试的组织工作，确保全区事业单位人事考试安全、有序进行。</w:t>
      </w:r>
    </w:p>
    <w:p>
      <w:pPr>
        <w:spacing w:line="540" w:lineRule="exact"/>
        <w:ind w:firstLine="624" w:firstLineChars="200"/>
        <w:rPr>
          <w:rFonts w:eastAsia="仿宋_GB2312"/>
          <w:color w:val="000000" w:themeColor="text1"/>
          <w:spacing w:val="-4"/>
          <w:sz w:val="32"/>
          <w:szCs w:val="32"/>
          <w14:textFill>
            <w14:solidFill>
              <w14:schemeClr w14:val="tx1"/>
            </w14:solidFill>
          </w14:textFill>
        </w:rPr>
      </w:pPr>
      <w:r>
        <w:rPr>
          <w:rFonts w:eastAsia="仿宋_GB2312"/>
          <w:color w:val="000000" w:themeColor="text1"/>
          <w:spacing w:val="-4"/>
          <w:sz w:val="32"/>
          <w:szCs w:val="32"/>
          <w14:textFill>
            <w14:solidFill>
              <w14:schemeClr w14:val="tx1"/>
            </w14:solidFill>
          </w14:textFill>
        </w:rPr>
        <w:t>项目完成数量指标：截至2021年</w:t>
      </w:r>
      <w:r>
        <w:rPr>
          <w:rFonts w:hint="eastAsia" w:eastAsia="仿宋_GB2312"/>
          <w:color w:val="000000" w:themeColor="text1"/>
          <w:spacing w:val="-4"/>
          <w:sz w:val="32"/>
          <w:szCs w:val="32"/>
          <w14:textFill>
            <w14:solidFill>
              <w14:schemeClr w14:val="tx1"/>
            </w14:solidFill>
          </w14:textFill>
        </w:rPr>
        <w:t>10月</w:t>
      </w:r>
      <w:r>
        <w:rPr>
          <w:rFonts w:eastAsia="仿宋_GB2312"/>
          <w:color w:val="000000" w:themeColor="text1"/>
          <w:spacing w:val="-4"/>
          <w:sz w:val="32"/>
          <w:szCs w:val="32"/>
          <w14:textFill>
            <w14:solidFill>
              <w14:schemeClr w14:val="tx1"/>
            </w14:solidFill>
          </w14:textFill>
        </w:rPr>
        <w:t>底，按照区委区政府的统一部署，组织事业单位公开考</w:t>
      </w:r>
      <w:r>
        <w:rPr>
          <w:rFonts w:hint="eastAsia" w:eastAsia="仿宋_GB2312"/>
          <w:color w:val="000000" w:themeColor="text1"/>
          <w:spacing w:val="-4"/>
          <w:sz w:val="32"/>
          <w:szCs w:val="32"/>
          <w14:textFill>
            <w14:solidFill>
              <w14:schemeClr w14:val="tx1"/>
            </w14:solidFill>
          </w14:textFill>
        </w:rPr>
        <w:t>核</w:t>
      </w:r>
      <w:r>
        <w:rPr>
          <w:rFonts w:eastAsia="仿宋_GB2312"/>
          <w:color w:val="000000" w:themeColor="text1"/>
          <w:spacing w:val="-4"/>
          <w:sz w:val="32"/>
          <w:szCs w:val="32"/>
          <w14:textFill>
            <w14:solidFill>
              <w14:schemeClr w14:val="tx1"/>
            </w14:solidFill>
          </w14:textFill>
        </w:rPr>
        <w:t>招聘</w:t>
      </w:r>
      <w:r>
        <w:rPr>
          <w:rFonts w:hint="eastAsia" w:eastAsia="仿宋_GB2312"/>
          <w:color w:val="000000" w:themeColor="text1"/>
          <w:spacing w:val="-4"/>
          <w:sz w:val="32"/>
          <w:szCs w:val="32"/>
          <w14:textFill>
            <w14:solidFill>
              <w14:schemeClr w14:val="tx1"/>
            </w14:solidFill>
          </w14:textFill>
        </w:rPr>
        <w:t>（含</w:t>
      </w:r>
      <w:r>
        <w:rPr>
          <w:rFonts w:eastAsia="仿宋_GB2312"/>
          <w:color w:val="000000" w:themeColor="text1"/>
          <w:spacing w:val="-4"/>
          <w:sz w:val="32"/>
          <w:szCs w:val="32"/>
          <w14:textFill>
            <w14:solidFill>
              <w14:schemeClr w14:val="tx1"/>
            </w14:solidFill>
          </w14:textFill>
        </w:rPr>
        <w:t>赴外引才</w:t>
      </w:r>
      <w:r>
        <w:rPr>
          <w:rFonts w:hint="eastAsia" w:eastAsia="仿宋_GB2312"/>
          <w:color w:val="000000" w:themeColor="text1"/>
          <w:spacing w:val="-4"/>
          <w:sz w:val="32"/>
          <w:szCs w:val="32"/>
          <w14:textFill>
            <w14:solidFill>
              <w14:schemeClr w14:val="tx1"/>
            </w14:solidFill>
          </w14:textFill>
        </w:rPr>
        <w:t>）</w:t>
      </w:r>
      <w:r>
        <w:rPr>
          <w:rFonts w:eastAsia="仿宋_GB2312"/>
          <w:color w:val="000000" w:themeColor="text1"/>
          <w:spacing w:val="-4"/>
          <w:sz w:val="32"/>
          <w:szCs w:val="32"/>
          <w14:textFill>
            <w14:solidFill>
              <w14:schemeClr w14:val="tx1"/>
            </w14:solidFill>
          </w14:textFill>
        </w:rPr>
        <w:t>工作</w:t>
      </w:r>
      <w:r>
        <w:rPr>
          <w:rFonts w:hint="eastAsia" w:eastAsia="仿宋_GB2312"/>
          <w:color w:val="000000" w:themeColor="text1"/>
          <w:spacing w:val="-4"/>
          <w:sz w:val="32"/>
          <w:szCs w:val="32"/>
          <w14:textFill>
            <w14:solidFill>
              <w14:schemeClr w14:val="tx1"/>
            </w14:solidFill>
          </w14:textFill>
        </w:rPr>
        <w:t>3</w:t>
      </w:r>
      <w:r>
        <w:rPr>
          <w:rFonts w:eastAsia="仿宋_GB2312"/>
          <w:color w:val="000000" w:themeColor="text1"/>
          <w:spacing w:val="-4"/>
          <w:sz w:val="32"/>
          <w:szCs w:val="32"/>
          <w14:textFill>
            <w14:solidFill>
              <w14:schemeClr w14:val="tx1"/>
            </w14:solidFill>
          </w14:textFill>
        </w:rPr>
        <w:t>次，</w:t>
      </w:r>
      <w:r>
        <w:rPr>
          <w:rFonts w:hint="eastAsia" w:eastAsia="仿宋_GB2312"/>
          <w:color w:val="000000" w:themeColor="text1"/>
          <w:spacing w:val="-4"/>
          <w:sz w:val="32"/>
          <w:szCs w:val="32"/>
          <w14:textFill>
            <w14:solidFill>
              <w14:schemeClr w14:val="tx1"/>
            </w14:solidFill>
          </w14:textFill>
        </w:rPr>
        <w:t>已聘用</w:t>
      </w:r>
      <w:r>
        <w:rPr>
          <w:rFonts w:eastAsia="仿宋_GB2312"/>
          <w:color w:val="000000" w:themeColor="text1"/>
          <w:spacing w:val="-4"/>
          <w:sz w:val="32"/>
          <w:szCs w:val="32"/>
          <w14:textFill>
            <w14:solidFill>
              <w14:schemeClr w14:val="tx1"/>
            </w14:solidFill>
          </w14:textFill>
        </w:rPr>
        <w:t>工作人员</w:t>
      </w:r>
      <w:r>
        <w:rPr>
          <w:rFonts w:hint="eastAsia" w:eastAsia="仿宋_GB2312"/>
          <w:color w:val="000000" w:themeColor="text1"/>
          <w:spacing w:val="-4"/>
          <w:sz w:val="32"/>
          <w:szCs w:val="32"/>
          <w14:textFill>
            <w14:solidFill>
              <w14:schemeClr w14:val="tx1"/>
            </w14:solidFill>
          </w14:textFill>
        </w:rPr>
        <w:t>18</w:t>
      </w:r>
      <w:r>
        <w:rPr>
          <w:rFonts w:eastAsia="仿宋_GB2312"/>
          <w:color w:val="000000" w:themeColor="text1"/>
          <w:spacing w:val="-4"/>
          <w:sz w:val="32"/>
          <w:szCs w:val="32"/>
          <w14:textFill>
            <w14:solidFill>
              <w14:schemeClr w14:val="tx1"/>
            </w14:solidFill>
          </w14:textFill>
        </w:rPr>
        <w:t>人，</w:t>
      </w:r>
      <w:r>
        <w:rPr>
          <w:rFonts w:hint="eastAsia" w:eastAsia="仿宋_GB2312"/>
          <w:color w:val="000000" w:themeColor="text1"/>
          <w:spacing w:val="-4"/>
          <w:sz w:val="32"/>
          <w:szCs w:val="32"/>
          <w14:textFill>
            <w14:solidFill>
              <w14:schemeClr w14:val="tx1"/>
            </w14:solidFill>
          </w14:textFill>
        </w:rPr>
        <w:t>赴外引才签订就业协议12人；考聘事业人员1次，考聘事业单位工作人员4人（考察阶段）。</w:t>
      </w:r>
    </w:p>
    <w:p>
      <w:pPr>
        <w:spacing w:line="540" w:lineRule="exact"/>
        <w:ind w:firstLine="624" w:firstLineChars="200"/>
        <w:rPr>
          <w:rFonts w:eastAsia="仿宋_GB2312"/>
          <w:color w:val="000000" w:themeColor="text1"/>
          <w:spacing w:val="-4"/>
          <w:sz w:val="32"/>
          <w:szCs w:val="32"/>
          <w14:textFill>
            <w14:solidFill>
              <w14:schemeClr w14:val="tx1"/>
            </w14:solidFill>
          </w14:textFill>
        </w:rPr>
      </w:pPr>
      <w:r>
        <w:rPr>
          <w:rFonts w:eastAsia="仿宋_GB2312"/>
          <w:color w:val="000000" w:themeColor="text1"/>
          <w:spacing w:val="-4"/>
          <w:sz w:val="32"/>
          <w:szCs w:val="32"/>
          <w14:textFill>
            <w14:solidFill>
              <w14:schemeClr w14:val="tx1"/>
            </w14:solidFill>
          </w14:textFill>
        </w:rPr>
        <w:t>社会效益指标</w:t>
      </w:r>
      <w:r>
        <w:rPr>
          <w:rFonts w:eastAsia="仿宋_GB2312"/>
          <w:color w:val="000000" w:themeColor="text1"/>
          <w:spacing w:val="-4"/>
          <w:sz w:val="32"/>
          <w:szCs w:val="32"/>
          <w14:textFill>
            <w14:solidFill>
              <w14:schemeClr w14:val="tx1"/>
            </w14:solidFill>
          </w14:textFill>
        </w:rPr>
        <w:tab/>
      </w:r>
      <w:r>
        <w:rPr>
          <w:rFonts w:eastAsia="仿宋_GB2312"/>
          <w:color w:val="000000" w:themeColor="text1"/>
          <w:spacing w:val="-4"/>
          <w:sz w:val="32"/>
          <w:szCs w:val="32"/>
          <w14:textFill>
            <w14:solidFill>
              <w14:schemeClr w14:val="tx1"/>
            </w14:solidFill>
          </w14:textFill>
        </w:rPr>
        <w:t>：严格按照国家和省、市、区相关人事考试政策规定，公开、公平、公正开展考务工作，招聘符合西区发展及工作需要的高素质人才，促进考务工作合规进行，推动各项工作有序、高效、高质量完成。</w:t>
      </w:r>
    </w:p>
    <w:p>
      <w:pPr>
        <w:spacing w:line="540" w:lineRule="exact"/>
        <w:ind w:firstLine="624" w:firstLineChars="200"/>
        <w:rPr>
          <w:rFonts w:eastAsia="仿宋_GB2312"/>
          <w:sz w:val="32"/>
          <w:szCs w:val="32"/>
        </w:rPr>
      </w:pPr>
      <w:r>
        <w:rPr>
          <w:rFonts w:eastAsia="仿宋_GB2312"/>
          <w:color w:val="000000" w:themeColor="text1"/>
          <w:spacing w:val="-4"/>
          <w:sz w:val="32"/>
          <w:szCs w:val="32"/>
          <w14:textFill>
            <w14:solidFill>
              <w14:schemeClr w14:val="tx1"/>
            </w14:solidFill>
          </w14:textFill>
        </w:rPr>
        <w:t>服务对象满意度指标：通过公招考试招聘事业单位工作人员及考核招聘高层次和急需紧缺专业人才，充分发挥人才资源优势助力西区经济社会发展，为各单位匹配优质人才，实现用人单位满意度达到100%。</w:t>
      </w:r>
    </w:p>
    <w:p>
      <w:pPr>
        <w:adjustRightInd w:val="0"/>
        <w:snapToGrid w:val="0"/>
        <w:spacing w:line="353" w:lineRule="auto"/>
        <w:ind w:firstLine="640" w:firstLineChars="200"/>
        <w:rPr>
          <w:rFonts w:eastAsia="黑体"/>
          <w:bCs/>
          <w:sz w:val="32"/>
          <w:szCs w:val="32"/>
        </w:rPr>
      </w:pPr>
      <w:r>
        <w:rPr>
          <w:rFonts w:eastAsia="黑体"/>
          <w:bCs/>
          <w:sz w:val="32"/>
          <w:szCs w:val="32"/>
        </w:rPr>
        <w:t>二、项目资金申报及使用情况</w:t>
      </w:r>
    </w:p>
    <w:p>
      <w:pPr>
        <w:adjustRightInd w:val="0"/>
        <w:snapToGrid w:val="0"/>
        <w:spacing w:line="353" w:lineRule="auto"/>
        <w:ind w:firstLine="627" w:firstLineChars="196"/>
        <w:rPr>
          <w:rFonts w:eastAsia="仿宋_GB2312"/>
          <w:bCs/>
          <w:sz w:val="32"/>
          <w:szCs w:val="32"/>
        </w:rPr>
      </w:pPr>
      <w:r>
        <w:rPr>
          <w:rFonts w:eastAsia="仿宋_GB2312"/>
          <w:bCs/>
          <w:sz w:val="32"/>
          <w:szCs w:val="32"/>
        </w:rPr>
        <w:t>202</w:t>
      </w:r>
      <w:r>
        <w:rPr>
          <w:rFonts w:hint="eastAsia" w:eastAsia="仿宋_GB2312"/>
          <w:bCs/>
          <w:sz w:val="32"/>
          <w:szCs w:val="32"/>
        </w:rPr>
        <w:t>1</w:t>
      </w:r>
      <w:r>
        <w:rPr>
          <w:rFonts w:eastAsia="仿宋_GB2312"/>
          <w:bCs/>
          <w:sz w:val="32"/>
          <w:szCs w:val="32"/>
        </w:rPr>
        <w:t>年全年申报预算</w:t>
      </w:r>
      <w:r>
        <w:rPr>
          <w:rFonts w:hint="eastAsia" w:eastAsia="仿宋_GB2312"/>
          <w:bCs/>
          <w:sz w:val="32"/>
          <w:szCs w:val="32"/>
        </w:rPr>
        <w:t>20</w:t>
      </w:r>
      <w:r>
        <w:rPr>
          <w:rFonts w:eastAsia="仿宋_GB2312"/>
          <w:bCs/>
          <w:sz w:val="32"/>
          <w:szCs w:val="32"/>
        </w:rPr>
        <w:t>万元，全部到位。</w:t>
      </w:r>
    </w:p>
    <w:p>
      <w:pPr>
        <w:adjustRightInd w:val="0"/>
        <w:snapToGrid w:val="0"/>
        <w:spacing w:line="353" w:lineRule="auto"/>
        <w:ind w:firstLine="640" w:firstLineChars="200"/>
        <w:rPr>
          <w:rFonts w:eastAsia="黑体"/>
          <w:bCs/>
          <w:sz w:val="32"/>
          <w:szCs w:val="32"/>
        </w:rPr>
      </w:pPr>
      <w:r>
        <w:rPr>
          <w:rFonts w:eastAsia="黑体"/>
          <w:bCs/>
          <w:sz w:val="32"/>
          <w:szCs w:val="32"/>
        </w:rPr>
        <w:t>三、项目实施及管理情况</w:t>
      </w:r>
    </w:p>
    <w:p>
      <w:pPr>
        <w:spacing w:line="540" w:lineRule="exact"/>
        <w:ind w:firstLine="624" w:firstLineChars="200"/>
        <w:rPr>
          <w:rFonts w:eastAsia="仿宋_GB2312"/>
          <w:color w:val="000000" w:themeColor="text1"/>
          <w:spacing w:val="-4"/>
          <w:sz w:val="32"/>
          <w:szCs w:val="32"/>
          <w14:textFill>
            <w14:solidFill>
              <w14:schemeClr w14:val="tx1"/>
            </w14:solidFill>
          </w14:textFill>
        </w:rPr>
      </w:pPr>
      <w:r>
        <w:rPr>
          <w:rFonts w:eastAsia="仿宋_GB2312"/>
          <w:color w:val="000000" w:themeColor="text1"/>
          <w:spacing w:val="-4"/>
          <w:sz w:val="32"/>
          <w:szCs w:val="32"/>
          <w14:textFill>
            <w14:solidFill>
              <w14:schemeClr w14:val="tx1"/>
            </w14:solidFill>
          </w14:textFill>
        </w:rPr>
        <w:t>考试前期工作由区人才交流服务中心具体负责实施，笔试、面试环节则按照笔试工作方案和面试工作方案,</w:t>
      </w:r>
      <w:r>
        <w:rPr>
          <w:rFonts w:eastAsia="仿宋_GB2312"/>
          <w:bCs/>
          <w:color w:val="000000" w:themeColor="text1"/>
          <w:spacing w:val="-4"/>
          <w:sz w:val="32"/>
          <w:szCs w:val="32"/>
          <w14:textFill>
            <w14:solidFill>
              <w14:schemeClr w14:val="tx1"/>
            </w14:solidFill>
          </w14:textFill>
        </w:rPr>
        <w:t>在区人事考试</w:t>
      </w:r>
      <w:r>
        <w:rPr>
          <w:rFonts w:eastAsia="仿宋_GB2312"/>
          <w:color w:val="000000" w:themeColor="text1"/>
          <w:spacing w:val="-4"/>
          <w:sz w:val="32"/>
          <w:szCs w:val="32"/>
          <w14:textFill>
            <w14:solidFill>
              <w14:schemeClr w14:val="tx1"/>
            </w14:solidFill>
          </w14:textFill>
        </w:rPr>
        <w:t>领导小组的领导下，设置考务办公室、纪检监察组、试卷保密管理组、考场管理组、安保组、医疗救护组、电力保障组、后勤保障组、流动监测组、宣传报道组，由区委组织部、区人力资源和社会保障局、区教体局、区公安分局、区卫生健康局等多部门共同参与完成。</w:t>
      </w:r>
    </w:p>
    <w:p>
      <w:pPr>
        <w:spacing w:line="540" w:lineRule="exact"/>
        <w:ind w:firstLine="624" w:firstLineChars="200"/>
        <w:rPr>
          <w:rFonts w:eastAsia="仿宋_GB2312"/>
          <w:color w:val="000000" w:themeColor="text1"/>
          <w:spacing w:val="-4"/>
          <w:sz w:val="32"/>
          <w:szCs w:val="32"/>
          <w14:textFill>
            <w14:solidFill>
              <w14:schemeClr w14:val="tx1"/>
            </w14:solidFill>
          </w14:textFill>
        </w:rPr>
      </w:pPr>
      <w:r>
        <w:rPr>
          <w:rFonts w:eastAsia="仿宋_GB2312"/>
          <w:color w:val="000000" w:themeColor="text1"/>
          <w:spacing w:val="-4"/>
          <w:sz w:val="32"/>
          <w:szCs w:val="32"/>
          <w14:textFill>
            <w14:solidFill>
              <w14:schemeClr w14:val="tx1"/>
            </w14:solidFill>
          </w14:textFill>
        </w:rPr>
        <w:t>针对不确定因素和风险，事前召开风险评估审查会议，由区人事考试领导小组成员围绕社会稳定风险评估提出意见和建议，会后向区委维稳办报送《攀枝花西区xx年事业单位公开考试招聘工作人员笔试风险评估报告审查意见》、《攀枝花西区事业单位公招笔试风险评估报告》，同时做好《攀枝花市西区人事考试突发事件应急处理预案》及相应处理措施。</w:t>
      </w:r>
    </w:p>
    <w:p>
      <w:pPr>
        <w:adjustRightInd w:val="0"/>
        <w:snapToGrid w:val="0"/>
        <w:spacing w:line="600" w:lineRule="exact"/>
        <w:ind w:firstLine="720"/>
      </w:pPr>
      <w:r>
        <w:rPr>
          <w:rFonts w:eastAsia="楷体_GB2312"/>
          <w:sz w:val="32"/>
          <w:szCs w:val="32"/>
        </w:rPr>
        <w:t>（二）项目效益情况。</w:t>
      </w:r>
    </w:p>
    <w:p>
      <w:pPr>
        <w:spacing w:line="540" w:lineRule="exact"/>
        <w:ind w:firstLine="624" w:firstLineChars="200"/>
        <w:rPr>
          <w:rFonts w:eastAsia="仿宋_GB2312"/>
          <w:color w:val="000000" w:themeColor="text1"/>
          <w:spacing w:val="-4"/>
          <w:sz w:val="32"/>
          <w:szCs w:val="32"/>
          <w14:textFill>
            <w14:solidFill>
              <w14:schemeClr w14:val="tx1"/>
            </w14:solidFill>
          </w14:textFill>
        </w:rPr>
      </w:pPr>
      <w:r>
        <w:rPr>
          <w:rFonts w:eastAsia="仿宋_GB2312"/>
          <w:color w:val="000000" w:themeColor="text1"/>
          <w:spacing w:val="-4"/>
          <w:sz w:val="32"/>
          <w:szCs w:val="32"/>
          <w14:textFill>
            <w14:solidFill>
              <w14:schemeClr w14:val="tx1"/>
            </w14:solidFill>
          </w14:textFill>
        </w:rPr>
        <w:t>吸引更多优秀人才报考西区，为西区未来发展提供持续人才支撑。</w:t>
      </w:r>
    </w:p>
    <w:p>
      <w:pPr>
        <w:adjustRightInd w:val="0"/>
        <w:snapToGrid w:val="0"/>
        <w:spacing w:line="353" w:lineRule="auto"/>
        <w:ind w:firstLine="640" w:firstLineChars="200"/>
        <w:rPr>
          <w:rFonts w:eastAsia="黑体"/>
          <w:bCs/>
          <w:sz w:val="32"/>
          <w:szCs w:val="32"/>
        </w:rPr>
      </w:pPr>
      <w:r>
        <w:rPr>
          <w:rFonts w:eastAsia="黑体"/>
          <w:bCs/>
          <w:sz w:val="32"/>
          <w:szCs w:val="32"/>
        </w:rPr>
        <w:t>五、评价结论及建议</w:t>
      </w:r>
    </w:p>
    <w:p>
      <w:pPr>
        <w:pStyle w:val="2"/>
        <w:spacing w:before="93"/>
        <w:rPr>
          <w:rFonts w:eastAsia="方正小标宋简体"/>
          <w:kern w:val="0"/>
          <w:sz w:val="44"/>
          <w:szCs w:val="44"/>
        </w:rPr>
      </w:pPr>
      <w:r>
        <w:rPr>
          <w:rFonts w:hint="eastAsia" w:ascii="Times New Roman"/>
          <w:kern w:val="2"/>
          <w:sz w:val="32"/>
          <w:szCs w:val="32"/>
        </w:rPr>
        <w:t>无。</w:t>
      </w:r>
    </w:p>
    <w:p>
      <w:pPr>
        <w:spacing w:line="0" w:lineRule="atLeast"/>
        <w:jc w:val="center"/>
        <w:rPr>
          <w:rFonts w:eastAsia="方正小标宋简体"/>
          <w:kern w:val="0"/>
          <w:sz w:val="44"/>
          <w:szCs w:val="44"/>
        </w:rPr>
      </w:pPr>
    </w:p>
    <w:p>
      <w:pPr>
        <w:spacing w:line="0" w:lineRule="atLeast"/>
        <w:jc w:val="center"/>
        <w:rPr>
          <w:rFonts w:eastAsia="方正小标宋简体"/>
          <w:kern w:val="0"/>
          <w:sz w:val="44"/>
          <w:szCs w:val="44"/>
          <w:lang w:val="zh-CN"/>
        </w:rPr>
      </w:pPr>
      <w:r>
        <w:rPr>
          <w:rFonts w:eastAsia="方正小标宋简体"/>
          <w:kern w:val="0"/>
          <w:sz w:val="44"/>
          <w:szCs w:val="44"/>
        </w:rPr>
        <w:t>“</w:t>
      </w:r>
      <w:r>
        <w:rPr>
          <w:rFonts w:hint="eastAsia" w:eastAsia="方正小标宋简体"/>
          <w:kern w:val="0"/>
          <w:sz w:val="44"/>
          <w:szCs w:val="44"/>
        </w:rPr>
        <w:t>三支一扶志愿者服务经费</w:t>
      </w:r>
      <w:r>
        <w:rPr>
          <w:rFonts w:eastAsia="方正小标宋简体"/>
          <w:kern w:val="0"/>
          <w:sz w:val="44"/>
          <w:szCs w:val="44"/>
        </w:rPr>
        <w:t>”</w:t>
      </w:r>
      <w:r>
        <w:rPr>
          <w:rFonts w:eastAsia="方正小标宋简体"/>
          <w:kern w:val="0"/>
          <w:sz w:val="44"/>
          <w:szCs w:val="44"/>
          <w:lang w:val="zh-CN"/>
        </w:rPr>
        <w:t>项目</w:t>
      </w:r>
      <w:r>
        <w:rPr>
          <w:rFonts w:eastAsia="方正小标宋简体"/>
          <w:kern w:val="0"/>
          <w:sz w:val="44"/>
          <w:szCs w:val="44"/>
        </w:rPr>
        <w:t>202</w:t>
      </w:r>
      <w:r>
        <w:rPr>
          <w:rFonts w:hint="eastAsia" w:eastAsia="方正小标宋简体"/>
          <w:kern w:val="0"/>
          <w:sz w:val="44"/>
          <w:szCs w:val="44"/>
        </w:rPr>
        <w:t>1</w:t>
      </w:r>
      <w:r>
        <w:rPr>
          <w:rFonts w:eastAsia="方正小标宋简体"/>
          <w:kern w:val="0"/>
          <w:sz w:val="44"/>
          <w:szCs w:val="44"/>
        </w:rPr>
        <w:t>年</w:t>
      </w:r>
      <w:r>
        <w:rPr>
          <w:rFonts w:eastAsia="方正小标宋简体"/>
          <w:kern w:val="0"/>
          <w:sz w:val="44"/>
          <w:szCs w:val="44"/>
          <w:lang w:val="zh-CN"/>
        </w:rPr>
        <w:t>绩效评价报告</w:t>
      </w:r>
    </w:p>
    <w:p>
      <w:pPr>
        <w:adjustRightInd w:val="0"/>
        <w:snapToGrid w:val="0"/>
        <w:spacing w:line="600" w:lineRule="exact"/>
        <w:ind w:firstLine="720"/>
        <w:rPr>
          <w:rFonts w:eastAsia="黑体"/>
          <w:sz w:val="32"/>
          <w:szCs w:val="32"/>
        </w:rPr>
      </w:pPr>
    </w:p>
    <w:p>
      <w:pPr>
        <w:adjustRightInd w:val="0"/>
        <w:snapToGrid w:val="0"/>
        <w:spacing w:line="600" w:lineRule="exact"/>
        <w:ind w:firstLine="720"/>
        <w:rPr>
          <w:rFonts w:eastAsia="黑体"/>
          <w:sz w:val="32"/>
          <w:szCs w:val="32"/>
        </w:rPr>
      </w:pPr>
      <w:r>
        <w:rPr>
          <w:rFonts w:eastAsia="黑体"/>
          <w:sz w:val="32"/>
          <w:szCs w:val="32"/>
        </w:rPr>
        <w:t>一、项目概况</w:t>
      </w:r>
    </w:p>
    <w:p>
      <w:pPr>
        <w:adjustRightInd w:val="0"/>
        <w:snapToGrid w:val="0"/>
        <w:spacing w:line="600" w:lineRule="exact"/>
        <w:ind w:firstLine="720"/>
        <w:rPr>
          <w:rFonts w:eastAsia="楷体_GB2312"/>
          <w:sz w:val="32"/>
          <w:szCs w:val="32"/>
        </w:rPr>
      </w:pPr>
      <w:r>
        <w:rPr>
          <w:rFonts w:eastAsia="楷体_GB2312"/>
          <w:sz w:val="32"/>
          <w:szCs w:val="32"/>
        </w:rPr>
        <w:t>（一）项目基本情况。</w:t>
      </w:r>
    </w:p>
    <w:p>
      <w:pPr>
        <w:widowControl/>
        <w:ind w:firstLine="640" w:firstLineChars="200"/>
        <w:jc w:val="left"/>
        <w:rPr>
          <w:rStyle w:val="31"/>
          <w:rFonts w:hint="default" w:ascii="Times New Roman"/>
        </w:rPr>
      </w:pPr>
      <w:r>
        <w:rPr>
          <w:rFonts w:eastAsia="仿宋_GB2312"/>
          <w:kern w:val="0"/>
          <w:sz w:val="32"/>
          <w:szCs w:val="32"/>
        </w:rPr>
        <w:t>根据《中共四川省委办公厅 四川省人民政府办公厅关于印发&lt;关于进一步引导和鼓励高校毕业生到基层工作的实施意见&gt;的通知》（川委办〔2017〕55号）和《攀枝花市财政局 攀枝花市人力资源和社会保障局关于转发&lt;四川省高校毕业生“三支一扶”计划专项资金管理办法&gt;的通知》（攀财社〔2018〕16号）文件要求，按照现行财政体制，扣除中央、省、市补助后的不足部分，由各县（区）自行承担。</w:t>
      </w:r>
    </w:p>
    <w:p>
      <w:pPr>
        <w:adjustRightInd w:val="0"/>
        <w:snapToGrid w:val="0"/>
        <w:spacing w:line="600" w:lineRule="exact"/>
        <w:ind w:firstLine="720"/>
        <w:rPr>
          <w:rFonts w:eastAsia="楷体_GB2312"/>
          <w:sz w:val="32"/>
          <w:szCs w:val="32"/>
        </w:rPr>
      </w:pPr>
      <w:r>
        <w:rPr>
          <w:rFonts w:eastAsia="楷体_GB2312"/>
          <w:sz w:val="32"/>
          <w:szCs w:val="32"/>
        </w:rPr>
        <w:t>（二）项目绩效目标。</w:t>
      </w:r>
    </w:p>
    <w:p>
      <w:pPr>
        <w:adjustRightInd w:val="0"/>
        <w:snapToGrid w:val="0"/>
        <w:spacing w:line="353" w:lineRule="auto"/>
        <w:ind w:firstLine="640" w:firstLineChars="200"/>
        <w:rPr>
          <w:rFonts w:eastAsia="仿宋_GB2312"/>
          <w:kern w:val="0"/>
          <w:sz w:val="32"/>
          <w:szCs w:val="32"/>
        </w:rPr>
      </w:pPr>
      <w:r>
        <w:rPr>
          <w:rFonts w:eastAsia="仿宋_GB2312"/>
          <w:kern w:val="0"/>
          <w:sz w:val="32"/>
          <w:szCs w:val="32"/>
        </w:rPr>
        <w:t>紧紧围绕打赢脱贫攻坚战和实施乡村振兴战略，坚持稳定规模、优化领域、改进管理、提升质量、强化保障，精心组织实施高校毕业生“三支一扶”志愿服务计划，鼓励高校毕业生到基层从事支教、支农（水利）、支医、扶贫等相关领域服务，引导和鼓励更多高校毕业生到基层工作，促进人才资源向艰苦边远地区、向基层一线流动，为基层各项事业发展提供人才支持。</w:t>
      </w:r>
    </w:p>
    <w:p>
      <w:pPr>
        <w:adjustRightInd w:val="0"/>
        <w:snapToGrid w:val="0"/>
        <w:spacing w:line="353" w:lineRule="auto"/>
        <w:ind w:firstLine="640" w:firstLineChars="200"/>
        <w:rPr>
          <w:rFonts w:eastAsia="黑体"/>
          <w:bCs/>
          <w:sz w:val="32"/>
          <w:szCs w:val="32"/>
        </w:rPr>
      </w:pPr>
      <w:r>
        <w:rPr>
          <w:rFonts w:eastAsia="黑体"/>
          <w:bCs/>
          <w:sz w:val="32"/>
          <w:szCs w:val="32"/>
        </w:rPr>
        <w:t>二、项目资金申报及使用情况</w:t>
      </w:r>
    </w:p>
    <w:p>
      <w:pPr>
        <w:adjustRightInd w:val="0"/>
        <w:snapToGrid w:val="0"/>
        <w:spacing w:line="353" w:lineRule="auto"/>
        <w:ind w:firstLine="627" w:firstLineChars="196"/>
        <w:rPr>
          <w:rFonts w:eastAsia="仿宋_GB2312"/>
          <w:bCs/>
          <w:sz w:val="32"/>
          <w:szCs w:val="32"/>
        </w:rPr>
      </w:pPr>
      <w:r>
        <w:rPr>
          <w:rFonts w:eastAsia="仿宋_GB2312"/>
          <w:bCs/>
          <w:sz w:val="32"/>
          <w:szCs w:val="32"/>
        </w:rPr>
        <w:t>202</w:t>
      </w:r>
      <w:r>
        <w:rPr>
          <w:rFonts w:hint="eastAsia" w:eastAsia="仿宋_GB2312"/>
          <w:bCs/>
          <w:sz w:val="32"/>
          <w:szCs w:val="32"/>
        </w:rPr>
        <w:t>1</w:t>
      </w:r>
      <w:r>
        <w:rPr>
          <w:rFonts w:eastAsia="仿宋_GB2312"/>
          <w:bCs/>
          <w:sz w:val="32"/>
          <w:szCs w:val="32"/>
        </w:rPr>
        <w:t>年全年申报预算</w:t>
      </w:r>
      <w:r>
        <w:rPr>
          <w:rFonts w:hint="eastAsia" w:eastAsia="仿宋_GB2312"/>
          <w:bCs/>
          <w:color w:val="000000" w:themeColor="text1"/>
          <w:sz w:val="32"/>
          <w:szCs w:val="32"/>
          <w14:textFill>
            <w14:solidFill>
              <w14:schemeClr w14:val="tx1"/>
            </w14:solidFill>
          </w14:textFill>
        </w:rPr>
        <w:t>8</w:t>
      </w:r>
      <w:r>
        <w:rPr>
          <w:rFonts w:eastAsia="仿宋_GB2312"/>
          <w:bCs/>
          <w:sz w:val="32"/>
          <w:szCs w:val="32"/>
        </w:rPr>
        <w:t>万元，全部到位。</w:t>
      </w:r>
    </w:p>
    <w:p>
      <w:pPr>
        <w:adjustRightInd w:val="0"/>
        <w:snapToGrid w:val="0"/>
        <w:spacing w:line="353" w:lineRule="auto"/>
        <w:ind w:firstLine="640" w:firstLineChars="200"/>
        <w:rPr>
          <w:rFonts w:eastAsia="黑体"/>
          <w:bCs/>
          <w:sz w:val="32"/>
          <w:szCs w:val="32"/>
        </w:rPr>
      </w:pPr>
      <w:r>
        <w:rPr>
          <w:rFonts w:eastAsia="黑体"/>
          <w:bCs/>
          <w:sz w:val="32"/>
          <w:szCs w:val="32"/>
        </w:rPr>
        <w:t>三、项目实施及管理情况</w:t>
      </w:r>
    </w:p>
    <w:p>
      <w:pPr>
        <w:spacing w:line="540" w:lineRule="exact"/>
        <w:ind w:firstLine="624" w:firstLineChars="200"/>
        <w:rPr>
          <w:rFonts w:eastAsia="仿宋_GB2312"/>
          <w:color w:val="000000" w:themeColor="text1"/>
          <w:spacing w:val="-4"/>
          <w:sz w:val="32"/>
          <w:szCs w:val="32"/>
          <w14:textFill>
            <w14:solidFill>
              <w14:schemeClr w14:val="tx1"/>
            </w14:solidFill>
          </w14:textFill>
        </w:rPr>
      </w:pPr>
      <w:r>
        <w:rPr>
          <w:rFonts w:eastAsia="仿宋_GB2312"/>
          <w:color w:val="000000" w:themeColor="text1"/>
          <w:spacing w:val="-4"/>
          <w:sz w:val="32"/>
          <w:szCs w:val="32"/>
          <w14:textFill>
            <w14:solidFill>
              <w14:schemeClr w14:val="tx1"/>
            </w14:solidFill>
          </w14:textFill>
        </w:rPr>
        <w:t>考试前期工作由区人才交流服务中心具体负责实施，笔试、面试环节则按照笔试工作方案和面试工作方案,</w:t>
      </w:r>
      <w:r>
        <w:rPr>
          <w:rFonts w:eastAsia="仿宋_GB2312"/>
          <w:bCs/>
          <w:color w:val="000000" w:themeColor="text1"/>
          <w:spacing w:val="-4"/>
          <w:sz w:val="32"/>
          <w:szCs w:val="32"/>
          <w14:textFill>
            <w14:solidFill>
              <w14:schemeClr w14:val="tx1"/>
            </w14:solidFill>
          </w14:textFill>
        </w:rPr>
        <w:t>在区人事考试</w:t>
      </w:r>
      <w:r>
        <w:rPr>
          <w:rFonts w:eastAsia="仿宋_GB2312"/>
          <w:color w:val="000000" w:themeColor="text1"/>
          <w:spacing w:val="-4"/>
          <w:sz w:val="32"/>
          <w:szCs w:val="32"/>
          <w14:textFill>
            <w14:solidFill>
              <w14:schemeClr w14:val="tx1"/>
            </w14:solidFill>
          </w14:textFill>
        </w:rPr>
        <w:t>领导小组的领导下，设置考务办公室、纪检监察组、试卷保密管理组、考场管理组、安保组、医疗救护组、电力保障组、后勤保障组、流动监测组、宣传报道组，由区委组织部、区人力资源和社会保障局、区教体局、区公安分局、区卫生健康局等多部门共同参与完成。</w:t>
      </w:r>
    </w:p>
    <w:p>
      <w:pPr>
        <w:spacing w:line="540" w:lineRule="exact"/>
        <w:ind w:firstLine="624" w:firstLineChars="200"/>
        <w:rPr>
          <w:rFonts w:eastAsia="仿宋_GB2312"/>
          <w:color w:val="000000" w:themeColor="text1"/>
          <w:spacing w:val="-4"/>
          <w:sz w:val="32"/>
          <w:szCs w:val="32"/>
          <w14:textFill>
            <w14:solidFill>
              <w14:schemeClr w14:val="tx1"/>
            </w14:solidFill>
          </w14:textFill>
        </w:rPr>
      </w:pPr>
      <w:r>
        <w:rPr>
          <w:rFonts w:eastAsia="仿宋_GB2312"/>
          <w:color w:val="000000" w:themeColor="text1"/>
          <w:spacing w:val="-4"/>
          <w:sz w:val="32"/>
          <w:szCs w:val="32"/>
          <w14:textFill>
            <w14:solidFill>
              <w14:schemeClr w14:val="tx1"/>
            </w14:solidFill>
          </w14:textFill>
        </w:rPr>
        <w:t>针对不确定因素和风险，事前召开风险评估审查会议，由区人事考试领导小组成员围绕社会稳定风险评估提出意见和建议，会后向区委维稳办报送《攀枝花西区xx年事业单位公开考试招聘工作人员笔试风险评估报告审查意见》、《攀枝花西区事业单位公招笔试风险评估报告》，同时做好《攀枝花市西区人事考试突发事件应急处理预案》及相应处理措施。</w:t>
      </w:r>
    </w:p>
    <w:p>
      <w:pPr>
        <w:adjustRightInd w:val="0"/>
        <w:snapToGrid w:val="0"/>
        <w:spacing w:line="600" w:lineRule="exact"/>
        <w:ind w:firstLine="720"/>
      </w:pPr>
      <w:r>
        <w:rPr>
          <w:rFonts w:eastAsia="楷体_GB2312"/>
          <w:sz w:val="32"/>
          <w:szCs w:val="32"/>
        </w:rPr>
        <w:t>（二）项目效益情况。</w:t>
      </w:r>
    </w:p>
    <w:p>
      <w:pPr>
        <w:adjustRightInd w:val="0"/>
        <w:snapToGrid w:val="0"/>
        <w:spacing w:line="353" w:lineRule="auto"/>
        <w:ind w:firstLine="640" w:firstLineChars="200"/>
        <w:rPr>
          <w:rFonts w:eastAsia="仿宋_GB2312"/>
          <w:sz w:val="32"/>
          <w:szCs w:val="32"/>
        </w:rPr>
      </w:pPr>
      <w:r>
        <w:rPr>
          <w:rFonts w:eastAsia="仿宋_GB2312"/>
          <w:sz w:val="32"/>
          <w:szCs w:val="32"/>
        </w:rPr>
        <w:t>为基层输送一批助力打赢脱贫攻坚战和乡村振兴的优秀人才，实现“三支一扶”志愿者服务基层、扎根基层，拓宽后续发展道路，解决其后顾之忧。</w:t>
      </w:r>
    </w:p>
    <w:p>
      <w:pPr>
        <w:numPr>
          <w:ilvl w:val="0"/>
          <w:numId w:val="2"/>
        </w:numPr>
        <w:adjustRightInd w:val="0"/>
        <w:snapToGrid w:val="0"/>
        <w:spacing w:line="353" w:lineRule="auto"/>
        <w:rPr>
          <w:rFonts w:eastAsia="黑体"/>
          <w:bCs/>
          <w:sz w:val="32"/>
          <w:szCs w:val="32"/>
        </w:rPr>
      </w:pPr>
      <w:r>
        <w:rPr>
          <w:rFonts w:eastAsia="黑体"/>
          <w:bCs/>
          <w:sz w:val="32"/>
          <w:szCs w:val="32"/>
        </w:rPr>
        <w:t>评价结论及建议</w:t>
      </w:r>
    </w:p>
    <w:p>
      <w:pPr>
        <w:adjustRightInd w:val="0"/>
        <w:snapToGrid w:val="0"/>
        <w:spacing w:line="353" w:lineRule="auto"/>
        <w:ind w:left="640"/>
        <w:rPr>
          <w:rFonts w:eastAsia="仿宋_GB2312"/>
          <w:sz w:val="32"/>
          <w:szCs w:val="32"/>
        </w:rPr>
      </w:pPr>
      <w:r>
        <w:rPr>
          <w:rFonts w:hint="eastAsia" w:eastAsia="仿宋_GB2312"/>
          <w:sz w:val="32"/>
          <w:szCs w:val="32"/>
        </w:rPr>
        <w:t>无。</w:t>
      </w:r>
    </w:p>
    <w:p>
      <w:pPr>
        <w:pStyle w:val="2"/>
        <w:spacing w:before="93"/>
      </w:pPr>
    </w:p>
    <w:p>
      <w:pPr>
        <w:pStyle w:val="2"/>
        <w:spacing w:before="93"/>
      </w:pPr>
    </w:p>
    <w:tbl>
      <w:tblPr>
        <w:tblStyle w:val="13"/>
        <w:tblpPr w:leftFromText="180" w:rightFromText="180" w:vertAnchor="text" w:horzAnchor="page" w:tblpX="1281" w:tblpY="660"/>
        <w:tblOverlap w:val="never"/>
        <w:tblW w:w="9575" w:type="dxa"/>
        <w:tblInd w:w="0" w:type="dxa"/>
        <w:tblLayout w:type="fixed"/>
        <w:tblCellMar>
          <w:top w:w="0" w:type="dxa"/>
          <w:left w:w="108" w:type="dxa"/>
          <w:bottom w:w="0" w:type="dxa"/>
          <w:right w:w="108" w:type="dxa"/>
        </w:tblCellMar>
      </w:tblPr>
      <w:tblGrid>
        <w:gridCol w:w="1883"/>
        <w:gridCol w:w="1235"/>
        <w:gridCol w:w="1635"/>
        <w:gridCol w:w="1189"/>
        <w:gridCol w:w="1224"/>
        <w:gridCol w:w="2409"/>
      </w:tblGrid>
      <w:tr>
        <w:tblPrEx>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vAlign w:val="center"/>
          </w:tcPr>
          <w:p>
            <w:pPr>
              <w:widowControl/>
              <w:textAlignment w:val="center"/>
              <w:rPr>
                <w:rFonts w:ascii="宋体" w:hAnsi="宋体" w:cs="宋体"/>
                <w:b/>
                <w:sz w:val="32"/>
                <w:szCs w:val="32"/>
              </w:rPr>
            </w:pPr>
          </w:p>
          <w:p>
            <w:pPr>
              <w:widowControl/>
              <w:jc w:val="center"/>
              <w:textAlignment w:val="center"/>
              <w:rPr>
                <w:rFonts w:ascii="宋体" w:hAnsi="宋体" w:cs="宋体"/>
                <w:b/>
                <w:sz w:val="32"/>
                <w:szCs w:val="32"/>
              </w:rPr>
            </w:pPr>
            <w:r>
              <w:rPr>
                <w:rFonts w:hint="eastAsia" w:ascii="宋体" w:hAnsi="宋体" w:cs="宋体"/>
                <w:b/>
                <w:sz w:val="32"/>
                <w:szCs w:val="32"/>
              </w:rPr>
              <w:t>2021年部门预算项目绩效目标自评</w:t>
            </w:r>
          </w:p>
        </w:tc>
      </w:tr>
      <w:tr>
        <w:tblPrEx>
          <w:tblCellMar>
            <w:top w:w="0" w:type="dxa"/>
            <w:left w:w="108" w:type="dxa"/>
            <w:bottom w:w="0" w:type="dxa"/>
            <w:right w:w="108" w:type="dxa"/>
          </w:tblCellMar>
        </w:tblPrEx>
        <w:trPr>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hAnsi="宋体" w:cs="宋体"/>
                <w:sz w:val="24"/>
              </w:rPr>
            </w:pPr>
            <w:r>
              <w:rPr>
                <w:rFonts w:hint="eastAsia" w:ascii="宋体" w:hAnsi="宋体" w:cs="宋体"/>
                <w:sz w:val="24"/>
              </w:rPr>
              <w:t>攀枝花市西区人力资源和社会保障局</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sz w:val="24"/>
              </w:rPr>
            </w:pPr>
            <w:r>
              <w:rPr>
                <w:rFonts w:hint="eastAsia" w:ascii="宋体" w:hAnsi="宋体" w:cs="宋体"/>
                <w:sz w:val="24"/>
              </w:rPr>
              <w:t>攀枝花市西区人力资源和社会保障局</w:t>
            </w:r>
          </w:p>
        </w:tc>
      </w:tr>
      <w:tr>
        <w:tblPrEx>
          <w:tblCellMar>
            <w:top w:w="0" w:type="dxa"/>
            <w:left w:w="108" w:type="dxa"/>
            <w:bottom w:w="0" w:type="dxa"/>
            <w:right w:w="108" w:type="dxa"/>
          </w:tblCellMar>
        </w:tblPrEx>
        <w:trPr>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预算数：</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sz w:val="24"/>
              </w:rPr>
            </w:pPr>
            <w:r>
              <w:rPr>
                <w:rFonts w:hint="eastAsia" w:ascii="宋体" w:hAnsi="宋体" w:cs="宋体"/>
                <w:sz w:val="24"/>
              </w:rPr>
              <w:t>9</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执行数：</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sz w:val="24"/>
              </w:rPr>
            </w:pPr>
            <w:r>
              <w:rPr>
                <w:rFonts w:hint="eastAsia" w:ascii="宋体" w:hAnsi="宋体" w:cs="宋体"/>
                <w:sz w:val="24"/>
              </w:rPr>
              <w:t>6.94</w:t>
            </w:r>
          </w:p>
        </w:tc>
      </w:tr>
      <w:tr>
        <w:tblPrEx>
          <w:tblCellMar>
            <w:top w:w="0" w:type="dxa"/>
            <w:left w:w="108" w:type="dxa"/>
            <w:bottom w:w="0" w:type="dxa"/>
            <w:right w:w="108" w:type="dxa"/>
          </w:tblCellMar>
        </w:tblPrEx>
        <w:trPr>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sz w:val="24"/>
              </w:rPr>
            </w:pPr>
            <w:r>
              <w:rPr>
                <w:rFonts w:hint="eastAsia" w:ascii="宋体" w:hAnsi="宋体" w:cs="宋体"/>
                <w:sz w:val="24"/>
              </w:rPr>
              <w:t>9</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sz w:val="24"/>
              </w:rPr>
            </w:pPr>
            <w:r>
              <w:rPr>
                <w:rFonts w:hint="eastAsia" w:ascii="宋体" w:hAnsi="宋体" w:cs="宋体"/>
                <w:sz w:val="24"/>
              </w:rPr>
              <w:t>9</w:t>
            </w:r>
          </w:p>
        </w:tc>
      </w:tr>
      <w:tr>
        <w:tblPrEx>
          <w:tblCellMar>
            <w:top w:w="0" w:type="dxa"/>
            <w:left w:w="108" w:type="dxa"/>
            <w:bottom w:w="0" w:type="dxa"/>
            <w:right w:w="108" w:type="dxa"/>
          </w:tblCellMar>
        </w:tblPrEx>
        <w:trPr>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sz w:val="24"/>
              </w:rPr>
            </w:pPr>
          </w:p>
        </w:tc>
      </w:tr>
      <w:tr>
        <w:tblPrEx>
          <w:tblCellMar>
            <w:top w:w="0" w:type="dxa"/>
            <w:left w:w="108" w:type="dxa"/>
            <w:bottom w:w="0" w:type="dxa"/>
            <w:right w:w="108" w:type="dxa"/>
          </w:tblCellMar>
        </w:tblPrEx>
        <w:trPr>
          <w:trHeight w:val="217" w:hRule="atLeast"/>
        </w:trPr>
        <w:tc>
          <w:tcPr>
            <w:tcW w:w="188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4059"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63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trHeight w:val="2774" w:hRule="atLeast"/>
        </w:trPr>
        <w:tc>
          <w:tcPr>
            <w:tcW w:w="1883"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cs="宋体"/>
                <w:sz w:val="24"/>
              </w:rPr>
            </w:pPr>
          </w:p>
        </w:tc>
        <w:tc>
          <w:tcPr>
            <w:tcW w:w="4059" w:type="dxa"/>
            <w:gridSpan w:val="3"/>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hAnsi="宋体" w:cs="宋体"/>
                <w:sz w:val="24"/>
              </w:rPr>
            </w:pPr>
            <w:r>
              <w:rPr>
                <w:color w:val="000000"/>
                <w:sz w:val="24"/>
              </w:rPr>
              <w:t>保障区、镇、村（社区）三级联网，为就业（失业）登记、社保（医保）参保和待遇办理、社会保障信息查询、劳动保障监察等民生工作提供技术支持，解决联系服务群众“最后一公里”。</w:t>
            </w:r>
          </w:p>
        </w:tc>
        <w:tc>
          <w:tcPr>
            <w:tcW w:w="3633"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hAnsi="宋体" w:cs="宋体"/>
                <w:sz w:val="24"/>
              </w:rPr>
            </w:pPr>
            <w:r>
              <w:rPr>
                <w:color w:val="000000"/>
                <w:sz w:val="24"/>
              </w:rPr>
              <w:t>保障区、镇、村（社区）三级联网，为就业（失业）登记、社保（医保）参保和待遇办理、社会保障信息查询、劳动保障监察等民生工作提供技术支持，解决联系服务群众“最后一公里”。</w:t>
            </w:r>
          </w:p>
        </w:tc>
      </w:tr>
      <w:tr>
        <w:tblPrEx>
          <w:tblCellMar>
            <w:top w:w="0" w:type="dxa"/>
            <w:left w:w="108" w:type="dxa"/>
            <w:bottom w:w="0" w:type="dxa"/>
            <w:right w:w="108" w:type="dxa"/>
          </w:tblCellMar>
        </w:tblPrEx>
        <w:trPr>
          <w:trHeight w:val="693" w:hRule="atLeast"/>
        </w:trPr>
        <w:tc>
          <w:tcPr>
            <w:tcW w:w="1883"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235"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trHeight w:val="4138" w:hRule="atLeast"/>
        </w:trPr>
        <w:tc>
          <w:tcPr>
            <w:tcW w:w="1883"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235"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color w:val="000000"/>
                <w:sz w:val="24"/>
              </w:rPr>
              <w:t>保障10个行政村、30个社区、1个镇、6个街办，共47个金保网网点，政务中心及局机关2个网点，合计网点49个平台运行</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color w:val="000000"/>
                <w:sz w:val="24"/>
              </w:rPr>
              <w:t>保障10个行政村、30个社区、1个镇、6个街办，共47个金保网网点，政务中心及局机关2个网点，合计网点49个平台运行</w:t>
            </w:r>
          </w:p>
        </w:tc>
        <w:tc>
          <w:tcPr>
            <w:tcW w:w="240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color w:val="000000"/>
                <w:sz w:val="24"/>
              </w:rPr>
              <w:t>保障区、镇、村（社区）三级联网，为就业（失业）登记、社保（医保）参保和待遇办理、社会保障信息查询、劳动保障监察等民生工作提供技术支持，解决联系服务群众“最后一公里”</w:t>
            </w:r>
          </w:p>
        </w:tc>
      </w:tr>
      <w:tr>
        <w:tblPrEx>
          <w:tblCellMar>
            <w:top w:w="0" w:type="dxa"/>
            <w:left w:w="108" w:type="dxa"/>
            <w:bottom w:w="0" w:type="dxa"/>
            <w:right w:w="108" w:type="dxa"/>
          </w:tblCellMar>
        </w:tblPrEx>
        <w:trPr>
          <w:trHeight w:val="415" w:hRule="atLeast"/>
        </w:trPr>
        <w:tc>
          <w:tcPr>
            <w:tcW w:w="1883"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235" w:type="dxa"/>
            <w:vMerge w:val="continue"/>
            <w:tcBorders>
              <w:left w:val="single" w:color="000000" w:sz="4" w:space="0"/>
              <w:right w:val="single" w:color="000000" w:sz="4" w:space="0"/>
            </w:tcBorders>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color w:val="000000"/>
                <w:sz w:val="24"/>
              </w:rPr>
              <w:t>保障全区各基层劳动保障服务站所、政务中心、局机关所有金保网点正常使用。</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color w:val="000000"/>
                <w:sz w:val="24"/>
              </w:rPr>
              <w:t>保障全区各基层劳动保障服务站所、政务中心、局机关所有金保网点正常使用。</w:t>
            </w:r>
          </w:p>
        </w:tc>
        <w:tc>
          <w:tcPr>
            <w:tcW w:w="240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color w:val="000000"/>
                <w:sz w:val="24"/>
              </w:rPr>
              <w:t>保障区、镇、村（社区）三级联网，为就业（失业）登记、社保（医保）参保和待遇办理、社会保障信息查询、劳动保障监察等民生工作提供技术支持，解决联系服务群众“最后一公里”</w:t>
            </w:r>
          </w:p>
        </w:tc>
      </w:tr>
      <w:tr>
        <w:tblPrEx>
          <w:tblCellMar>
            <w:top w:w="0" w:type="dxa"/>
            <w:left w:w="108" w:type="dxa"/>
            <w:bottom w:w="0" w:type="dxa"/>
            <w:right w:w="108" w:type="dxa"/>
          </w:tblCellMar>
        </w:tblPrEx>
        <w:trPr>
          <w:trHeight w:val="415" w:hRule="atLeast"/>
        </w:trPr>
        <w:tc>
          <w:tcPr>
            <w:tcW w:w="1883"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235" w:type="dxa"/>
            <w:vMerge w:val="continue"/>
            <w:tcBorders>
              <w:left w:val="single" w:color="000000" w:sz="4" w:space="0"/>
              <w:right w:val="single" w:color="000000" w:sz="4" w:space="0"/>
            </w:tcBorders>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color w:val="000000"/>
                <w:sz w:val="24"/>
              </w:rPr>
              <w:t>保障全区各基层劳动保障服务站所、政务中心、局机关所有金保网点正常使用。</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20211全年</w:t>
            </w:r>
          </w:p>
        </w:tc>
        <w:tc>
          <w:tcPr>
            <w:tcW w:w="240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100%</w:t>
            </w:r>
          </w:p>
        </w:tc>
      </w:tr>
      <w:tr>
        <w:tblPrEx>
          <w:tblCellMar>
            <w:top w:w="0" w:type="dxa"/>
            <w:left w:w="108" w:type="dxa"/>
            <w:bottom w:w="0" w:type="dxa"/>
            <w:right w:w="108" w:type="dxa"/>
          </w:tblCellMar>
        </w:tblPrEx>
        <w:trPr>
          <w:trHeight w:val="990" w:hRule="atLeast"/>
        </w:trPr>
        <w:tc>
          <w:tcPr>
            <w:tcW w:w="1883"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235" w:type="dxa"/>
            <w:vMerge w:val="continue"/>
            <w:tcBorders>
              <w:left w:val="single" w:color="000000" w:sz="4" w:space="0"/>
              <w:right w:val="single" w:color="000000" w:sz="4" w:space="0"/>
            </w:tcBorders>
            <w:vAlign w:val="bottom"/>
          </w:tcPr>
          <w:p>
            <w:pPr>
              <w:spacing w:line="320" w:lineRule="exact"/>
              <w:jc w:val="center"/>
              <w:rPr>
                <w:rFonts w:ascii="仿宋_GB2312" w:hAnsi="仿宋_GB2312" w:eastAsia="仿宋_GB2312" w:cs="仿宋_GB2312"/>
                <w:sz w:val="28"/>
                <w:szCs w:val="28"/>
              </w:rPr>
            </w:pPr>
          </w:p>
        </w:tc>
        <w:tc>
          <w:tcPr>
            <w:tcW w:w="1635" w:type="dxa"/>
            <w:vMerge w:val="restart"/>
            <w:tcBorders>
              <w:top w:val="single" w:color="000000" w:sz="4" w:space="0"/>
              <w:left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color w:val="000000"/>
                <w:sz w:val="24"/>
              </w:rPr>
              <w:t>网点光纤租用费</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color w:val="000000"/>
                <w:sz w:val="24"/>
              </w:rPr>
              <w:t>7.2</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color w:val="000000"/>
                <w:sz w:val="24"/>
              </w:rPr>
              <w:t>7.2万元</w:t>
            </w:r>
          </w:p>
        </w:tc>
      </w:tr>
      <w:tr>
        <w:tblPrEx>
          <w:tblCellMar>
            <w:top w:w="0" w:type="dxa"/>
            <w:left w:w="108" w:type="dxa"/>
            <w:bottom w:w="0" w:type="dxa"/>
            <w:right w:w="108" w:type="dxa"/>
          </w:tblCellMar>
        </w:tblPrEx>
        <w:trPr>
          <w:trHeight w:val="480" w:hRule="atLeast"/>
        </w:trPr>
        <w:tc>
          <w:tcPr>
            <w:tcW w:w="1883"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235" w:type="dxa"/>
            <w:vMerge w:val="continue"/>
            <w:tcBorders>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kern w:val="0"/>
                <w:sz w:val="28"/>
                <w:szCs w:val="28"/>
              </w:rPr>
            </w:pPr>
          </w:p>
        </w:tc>
        <w:tc>
          <w:tcPr>
            <w:tcW w:w="1635" w:type="dxa"/>
            <w:vMerge w:val="continue"/>
            <w:tcBorders>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kern w:val="0"/>
                <w:sz w:val="28"/>
                <w:szCs w:val="28"/>
              </w:rPr>
            </w:pP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color w:val="000000"/>
                <w:sz w:val="24"/>
              </w:rPr>
              <w:t>区级、街道、镇、社区网络维护费用</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color w:val="000000"/>
                <w:sz w:val="24"/>
              </w:rPr>
              <w:t>1.8</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color w:val="000000"/>
                <w:sz w:val="24"/>
              </w:rPr>
              <w:t>1.8万元</w:t>
            </w:r>
          </w:p>
        </w:tc>
      </w:tr>
      <w:tr>
        <w:tblPrEx>
          <w:tblCellMar>
            <w:top w:w="0" w:type="dxa"/>
            <w:left w:w="108" w:type="dxa"/>
            <w:bottom w:w="0" w:type="dxa"/>
            <w:right w:w="108" w:type="dxa"/>
          </w:tblCellMar>
        </w:tblPrEx>
        <w:trPr>
          <w:trHeight w:val="480" w:hRule="atLeast"/>
        </w:trPr>
        <w:tc>
          <w:tcPr>
            <w:tcW w:w="1883"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23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效益</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color w:val="000000"/>
                <w:sz w:val="24"/>
              </w:rPr>
              <w:t>保障全区各基层劳动保障服务站所、政务中心、局机关所有金保网点正常使用。</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color w:val="000000"/>
                <w:sz w:val="24"/>
              </w:rPr>
              <w:t>保障全区各基层劳动保障服务站所、政务中心、局机关所有金保网点正常使用。</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color w:val="000000"/>
                <w:sz w:val="24"/>
              </w:rPr>
              <w:t>保障全区各基层劳动保障服务站所、政务中心、局机关所有金保网点正常使用。</w:t>
            </w:r>
          </w:p>
        </w:tc>
      </w:tr>
      <w:tr>
        <w:tblPrEx>
          <w:tblCellMar>
            <w:top w:w="0" w:type="dxa"/>
            <w:left w:w="108" w:type="dxa"/>
            <w:bottom w:w="0" w:type="dxa"/>
            <w:right w:w="108" w:type="dxa"/>
          </w:tblCellMar>
        </w:tblPrEx>
        <w:trPr>
          <w:trHeight w:val="480" w:hRule="atLeast"/>
        </w:trPr>
        <w:tc>
          <w:tcPr>
            <w:tcW w:w="1883"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235"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rFonts w:hint="eastAsia"/>
                <w:color w:val="000000"/>
                <w:sz w:val="24"/>
              </w:rPr>
              <w:t>提升人社政务服务供给质量和水平，不断增强人民群众获得感和幸福感，全面完成让人民群众满意的人社公共服务体系建设目标</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rFonts w:hint="eastAsia"/>
                <w:color w:val="000000"/>
                <w:sz w:val="24"/>
              </w:rPr>
              <w:t>提升人社政务服务供给质量和水平，不断增强人民群众获得感和幸福感，全面完成让人民群众满意的人社公共服务体系建设目标</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rFonts w:hint="eastAsia"/>
                <w:color w:val="000000"/>
                <w:sz w:val="24"/>
              </w:rPr>
              <w:t>提升人社政务服务供给质量和水平，不断增强人民群众获得感和幸福感，全面完成让人民群众满意的人社公共服务体系建设目标</w:t>
            </w:r>
          </w:p>
        </w:tc>
      </w:tr>
      <w:tr>
        <w:tblPrEx>
          <w:tblCellMar>
            <w:top w:w="0" w:type="dxa"/>
            <w:left w:w="108" w:type="dxa"/>
            <w:bottom w:w="0" w:type="dxa"/>
            <w:right w:w="108" w:type="dxa"/>
          </w:tblCellMar>
        </w:tblPrEx>
        <w:trPr>
          <w:trHeight w:val="577" w:hRule="atLeast"/>
        </w:trPr>
        <w:tc>
          <w:tcPr>
            <w:tcW w:w="1883"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235"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ind w:left="463" w:leftChars="87" w:hanging="280" w:hangingChars="100"/>
              <w:jc w:val="lef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生态效益指标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rFonts w:hint="eastAsia"/>
                <w:color w:val="000000"/>
                <w:sz w:val="24"/>
              </w:rPr>
              <w:t>提高社会保险事务整体办事效率，减少办事流程和所需时间，方便办事民众</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rFonts w:hint="eastAsia"/>
                <w:color w:val="000000"/>
                <w:sz w:val="24"/>
              </w:rPr>
              <w:t>提高社会保险事务整体办事效率，减少办事流程和所需时间，方便办事民众</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rFonts w:hint="eastAsia"/>
                <w:color w:val="000000"/>
                <w:sz w:val="24"/>
              </w:rPr>
              <w:t>提高社会保险事务整体办事效率，减少办事流程和所需时间，方便办事民众</w:t>
            </w:r>
          </w:p>
        </w:tc>
      </w:tr>
      <w:tr>
        <w:tblPrEx>
          <w:tblCellMar>
            <w:top w:w="0" w:type="dxa"/>
            <w:left w:w="108" w:type="dxa"/>
            <w:bottom w:w="0" w:type="dxa"/>
            <w:right w:w="108" w:type="dxa"/>
          </w:tblCellMar>
        </w:tblPrEx>
        <w:trPr>
          <w:trHeight w:val="480" w:hRule="atLeast"/>
        </w:trPr>
        <w:tc>
          <w:tcPr>
            <w:tcW w:w="1883"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235"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color w:val="000000"/>
                <w:sz w:val="24"/>
              </w:rPr>
              <w:t>保障西区劳动关系基本和谐稳定，营造良好的务工就业环境。</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color w:val="000000"/>
                <w:sz w:val="24"/>
              </w:rPr>
              <w:t>保障西区劳动关系基本和谐稳定，营造良好的务工就业环境。</w:t>
            </w:r>
          </w:p>
        </w:tc>
        <w:tc>
          <w:tcPr>
            <w:tcW w:w="240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color w:val="000000"/>
                <w:sz w:val="24"/>
              </w:rPr>
              <w:t>保障西区劳动关系基本和谐稳定，营造良好的务工就业环境。</w:t>
            </w:r>
          </w:p>
        </w:tc>
      </w:tr>
      <w:tr>
        <w:tblPrEx>
          <w:tblCellMar>
            <w:top w:w="0" w:type="dxa"/>
            <w:left w:w="108" w:type="dxa"/>
            <w:bottom w:w="0" w:type="dxa"/>
            <w:right w:w="108" w:type="dxa"/>
          </w:tblCellMar>
        </w:tblPrEx>
        <w:trPr>
          <w:trHeight w:val="530" w:hRule="atLeast"/>
        </w:trPr>
        <w:tc>
          <w:tcPr>
            <w:tcW w:w="1883" w:type="dxa"/>
            <w:vMerge w:val="continue"/>
            <w:tcBorders>
              <w:left w:val="single" w:color="000000" w:sz="4" w:space="0"/>
              <w:bottom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2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color w:val="000000"/>
                <w:sz w:val="24"/>
              </w:rPr>
              <w:t>为群众办事提供了便利，群众满意度达95以上。</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color w:val="000000"/>
                <w:sz w:val="24"/>
              </w:rPr>
              <w:t>为群众办事提供了便利，群众满意度达95以上。</w:t>
            </w:r>
          </w:p>
        </w:tc>
        <w:tc>
          <w:tcPr>
            <w:tcW w:w="240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color w:val="000000"/>
                <w:sz w:val="24"/>
              </w:rPr>
              <w:t>为群众办事提供了便利，群众满意度达95以上。</w:t>
            </w:r>
          </w:p>
        </w:tc>
      </w:tr>
    </w:tbl>
    <w:p>
      <w:pPr>
        <w:widowControl/>
        <w:adjustRightInd w:val="0"/>
        <w:snapToGrid w:val="0"/>
        <w:spacing w:line="580" w:lineRule="exact"/>
        <w:contextualSpacing/>
        <w:jc w:val="left"/>
        <w:rPr>
          <w:rFonts w:ascii="仿宋_GB2312" w:hAnsi="宋体" w:eastAsia="仿宋_GB2312" w:cs="宋体"/>
          <w:kern w:val="0"/>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widowControl/>
        <w:spacing w:line="320" w:lineRule="exact"/>
        <w:jc w:val="center"/>
        <w:textAlignment w:val="center"/>
        <w:rPr>
          <w:rFonts w:ascii="仿宋_GB2312" w:hAnsi="宋体" w:eastAsia="仿宋_GB2312" w:cs="宋体"/>
          <w:kern w:val="0"/>
          <w:sz w:val="32"/>
          <w:szCs w:val="32"/>
          <w:shd w:val="clear" w:color="auto" w:fill="FFFFFF"/>
          <w:lang w:val="zh-CN"/>
        </w:rPr>
      </w:pPr>
    </w:p>
    <w:tbl>
      <w:tblPr>
        <w:tblStyle w:val="13"/>
        <w:tblpPr w:leftFromText="180" w:rightFromText="180" w:vertAnchor="text" w:horzAnchor="margin" w:tblpXSpec="center" w:tblpY="429"/>
        <w:tblOverlap w:val="never"/>
        <w:tblW w:w="9960" w:type="dxa"/>
        <w:tblInd w:w="0" w:type="dxa"/>
        <w:tblLayout w:type="fixed"/>
        <w:tblCellMar>
          <w:top w:w="0" w:type="dxa"/>
          <w:left w:w="0" w:type="dxa"/>
          <w:bottom w:w="0" w:type="dxa"/>
          <w:right w:w="0" w:type="dxa"/>
        </w:tblCellMar>
      </w:tblPr>
      <w:tblGrid>
        <w:gridCol w:w="390"/>
        <w:gridCol w:w="1367"/>
        <w:gridCol w:w="1025"/>
        <w:gridCol w:w="279"/>
        <w:gridCol w:w="1882"/>
        <w:gridCol w:w="231"/>
        <w:gridCol w:w="33"/>
        <w:gridCol w:w="973"/>
        <w:gridCol w:w="1273"/>
        <w:gridCol w:w="115"/>
        <w:gridCol w:w="2392"/>
      </w:tblGrid>
      <w:tr>
        <w:tblPrEx>
          <w:tblCellMar>
            <w:top w:w="0" w:type="dxa"/>
            <w:left w:w="0" w:type="dxa"/>
            <w:bottom w:w="0" w:type="dxa"/>
            <w:right w:w="0" w:type="dxa"/>
          </w:tblCellMar>
        </w:tblPrEx>
        <w:trPr>
          <w:trHeight w:val="773" w:hRule="atLeast"/>
        </w:trPr>
        <w:tc>
          <w:tcPr>
            <w:tcW w:w="9960" w:type="dxa"/>
            <w:gridSpan w:val="11"/>
            <w:tcBorders>
              <w:top w:val="nil"/>
              <w:left w:val="nil"/>
              <w:bottom w:val="nil"/>
              <w:right w:val="nil"/>
            </w:tcBorders>
            <w:tcMar>
              <w:top w:w="15" w:type="dxa"/>
              <w:left w:w="15" w:type="dxa"/>
              <w:right w:w="15" w:type="dxa"/>
            </w:tcMar>
            <w:vAlign w:val="center"/>
          </w:tcPr>
          <w:p>
            <w:pPr>
              <w:pStyle w:val="2"/>
              <w:spacing w:before="93"/>
            </w:pPr>
          </w:p>
          <w:p>
            <w:pPr>
              <w:widowControl/>
              <w:jc w:val="center"/>
              <w:textAlignment w:val="center"/>
              <w:rPr>
                <w:color w:val="000000"/>
                <w:sz w:val="36"/>
                <w:szCs w:val="36"/>
              </w:rPr>
            </w:pPr>
            <w:r>
              <w:rPr>
                <w:rFonts w:hint="eastAsia" w:ascii="宋体" w:hAnsi="宋体" w:cs="宋体"/>
                <w:b/>
                <w:sz w:val="32"/>
                <w:szCs w:val="32"/>
              </w:rPr>
              <w:t>2021年部门预算项目绩效目标自评</w:t>
            </w:r>
          </w:p>
        </w:tc>
      </w:tr>
      <w:tr>
        <w:tblPrEx>
          <w:tblCellMar>
            <w:top w:w="0" w:type="dxa"/>
            <w:left w:w="0" w:type="dxa"/>
            <w:bottom w:w="0" w:type="dxa"/>
            <w:right w:w="0" w:type="dxa"/>
          </w:tblCellMar>
        </w:tblPrEx>
        <w:trPr>
          <w:trHeight w:val="276" w:hRule="atLeast"/>
        </w:trPr>
        <w:tc>
          <w:tcPr>
            <w:tcW w:w="306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color w:val="000000"/>
                <w:sz w:val="24"/>
              </w:rPr>
            </w:pPr>
            <w:r>
              <w:rPr>
                <w:rFonts w:hint="eastAsia" w:ascii="宋体" w:hAnsi="宋体" w:cs="宋体"/>
                <w:kern w:val="0"/>
                <w:sz w:val="24"/>
              </w:rPr>
              <w:t>主管部门及代码</w:t>
            </w:r>
          </w:p>
        </w:tc>
        <w:tc>
          <w:tcPr>
            <w:tcW w:w="3119"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color w:val="000000"/>
                <w:sz w:val="24"/>
              </w:rPr>
            </w:pPr>
            <w:r>
              <w:rPr>
                <w:rFonts w:hint="eastAsia" w:ascii="宋体" w:hAnsi="宋体" w:cs="宋体"/>
                <w:sz w:val="24"/>
              </w:rPr>
              <w:t>攀枝花市西区人力资源和社会保障局</w:t>
            </w:r>
          </w:p>
        </w:tc>
        <w:tc>
          <w:tcPr>
            <w:tcW w:w="12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pPr>
            <w:r>
              <w:rPr>
                <w:rFonts w:hint="eastAsia" w:ascii="宋体" w:hAnsi="宋体" w:cs="宋体"/>
                <w:kern w:val="0"/>
                <w:sz w:val="24"/>
              </w:rPr>
              <w:t>实施单位</w:t>
            </w:r>
          </w:p>
        </w:tc>
        <w:tc>
          <w:tcPr>
            <w:tcW w:w="25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pPr>
            <w:r>
              <w:rPr>
                <w:rFonts w:hint="eastAsia" w:ascii="宋体" w:hAnsi="宋体" w:cs="宋体"/>
                <w:sz w:val="24"/>
              </w:rPr>
              <w:t>攀枝花市西区人力资源和社会保障局</w:t>
            </w:r>
          </w:p>
        </w:tc>
      </w:tr>
      <w:tr>
        <w:tblPrEx>
          <w:tblCellMar>
            <w:top w:w="0" w:type="dxa"/>
            <w:left w:w="0" w:type="dxa"/>
            <w:bottom w:w="0" w:type="dxa"/>
            <w:right w:w="0" w:type="dxa"/>
          </w:tblCellMar>
        </w:tblPrEx>
        <w:trPr>
          <w:trHeight w:val="276" w:hRule="atLeast"/>
        </w:trPr>
        <w:tc>
          <w:tcPr>
            <w:tcW w:w="3061" w:type="dxa"/>
            <w:gridSpan w:val="4"/>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color w:val="000000"/>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color w:val="000000"/>
                <w:sz w:val="24"/>
              </w:rPr>
            </w:pPr>
            <w:r>
              <w:rPr>
                <w:rFonts w:hint="eastAsia" w:ascii="宋体" w:hAnsi="宋体" w:cs="宋体"/>
                <w:kern w:val="0"/>
                <w:sz w:val="24"/>
              </w:rPr>
              <w:t xml:space="preserve"> 预算数：</w:t>
            </w:r>
          </w:p>
        </w:tc>
        <w:tc>
          <w:tcPr>
            <w:tcW w:w="123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pPr>
            <w:r>
              <w:rPr>
                <w:rFonts w:hint="eastAsia" w:ascii="宋体" w:hAnsi="宋体" w:cs="宋体"/>
                <w:sz w:val="24"/>
              </w:rPr>
              <w:t>2</w:t>
            </w:r>
          </w:p>
        </w:tc>
        <w:tc>
          <w:tcPr>
            <w:tcW w:w="12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pPr>
            <w:r>
              <w:rPr>
                <w:rFonts w:hint="eastAsia" w:ascii="宋体" w:hAnsi="宋体" w:cs="宋体"/>
                <w:kern w:val="0"/>
                <w:sz w:val="24"/>
              </w:rPr>
              <w:t xml:space="preserve"> 执行数：</w:t>
            </w:r>
          </w:p>
        </w:tc>
        <w:tc>
          <w:tcPr>
            <w:tcW w:w="25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pPr>
            <w:r>
              <w:rPr>
                <w:rFonts w:hint="eastAsia"/>
              </w:rPr>
              <w:t>2</w:t>
            </w:r>
          </w:p>
        </w:tc>
      </w:tr>
      <w:tr>
        <w:tblPrEx>
          <w:tblCellMar>
            <w:top w:w="0" w:type="dxa"/>
            <w:left w:w="0" w:type="dxa"/>
            <w:bottom w:w="0" w:type="dxa"/>
            <w:right w:w="0" w:type="dxa"/>
          </w:tblCellMar>
        </w:tblPrEx>
        <w:trPr>
          <w:trHeight w:val="299" w:hRule="atLeast"/>
        </w:trPr>
        <w:tc>
          <w:tcPr>
            <w:tcW w:w="3061" w:type="dxa"/>
            <w:gridSpan w:val="4"/>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sz w:val="24"/>
              </w:rPr>
            </w:pP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sz w:val="24"/>
              </w:rPr>
            </w:pPr>
            <w:r>
              <w:rPr>
                <w:rFonts w:hint="eastAsia" w:ascii="宋体" w:hAnsi="宋体" w:cs="宋体"/>
                <w:kern w:val="0"/>
                <w:sz w:val="24"/>
              </w:rPr>
              <w:t>财政拨款</w:t>
            </w:r>
          </w:p>
        </w:tc>
        <w:tc>
          <w:tcPr>
            <w:tcW w:w="123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pPr>
            <w:r>
              <w:rPr>
                <w:rFonts w:hint="eastAsia"/>
              </w:rPr>
              <w:t>2</w:t>
            </w:r>
          </w:p>
        </w:tc>
        <w:tc>
          <w:tcPr>
            <w:tcW w:w="12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sz w:val="24"/>
              </w:rPr>
            </w:pPr>
            <w:r>
              <w:rPr>
                <w:rFonts w:hint="eastAsia" w:ascii="宋体" w:hAnsi="宋体" w:cs="宋体"/>
                <w:kern w:val="0"/>
                <w:sz w:val="24"/>
              </w:rPr>
              <w:t>财政拨款</w:t>
            </w:r>
          </w:p>
        </w:tc>
        <w:tc>
          <w:tcPr>
            <w:tcW w:w="25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pPr>
            <w:r>
              <w:rPr>
                <w:rFonts w:hint="eastAsia"/>
              </w:rPr>
              <w:t>2</w:t>
            </w:r>
          </w:p>
        </w:tc>
      </w:tr>
      <w:tr>
        <w:tblPrEx>
          <w:tblCellMar>
            <w:top w:w="0" w:type="dxa"/>
            <w:left w:w="0" w:type="dxa"/>
            <w:bottom w:w="0" w:type="dxa"/>
            <w:right w:w="0" w:type="dxa"/>
          </w:tblCellMar>
        </w:tblPrEx>
        <w:trPr>
          <w:trHeight w:val="276" w:hRule="atLeast"/>
        </w:trPr>
        <w:tc>
          <w:tcPr>
            <w:tcW w:w="3061" w:type="dxa"/>
            <w:gridSpan w:val="4"/>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sz w:val="24"/>
              </w:rPr>
            </w:pP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sz w:val="24"/>
              </w:rPr>
            </w:pPr>
            <w:r>
              <w:rPr>
                <w:rFonts w:hint="eastAsia" w:ascii="宋体" w:hAnsi="宋体" w:cs="宋体"/>
                <w:kern w:val="0"/>
                <w:sz w:val="24"/>
              </w:rPr>
              <w:t>其他资金</w:t>
            </w:r>
          </w:p>
        </w:tc>
        <w:tc>
          <w:tcPr>
            <w:tcW w:w="123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pPr>
          </w:p>
        </w:tc>
        <w:tc>
          <w:tcPr>
            <w:tcW w:w="12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sz w:val="24"/>
              </w:rPr>
            </w:pPr>
            <w:r>
              <w:rPr>
                <w:rFonts w:hint="eastAsia" w:ascii="宋体" w:hAnsi="宋体" w:cs="宋体"/>
                <w:kern w:val="0"/>
                <w:sz w:val="24"/>
              </w:rPr>
              <w:t>其他资金</w:t>
            </w:r>
          </w:p>
        </w:tc>
        <w:tc>
          <w:tcPr>
            <w:tcW w:w="25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pPr>
          </w:p>
        </w:tc>
      </w:tr>
      <w:tr>
        <w:tblPrEx>
          <w:tblCellMar>
            <w:top w:w="0" w:type="dxa"/>
            <w:left w:w="0" w:type="dxa"/>
            <w:bottom w:w="0" w:type="dxa"/>
            <w:right w:w="0" w:type="dxa"/>
          </w:tblCellMar>
        </w:tblPrEx>
        <w:trPr>
          <w:trHeight w:val="276" w:hRule="atLeast"/>
        </w:trPr>
        <w:tc>
          <w:tcPr>
            <w:tcW w:w="5207" w:type="dxa"/>
            <w:gridSpan w:val="7"/>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20" w:lineRule="exact"/>
              <w:jc w:val="center"/>
              <w:textAlignment w:val="center"/>
              <w:rPr>
                <w:rFonts w:ascii="宋体" w:hAnsi="宋体" w:cs="宋体"/>
                <w:sz w:val="24"/>
              </w:rPr>
            </w:pPr>
            <w:r>
              <w:rPr>
                <w:rFonts w:hint="eastAsia" w:ascii="宋体" w:hAnsi="宋体" w:cs="宋体"/>
                <w:color w:val="000000" w:themeColor="text1"/>
                <w:kern w:val="0"/>
                <w:sz w:val="24"/>
                <w14:textFill>
                  <w14:solidFill>
                    <w14:schemeClr w14:val="tx1"/>
                  </w14:solidFill>
                </w14:textFill>
              </w:rPr>
              <w:t>预期目标</w:t>
            </w:r>
            <w:r>
              <w:rPr>
                <w:rFonts w:hint="eastAsia" w:ascii="宋体" w:hAnsi="宋体" w:cs="宋体"/>
                <w:color w:val="4F81BD" w:themeColor="accent1"/>
                <w:kern w:val="0"/>
                <w:sz w:val="24"/>
                <w14:textFill>
                  <w14:solidFill>
                    <w14:schemeClr w14:val="accent1"/>
                  </w14:solidFill>
                </w14:textFill>
              </w:rPr>
              <w:t xml:space="preserve">                          </w:t>
            </w:r>
          </w:p>
        </w:tc>
        <w:tc>
          <w:tcPr>
            <w:tcW w:w="4753" w:type="dxa"/>
            <w:gridSpan w:val="4"/>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宋体" w:hAnsi="宋体" w:cs="宋体"/>
                <w:color w:val="4F81BD" w:themeColor="accent1"/>
                <w:kern w:val="0"/>
                <w:sz w:val="24"/>
                <w14:textFill>
                  <w14:solidFill>
                    <w14:schemeClr w14:val="accent1"/>
                  </w14:solidFill>
                </w14:textFill>
              </w:rPr>
            </w:pPr>
            <w:r>
              <w:rPr>
                <w:rFonts w:hint="eastAsia" w:ascii="宋体" w:hAnsi="宋体" w:cs="宋体"/>
                <w:color w:val="000000" w:themeColor="text1"/>
                <w:kern w:val="0"/>
                <w:sz w:val="24"/>
                <w14:textFill>
                  <w14:solidFill>
                    <w14:schemeClr w14:val="tx1"/>
                  </w14:solidFill>
                </w14:textFill>
              </w:rPr>
              <w:t xml:space="preserve">  实际完成目标</w:t>
            </w:r>
          </w:p>
        </w:tc>
      </w:tr>
      <w:tr>
        <w:tblPrEx>
          <w:tblCellMar>
            <w:top w:w="0" w:type="dxa"/>
            <w:left w:w="0" w:type="dxa"/>
            <w:bottom w:w="0" w:type="dxa"/>
            <w:right w:w="0" w:type="dxa"/>
          </w:tblCellMar>
        </w:tblPrEx>
        <w:trPr>
          <w:trHeight w:val="1159"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4"/>
              </w:rPr>
            </w:pPr>
            <w:r>
              <w:rPr>
                <w:rFonts w:hint="eastAsia"/>
                <w:color w:val="000000"/>
                <w:kern w:val="0"/>
                <w:sz w:val="24"/>
                <w:lang w:bidi="ar"/>
              </w:rPr>
              <w:t>年</w:t>
            </w:r>
            <w:r>
              <w:rPr>
                <w:color w:val="000000"/>
                <w:kern w:val="0"/>
                <w:sz w:val="24"/>
                <w:lang w:bidi="ar"/>
              </w:rPr>
              <w:t>度目标完成情况</w:t>
            </w:r>
          </w:p>
        </w:tc>
        <w:tc>
          <w:tcPr>
            <w:tcW w:w="478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spacing w:line="320" w:lineRule="exact"/>
              <w:jc w:val="left"/>
              <w:textAlignment w:val="top"/>
              <w:rPr>
                <w:rFonts w:ascii="宋体" w:hAnsi="宋体" w:cs="宋体"/>
                <w:sz w:val="24"/>
              </w:rPr>
            </w:pPr>
            <w:r>
              <w:rPr>
                <w:color w:val="000000"/>
                <w:sz w:val="24"/>
              </w:rPr>
              <w:t>按照《劳动法》《劳动合同法》《劳动保障监察条例》《劳动争议调解仲裁法》《关于印发攀枝花市加强农民工服务保障工作方案的通知》主动开展用工监察、做好农民工服务保障工作、营造劳动和谐关系良好氛围。</w:t>
            </w:r>
          </w:p>
        </w:tc>
        <w:tc>
          <w:tcPr>
            <w:tcW w:w="4786"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spacing w:line="320" w:lineRule="exact"/>
              <w:jc w:val="left"/>
              <w:textAlignment w:val="top"/>
              <w:rPr>
                <w:rFonts w:ascii="宋体" w:hAnsi="宋体" w:cs="宋体"/>
                <w:sz w:val="24"/>
              </w:rPr>
            </w:pPr>
            <w:r>
              <w:rPr>
                <w:color w:val="000000"/>
                <w:sz w:val="24"/>
              </w:rPr>
              <w:t>202</w:t>
            </w:r>
            <w:r>
              <w:rPr>
                <w:rFonts w:hint="eastAsia"/>
                <w:color w:val="000000"/>
                <w:sz w:val="24"/>
              </w:rPr>
              <w:t>1</w:t>
            </w:r>
            <w:r>
              <w:rPr>
                <w:color w:val="000000"/>
                <w:sz w:val="24"/>
              </w:rPr>
              <w:t>年，主动监察用人单位112户次，均按要求签订劳动合同，劳动合同签订率为100%；立案处理拖欠农民工工资举报投诉案件5件，劳动保障监察举报投诉案件结案率和拖欠农民工工资举报投诉案件结案率均为100%。共立案受理劳动争议118件，结案112件，结案率94.92%，完成目标任务；案外调解929件，调解结案率90%，达成调解成功率不低60%的目标任务。</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kern w:val="0"/>
                <w:sz w:val="24"/>
                <w:lang w:bidi="ar"/>
              </w:rPr>
              <w:t>二级指标</w:t>
            </w: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kern w:val="0"/>
                <w:sz w:val="24"/>
                <w:lang w:bidi="ar"/>
              </w:rPr>
              <w:t>三级指标</w:t>
            </w:r>
          </w:p>
        </w:tc>
        <w:tc>
          <w:tcPr>
            <w:tcW w:w="239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kern w:val="0"/>
                <w:sz w:val="24"/>
                <w:lang w:bidi="ar"/>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项目完成</w:t>
            </w:r>
          </w:p>
          <w:p>
            <w:pPr>
              <w:widowControl/>
              <w:jc w:val="center"/>
              <w:textAlignment w:val="center"/>
              <w:rPr>
                <w:color w:val="000000"/>
                <w:sz w:val="24"/>
              </w:rPr>
            </w:pPr>
            <w:r>
              <w:rPr>
                <w:color w:val="000000"/>
                <w:kern w:val="0"/>
                <w:sz w:val="24"/>
                <w:lang w:bidi="ar"/>
              </w:rPr>
              <w:t>指标</w:t>
            </w:r>
          </w:p>
        </w:tc>
        <w:tc>
          <w:tcPr>
            <w:tcW w:w="102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数量指标</w:t>
            </w: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维护劳动和谐关系</w:t>
            </w:r>
          </w:p>
        </w:tc>
        <w:tc>
          <w:tcPr>
            <w:tcW w:w="239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完成日常案件办理、组织参加培训等</w:t>
            </w:r>
          </w:p>
        </w:tc>
        <w:tc>
          <w:tcPr>
            <w:tcW w:w="239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202</w:t>
            </w:r>
            <w:r>
              <w:rPr>
                <w:rFonts w:hint="eastAsia"/>
                <w:color w:val="000000"/>
                <w:sz w:val="24"/>
              </w:rPr>
              <w:t>1</w:t>
            </w:r>
            <w:r>
              <w:rPr>
                <w:color w:val="000000"/>
                <w:sz w:val="24"/>
              </w:rPr>
              <w:t>年，主动监察用人单位112户次，均按要求签订劳动合同，劳动合同签订率为100%；立案处理拖欠农民工工资举报投诉案件5件，劳动保障监察举报投诉案件结案率和拖欠农民工工资举报投诉案件结案率均为100%。共立案受理劳动争议118件，结案112件，结案率94.92%，完成目标任务；案外调解929件，调解结案率90%，达成调解成功率不低60%的目标任务。</w:t>
            </w:r>
          </w:p>
        </w:tc>
      </w:tr>
      <w:tr>
        <w:tblPrEx>
          <w:tblCellMar>
            <w:top w:w="0" w:type="dxa"/>
            <w:left w:w="0" w:type="dxa"/>
            <w:bottom w:w="0" w:type="dxa"/>
            <w:right w:w="0" w:type="dxa"/>
          </w:tblCellMar>
        </w:tblPrEx>
        <w:trPr>
          <w:trHeight w:val="1297" w:hRule="atLeast"/>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项目完成</w:t>
            </w:r>
          </w:p>
          <w:p>
            <w:pPr>
              <w:widowControl/>
              <w:jc w:val="center"/>
              <w:textAlignment w:val="center"/>
              <w:rPr>
                <w:color w:val="000000"/>
                <w:sz w:val="24"/>
              </w:rPr>
            </w:pPr>
            <w:r>
              <w:rPr>
                <w:color w:val="000000"/>
                <w:kern w:val="0"/>
                <w:sz w:val="24"/>
                <w:lang w:bidi="ar"/>
              </w:rPr>
              <w:t>指标</w:t>
            </w:r>
          </w:p>
        </w:tc>
        <w:tc>
          <w:tcPr>
            <w:tcW w:w="102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开展根治欠薪专项行动</w:t>
            </w:r>
          </w:p>
        </w:tc>
        <w:tc>
          <w:tcPr>
            <w:tcW w:w="239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以中央、省、市文件为准，按实际情况合理使用</w:t>
            </w:r>
          </w:p>
        </w:tc>
        <w:tc>
          <w:tcPr>
            <w:tcW w:w="2392" w:type="dxa"/>
            <w:vMerge w:val="continue"/>
            <w:tcBorders>
              <w:left w:val="single" w:color="000000" w:sz="4" w:space="0"/>
              <w:right w:val="single" w:color="000000" w:sz="4" w:space="0"/>
            </w:tcBorders>
            <w:tcMar>
              <w:top w:w="15" w:type="dxa"/>
              <w:left w:w="15" w:type="dxa"/>
              <w:right w:w="15" w:type="dxa"/>
            </w:tcMar>
            <w:vAlign w:val="center"/>
          </w:tcPr>
          <w:p>
            <w:pPr>
              <w:widowControl/>
              <w:spacing w:line="0" w:lineRule="atLeast"/>
              <w:jc w:val="center"/>
              <w:textAlignment w:val="center"/>
              <w:rPr>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项目完成</w:t>
            </w:r>
          </w:p>
          <w:p>
            <w:pPr>
              <w:widowControl/>
              <w:jc w:val="center"/>
              <w:textAlignment w:val="center"/>
              <w:rPr>
                <w:color w:val="000000"/>
                <w:sz w:val="24"/>
              </w:rPr>
            </w:pPr>
            <w:r>
              <w:rPr>
                <w:color w:val="000000"/>
                <w:kern w:val="0"/>
                <w:sz w:val="24"/>
                <w:lang w:bidi="ar"/>
              </w:rPr>
              <w:t>指标</w:t>
            </w:r>
          </w:p>
        </w:tc>
        <w:tc>
          <w:tcPr>
            <w:tcW w:w="102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保障日常监察、仲裁工作正常运转</w:t>
            </w:r>
          </w:p>
        </w:tc>
        <w:tc>
          <w:tcPr>
            <w:tcW w:w="239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1.配备15名监察、仲裁人员工作服；2.及时更换和维护仲裁庭设备</w:t>
            </w:r>
          </w:p>
        </w:tc>
        <w:tc>
          <w:tcPr>
            <w:tcW w:w="2392"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jc w:val="center"/>
              <w:rPr>
                <w:kern w:val="0"/>
                <w:sz w:val="18"/>
                <w:szCs w:val="18"/>
              </w:rPr>
            </w:pPr>
          </w:p>
        </w:tc>
      </w:tr>
      <w:tr>
        <w:tblPrEx>
          <w:tblCellMar>
            <w:top w:w="0" w:type="dxa"/>
            <w:left w:w="0" w:type="dxa"/>
            <w:bottom w:w="0" w:type="dxa"/>
            <w:right w:w="0" w:type="dxa"/>
          </w:tblCellMar>
        </w:tblPrEx>
        <w:trPr>
          <w:trHeight w:val="861" w:hRule="atLeast"/>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项目完成</w:t>
            </w:r>
          </w:p>
          <w:p>
            <w:pPr>
              <w:widowControl/>
              <w:jc w:val="center"/>
              <w:textAlignment w:val="center"/>
              <w:rPr>
                <w:color w:val="000000"/>
                <w:kern w:val="0"/>
                <w:sz w:val="24"/>
                <w:lang w:bidi="ar"/>
              </w:rPr>
            </w:pPr>
            <w:r>
              <w:rPr>
                <w:color w:val="000000"/>
                <w:kern w:val="0"/>
                <w:sz w:val="24"/>
                <w:lang w:bidi="ar"/>
              </w:rPr>
              <w:t>指标</w:t>
            </w:r>
          </w:p>
        </w:tc>
        <w:tc>
          <w:tcPr>
            <w:tcW w:w="102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数量指标</w:t>
            </w: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农民工专项行动</w:t>
            </w:r>
          </w:p>
        </w:tc>
        <w:tc>
          <w:tcPr>
            <w:tcW w:w="239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预计慰问农民工18000人次</w:t>
            </w:r>
          </w:p>
        </w:tc>
        <w:tc>
          <w:tcPr>
            <w:tcW w:w="239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r>
      <w:tr>
        <w:tblPrEx>
          <w:tblCellMar>
            <w:top w:w="0" w:type="dxa"/>
            <w:left w:w="0" w:type="dxa"/>
            <w:bottom w:w="0" w:type="dxa"/>
            <w:right w:w="0" w:type="dxa"/>
          </w:tblCellMar>
        </w:tblPrEx>
        <w:trPr>
          <w:trHeight w:val="741" w:hRule="atLeast"/>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项目完成</w:t>
            </w:r>
          </w:p>
          <w:p>
            <w:pPr>
              <w:widowControl/>
              <w:jc w:val="center"/>
              <w:textAlignment w:val="center"/>
              <w:rPr>
                <w:color w:val="000000"/>
                <w:sz w:val="24"/>
              </w:rPr>
            </w:pPr>
            <w:r>
              <w:rPr>
                <w:color w:val="000000"/>
                <w:kern w:val="0"/>
                <w:sz w:val="24"/>
                <w:lang w:bidi="ar"/>
              </w:rPr>
              <w:t>指标</w:t>
            </w:r>
          </w:p>
        </w:tc>
        <w:tc>
          <w:tcPr>
            <w:tcW w:w="102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印制宣传资料</w:t>
            </w:r>
          </w:p>
        </w:tc>
        <w:tc>
          <w:tcPr>
            <w:tcW w:w="239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预计10000份</w:t>
            </w:r>
          </w:p>
        </w:tc>
        <w:tc>
          <w:tcPr>
            <w:tcW w:w="239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r>
      <w:tr>
        <w:tblPrEx>
          <w:tblCellMar>
            <w:top w:w="0" w:type="dxa"/>
            <w:left w:w="0" w:type="dxa"/>
            <w:bottom w:w="0" w:type="dxa"/>
            <w:right w:w="0" w:type="dxa"/>
          </w:tblCellMar>
        </w:tblPrEx>
        <w:trPr>
          <w:trHeight w:val="893" w:hRule="atLeast"/>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项目完成</w:t>
            </w:r>
          </w:p>
          <w:p>
            <w:pPr>
              <w:widowControl/>
              <w:jc w:val="center"/>
              <w:textAlignment w:val="center"/>
              <w:rPr>
                <w:color w:val="000000"/>
                <w:kern w:val="0"/>
                <w:sz w:val="24"/>
                <w:lang w:bidi="ar"/>
              </w:rPr>
            </w:pPr>
            <w:r>
              <w:rPr>
                <w:color w:val="000000"/>
                <w:kern w:val="0"/>
                <w:sz w:val="24"/>
                <w:lang w:bidi="ar"/>
              </w:rPr>
              <w:t>指标</w:t>
            </w:r>
          </w:p>
        </w:tc>
        <w:tc>
          <w:tcPr>
            <w:tcW w:w="102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维护劳动和谐关系</w:t>
            </w:r>
          </w:p>
        </w:tc>
        <w:tc>
          <w:tcPr>
            <w:tcW w:w="239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完成日常案件办理、组织参加培训等</w:t>
            </w:r>
          </w:p>
        </w:tc>
        <w:tc>
          <w:tcPr>
            <w:tcW w:w="239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r>
      <w:tr>
        <w:tblPrEx>
          <w:tblCellMar>
            <w:top w:w="0" w:type="dxa"/>
            <w:left w:w="0" w:type="dxa"/>
            <w:bottom w:w="0" w:type="dxa"/>
            <w:right w:w="0" w:type="dxa"/>
          </w:tblCellMar>
        </w:tblPrEx>
        <w:trPr>
          <w:trHeight w:val="1050" w:hRule="atLeast"/>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项目完成</w:t>
            </w:r>
          </w:p>
          <w:p>
            <w:pPr>
              <w:widowControl/>
              <w:jc w:val="center"/>
              <w:textAlignment w:val="center"/>
              <w:rPr>
                <w:color w:val="000000"/>
                <w:sz w:val="24"/>
              </w:rPr>
            </w:pPr>
            <w:r>
              <w:rPr>
                <w:color w:val="000000"/>
                <w:kern w:val="0"/>
                <w:sz w:val="24"/>
                <w:lang w:bidi="ar"/>
              </w:rPr>
              <w:t>指标</w:t>
            </w:r>
          </w:p>
        </w:tc>
        <w:tc>
          <w:tcPr>
            <w:tcW w:w="102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质量指标</w:t>
            </w: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维护劳动和谐关系案件办理</w:t>
            </w:r>
          </w:p>
        </w:tc>
        <w:tc>
          <w:tcPr>
            <w:tcW w:w="239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保障西区劳动关系基本和谐稳定，营造良好的务工就业环境。</w:t>
            </w:r>
          </w:p>
        </w:tc>
        <w:tc>
          <w:tcPr>
            <w:tcW w:w="239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202</w:t>
            </w:r>
            <w:r>
              <w:rPr>
                <w:rFonts w:hint="eastAsia"/>
                <w:color w:val="000000"/>
                <w:sz w:val="24"/>
              </w:rPr>
              <w:t>1</w:t>
            </w:r>
            <w:r>
              <w:rPr>
                <w:color w:val="000000"/>
                <w:sz w:val="24"/>
              </w:rPr>
              <w:t>年，主动监察用人单位112户次，均按要求签订劳动合同，劳动合同签订率为100%；立案处理拖欠农民工工资举报投诉案件5件，劳动保障监察举报投诉案件结案率和拖欠农民工工资举报投诉案件结案率均为100%。共立案受理劳动争议118件，结案112件，结案率94.92%，完成目标任务；案外调解929件，调解结案率90%，达成调解成功率不低60%的目标任务。</w:t>
            </w:r>
          </w:p>
        </w:tc>
      </w:tr>
      <w:tr>
        <w:tblPrEx>
          <w:tblCellMar>
            <w:top w:w="0" w:type="dxa"/>
            <w:left w:w="0" w:type="dxa"/>
            <w:bottom w:w="0" w:type="dxa"/>
            <w:right w:w="0" w:type="dxa"/>
          </w:tblCellMar>
        </w:tblPrEx>
        <w:trPr>
          <w:trHeight w:val="1050" w:hRule="atLeast"/>
        </w:trPr>
        <w:tc>
          <w:tcPr>
            <w:tcW w:w="390" w:type="dxa"/>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项目完成</w:t>
            </w:r>
          </w:p>
          <w:p>
            <w:pPr>
              <w:widowControl/>
              <w:jc w:val="center"/>
              <w:textAlignment w:val="center"/>
              <w:rPr>
                <w:color w:val="000000"/>
                <w:kern w:val="0"/>
                <w:sz w:val="24"/>
                <w:lang w:bidi="ar"/>
              </w:rPr>
            </w:pPr>
            <w:r>
              <w:rPr>
                <w:color w:val="000000"/>
                <w:kern w:val="0"/>
                <w:sz w:val="24"/>
                <w:lang w:bidi="ar"/>
              </w:rPr>
              <w:t>指标</w:t>
            </w:r>
          </w:p>
        </w:tc>
        <w:tc>
          <w:tcPr>
            <w:tcW w:w="102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开展根治欠薪专项行动</w:t>
            </w:r>
          </w:p>
        </w:tc>
        <w:tc>
          <w:tcPr>
            <w:tcW w:w="239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为群众办事提供了便利，群众满意度达95以上。</w:t>
            </w:r>
          </w:p>
        </w:tc>
        <w:tc>
          <w:tcPr>
            <w:tcW w:w="239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r>
      <w:tr>
        <w:tblPrEx>
          <w:tblCellMar>
            <w:top w:w="0" w:type="dxa"/>
            <w:left w:w="0" w:type="dxa"/>
            <w:bottom w:w="0" w:type="dxa"/>
            <w:right w:w="0" w:type="dxa"/>
          </w:tblCellMar>
        </w:tblPrEx>
        <w:trPr>
          <w:trHeight w:val="1050" w:hRule="atLeast"/>
        </w:trPr>
        <w:tc>
          <w:tcPr>
            <w:tcW w:w="390" w:type="dxa"/>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项目完成</w:t>
            </w:r>
          </w:p>
          <w:p>
            <w:pPr>
              <w:widowControl/>
              <w:jc w:val="center"/>
              <w:textAlignment w:val="center"/>
              <w:rPr>
                <w:color w:val="000000"/>
                <w:kern w:val="0"/>
                <w:sz w:val="24"/>
                <w:lang w:bidi="ar"/>
              </w:rPr>
            </w:pPr>
            <w:r>
              <w:rPr>
                <w:color w:val="000000"/>
                <w:kern w:val="0"/>
                <w:sz w:val="24"/>
                <w:lang w:bidi="ar"/>
              </w:rPr>
              <w:t>指标</w:t>
            </w:r>
          </w:p>
        </w:tc>
        <w:tc>
          <w:tcPr>
            <w:tcW w:w="102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保障日常监察、仲裁工作正常运转</w:t>
            </w:r>
          </w:p>
        </w:tc>
        <w:tc>
          <w:tcPr>
            <w:tcW w:w="239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完成率100%</w:t>
            </w:r>
          </w:p>
        </w:tc>
        <w:tc>
          <w:tcPr>
            <w:tcW w:w="239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r>
      <w:tr>
        <w:tblPrEx>
          <w:tblCellMar>
            <w:top w:w="0" w:type="dxa"/>
            <w:left w:w="0" w:type="dxa"/>
            <w:bottom w:w="0" w:type="dxa"/>
            <w:right w:w="0" w:type="dxa"/>
          </w:tblCellMar>
        </w:tblPrEx>
        <w:trPr>
          <w:trHeight w:val="1050" w:hRule="atLeast"/>
        </w:trPr>
        <w:tc>
          <w:tcPr>
            <w:tcW w:w="390" w:type="dxa"/>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项目完成</w:t>
            </w:r>
          </w:p>
          <w:p>
            <w:pPr>
              <w:widowControl/>
              <w:jc w:val="center"/>
              <w:textAlignment w:val="center"/>
              <w:rPr>
                <w:color w:val="000000"/>
                <w:kern w:val="0"/>
                <w:sz w:val="24"/>
                <w:lang w:bidi="ar"/>
              </w:rPr>
            </w:pPr>
            <w:r>
              <w:rPr>
                <w:color w:val="000000"/>
                <w:kern w:val="0"/>
                <w:sz w:val="24"/>
                <w:lang w:bidi="ar"/>
              </w:rPr>
              <w:t>指标</w:t>
            </w:r>
          </w:p>
        </w:tc>
        <w:tc>
          <w:tcPr>
            <w:tcW w:w="102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发放宣传资料</w:t>
            </w:r>
          </w:p>
        </w:tc>
        <w:tc>
          <w:tcPr>
            <w:tcW w:w="239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政策普及率不低于80%</w:t>
            </w:r>
          </w:p>
        </w:tc>
        <w:tc>
          <w:tcPr>
            <w:tcW w:w="239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r>
      <w:tr>
        <w:tblPrEx>
          <w:tblCellMar>
            <w:top w:w="0" w:type="dxa"/>
            <w:left w:w="0" w:type="dxa"/>
            <w:bottom w:w="0" w:type="dxa"/>
            <w:right w:w="0" w:type="dxa"/>
          </w:tblCellMar>
        </w:tblPrEx>
        <w:trPr>
          <w:trHeight w:val="1050" w:hRule="atLeast"/>
        </w:trPr>
        <w:tc>
          <w:tcPr>
            <w:tcW w:w="390" w:type="dxa"/>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项目完成</w:t>
            </w:r>
          </w:p>
          <w:p>
            <w:pPr>
              <w:widowControl/>
              <w:jc w:val="center"/>
              <w:textAlignment w:val="center"/>
              <w:rPr>
                <w:color w:val="000000"/>
                <w:kern w:val="0"/>
                <w:sz w:val="24"/>
                <w:lang w:bidi="ar"/>
              </w:rPr>
            </w:pPr>
            <w:r>
              <w:rPr>
                <w:color w:val="000000"/>
                <w:kern w:val="0"/>
                <w:sz w:val="24"/>
                <w:lang w:bidi="ar"/>
              </w:rPr>
              <w:t>指标</w:t>
            </w:r>
          </w:p>
        </w:tc>
        <w:tc>
          <w:tcPr>
            <w:tcW w:w="102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维护劳动和谐关系案件办理</w:t>
            </w:r>
          </w:p>
        </w:tc>
        <w:tc>
          <w:tcPr>
            <w:tcW w:w="239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完成率100%</w:t>
            </w:r>
          </w:p>
        </w:tc>
        <w:tc>
          <w:tcPr>
            <w:tcW w:w="239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r>
      <w:tr>
        <w:tblPrEx>
          <w:tblCellMar>
            <w:top w:w="0" w:type="dxa"/>
            <w:left w:w="0" w:type="dxa"/>
            <w:bottom w:w="0" w:type="dxa"/>
            <w:right w:w="0" w:type="dxa"/>
          </w:tblCellMar>
        </w:tblPrEx>
        <w:trPr>
          <w:trHeight w:val="775" w:hRule="atLeast"/>
        </w:trPr>
        <w:tc>
          <w:tcPr>
            <w:tcW w:w="390" w:type="dxa"/>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项目完成</w:t>
            </w:r>
          </w:p>
          <w:p>
            <w:pPr>
              <w:widowControl/>
              <w:jc w:val="center"/>
              <w:textAlignment w:val="center"/>
              <w:rPr>
                <w:color w:val="000000"/>
                <w:kern w:val="0"/>
                <w:sz w:val="24"/>
                <w:lang w:bidi="ar"/>
              </w:rPr>
            </w:pPr>
            <w:r>
              <w:rPr>
                <w:color w:val="000000"/>
                <w:kern w:val="0"/>
                <w:sz w:val="24"/>
                <w:lang w:bidi="ar"/>
              </w:rPr>
              <w:t>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时效指标</w:t>
            </w: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开展工作</w:t>
            </w:r>
          </w:p>
        </w:tc>
        <w:tc>
          <w:tcPr>
            <w:tcW w:w="239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2020年1-12月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100%</w:t>
            </w:r>
          </w:p>
        </w:tc>
      </w:tr>
      <w:tr>
        <w:tblPrEx>
          <w:tblCellMar>
            <w:top w:w="0" w:type="dxa"/>
            <w:left w:w="0" w:type="dxa"/>
            <w:bottom w:w="0" w:type="dxa"/>
            <w:right w:w="0" w:type="dxa"/>
          </w:tblCellMar>
        </w:tblPrEx>
        <w:trPr>
          <w:trHeight w:val="517" w:hRule="atLeast"/>
        </w:trPr>
        <w:tc>
          <w:tcPr>
            <w:tcW w:w="390" w:type="dxa"/>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项目完成</w:t>
            </w:r>
          </w:p>
        </w:tc>
        <w:tc>
          <w:tcPr>
            <w:tcW w:w="102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成本指标</w:t>
            </w: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维护劳动和谐关系</w:t>
            </w:r>
          </w:p>
        </w:tc>
        <w:tc>
          <w:tcPr>
            <w:tcW w:w="239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1000元/次</w:t>
            </w:r>
          </w:p>
        </w:tc>
        <w:tc>
          <w:tcPr>
            <w:tcW w:w="239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共计</w:t>
            </w:r>
            <w:r>
              <w:rPr>
                <w:rFonts w:hint="eastAsia"/>
                <w:color w:val="000000"/>
                <w:sz w:val="24"/>
              </w:rPr>
              <w:t>2</w:t>
            </w:r>
            <w:r>
              <w:rPr>
                <w:color w:val="000000"/>
                <w:sz w:val="24"/>
              </w:rPr>
              <w:t>万元</w:t>
            </w:r>
          </w:p>
        </w:tc>
      </w:tr>
      <w:tr>
        <w:tblPrEx>
          <w:tblCellMar>
            <w:top w:w="0" w:type="dxa"/>
            <w:left w:w="0" w:type="dxa"/>
            <w:bottom w:w="0" w:type="dxa"/>
            <w:right w:w="0" w:type="dxa"/>
          </w:tblCellMar>
        </w:tblPrEx>
        <w:trPr>
          <w:trHeight w:val="638" w:hRule="atLeast"/>
        </w:trPr>
        <w:tc>
          <w:tcPr>
            <w:tcW w:w="390" w:type="dxa"/>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指标</w:t>
            </w:r>
          </w:p>
        </w:tc>
        <w:tc>
          <w:tcPr>
            <w:tcW w:w="102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开展根治欠薪专项行动</w:t>
            </w:r>
          </w:p>
        </w:tc>
        <w:tc>
          <w:tcPr>
            <w:tcW w:w="239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6项*1000元</w:t>
            </w:r>
          </w:p>
        </w:tc>
        <w:tc>
          <w:tcPr>
            <w:tcW w:w="239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r>
      <w:tr>
        <w:tblPrEx>
          <w:tblCellMar>
            <w:top w:w="0" w:type="dxa"/>
            <w:left w:w="0" w:type="dxa"/>
            <w:bottom w:w="0" w:type="dxa"/>
            <w:right w:w="0" w:type="dxa"/>
          </w:tblCellMar>
        </w:tblPrEx>
        <w:trPr>
          <w:trHeight w:val="1050" w:hRule="atLeast"/>
        </w:trPr>
        <w:tc>
          <w:tcPr>
            <w:tcW w:w="390" w:type="dxa"/>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项目完成</w:t>
            </w:r>
          </w:p>
          <w:p>
            <w:pPr>
              <w:widowControl/>
              <w:jc w:val="center"/>
              <w:textAlignment w:val="center"/>
              <w:rPr>
                <w:color w:val="000000"/>
                <w:kern w:val="0"/>
                <w:sz w:val="24"/>
                <w:lang w:bidi="ar"/>
              </w:rPr>
            </w:pPr>
            <w:r>
              <w:rPr>
                <w:color w:val="000000"/>
                <w:kern w:val="0"/>
                <w:sz w:val="24"/>
                <w:lang w:bidi="ar"/>
              </w:rPr>
              <w:t>指标</w:t>
            </w:r>
          </w:p>
        </w:tc>
        <w:tc>
          <w:tcPr>
            <w:tcW w:w="102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保障日常监察、仲裁工作正常运转</w:t>
            </w:r>
          </w:p>
        </w:tc>
        <w:tc>
          <w:tcPr>
            <w:tcW w:w="239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监察、仲裁人员服装15人*3500元/套；仲裁庭设备维护200元/次</w:t>
            </w:r>
          </w:p>
        </w:tc>
        <w:tc>
          <w:tcPr>
            <w:tcW w:w="239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r>
      <w:tr>
        <w:tblPrEx>
          <w:tblCellMar>
            <w:top w:w="0" w:type="dxa"/>
            <w:left w:w="0" w:type="dxa"/>
            <w:bottom w:w="0" w:type="dxa"/>
            <w:right w:w="0" w:type="dxa"/>
          </w:tblCellMar>
        </w:tblPrEx>
        <w:trPr>
          <w:trHeight w:val="766" w:hRule="atLeast"/>
        </w:trPr>
        <w:tc>
          <w:tcPr>
            <w:tcW w:w="390" w:type="dxa"/>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项目完成</w:t>
            </w:r>
          </w:p>
          <w:p>
            <w:pPr>
              <w:widowControl/>
              <w:jc w:val="center"/>
              <w:textAlignment w:val="center"/>
              <w:rPr>
                <w:color w:val="000000"/>
                <w:kern w:val="0"/>
                <w:sz w:val="24"/>
                <w:lang w:bidi="ar"/>
              </w:rPr>
            </w:pPr>
            <w:r>
              <w:rPr>
                <w:color w:val="000000"/>
                <w:kern w:val="0"/>
                <w:sz w:val="24"/>
                <w:lang w:bidi="ar"/>
              </w:rPr>
              <w:t>指标</w:t>
            </w:r>
          </w:p>
        </w:tc>
        <w:tc>
          <w:tcPr>
            <w:tcW w:w="102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农民工专项行动</w:t>
            </w:r>
          </w:p>
        </w:tc>
        <w:tc>
          <w:tcPr>
            <w:tcW w:w="239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慰问信：5000份*2元、慰问品：10000元</w:t>
            </w:r>
          </w:p>
        </w:tc>
        <w:tc>
          <w:tcPr>
            <w:tcW w:w="239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r>
      <w:tr>
        <w:tblPrEx>
          <w:tblCellMar>
            <w:top w:w="0" w:type="dxa"/>
            <w:left w:w="0" w:type="dxa"/>
            <w:bottom w:w="0" w:type="dxa"/>
            <w:right w:w="0" w:type="dxa"/>
          </w:tblCellMar>
        </w:tblPrEx>
        <w:trPr>
          <w:trHeight w:val="852" w:hRule="atLeast"/>
        </w:trPr>
        <w:tc>
          <w:tcPr>
            <w:tcW w:w="390" w:type="dxa"/>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项目完成</w:t>
            </w:r>
          </w:p>
          <w:p>
            <w:pPr>
              <w:widowControl/>
              <w:jc w:val="center"/>
              <w:textAlignment w:val="center"/>
              <w:rPr>
                <w:color w:val="000000"/>
                <w:kern w:val="0"/>
                <w:sz w:val="24"/>
                <w:lang w:bidi="ar"/>
              </w:rPr>
            </w:pPr>
            <w:r>
              <w:rPr>
                <w:color w:val="000000"/>
                <w:kern w:val="0"/>
                <w:sz w:val="24"/>
                <w:lang w:bidi="ar"/>
              </w:rPr>
              <w:t>指标</w:t>
            </w:r>
          </w:p>
        </w:tc>
        <w:tc>
          <w:tcPr>
            <w:tcW w:w="102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印制宣传资料</w:t>
            </w:r>
          </w:p>
        </w:tc>
        <w:tc>
          <w:tcPr>
            <w:tcW w:w="239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10000份*1元/份</w:t>
            </w:r>
          </w:p>
        </w:tc>
        <w:tc>
          <w:tcPr>
            <w:tcW w:w="239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r>
      <w:tr>
        <w:tblPrEx>
          <w:tblCellMar>
            <w:top w:w="0" w:type="dxa"/>
            <w:left w:w="0" w:type="dxa"/>
            <w:bottom w:w="0" w:type="dxa"/>
            <w:right w:w="0" w:type="dxa"/>
          </w:tblCellMar>
        </w:tblPrEx>
        <w:trPr>
          <w:trHeight w:val="1050" w:hRule="atLeast"/>
        </w:trPr>
        <w:tc>
          <w:tcPr>
            <w:tcW w:w="390" w:type="dxa"/>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项目完成</w:t>
            </w:r>
          </w:p>
          <w:p>
            <w:pPr>
              <w:widowControl/>
              <w:jc w:val="center"/>
              <w:textAlignment w:val="center"/>
              <w:rPr>
                <w:color w:val="000000"/>
                <w:kern w:val="0"/>
                <w:sz w:val="24"/>
                <w:lang w:bidi="ar"/>
              </w:rPr>
            </w:pPr>
            <w:r>
              <w:rPr>
                <w:color w:val="000000"/>
                <w:kern w:val="0"/>
                <w:sz w:val="24"/>
                <w:lang w:bidi="ar"/>
              </w:rPr>
              <w:t>指标</w:t>
            </w:r>
          </w:p>
        </w:tc>
        <w:tc>
          <w:tcPr>
            <w:tcW w:w="102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社会效益</w:t>
            </w:r>
          </w:p>
          <w:p>
            <w:pPr>
              <w:widowControl/>
              <w:jc w:val="center"/>
              <w:textAlignment w:val="center"/>
              <w:rPr>
                <w:color w:val="000000"/>
                <w:sz w:val="24"/>
              </w:rPr>
            </w:pPr>
            <w:r>
              <w:rPr>
                <w:color w:val="000000"/>
                <w:sz w:val="24"/>
              </w:rPr>
              <w:t>指标</w:t>
            </w: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营造良好劳动就业环境</w:t>
            </w:r>
          </w:p>
        </w:tc>
        <w:tc>
          <w:tcPr>
            <w:tcW w:w="239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营造良好劳动就业环境；为群众提供优质劳动就业等政策服务，构建和谐劳动就业关系</w:t>
            </w:r>
          </w:p>
        </w:tc>
        <w:tc>
          <w:tcPr>
            <w:tcW w:w="239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202</w:t>
            </w:r>
            <w:r>
              <w:rPr>
                <w:rFonts w:hint="eastAsia"/>
                <w:color w:val="000000"/>
                <w:sz w:val="24"/>
              </w:rPr>
              <w:t>1</w:t>
            </w:r>
            <w:r>
              <w:rPr>
                <w:color w:val="000000"/>
                <w:sz w:val="24"/>
              </w:rPr>
              <w:t>年，主动监察用人单位112户次，均按要求签订劳动合同，劳动合同签订率为100%；立案处理拖欠农民工工资举报投诉案件5件，劳动保障监察举报投诉案件结案率和拖欠农民工工资举报投诉案件结案率均为100%。共立案受理劳动争议118件，结案112件，结案率94.92%，完成目标任务；案外调解929件，调解结案率90%，达成调解成功率不低60%的目标任务。</w:t>
            </w:r>
          </w:p>
        </w:tc>
      </w:tr>
      <w:tr>
        <w:tblPrEx>
          <w:tblCellMar>
            <w:top w:w="0" w:type="dxa"/>
            <w:left w:w="0" w:type="dxa"/>
            <w:bottom w:w="0" w:type="dxa"/>
            <w:right w:w="0" w:type="dxa"/>
          </w:tblCellMar>
        </w:tblPrEx>
        <w:trPr>
          <w:trHeight w:val="1050" w:hRule="atLeast"/>
        </w:trPr>
        <w:tc>
          <w:tcPr>
            <w:tcW w:w="390" w:type="dxa"/>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项目完成</w:t>
            </w:r>
          </w:p>
          <w:p>
            <w:pPr>
              <w:widowControl/>
              <w:jc w:val="center"/>
              <w:textAlignment w:val="center"/>
              <w:rPr>
                <w:color w:val="000000"/>
                <w:kern w:val="0"/>
                <w:sz w:val="24"/>
                <w:lang w:bidi="ar"/>
              </w:rPr>
            </w:pPr>
            <w:r>
              <w:rPr>
                <w:color w:val="000000"/>
                <w:kern w:val="0"/>
                <w:sz w:val="24"/>
                <w:lang w:bidi="ar"/>
              </w:rPr>
              <w:t>指标</w:t>
            </w:r>
          </w:p>
        </w:tc>
        <w:tc>
          <w:tcPr>
            <w:tcW w:w="102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营造良好劳动就业环境</w:t>
            </w:r>
          </w:p>
        </w:tc>
        <w:tc>
          <w:tcPr>
            <w:tcW w:w="239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营造良好劳动就业环境；为群众提供优质劳动就业等政策服务，构建和谐劳动就业关系</w:t>
            </w:r>
          </w:p>
        </w:tc>
        <w:tc>
          <w:tcPr>
            <w:tcW w:w="239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r>
      <w:tr>
        <w:tblPrEx>
          <w:tblCellMar>
            <w:top w:w="0" w:type="dxa"/>
            <w:left w:w="0" w:type="dxa"/>
            <w:bottom w:w="0" w:type="dxa"/>
            <w:right w:w="0" w:type="dxa"/>
          </w:tblCellMar>
        </w:tblPrEx>
        <w:trPr>
          <w:trHeight w:val="1050" w:hRule="atLeast"/>
        </w:trPr>
        <w:tc>
          <w:tcPr>
            <w:tcW w:w="390" w:type="dxa"/>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项目完成</w:t>
            </w:r>
          </w:p>
          <w:p>
            <w:pPr>
              <w:widowControl/>
              <w:jc w:val="center"/>
              <w:textAlignment w:val="center"/>
              <w:rPr>
                <w:color w:val="000000"/>
                <w:kern w:val="0"/>
                <w:sz w:val="24"/>
                <w:lang w:bidi="ar"/>
              </w:rPr>
            </w:pPr>
            <w:r>
              <w:rPr>
                <w:color w:val="000000"/>
                <w:kern w:val="0"/>
                <w:sz w:val="24"/>
                <w:lang w:bidi="ar"/>
              </w:rPr>
              <w:t>指标</w:t>
            </w:r>
          </w:p>
        </w:tc>
        <w:tc>
          <w:tcPr>
            <w:tcW w:w="102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保障劳动关系和谐稳定</w:t>
            </w:r>
          </w:p>
        </w:tc>
        <w:tc>
          <w:tcPr>
            <w:tcW w:w="239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保障西区劳动关系基本和谐稳定，切实维护劳动者与用人单位合法权益</w:t>
            </w:r>
          </w:p>
        </w:tc>
        <w:tc>
          <w:tcPr>
            <w:tcW w:w="239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r>
      <w:tr>
        <w:tblPrEx>
          <w:tblCellMar>
            <w:top w:w="0" w:type="dxa"/>
            <w:left w:w="0" w:type="dxa"/>
            <w:bottom w:w="0" w:type="dxa"/>
            <w:right w:w="0" w:type="dxa"/>
          </w:tblCellMar>
        </w:tblPrEx>
        <w:trPr>
          <w:trHeight w:val="1050" w:hRule="atLeast"/>
        </w:trPr>
        <w:tc>
          <w:tcPr>
            <w:tcW w:w="390" w:type="dxa"/>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项目完成</w:t>
            </w:r>
          </w:p>
          <w:p>
            <w:pPr>
              <w:widowControl/>
              <w:jc w:val="center"/>
              <w:textAlignment w:val="center"/>
              <w:rPr>
                <w:color w:val="000000"/>
                <w:kern w:val="0"/>
                <w:sz w:val="24"/>
                <w:lang w:bidi="ar"/>
              </w:rPr>
            </w:pPr>
            <w:r>
              <w:rPr>
                <w:color w:val="000000"/>
                <w:kern w:val="0"/>
                <w:sz w:val="24"/>
                <w:lang w:bidi="ar"/>
              </w:rPr>
              <w:t>指标</w:t>
            </w:r>
          </w:p>
        </w:tc>
        <w:tc>
          <w:tcPr>
            <w:tcW w:w="102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实现辖区农民工春节全覆盖慰问</w:t>
            </w:r>
          </w:p>
        </w:tc>
        <w:tc>
          <w:tcPr>
            <w:tcW w:w="239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实现辖区农民工春节全覆盖慰问</w:t>
            </w:r>
          </w:p>
        </w:tc>
        <w:tc>
          <w:tcPr>
            <w:tcW w:w="239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r>
      <w:tr>
        <w:tblPrEx>
          <w:tblCellMar>
            <w:top w:w="0" w:type="dxa"/>
            <w:left w:w="0" w:type="dxa"/>
            <w:bottom w:w="0" w:type="dxa"/>
            <w:right w:w="0" w:type="dxa"/>
          </w:tblCellMar>
        </w:tblPrEx>
        <w:trPr>
          <w:trHeight w:val="1050" w:hRule="atLeast"/>
        </w:trPr>
        <w:tc>
          <w:tcPr>
            <w:tcW w:w="390" w:type="dxa"/>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项目完成</w:t>
            </w:r>
          </w:p>
          <w:p>
            <w:pPr>
              <w:widowControl/>
              <w:jc w:val="center"/>
              <w:textAlignment w:val="center"/>
              <w:rPr>
                <w:color w:val="000000"/>
                <w:kern w:val="0"/>
                <w:sz w:val="24"/>
                <w:lang w:bidi="ar"/>
              </w:rPr>
            </w:pPr>
            <w:r>
              <w:rPr>
                <w:color w:val="000000"/>
                <w:kern w:val="0"/>
                <w:sz w:val="24"/>
                <w:lang w:bidi="ar"/>
              </w:rPr>
              <w:t>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可持续影响指标</w:t>
            </w: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保障西区劳动关系基本和谐稳定，营造良好的务工就业环境。</w:t>
            </w:r>
          </w:p>
        </w:tc>
        <w:tc>
          <w:tcPr>
            <w:tcW w:w="239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保障西区劳动关系基本和谐稳定，营造良好的务工就业环境。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保障西区劳动关系基本和谐稳定，营造良好的务工就业环境。</w:t>
            </w:r>
          </w:p>
        </w:tc>
      </w:tr>
      <w:tr>
        <w:tblPrEx>
          <w:tblCellMar>
            <w:top w:w="0" w:type="dxa"/>
            <w:left w:w="0" w:type="dxa"/>
            <w:bottom w:w="0" w:type="dxa"/>
            <w:right w:w="0" w:type="dxa"/>
          </w:tblCellMar>
        </w:tblPrEx>
        <w:trPr>
          <w:trHeight w:val="1050" w:hRule="atLeast"/>
        </w:trPr>
        <w:tc>
          <w:tcPr>
            <w:tcW w:w="390" w:type="dxa"/>
            <w:tcBorders>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满意度</w:t>
            </w:r>
          </w:p>
          <w:p>
            <w:pPr>
              <w:widowControl/>
              <w:jc w:val="center"/>
              <w:textAlignment w:val="center"/>
              <w:rPr>
                <w:color w:val="000000"/>
                <w:sz w:val="24"/>
              </w:rPr>
            </w:pPr>
            <w:r>
              <w:rPr>
                <w:color w:val="000000"/>
                <w:sz w:val="24"/>
              </w:rPr>
              <w:t>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服务对象满意度指标</w:t>
            </w: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办事群众满意度达到96%以上</w:t>
            </w:r>
          </w:p>
        </w:tc>
        <w:tc>
          <w:tcPr>
            <w:tcW w:w="239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办事群众满意度达到96%以上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100%</w:t>
            </w:r>
          </w:p>
        </w:tc>
      </w:tr>
      <w:tr>
        <w:tblPrEx>
          <w:tblCellMar>
            <w:top w:w="0" w:type="dxa"/>
            <w:left w:w="0" w:type="dxa"/>
            <w:bottom w:w="0" w:type="dxa"/>
            <w:right w:w="0" w:type="dxa"/>
          </w:tblCellMar>
        </w:tblPrEx>
        <w:trPr>
          <w:trHeight w:val="1034" w:hRule="atLeast"/>
        </w:trPr>
        <w:tc>
          <w:tcPr>
            <w:tcW w:w="9960" w:type="dxa"/>
            <w:gridSpan w:val="11"/>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b/>
                <w:sz w:val="32"/>
                <w:szCs w:val="32"/>
              </w:rPr>
            </w:pPr>
          </w:p>
          <w:p>
            <w:pPr>
              <w:widowControl/>
              <w:jc w:val="center"/>
              <w:textAlignment w:val="center"/>
              <w:rPr>
                <w:rFonts w:ascii="宋体" w:hAnsi="宋体" w:cs="宋体"/>
                <w:b/>
                <w:sz w:val="32"/>
                <w:szCs w:val="32"/>
              </w:rPr>
            </w:pPr>
          </w:p>
          <w:p>
            <w:pPr>
              <w:widowControl/>
              <w:jc w:val="center"/>
              <w:textAlignment w:val="center"/>
              <w:rPr>
                <w:rFonts w:ascii="宋体" w:hAnsi="宋体" w:cs="宋体"/>
                <w:b/>
                <w:sz w:val="32"/>
                <w:szCs w:val="32"/>
              </w:rPr>
            </w:pPr>
          </w:p>
          <w:p>
            <w:pPr>
              <w:widowControl/>
              <w:jc w:val="center"/>
              <w:textAlignment w:val="center"/>
              <w:rPr>
                <w:rFonts w:ascii="宋体" w:hAnsi="宋体" w:cs="宋体"/>
                <w:b/>
                <w:sz w:val="32"/>
                <w:szCs w:val="32"/>
              </w:rPr>
            </w:pPr>
          </w:p>
          <w:p>
            <w:pPr>
              <w:widowControl/>
              <w:jc w:val="center"/>
              <w:textAlignment w:val="center"/>
              <w:rPr>
                <w:rFonts w:ascii="宋体" w:hAnsi="宋体" w:cs="宋体"/>
                <w:b/>
                <w:sz w:val="32"/>
                <w:szCs w:val="32"/>
              </w:rPr>
            </w:pPr>
          </w:p>
          <w:p>
            <w:pPr>
              <w:widowControl/>
              <w:jc w:val="center"/>
              <w:textAlignment w:val="center"/>
              <w:rPr>
                <w:rFonts w:ascii="宋体" w:hAnsi="宋体" w:cs="宋体"/>
                <w:b/>
                <w:sz w:val="32"/>
                <w:szCs w:val="32"/>
              </w:rPr>
            </w:pPr>
          </w:p>
          <w:p>
            <w:pPr>
              <w:widowControl/>
              <w:jc w:val="center"/>
              <w:textAlignment w:val="center"/>
              <w:rPr>
                <w:rFonts w:ascii="宋体" w:hAnsi="宋体" w:cs="宋体"/>
                <w:b/>
                <w:sz w:val="32"/>
                <w:szCs w:val="32"/>
              </w:rPr>
            </w:pPr>
          </w:p>
          <w:p>
            <w:pPr>
              <w:widowControl/>
              <w:jc w:val="center"/>
              <w:textAlignment w:val="center"/>
              <w:rPr>
                <w:rFonts w:ascii="宋体" w:hAnsi="宋体" w:cs="宋体"/>
                <w:b/>
                <w:sz w:val="32"/>
                <w:szCs w:val="32"/>
              </w:rPr>
            </w:pPr>
          </w:p>
          <w:p>
            <w:pPr>
              <w:widowControl/>
              <w:jc w:val="center"/>
              <w:textAlignment w:val="center"/>
              <w:rPr>
                <w:rFonts w:ascii="宋体" w:hAnsi="宋体" w:cs="宋体"/>
                <w:b/>
                <w:sz w:val="32"/>
                <w:szCs w:val="32"/>
              </w:rPr>
            </w:pPr>
          </w:p>
          <w:p>
            <w:pPr>
              <w:pStyle w:val="2"/>
              <w:spacing w:before="93"/>
              <w:rPr>
                <w:rFonts w:ascii="宋体" w:hAnsi="宋体" w:cs="宋体"/>
                <w:b/>
                <w:sz w:val="32"/>
                <w:szCs w:val="32"/>
              </w:rPr>
            </w:pPr>
          </w:p>
          <w:p>
            <w:pPr>
              <w:pStyle w:val="2"/>
              <w:spacing w:before="93"/>
              <w:rPr>
                <w:rFonts w:ascii="宋体" w:hAnsi="宋体" w:cs="宋体"/>
                <w:b/>
                <w:sz w:val="32"/>
                <w:szCs w:val="32"/>
              </w:rPr>
            </w:pPr>
          </w:p>
          <w:p>
            <w:pPr>
              <w:pStyle w:val="2"/>
              <w:spacing w:before="93"/>
              <w:rPr>
                <w:rFonts w:ascii="宋体" w:hAnsi="宋体" w:cs="宋体"/>
                <w:b/>
                <w:sz w:val="32"/>
                <w:szCs w:val="32"/>
              </w:rPr>
            </w:pPr>
          </w:p>
          <w:p>
            <w:pPr>
              <w:widowControl/>
              <w:jc w:val="center"/>
              <w:textAlignment w:val="center"/>
              <w:rPr>
                <w:rFonts w:ascii="宋体" w:hAnsi="宋体" w:cs="宋体"/>
                <w:b/>
                <w:sz w:val="32"/>
                <w:szCs w:val="32"/>
              </w:rPr>
            </w:pPr>
          </w:p>
          <w:p>
            <w:pPr>
              <w:widowControl/>
              <w:jc w:val="center"/>
              <w:textAlignment w:val="center"/>
              <w:rPr>
                <w:rFonts w:ascii="宋体" w:hAnsi="宋体" w:cs="宋体"/>
                <w:b/>
                <w:sz w:val="32"/>
                <w:szCs w:val="32"/>
              </w:rPr>
            </w:pPr>
          </w:p>
          <w:p>
            <w:pPr>
              <w:pStyle w:val="2"/>
              <w:spacing w:before="93"/>
              <w:rPr>
                <w:rFonts w:ascii="宋体" w:hAnsi="宋体" w:cs="宋体"/>
                <w:b/>
                <w:sz w:val="32"/>
                <w:szCs w:val="32"/>
              </w:rPr>
            </w:pPr>
          </w:p>
          <w:p>
            <w:pPr>
              <w:widowControl/>
              <w:jc w:val="center"/>
              <w:textAlignment w:val="center"/>
              <w:rPr>
                <w:color w:val="000000"/>
                <w:sz w:val="36"/>
                <w:szCs w:val="36"/>
              </w:rPr>
            </w:pPr>
            <w:r>
              <w:rPr>
                <w:rFonts w:hint="eastAsia" w:ascii="宋体" w:hAnsi="宋体" w:cs="宋体"/>
                <w:b/>
                <w:sz w:val="32"/>
                <w:szCs w:val="32"/>
              </w:rPr>
              <w:t>2021年部门预算项目绩效目标自评</w:t>
            </w:r>
          </w:p>
        </w:tc>
      </w:tr>
      <w:tr>
        <w:tblPrEx>
          <w:tblCellMar>
            <w:top w:w="0" w:type="dxa"/>
            <w:left w:w="0" w:type="dxa"/>
            <w:bottom w:w="0" w:type="dxa"/>
            <w:right w:w="0" w:type="dxa"/>
          </w:tblCellMar>
        </w:tblPrEx>
        <w:trPr>
          <w:trHeight w:val="276" w:hRule="atLeast"/>
        </w:trPr>
        <w:tc>
          <w:tcPr>
            <w:tcW w:w="306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color w:val="000000"/>
                <w:sz w:val="24"/>
              </w:rPr>
            </w:pPr>
            <w:r>
              <w:rPr>
                <w:rFonts w:hint="eastAsia" w:ascii="宋体" w:hAnsi="宋体" w:cs="宋体"/>
                <w:kern w:val="0"/>
                <w:sz w:val="24"/>
              </w:rPr>
              <w:t>主管部门及代码</w:t>
            </w:r>
          </w:p>
        </w:tc>
        <w:tc>
          <w:tcPr>
            <w:tcW w:w="3119"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color w:val="000000"/>
                <w:sz w:val="24"/>
              </w:rPr>
            </w:pPr>
            <w:r>
              <w:rPr>
                <w:rFonts w:hint="eastAsia" w:ascii="宋体" w:hAnsi="宋体" w:cs="宋体"/>
                <w:sz w:val="24"/>
              </w:rPr>
              <w:t>攀枝花市西区人力资源和社会保障局</w:t>
            </w:r>
          </w:p>
        </w:tc>
        <w:tc>
          <w:tcPr>
            <w:tcW w:w="12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pPr>
            <w:r>
              <w:rPr>
                <w:rFonts w:hint="eastAsia" w:ascii="宋体" w:hAnsi="宋体" w:cs="宋体"/>
                <w:kern w:val="0"/>
                <w:sz w:val="24"/>
              </w:rPr>
              <w:t>实施单位</w:t>
            </w:r>
          </w:p>
        </w:tc>
        <w:tc>
          <w:tcPr>
            <w:tcW w:w="25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pPr>
            <w:r>
              <w:rPr>
                <w:rFonts w:hint="eastAsia" w:ascii="宋体" w:hAnsi="宋体" w:cs="宋体"/>
                <w:sz w:val="24"/>
              </w:rPr>
              <w:t>攀枝花市西区人力资源和社会保障局</w:t>
            </w:r>
          </w:p>
        </w:tc>
      </w:tr>
      <w:tr>
        <w:tblPrEx>
          <w:tblCellMar>
            <w:top w:w="0" w:type="dxa"/>
            <w:left w:w="0" w:type="dxa"/>
            <w:bottom w:w="0" w:type="dxa"/>
            <w:right w:w="0" w:type="dxa"/>
          </w:tblCellMar>
        </w:tblPrEx>
        <w:trPr>
          <w:trHeight w:val="276" w:hRule="atLeast"/>
        </w:trPr>
        <w:tc>
          <w:tcPr>
            <w:tcW w:w="3061" w:type="dxa"/>
            <w:gridSpan w:val="4"/>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color w:val="000000"/>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color w:val="000000"/>
                <w:sz w:val="24"/>
              </w:rPr>
            </w:pPr>
            <w:r>
              <w:rPr>
                <w:rFonts w:hint="eastAsia" w:ascii="宋体" w:hAnsi="宋体" w:cs="宋体"/>
                <w:kern w:val="0"/>
                <w:sz w:val="24"/>
              </w:rPr>
              <w:t xml:space="preserve"> 预算数：</w:t>
            </w:r>
          </w:p>
        </w:tc>
        <w:tc>
          <w:tcPr>
            <w:tcW w:w="123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pPr>
            <w:r>
              <w:rPr>
                <w:rFonts w:hint="eastAsia" w:ascii="宋体" w:hAnsi="宋体" w:cs="宋体"/>
                <w:sz w:val="24"/>
              </w:rPr>
              <w:t>20</w:t>
            </w:r>
          </w:p>
        </w:tc>
        <w:tc>
          <w:tcPr>
            <w:tcW w:w="12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pPr>
            <w:r>
              <w:rPr>
                <w:rFonts w:hint="eastAsia" w:ascii="宋体" w:hAnsi="宋体" w:cs="宋体"/>
                <w:kern w:val="0"/>
                <w:sz w:val="24"/>
              </w:rPr>
              <w:t xml:space="preserve"> 执行数：</w:t>
            </w:r>
          </w:p>
        </w:tc>
        <w:tc>
          <w:tcPr>
            <w:tcW w:w="25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pPr>
            <w:r>
              <w:rPr>
                <w:rFonts w:hint="eastAsia"/>
              </w:rPr>
              <w:t>6.39</w:t>
            </w:r>
          </w:p>
        </w:tc>
      </w:tr>
      <w:tr>
        <w:tblPrEx>
          <w:tblCellMar>
            <w:top w:w="0" w:type="dxa"/>
            <w:left w:w="0" w:type="dxa"/>
            <w:bottom w:w="0" w:type="dxa"/>
            <w:right w:w="0" w:type="dxa"/>
          </w:tblCellMar>
        </w:tblPrEx>
        <w:trPr>
          <w:trHeight w:val="276" w:hRule="atLeast"/>
        </w:trPr>
        <w:tc>
          <w:tcPr>
            <w:tcW w:w="3061" w:type="dxa"/>
            <w:gridSpan w:val="4"/>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sz w:val="24"/>
              </w:rPr>
            </w:pP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sz w:val="24"/>
              </w:rPr>
            </w:pPr>
            <w:r>
              <w:rPr>
                <w:rFonts w:hint="eastAsia" w:ascii="宋体" w:hAnsi="宋体" w:cs="宋体"/>
                <w:kern w:val="0"/>
                <w:sz w:val="24"/>
              </w:rPr>
              <w:t>财政拨款</w:t>
            </w:r>
          </w:p>
        </w:tc>
        <w:tc>
          <w:tcPr>
            <w:tcW w:w="123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pPr>
            <w:r>
              <w:rPr>
                <w:rFonts w:hint="eastAsia"/>
              </w:rPr>
              <w:t>20</w:t>
            </w:r>
          </w:p>
        </w:tc>
        <w:tc>
          <w:tcPr>
            <w:tcW w:w="12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sz w:val="24"/>
              </w:rPr>
            </w:pPr>
            <w:r>
              <w:rPr>
                <w:rFonts w:hint="eastAsia" w:ascii="宋体" w:hAnsi="宋体" w:cs="宋体"/>
                <w:kern w:val="0"/>
                <w:sz w:val="24"/>
              </w:rPr>
              <w:t>财政拨款</w:t>
            </w:r>
          </w:p>
        </w:tc>
        <w:tc>
          <w:tcPr>
            <w:tcW w:w="25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pPr>
            <w:r>
              <w:rPr>
                <w:rFonts w:hint="eastAsia"/>
              </w:rPr>
              <w:t>20</w:t>
            </w:r>
          </w:p>
        </w:tc>
      </w:tr>
      <w:tr>
        <w:tblPrEx>
          <w:tblCellMar>
            <w:top w:w="0" w:type="dxa"/>
            <w:left w:w="0" w:type="dxa"/>
            <w:bottom w:w="0" w:type="dxa"/>
            <w:right w:w="0" w:type="dxa"/>
          </w:tblCellMar>
        </w:tblPrEx>
        <w:trPr>
          <w:trHeight w:val="276" w:hRule="atLeast"/>
        </w:trPr>
        <w:tc>
          <w:tcPr>
            <w:tcW w:w="3061" w:type="dxa"/>
            <w:gridSpan w:val="4"/>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sz w:val="24"/>
              </w:rPr>
            </w:pP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sz w:val="24"/>
              </w:rPr>
            </w:pPr>
            <w:r>
              <w:rPr>
                <w:rFonts w:hint="eastAsia" w:ascii="宋体" w:hAnsi="宋体" w:cs="宋体"/>
                <w:kern w:val="0"/>
                <w:sz w:val="24"/>
              </w:rPr>
              <w:t>其他资金</w:t>
            </w:r>
          </w:p>
        </w:tc>
        <w:tc>
          <w:tcPr>
            <w:tcW w:w="123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pPr>
          </w:p>
        </w:tc>
        <w:tc>
          <w:tcPr>
            <w:tcW w:w="12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sz w:val="24"/>
              </w:rPr>
            </w:pPr>
            <w:r>
              <w:rPr>
                <w:rFonts w:hint="eastAsia" w:ascii="宋体" w:hAnsi="宋体" w:cs="宋体"/>
                <w:kern w:val="0"/>
                <w:sz w:val="24"/>
              </w:rPr>
              <w:t>其他资金</w:t>
            </w:r>
          </w:p>
        </w:tc>
        <w:tc>
          <w:tcPr>
            <w:tcW w:w="25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kern w:val="0"/>
                <w:sz w:val="24"/>
                <w:lang w:bidi="ar"/>
              </w:rPr>
              <w:t>年度目标完成情况</w:t>
            </w:r>
          </w:p>
        </w:tc>
        <w:tc>
          <w:tcPr>
            <w:tcW w:w="478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kern w:val="0"/>
                <w:sz w:val="24"/>
                <w:lang w:bidi="ar"/>
              </w:rPr>
              <w:t>预期目标</w:t>
            </w:r>
          </w:p>
        </w:tc>
        <w:tc>
          <w:tcPr>
            <w:tcW w:w="4786"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kern w:val="0"/>
                <w:sz w:val="24"/>
                <w:lang w:bidi="ar"/>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4"/>
              </w:rPr>
            </w:pPr>
          </w:p>
        </w:tc>
        <w:tc>
          <w:tcPr>
            <w:tcW w:w="478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按照区委区政府统一部署，组织开展公开考试（考核）招聘事业单位工作人员工作。发布招聘信息，组织实施考务工作，确保试卷的制作、印刷、运送及阅卷，考场和安保设备的租赁等公招考试工作经费，顺利完成招聘任务。</w:t>
            </w:r>
          </w:p>
        </w:tc>
        <w:tc>
          <w:tcPr>
            <w:tcW w:w="4786"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圆满完成2019年事业单位公开考聘和2020年公开考调事业单位工作人员工作；落实“攀枝花人才新政七条”，考核招聘高层次和紧缺专</w:t>
            </w:r>
            <w:r>
              <w:rPr>
                <w:sz w:val="24"/>
              </w:rPr>
              <w:t>业人才</w:t>
            </w:r>
            <w:r>
              <w:rPr>
                <w:rFonts w:hint="eastAsia"/>
                <w:sz w:val="24"/>
              </w:rPr>
              <w:t>32</w:t>
            </w:r>
            <w:r>
              <w:rPr>
                <w:sz w:val="24"/>
              </w:rPr>
              <w:t>名。</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kern w:val="0"/>
                <w:sz w:val="24"/>
                <w:lang w:bidi="ar"/>
              </w:rPr>
              <w:t>二级指标</w:t>
            </w: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kern w:val="0"/>
                <w:sz w:val="24"/>
                <w:lang w:bidi="ar"/>
              </w:rPr>
              <w:t>三级指标</w:t>
            </w:r>
          </w:p>
        </w:tc>
        <w:tc>
          <w:tcPr>
            <w:tcW w:w="239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kern w:val="0"/>
                <w:sz w:val="24"/>
                <w:lang w:bidi="ar"/>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项目完成</w:t>
            </w:r>
          </w:p>
          <w:p>
            <w:pPr>
              <w:widowControl/>
              <w:jc w:val="center"/>
              <w:textAlignment w:val="center"/>
              <w:rPr>
                <w:color w:val="000000"/>
                <w:sz w:val="24"/>
              </w:rPr>
            </w:pPr>
            <w:r>
              <w:rPr>
                <w:color w:val="000000"/>
                <w:kern w:val="0"/>
                <w:sz w:val="24"/>
                <w:lang w:bidi="ar"/>
              </w:rPr>
              <w:t>指标</w:t>
            </w:r>
          </w:p>
        </w:tc>
        <w:tc>
          <w:tcPr>
            <w:tcW w:w="102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数量指标</w:t>
            </w: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公开考试招聘事业单位工作人员工作</w:t>
            </w:r>
          </w:p>
        </w:tc>
        <w:tc>
          <w:tcPr>
            <w:tcW w:w="239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color w:val="000000"/>
                <w:kern w:val="0"/>
                <w:sz w:val="24"/>
                <w:lang w:bidi="ar"/>
              </w:rPr>
              <w:t>完成攀枝花市西区2020年下半年区属事业单位考核招聘高层次和紧缺专业人才资格复审和考核工作，进入体检3人，考察聘用1人；开展2021年下半年区属事业单位考核招聘高层次及急需紧缺专业人才工作，计划招聘15人，通过报名200人，参加考核184人，进去体检15人；组织开展2021年公开考聘事业单位工作人员工作，计划招聘19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按区委区政府要求开展公开考调事业单位工作人员工作</w:t>
            </w:r>
          </w:p>
        </w:tc>
      </w:tr>
      <w:tr>
        <w:tblPrEx>
          <w:tblCellMar>
            <w:top w:w="0" w:type="dxa"/>
            <w:left w:w="0" w:type="dxa"/>
            <w:bottom w:w="0" w:type="dxa"/>
            <w:right w:w="0" w:type="dxa"/>
          </w:tblCellMar>
        </w:tblPrEx>
        <w:trPr>
          <w:trHeight w:val="1216" w:hRule="atLeast"/>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项目完成</w:t>
            </w:r>
          </w:p>
          <w:p>
            <w:pPr>
              <w:widowControl/>
              <w:jc w:val="center"/>
              <w:textAlignment w:val="center"/>
              <w:rPr>
                <w:color w:val="000000"/>
                <w:sz w:val="24"/>
              </w:rPr>
            </w:pPr>
            <w:r>
              <w:rPr>
                <w:color w:val="000000"/>
                <w:kern w:val="0"/>
                <w:sz w:val="24"/>
                <w:lang w:bidi="ar"/>
              </w:rPr>
              <w:t>指标</w:t>
            </w:r>
          </w:p>
        </w:tc>
        <w:tc>
          <w:tcPr>
            <w:tcW w:w="10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考核招聘事业单位工作人员工作</w:t>
            </w:r>
          </w:p>
        </w:tc>
        <w:tc>
          <w:tcPr>
            <w:tcW w:w="239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rFonts w:hint="eastAsia"/>
                <w:color w:val="000000"/>
                <w:kern w:val="0"/>
                <w:sz w:val="24"/>
                <w:lang w:bidi="ar"/>
              </w:rPr>
              <w:t>赴外引才4次，计划招聘20人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rFonts w:hint="eastAsia"/>
                <w:color w:val="000000"/>
                <w:kern w:val="0"/>
                <w:sz w:val="24"/>
                <w:lang w:bidi="ar"/>
              </w:rPr>
              <w:t>2021年，先后赴昆明理工大学和西北大学开展现场招聘，收到简历94份，签订赴外招才引智协议书7份，考察聘用5人</w:t>
            </w:r>
          </w:p>
        </w:tc>
      </w:tr>
      <w:tr>
        <w:tblPrEx>
          <w:tblCellMar>
            <w:top w:w="0" w:type="dxa"/>
            <w:left w:w="0" w:type="dxa"/>
            <w:bottom w:w="0" w:type="dxa"/>
            <w:right w:w="0" w:type="dxa"/>
          </w:tblCellMar>
        </w:tblPrEx>
        <w:trPr>
          <w:trHeight w:val="929" w:hRule="atLeast"/>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项目完成</w:t>
            </w:r>
          </w:p>
          <w:p>
            <w:pPr>
              <w:widowControl/>
              <w:jc w:val="center"/>
              <w:textAlignment w:val="center"/>
              <w:rPr>
                <w:color w:val="000000"/>
                <w:sz w:val="24"/>
              </w:rPr>
            </w:pPr>
            <w:r>
              <w:rPr>
                <w:color w:val="000000"/>
                <w:kern w:val="0"/>
                <w:sz w:val="24"/>
                <w:lang w:bidi="ar"/>
              </w:rPr>
              <w:t>指标</w:t>
            </w:r>
          </w:p>
        </w:tc>
        <w:tc>
          <w:tcPr>
            <w:tcW w:w="102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质量指标</w:t>
            </w: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确保事业单位公招工作安全、有序进行</w:t>
            </w:r>
          </w:p>
        </w:tc>
        <w:tc>
          <w:tcPr>
            <w:tcW w:w="239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确保事业单位公招工作安全、有序进行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kern w:val="0"/>
                <w:sz w:val="18"/>
                <w:szCs w:val="18"/>
              </w:rPr>
            </w:pPr>
            <w:r>
              <w:rPr>
                <w:color w:val="000000"/>
                <w:sz w:val="24"/>
              </w:rPr>
              <w:t>100%</w:t>
            </w:r>
          </w:p>
        </w:tc>
      </w:tr>
      <w:tr>
        <w:tblPrEx>
          <w:tblCellMar>
            <w:top w:w="0" w:type="dxa"/>
            <w:left w:w="0" w:type="dxa"/>
            <w:bottom w:w="0" w:type="dxa"/>
            <w:right w:w="0" w:type="dxa"/>
          </w:tblCellMar>
        </w:tblPrEx>
        <w:trPr>
          <w:trHeight w:val="1042" w:hRule="atLeast"/>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项目完成</w:t>
            </w:r>
          </w:p>
          <w:p>
            <w:pPr>
              <w:widowControl/>
              <w:jc w:val="center"/>
              <w:textAlignment w:val="center"/>
              <w:rPr>
                <w:color w:val="000000"/>
                <w:kern w:val="0"/>
                <w:sz w:val="24"/>
                <w:lang w:bidi="ar"/>
              </w:rPr>
            </w:pPr>
            <w:r>
              <w:rPr>
                <w:color w:val="000000"/>
                <w:kern w:val="0"/>
                <w:sz w:val="24"/>
                <w:lang w:bidi="ar"/>
              </w:rPr>
              <w:t>指标</w:t>
            </w:r>
          </w:p>
        </w:tc>
        <w:tc>
          <w:tcPr>
            <w:tcW w:w="10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引才工作</w:t>
            </w:r>
          </w:p>
        </w:tc>
        <w:tc>
          <w:tcPr>
            <w:tcW w:w="239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按照区委区政府的统一部署，确保赴外引才工作顺利实施</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1094482.49元</w:t>
            </w:r>
          </w:p>
        </w:tc>
      </w:tr>
      <w:tr>
        <w:tblPrEx>
          <w:tblCellMar>
            <w:top w:w="0" w:type="dxa"/>
            <w:left w:w="0" w:type="dxa"/>
            <w:bottom w:w="0" w:type="dxa"/>
            <w:right w:w="0" w:type="dxa"/>
          </w:tblCellMar>
        </w:tblPrEx>
        <w:trPr>
          <w:trHeight w:val="817" w:hRule="atLeast"/>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项目完成</w:t>
            </w:r>
          </w:p>
          <w:p>
            <w:pPr>
              <w:widowControl/>
              <w:jc w:val="center"/>
              <w:textAlignment w:val="center"/>
              <w:rPr>
                <w:color w:val="000000"/>
                <w:sz w:val="24"/>
              </w:rPr>
            </w:pPr>
            <w:r>
              <w:rPr>
                <w:color w:val="000000"/>
                <w:kern w:val="0"/>
                <w:sz w:val="24"/>
                <w:lang w:bidi="ar"/>
              </w:rPr>
              <w:t>指标</w:t>
            </w:r>
          </w:p>
        </w:tc>
        <w:tc>
          <w:tcPr>
            <w:tcW w:w="102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时效指标</w:t>
            </w: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公开考试招聘事业单位工作人员工作</w:t>
            </w:r>
          </w:p>
        </w:tc>
        <w:tc>
          <w:tcPr>
            <w:tcW w:w="239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202</w:t>
            </w:r>
            <w:r>
              <w:rPr>
                <w:rFonts w:hint="eastAsia"/>
                <w:color w:val="000000"/>
                <w:kern w:val="0"/>
                <w:sz w:val="24"/>
                <w:lang w:bidi="ar"/>
              </w:rPr>
              <w:t>1</w:t>
            </w:r>
            <w:r>
              <w:rPr>
                <w:color w:val="000000"/>
                <w:kern w:val="0"/>
                <w:sz w:val="24"/>
                <w:lang w:bidi="ar"/>
              </w:rPr>
              <w:t>年截止</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100%</w:t>
            </w:r>
          </w:p>
        </w:tc>
      </w:tr>
      <w:tr>
        <w:tblPrEx>
          <w:tblCellMar>
            <w:top w:w="0" w:type="dxa"/>
            <w:left w:w="0" w:type="dxa"/>
            <w:bottom w:w="0" w:type="dxa"/>
            <w:right w:w="0" w:type="dxa"/>
          </w:tblCellMar>
        </w:tblPrEx>
        <w:trPr>
          <w:trHeight w:val="722" w:hRule="atLeast"/>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项目完成</w:t>
            </w:r>
          </w:p>
          <w:p>
            <w:pPr>
              <w:widowControl/>
              <w:jc w:val="center"/>
              <w:textAlignment w:val="center"/>
              <w:rPr>
                <w:color w:val="000000"/>
                <w:kern w:val="0"/>
                <w:sz w:val="24"/>
                <w:lang w:bidi="ar"/>
              </w:rPr>
            </w:pPr>
            <w:r>
              <w:rPr>
                <w:color w:val="000000"/>
                <w:kern w:val="0"/>
                <w:sz w:val="24"/>
                <w:lang w:bidi="ar"/>
              </w:rPr>
              <w:t>指标</w:t>
            </w:r>
          </w:p>
        </w:tc>
        <w:tc>
          <w:tcPr>
            <w:tcW w:w="10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考核招聘事业单位工作人员工作</w:t>
            </w:r>
          </w:p>
        </w:tc>
        <w:tc>
          <w:tcPr>
            <w:tcW w:w="239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202</w:t>
            </w:r>
            <w:r>
              <w:rPr>
                <w:rFonts w:hint="eastAsia"/>
                <w:color w:val="000000"/>
                <w:kern w:val="0"/>
                <w:sz w:val="24"/>
                <w:lang w:bidi="ar"/>
              </w:rPr>
              <w:t>1</w:t>
            </w:r>
            <w:r>
              <w:rPr>
                <w:color w:val="000000"/>
                <w:kern w:val="0"/>
                <w:sz w:val="24"/>
                <w:lang w:bidi="ar"/>
              </w:rPr>
              <w:t>年截止</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100%</w:t>
            </w:r>
          </w:p>
        </w:tc>
      </w:tr>
      <w:tr>
        <w:tblPrEx>
          <w:tblCellMar>
            <w:top w:w="0" w:type="dxa"/>
            <w:left w:w="0" w:type="dxa"/>
            <w:bottom w:w="0" w:type="dxa"/>
            <w:right w:w="0" w:type="dxa"/>
          </w:tblCellMar>
        </w:tblPrEx>
        <w:trPr>
          <w:trHeight w:val="782" w:hRule="atLeast"/>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项目完成</w:t>
            </w:r>
          </w:p>
          <w:p>
            <w:pPr>
              <w:widowControl/>
              <w:jc w:val="center"/>
              <w:textAlignment w:val="center"/>
              <w:rPr>
                <w:color w:val="000000"/>
                <w:sz w:val="24"/>
              </w:rPr>
            </w:pPr>
            <w:r>
              <w:rPr>
                <w:color w:val="000000"/>
                <w:kern w:val="0"/>
                <w:sz w:val="24"/>
                <w:lang w:bidi="ar"/>
              </w:rPr>
              <w:t>指标</w:t>
            </w:r>
          </w:p>
        </w:tc>
        <w:tc>
          <w:tcPr>
            <w:tcW w:w="102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成本指标</w:t>
            </w: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考试费用</w:t>
            </w:r>
          </w:p>
        </w:tc>
        <w:tc>
          <w:tcPr>
            <w:tcW w:w="239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FF"/>
                <w:kern w:val="0"/>
                <w:sz w:val="24"/>
                <w:lang w:bidi="ar"/>
              </w:rPr>
            </w:pPr>
            <w:r>
              <w:rPr>
                <w:kern w:val="0"/>
                <w:sz w:val="24"/>
                <w:lang w:bidi="ar"/>
              </w:rPr>
              <w:t>4.64</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100%</w:t>
            </w:r>
          </w:p>
        </w:tc>
      </w:tr>
      <w:tr>
        <w:tblPrEx>
          <w:tblCellMar>
            <w:top w:w="0" w:type="dxa"/>
            <w:left w:w="0" w:type="dxa"/>
            <w:bottom w:w="0" w:type="dxa"/>
            <w:right w:w="0" w:type="dxa"/>
          </w:tblCellMar>
        </w:tblPrEx>
        <w:trPr>
          <w:trHeight w:val="741" w:hRule="atLeast"/>
        </w:trPr>
        <w:tc>
          <w:tcPr>
            <w:tcW w:w="390" w:type="dxa"/>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项目完成</w:t>
            </w:r>
          </w:p>
          <w:p>
            <w:pPr>
              <w:widowControl/>
              <w:jc w:val="center"/>
              <w:textAlignment w:val="center"/>
              <w:rPr>
                <w:color w:val="000000"/>
                <w:kern w:val="0"/>
                <w:sz w:val="24"/>
                <w:lang w:bidi="ar"/>
              </w:rPr>
            </w:pPr>
            <w:r>
              <w:rPr>
                <w:color w:val="000000"/>
                <w:kern w:val="0"/>
                <w:sz w:val="24"/>
                <w:lang w:bidi="ar"/>
              </w:rPr>
              <w:t>指标</w:t>
            </w:r>
          </w:p>
        </w:tc>
        <w:tc>
          <w:tcPr>
            <w:tcW w:w="10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引才工作经费</w:t>
            </w:r>
          </w:p>
        </w:tc>
        <w:tc>
          <w:tcPr>
            <w:tcW w:w="239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FF"/>
                <w:kern w:val="0"/>
                <w:sz w:val="24"/>
                <w:lang w:bidi="ar"/>
              </w:rPr>
            </w:pPr>
            <w:r>
              <w:rPr>
                <w:kern w:val="0"/>
                <w:sz w:val="24"/>
                <w:lang w:bidi="ar"/>
              </w:rPr>
              <w:t>5.22</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100%</w:t>
            </w:r>
          </w:p>
        </w:tc>
      </w:tr>
      <w:tr>
        <w:tblPrEx>
          <w:tblCellMar>
            <w:top w:w="0" w:type="dxa"/>
            <w:left w:w="0" w:type="dxa"/>
            <w:bottom w:w="0" w:type="dxa"/>
            <w:right w:w="0" w:type="dxa"/>
          </w:tblCellMar>
        </w:tblPrEx>
        <w:trPr>
          <w:trHeight w:val="1050" w:hRule="atLeast"/>
        </w:trPr>
        <w:tc>
          <w:tcPr>
            <w:tcW w:w="390" w:type="dxa"/>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项目完成</w:t>
            </w:r>
          </w:p>
          <w:p>
            <w:pPr>
              <w:widowControl/>
              <w:jc w:val="center"/>
              <w:textAlignment w:val="center"/>
              <w:rPr>
                <w:color w:val="000000"/>
                <w:kern w:val="0"/>
                <w:sz w:val="24"/>
                <w:lang w:bidi="ar"/>
              </w:rPr>
            </w:pPr>
            <w:r>
              <w:rPr>
                <w:color w:val="000000"/>
                <w:kern w:val="0"/>
                <w:sz w:val="24"/>
                <w:lang w:bidi="ar"/>
              </w:rPr>
              <w:t>指标</w:t>
            </w:r>
          </w:p>
        </w:tc>
        <w:tc>
          <w:tcPr>
            <w:tcW w:w="102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社会效益</w:t>
            </w:r>
          </w:p>
          <w:p>
            <w:pPr>
              <w:widowControl/>
              <w:jc w:val="center"/>
              <w:textAlignment w:val="center"/>
              <w:rPr>
                <w:color w:val="000000"/>
                <w:kern w:val="0"/>
                <w:sz w:val="24"/>
                <w:lang w:bidi="ar"/>
              </w:rPr>
            </w:pPr>
            <w:r>
              <w:rPr>
                <w:color w:val="000000"/>
                <w:kern w:val="0"/>
                <w:sz w:val="24"/>
                <w:lang w:bidi="ar"/>
              </w:rPr>
              <w:t>指标</w:t>
            </w: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开展考务工作</w:t>
            </w:r>
          </w:p>
        </w:tc>
        <w:tc>
          <w:tcPr>
            <w:tcW w:w="239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严格按照国家和省、市、区相关人事考试政策规定，公开、公平、公正开展考务工作，促进考务工作合规进行</w:t>
            </w:r>
          </w:p>
        </w:tc>
        <w:tc>
          <w:tcPr>
            <w:tcW w:w="239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圆满完成20</w:t>
            </w:r>
            <w:r>
              <w:rPr>
                <w:rFonts w:hint="eastAsia"/>
                <w:color w:val="000000"/>
                <w:sz w:val="24"/>
              </w:rPr>
              <w:t>20</w:t>
            </w:r>
            <w:r>
              <w:rPr>
                <w:color w:val="000000"/>
                <w:sz w:val="24"/>
              </w:rPr>
              <w:t>年事业单位公开考聘和202</w:t>
            </w:r>
            <w:r>
              <w:rPr>
                <w:rFonts w:hint="eastAsia"/>
                <w:color w:val="000000"/>
                <w:sz w:val="24"/>
              </w:rPr>
              <w:t>1</w:t>
            </w:r>
            <w:r>
              <w:rPr>
                <w:color w:val="000000"/>
                <w:sz w:val="24"/>
              </w:rPr>
              <w:t>年公开考调事业单位工作人员工作；落实“攀枝花人才新政七条”，考核招聘高层次和紧缺专业人才</w:t>
            </w:r>
            <w:r>
              <w:rPr>
                <w:rFonts w:hint="eastAsia"/>
                <w:color w:val="000000"/>
                <w:sz w:val="24"/>
              </w:rPr>
              <w:t>32</w:t>
            </w:r>
            <w:r>
              <w:rPr>
                <w:color w:val="000000"/>
                <w:sz w:val="24"/>
              </w:rPr>
              <w:t>名。</w:t>
            </w:r>
          </w:p>
          <w:p>
            <w:pPr>
              <w:widowControl/>
              <w:jc w:val="center"/>
              <w:textAlignment w:val="center"/>
              <w:rPr>
                <w:color w:val="000000"/>
                <w:kern w:val="0"/>
                <w:sz w:val="24"/>
                <w:lang w:bidi="ar"/>
              </w:rPr>
            </w:pPr>
            <w:r>
              <w:rPr>
                <w:color w:val="000000"/>
                <w:kern w:val="0"/>
                <w:sz w:val="24"/>
                <w:lang w:bidi="ar"/>
              </w:rPr>
              <w:t>100%</w:t>
            </w:r>
          </w:p>
        </w:tc>
      </w:tr>
      <w:tr>
        <w:tblPrEx>
          <w:tblCellMar>
            <w:top w:w="0" w:type="dxa"/>
            <w:left w:w="0" w:type="dxa"/>
            <w:bottom w:w="0" w:type="dxa"/>
            <w:right w:w="0" w:type="dxa"/>
          </w:tblCellMar>
        </w:tblPrEx>
        <w:trPr>
          <w:trHeight w:val="1050" w:hRule="atLeast"/>
        </w:trPr>
        <w:tc>
          <w:tcPr>
            <w:tcW w:w="390" w:type="dxa"/>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项目完成</w:t>
            </w:r>
          </w:p>
          <w:p>
            <w:pPr>
              <w:widowControl/>
              <w:jc w:val="center"/>
              <w:textAlignment w:val="center"/>
              <w:rPr>
                <w:color w:val="000000"/>
                <w:kern w:val="0"/>
                <w:sz w:val="24"/>
                <w:lang w:bidi="ar"/>
              </w:rPr>
            </w:pPr>
            <w:r>
              <w:rPr>
                <w:color w:val="000000"/>
                <w:kern w:val="0"/>
                <w:sz w:val="24"/>
                <w:lang w:bidi="ar"/>
              </w:rPr>
              <w:t>指标</w:t>
            </w:r>
          </w:p>
        </w:tc>
        <w:tc>
          <w:tcPr>
            <w:tcW w:w="10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引才工作</w:t>
            </w:r>
          </w:p>
        </w:tc>
        <w:tc>
          <w:tcPr>
            <w:tcW w:w="239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招聘符合西区发展及工作需要的高素质人才，推动各项工作有序、高效、高质量完成</w:t>
            </w:r>
          </w:p>
        </w:tc>
        <w:tc>
          <w:tcPr>
            <w:tcW w:w="239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p>
        </w:tc>
      </w:tr>
      <w:tr>
        <w:tblPrEx>
          <w:tblCellMar>
            <w:top w:w="0" w:type="dxa"/>
            <w:left w:w="0" w:type="dxa"/>
            <w:bottom w:w="0" w:type="dxa"/>
            <w:right w:w="0" w:type="dxa"/>
          </w:tblCellMar>
        </w:tblPrEx>
        <w:trPr>
          <w:trHeight w:val="852" w:hRule="atLeast"/>
        </w:trPr>
        <w:tc>
          <w:tcPr>
            <w:tcW w:w="390" w:type="dxa"/>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项目完成</w:t>
            </w:r>
          </w:p>
          <w:p>
            <w:pPr>
              <w:widowControl/>
              <w:jc w:val="center"/>
              <w:textAlignment w:val="center"/>
              <w:rPr>
                <w:color w:val="000000"/>
                <w:kern w:val="0"/>
                <w:sz w:val="24"/>
                <w:lang w:bidi="ar"/>
              </w:rPr>
            </w:pPr>
            <w:r>
              <w:rPr>
                <w:color w:val="000000"/>
                <w:kern w:val="0"/>
                <w:sz w:val="24"/>
                <w:lang w:bidi="ar"/>
              </w:rPr>
              <w:t>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可持续影响指标</w:t>
            </w: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招考工作</w:t>
            </w:r>
          </w:p>
        </w:tc>
        <w:tc>
          <w:tcPr>
            <w:tcW w:w="239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保障人事人才工作顺利进行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100%</w:t>
            </w:r>
          </w:p>
        </w:tc>
      </w:tr>
      <w:tr>
        <w:tblPrEx>
          <w:tblCellMar>
            <w:top w:w="0" w:type="dxa"/>
            <w:left w:w="0" w:type="dxa"/>
            <w:bottom w:w="0" w:type="dxa"/>
            <w:right w:w="0" w:type="dxa"/>
          </w:tblCellMar>
        </w:tblPrEx>
        <w:trPr>
          <w:trHeight w:val="800" w:hRule="atLeast"/>
        </w:trPr>
        <w:tc>
          <w:tcPr>
            <w:tcW w:w="390" w:type="dxa"/>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13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满意度指标</w:t>
            </w:r>
          </w:p>
        </w:tc>
        <w:tc>
          <w:tcPr>
            <w:tcW w:w="102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服务对象满意度指标</w:t>
            </w: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招考人员满意度</w:t>
            </w:r>
          </w:p>
        </w:tc>
        <w:tc>
          <w:tcPr>
            <w:tcW w:w="239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大于95%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100%</w:t>
            </w:r>
          </w:p>
        </w:tc>
      </w:tr>
      <w:tr>
        <w:tblPrEx>
          <w:tblCellMar>
            <w:top w:w="0" w:type="dxa"/>
            <w:left w:w="0" w:type="dxa"/>
            <w:bottom w:w="0" w:type="dxa"/>
            <w:right w:w="0" w:type="dxa"/>
          </w:tblCellMar>
        </w:tblPrEx>
        <w:trPr>
          <w:trHeight w:val="801" w:hRule="atLeast"/>
        </w:trPr>
        <w:tc>
          <w:tcPr>
            <w:tcW w:w="390" w:type="dxa"/>
            <w:tcBorders>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136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p>
        </w:tc>
        <w:tc>
          <w:tcPr>
            <w:tcW w:w="10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引进人员满意度</w:t>
            </w:r>
          </w:p>
        </w:tc>
        <w:tc>
          <w:tcPr>
            <w:tcW w:w="239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大于95%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100%</w:t>
            </w:r>
          </w:p>
        </w:tc>
      </w:tr>
      <w:tr>
        <w:tblPrEx>
          <w:tblCellMar>
            <w:top w:w="0" w:type="dxa"/>
            <w:left w:w="0" w:type="dxa"/>
            <w:bottom w:w="0" w:type="dxa"/>
            <w:right w:w="0" w:type="dxa"/>
          </w:tblCellMar>
        </w:tblPrEx>
        <w:trPr>
          <w:trHeight w:val="1034" w:hRule="atLeast"/>
        </w:trPr>
        <w:tc>
          <w:tcPr>
            <w:tcW w:w="9960" w:type="dxa"/>
            <w:gridSpan w:val="11"/>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b/>
                <w:sz w:val="32"/>
                <w:szCs w:val="32"/>
              </w:rPr>
            </w:pPr>
          </w:p>
          <w:p>
            <w:pPr>
              <w:widowControl/>
              <w:jc w:val="both"/>
              <w:textAlignment w:val="center"/>
              <w:rPr>
                <w:rFonts w:ascii="宋体" w:hAnsi="宋体" w:cs="宋体"/>
                <w:b/>
                <w:sz w:val="32"/>
                <w:szCs w:val="32"/>
              </w:rPr>
            </w:pPr>
          </w:p>
          <w:p>
            <w:pPr>
              <w:pStyle w:val="2"/>
              <w:rPr>
                <w:rFonts w:ascii="宋体" w:hAnsi="宋体" w:cs="宋体"/>
                <w:b/>
                <w:sz w:val="32"/>
                <w:szCs w:val="32"/>
              </w:rPr>
            </w:pPr>
          </w:p>
          <w:p>
            <w:pPr>
              <w:pStyle w:val="2"/>
              <w:rPr>
                <w:rFonts w:ascii="宋体" w:hAnsi="宋体" w:cs="宋体"/>
                <w:b/>
                <w:sz w:val="32"/>
                <w:szCs w:val="32"/>
              </w:rPr>
            </w:pPr>
          </w:p>
          <w:p>
            <w:pPr>
              <w:widowControl/>
              <w:textAlignment w:val="center"/>
              <w:rPr>
                <w:rFonts w:ascii="宋体" w:hAnsi="宋体" w:cs="宋体"/>
                <w:b/>
                <w:sz w:val="32"/>
                <w:szCs w:val="32"/>
              </w:rPr>
            </w:pPr>
          </w:p>
          <w:p>
            <w:pPr>
              <w:widowControl/>
              <w:jc w:val="center"/>
              <w:textAlignment w:val="center"/>
              <w:rPr>
                <w:color w:val="000000"/>
                <w:sz w:val="36"/>
                <w:szCs w:val="36"/>
              </w:rPr>
            </w:pPr>
            <w:r>
              <w:rPr>
                <w:rFonts w:hint="eastAsia" w:ascii="宋体" w:hAnsi="宋体" w:cs="宋体"/>
                <w:b/>
                <w:sz w:val="32"/>
                <w:szCs w:val="32"/>
              </w:rPr>
              <w:t>2021年部门预算项目绩效目标自评</w:t>
            </w:r>
          </w:p>
        </w:tc>
      </w:tr>
      <w:tr>
        <w:tblPrEx>
          <w:tblCellMar>
            <w:top w:w="0" w:type="dxa"/>
            <w:left w:w="0" w:type="dxa"/>
            <w:bottom w:w="0" w:type="dxa"/>
            <w:right w:w="0" w:type="dxa"/>
          </w:tblCellMar>
        </w:tblPrEx>
        <w:trPr>
          <w:trHeight w:val="276" w:hRule="atLeast"/>
        </w:trPr>
        <w:tc>
          <w:tcPr>
            <w:tcW w:w="306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color w:val="000000"/>
                <w:sz w:val="24"/>
              </w:rPr>
            </w:pPr>
            <w:r>
              <w:rPr>
                <w:rFonts w:hint="eastAsia" w:ascii="宋体" w:hAnsi="宋体" w:cs="宋体"/>
                <w:kern w:val="0"/>
                <w:sz w:val="24"/>
              </w:rPr>
              <w:t>主管部门及代码</w:t>
            </w:r>
          </w:p>
        </w:tc>
        <w:tc>
          <w:tcPr>
            <w:tcW w:w="3119"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color w:val="000000"/>
                <w:sz w:val="24"/>
              </w:rPr>
            </w:pPr>
            <w:r>
              <w:rPr>
                <w:rFonts w:hint="eastAsia" w:ascii="宋体" w:hAnsi="宋体" w:cs="宋体"/>
                <w:sz w:val="24"/>
              </w:rPr>
              <w:t>攀枝花市西区人力资源和社会保障局</w:t>
            </w:r>
          </w:p>
        </w:tc>
        <w:tc>
          <w:tcPr>
            <w:tcW w:w="12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pPr>
            <w:r>
              <w:rPr>
                <w:rFonts w:hint="eastAsia" w:ascii="宋体" w:hAnsi="宋体" w:cs="宋体"/>
                <w:kern w:val="0"/>
                <w:sz w:val="24"/>
              </w:rPr>
              <w:t>实施单位</w:t>
            </w:r>
          </w:p>
        </w:tc>
        <w:tc>
          <w:tcPr>
            <w:tcW w:w="25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pPr>
            <w:r>
              <w:rPr>
                <w:rFonts w:hint="eastAsia" w:ascii="宋体" w:hAnsi="宋体" w:cs="宋体"/>
                <w:sz w:val="24"/>
              </w:rPr>
              <w:t>攀枝花市西区人力资源和社会保障局</w:t>
            </w:r>
          </w:p>
        </w:tc>
      </w:tr>
      <w:tr>
        <w:tblPrEx>
          <w:tblCellMar>
            <w:top w:w="0" w:type="dxa"/>
            <w:left w:w="0" w:type="dxa"/>
            <w:bottom w:w="0" w:type="dxa"/>
            <w:right w:w="0" w:type="dxa"/>
          </w:tblCellMar>
        </w:tblPrEx>
        <w:trPr>
          <w:trHeight w:val="276" w:hRule="atLeast"/>
        </w:trPr>
        <w:tc>
          <w:tcPr>
            <w:tcW w:w="3061" w:type="dxa"/>
            <w:gridSpan w:val="4"/>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color w:val="000000"/>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color w:val="000000"/>
                <w:sz w:val="24"/>
              </w:rPr>
            </w:pPr>
            <w:r>
              <w:rPr>
                <w:rFonts w:hint="eastAsia" w:ascii="宋体" w:hAnsi="宋体" w:cs="宋体"/>
                <w:kern w:val="0"/>
                <w:sz w:val="24"/>
              </w:rPr>
              <w:t xml:space="preserve"> 预算数：</w:t>
            </w:r>
          </w:p>
        </w:tc>
        <w:tc>
          <w:tcPr>
            <w:tcW w:w="123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pPr>
            <w:r>
              <w:rPr>
                <w:rFonts w:hint="eastAsia" w:ascii="宋体" w:hAnsi="宋体" w:cs="宋体"/>
                <w:sz w:val="24"/>
              </w:rPr>
              <w:t>2</w:t>
            </w:r>
          </w:p>
        </w:tc>
        <w:tc>
          <w:tcPr>
            <w:tcW w:w="12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pPr>
            <w:r>
              <w:rPr>
                <w:rFonts w:hint="eastAsia" w:ascii="宋体" w:hAnsi="宋体" w:cs="宋体"/>
                <w:kern w:val="0"/>
                <w:sz w:val="24"/>
              </w:rPr>
              <w:t xml:space="preserve"> 执行数：</w:t>
            </w:r>
          </w:p>
        </w:tc>
        <w:tc>
          <w:tcPr>
            <w:tcW w:w="25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pPr>
            <w:r>
              <w:rPr>
                <w:rFonts w:hint="eastAsia"/>
              </w:rPr>
              <w:t>2</w:t>
            </w:r>
          </w:p>
        </w:tc>
      </w:tr>
      <w:tr>
        <w:tblPrEx>
          <w:tblCellMar>
            <w:top w:w="0" w:type="dxa"/>
            <w:left w:w="0" w:type="dxa"/>
            <w:bottom w:w="0" w:type="dxa"/>
            <w:right w:w="0" w:type="dxa"/>
          </w:tblCellMar>
        </w:tblPrEx>
        <w:trPr>
          <w:trHeight w:val="299" w:hRule="atLeast"/>
        </w:trPr>
        <w:tc>
          <w:tcPr>
            <w:tcW w:w="3061" w:type="dxa"/>
            <w:gridSpan w:val="4"/>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sz w:val="24"/>
              </w:rPr>
            </w:pP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sz w:val="24"/>
              </w:rPr>
            </w:pPr>
            <w:r>
              <w:rPr>
                <w:rFonts w:hint="eastAsia" w:ascii="宋体" w:hAnsi="宋体" w:cs="宋体"/>
                <w:kern w:val="0"/>
                <w:sz w:val="24"/>
              </w:rPr>
              <w:t>财政拨款</w:t>
            </w:r>
          </w:p>
        </w:tc>
        <w:tc>
          <w:tcPr>
            <w:tcW w:w="123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pPr>
            <w:r>
              <w:rPr>
                <w:rFonts w:hint="eastAsia"/>
              </w:rPr>
              <w:t>2</w:t>
            </w:r>
          </w:p>
        </w:tc>
        <w:tc>
          <w:tcPr>
            <w:tcW w:w="12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sz w:val="24"/>
              </w:rPr>
            </w:pPr>
            <w:r>
              <w:rPr>
                <w:rFonts w:hint="eastAsia" w:ascii="宋体" w:hAnsi="宋体" w:cs="宋体"/>
                <w:kern w:val="0"/>
                <w:sz w:val="24"/>
              </w:rPr>
              <w:t>财政拨款</w:t>
            </w:r>
          </w:p>
        </w:tc>
        <w:tc>
          <w:tcPr>
            <w:tcW w:w="25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pPr>
            <w:r>
              <w:rPr>
                <w:rFonts w:hint="eastAsia"/>
              </w:rPr>
              <w:t>2</w:t>
            </w:r>
          </w:p>
        </w:tc>
      </w:tr>
      <w:tr>
        <w:tblPrEx>
          <w:tblCellMar>
            <w:top w:w="0" w:type="dxa"/>
            <w:left w:w="0" w:type="dxa"/>
            <w:bottom w:w="0" w:type="dxa"/>
            <w:right w:w="0" w:type="dxa"/>
          </w:tblCellMar>
        </w:tblPrEx>
        <w:trPr>
          <w:trHeight w:val="276" w:hRule="atLeast"/>
        </w:trPr>
        <w:tc>
          <w:tcPr>
            <w:tcW w:w="3061" w:type="dxa"/>
            <w:gridSpan w:val="4"/>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sz w:val="24"/>
              </w:rPr>
            </w:pP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sz w:val="24"/>
              </w:rPr>
            </w:pPr>
            <w:r>
              <w:rPr>
                <w:rFonts w:hint="eastAsia" w:ascii="宋体" w:hAnsi="宋体" w:cs="宋体"/>
                <w:kern w:val="0"/>
                <w:sz w:val="24"/>
              </w:rPr>
              <w:t>其他资金</w:t>
            </w:r>
          </w:p>
        </w:tc>
        <w:tc>
          <w:tcPr>
            <w:tcW w:w="123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pPr>
          </w:p>
        </w:tc>
        <w:tc>
          <w:tcPr>
            <w:tcW w:w="12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sz w:val="24"/>
              </w:rPr>
            </w:pPr>
            <w:r>
              <w:rPr>
                <w:rFonts w:hint="eastAsia" w:ascii="宋体" w:hAnsi="宋体" w:cs="宋体"/>
                <w:kern w:val="0"/>
                <w:sz w:val="24"/>
              </w:rPr>
              <w:t>其他资金</w:t>
            </w:r>
          </w:p>
        </w:tc>
        <w:tc>
          <w:tcPr>
            <w:tcW w:w="25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kern w:val="0"/>
                <w:sz w:val="24"/>
                <w:lang w:bidi="ar"/>
              </w:rPr>
              <w:t>年度目标完成情况</w:t>
            </w:r>
          </w:p>
        </w:tc>
        <w:tc>
          <w:tcPr>
            <w:tcW w:w="478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kern w:val="0"/>
                <w:sz w:val="24"/>
                <w:lang w:bidi="ar"/>
              </w:rPr>
              <w:t>预期目标</w:t>
            </w:r>
          </w:p>
        </w:tc>
        <w:tc>
          <w:tcPr>
            <w:tcW w:w="4786"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kern w:val="0"/>
                <w:sz w:val="24"/>
                <w:lang w:bidi="ar"/>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4"/>
              </w:rPr>
            </w:pPr>
          </w:p>
        </w:tc>
        <w:tc>
          <w:tcPr>
            <w:tcW w:w="478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按照《劳动法》《劳动合同法》《劳动保障监察条例》《劳动争议调解仲裁法》《关于印发攀枝花市加强农民工服务保障工作方案的通知》</w:t>
            </w:r>
          </w:p>
          <w:p>
            <w:pPr>
              <w:widowControl/>
              <w:jc w:val="center"/>
              <w:textAlignment w:val="center"/>
              <w:rPr>
                <w:color w:val="000000"/>
                <w:sz w:val="24"/>
              </w:rPr>
            </w:pPr>
            <w:r>
              <w:rPr>
                <w:color w:val="000000"/>
                <w:sz w:val="24"/>
              </w:rPr>
              <w:t>全力构建社会公平正义，营造良好劳动就业环境，为群众提供优质劳动就业等政策服务，构建和谐劳动就业关系。</w:t>
            </w:r>
          </w:p>
        </w:tc>
        <w:tc>
          <w:tcPr>
            <w:tcW w:w="4786"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202</w:t>
            </w:r>
            <w:r>
              <w:rPr>
                <w:rFonts w:hint="eastAsia"/>
                <w:color w:val="000000"/>
                <w:sz w:val="24"/>
              </w:rPr>
              <w:t>1</w:t>
            </w:r>
            <w:r>
              <w:rPr>
                <w:color w:val="000000"/>
                <w:sz w:val="24"/>
              </w:rPr>
              <w:t>年，</w:t>
            </w:r>
            <w:r>
              <w:rPr>
                <w:rFonts w:hint="eastAsia"/>
                <w:color w:val="000000"/>
                <w:sz w:val="24"/>
              </w:rPr>
              <w:t>开展农民工专项行动，慰问农民工4000人次，</w:t>
            </w:r>
            <w:r>
              <w:rPr>
                <w:color w:val="000000"/>
                <w:sz w:val="24"/>
              </w:rPr>
              <w:t>开展农民工“五大专项”行动、和谐劳动“春风行动”工作，截止3月14日，发放慰问金含慰问品和慰问金，2.6575万元；节后就业摸排省内就业意愿人数30人；举办专场招聘会，提供岗位45个；根治欠薪冬季攻坚服务农民工19人兑付工资金额18.7万元；证照办理服务农民工55人次；农民工群体满意度达到96%以上</w:t>
            </w:r>
            <w:r>
              <w:rPr>
                <w:rFonts w:hint="eastAsia"/>
                <w:color w:val="000000"/>
                <w:sz w:val="24"/>
              </w:rPr>
              <w:t>，政策法规宣传普及率达96%</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kern w:val="0"/>
                <w:sz w:val="24"/>
                <w:lang w:bidi="ar"/>
              </w:rPr>
              <w:t>二级指标</w:t>
            </w: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kern w:val="0"/>
                <w:sz w:val="24"/>
                <w:lang w:bidi="ar"/>
              </w:rPr>
              <w:t>三级指标</w:t>
            </w:r>
          </w:p>
        </w:tc>
        <w:tc>
          <w:tcPr>
            <w:tcW w:w="239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kern w:val="0"/>
                <w:sz w:val="24"/>
                <w:lang w:bidi="ar"/>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项目完成</w:t>
            </w:r>
          </w:p>
          <w:p>
            <w:pPr>
              <w:widowControl/>
              <w:jc w:val="center"/>
              <w:textAlignment w:val="center"/>
              <w:rPr>
                <w:color w:val="000000"/>
                <w:sz w:val="24"/>
              </w:rPr>
            </w:pPr>
            <w:r>
              <w:rPr>
                <w:color w:val="000000"/>
                <w:kern w:val="0"/>
                <w:sz w:val="24"/>
                <w:lang w:bidi="ar"/>
              </w:rPr>
              <w:t>指标</w:t>
            </w:r>
          </w:p>
        </w:tc>
        <w:tc>
          <w:tcPr>
            <w:tcW w:w="102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数量指标</w:t>
            </w: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sz w:val="24"/>
              </w:rPr>
              <w:t>农民工专项行动</w:t>
            </w:r>
          </w:p>
        </w:tc>
        <w:tc>
          <w:tcPr>
            <w:tcW w:w="239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慰问农民工4000人次</w:t>
            </w:r>
          </w:p>
        </w:tc>
        <w:tc>
          <w:tcPr>
            <w:tcW w:w="239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color w:val="000000"/>
                <w:sz w:val="24"/>
              </w:rPr>
              <w:t>2021年，开展农民工“五大专项”行动、和谐劳动“春风行动”工作，截止3月14日，发放慰问金含慰问品和慰问金，2.6575万元；节后就业摸排省内就业意愿人数30人；举办专场招聘会，提供岗位45个；根治欠薪冬季攻坚服务农民工19人兑付工资金额18.7万元；证照办理服务农民工55人次；旅途暖冬服务农民工390，投入金额2.13万元</w:t>
            </w:r>
          </w:p>
        </w:tc>
      </w:tr>
      <w:tr>
        <w:tblPrEx>
          <w:tblCellMar>
            <w:top w:w="0" w:type="dxa"/>
            <w:left w:w="0" w:type="dxa"/>
            <w:bottom w:w="0" w:type="dxa"/>
            <w:right w:w="0" w:type="dxa"/>
          </w:tblCellMar>
        </w:tblPrEx>
        <w:trPr>
          <w:trHeight w:val="1297" w:hRule="atLeast"/>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项目完成</w:t>
            </w:r>
          </w:p>
          <w:p>
            <w:pPr>
              <w:widowControl/>
              <w:jc w:val="center"/>
              <w:textAlignment w:val="center"/>
              <w:rPr>
                <w:color w:val="000000"/>
                <w:sz w:val="24"/>
              </w:rPr>
            </w:pPr>
            <w:r>
              <w:rPr>
                <w:color w:val="000000"/>
                <w:kern w:val="0"/>
                <w:sz w:val="24"/>
                <w:lang w:bidi="ar"/>
              </w:rPr>
              <w:t>指标</w:t>
            </w:r>
          </w:p>
        </w:tc>
        <w:tc>
          <w:tcPr>
            <w:tcW w:w="102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开展</w:t>
            </w:r>
            <w:r>
              <w:rPr>
                <w:rFonts w:hint="eastAsia"/>
                <w:color w:val="000000"/>
                <w:sz w:val="24"/>
              </w:rPr>
              <w:t>工作培训</w:t>
            </w:r>
            <w:r>
              <w:rPr>
                <w:color w:val="000000"/>
                <w:sz w:val="24"/>
              </w:rPr>
              <w:t>专项行动</w:t>
            </w:r>
          </w:p>
        </w:tc>
        <w:tc>
          <w:tcPr>
            <w:tcW w:w="239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以中央、省、市文件为准，按实际情况合理使用</w:t>
            </w:r>
          </w:p>
        </w:tc>
        <w:tc>
          <w:tcPr>
            <w:tcW w:w="2392" w:type="dxa"/>
            <w:vMerge w:val="continue"/>
            <w:tcBorders>
              <w:left w:val="single" w:color="000000" w:sz="4" w:space="0"/>
              <w:right w:val="single" w:color="000000" w:sz="4" w:space="0"/>
            </w:tcBorders>
            <w:tcMar>
              <w:top w:w="15" w:type="dxa"/>
              <w:left w:w="15" w:type="dxa"/>
              <w:right w:w="15" w:type="dxa"/>
            </w:tcMar>
            <w:vAlign w:val="center"/>
          </w:tcPr>
          <w:p>
            <w:pPr>
              <w:widowControl/>
              <w:spacing w:line="0" w:lineRule="atLeast"/>
              <w:jc w:val="center"/>
              <w:textAlignment w:val="center"/>
              <w:rPr>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项目完成</w:t>
            </w:r>
          </w:p>
          <w:p>
            <w:pPr>
              <w:widowControl/>
              <w:jc w:val="center"/>
              <w:textAlignment w:val="center"/>
              <w:rPr>
                <w:color w:val="000000"/>
                <w:sz w:val="24"/>
              </w:rPr>
            </w:pPr>
            <w:r>
              <w:rPr>
                <w:color w:val="000000"/>
                <w:kern w:val="0"/>
                <w:sz w:val="24"/>
                <w:lang w:bidi="ar"/>
              </w:rPr>
              <w:t>指标</w:t>
            </w:r>
          </w:p>
        </w:tc>
        <w:tc>
          <w:tcPr>
            <w:tcW w:w="102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印制宣传资料</w:t>
            </w:r>
          </w:p>
        </w:tc>
        <w:tc>
          <w:tcPr>
            <w:tcW w:w="239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预计1000份</w:t>
            </w:r>
          </w:p>
        </w:tc>
        <w:tc>
          <w:tcPr>
            <w:tcW w:w="2392"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jc w:val="center"/>
              <w:rPr>
                <w:kern w:val="0"/>
                <w:sz w:val="18"/>
                <w:szCs w:val="18"/>
              </w:rPr>
            </w:pPr>
          </w:p>
        </w:tc>
      </w:tr>
      <w:tr>
        <w:tblPrEx>
          <w:tblCellMar>
            <w:top w:w="0" w:type="dxa"/>
            <w:left w:w="0" w:type="dxa"/>
            <w:bottom w:w="0" w:type="dxa"/>
            <w:right w:w="0" w:type="dxa"/>
          </w:tblCellMar>
        </w:tblPrEx>
        <w:trPr>
          <w:trHeight w:val="893" w:hRule="atLeast"/>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项目完成</w:t>
            </w:r>
          </w:p>
          <w:p>
            <w:pPr>
              <w:widowControl/>
              <w:jc w:val="center"/>
              <w:textAlignment w:val="center"/>
              <w:rPr>
                <w:color w:val="000000"/>
                <w:kern w:val="0"/>
                <w:sz w:val="24"/>
                <w:lang w:bidi="ar"/>
              </w:rPr>
            </w:pPr>
            <w:r>
              <w:rPr>
                <w:color w:val="000000"/>
                <w:kern w:val="0"/>
                <w:sz w:val="24"/>
                <w:lang w:bidi="ar"/>
              </w:rPr>
              <w:t>指标</w:t>
            </w:r>
          </w:p>
        </w:tc>
        <w:tc>
          <w:tcPr>
            <w:tcW w:w="102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维护劳动和谐关系</w:t>
            </w:r>
          </w:p>
        </w:tc>
        <w:tc>
          <w:tcPr>
            <w:tcW w:w="239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完成日常案件办理、组织参加培训等</w:t>
            </w:r>
          </w:p>
        </w:tc>
        <w:tc>
          <w:tcPr>
            <w:tcW w:w="239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r>
      <w:tr>
        <w:tblPrEx>
          <w:tblCellMar>
            <w:top w:w="0" w:type="dxa"/>
            <w:left w:w="0" w:type="dxa"/>
            <w:bottom w:w="0" w:type="dxa"/>
            <w:right w:w="0" w:type="dxa"/>
          </w:tblCellMar>
        </w:tblPrEx>
        <w:trPr>
          <w:trHeight w:val="1050" w:hRule="atLeast"/>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项目完成</w:t>
            </w:r>
          </w:p>
          <w:p>
            <w:pPr>
              <w:widowControl/>
              <w:jc w:val="center"/>
              <w:textAlignment w:val="center"/>
              <w:rPr>
                <w:color w:val="000000"/>
                <w:sz w:val="24"/>
              </w:rPr>
            </w:pPr>
            <w:r>
              <w:rPr>
                <w:color w:val="000000"/>
                <w:kern w:val="0"/>
                <w:sz w:val="24"/>
                <w:lang w:bidi="ar"/>
              </w:rPr>
              <w:t>指标</w:t>
            </w:r>
          </w:p>
        </w:tc>
        <w:tc>
          <w:tcPr>
            <w:tcW w:w="102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质量指标</w:t>
            </w: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sz w:val="24"/>
              </w:rPr>
              <w:t>农民工专项行动</w:t>
            </w:r>
          </w:p>
        </w:tc>
        <w:tc>
          <w:tcPr>
            <w:tcW w:w="239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开展农民工座谈、慰问不少于2次</w:t>
            </w:r>
          </w:p>
        </w:tc>
        <w:tc>
          <w:tcPr>
            <w:tcW w:w="239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color w:val="000000"/>
                <w:sz w:val="24"/>
              </w:rPr>
              <w:t>2021年1-8月，开展农民工“五大专项”行动、和谐劳动“春风行动”工作，截止3月14日，发放慰问金含慰问品和慰问金，2.6575万元；节后就业摸排省内就业意愿人数30人；举办专场招聘会，提供岗位45个；根治欠薪冬季攻坚服务农民工19人兑付工资金额18.7万元；证照办理服务农民工55人次；旅途暖冬服务农民工390，投入金额2.13万元</w:t>
            </w:r>
          </w:p>
        </w:tc>
      </w:tr>
      <w:tr>
        <w:tblPrEx>
          <w:tblCellMar>
            <w:top w:w="0" w:type="dxa"/>
            <w:left w:w="0" w:type="dxa"/>
            <w:bottom w:w="0" w:type="dxa"/>
            <w:right w:w="0" w:type="dxa"/>
          </w:tblCellMar>
        </w:tblPrEx>
        <w:trPr>
          <w:trHeight w:val="1050" w:hRule="atLeast"/>
        </w:trPr>
        <w:tc>
          <w:tcPr>
            <w:tcW w:w="390" w:type="dxa"/>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项目完成</w:t>
            </w:r>
          </w:p>
          <w:p>
            <w:pPr>
              <w:widowControl/>
              <w:jc w:val="center"/>
              <w:textAlignment w:val="center"/>
              <w:rPr>
                <w:color w:val="000000"/>
                <w:kern w:val="0"/>
                <w:sz w:val="24"/>
                <w:lang w:bidi="ar"/>
              </w:rPr>
            </w:pPr>
            <w:r>
              <w:rPr>
                <w:color w:val="000000"/>
                <w:kern w:val="0"/>
                <w:sz w:val="24"/>
                <w:lang w:bidi="ar"/>
              </w:rPr>
              <w:t>指标</w:t>
            </w:r>
          </w:p>
        </w:tc>
        <w:tc>
          <w:tcPr>
            <w:tcW w:w="102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维护劳动和谐关系案件办理</w:t>
            </w:r>
          </w:p>
        </w:tc>
        <w:tc>
          <w:tcPr>
            <w:tcW w:w="239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完成率100%</w:t>
            </w:r>
          </w:p>
        </w:tc>
        <w:tc>
          <w:tcPr>
            <w:tcW w:w="239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r>
      <w:tr>
        <w:tblPrEx>
          <w:tblCellMar>
            <w:top w:w="0" w:type="dxa"/>
            <w:left w:w="0" w:type="dxa"/>
            <w:bottom w:w="0" w:type="dxa"/>
            <w:right w:w="0" w:type="dxa"/>
          </w:tblCellMar>
        </w:tblPrEx>
        <w:trPr>
          <w:trHeight w:val="775" w:hRule="atLeast"/>
        </w:trPr>
        <w:tc>
          <w:tcPr>
            <w:tcW w:w="390" w:type="dxa"/>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项目完成</w:t>
            </w:r>
          </w:p>
          <w:p>
            <w:pPr>
              <w:widowControl/>
              <w:jc w:val="center"/>
              <w:textAlignment w:val="center"/>
              <w:rPr>
                <w:color w:val="000000"/>
                <w:kern w:val="0"/>
                <w:sz w:val="24"/>
                <w:lang w:bidi="ar"/>
              </w:rPr>
            </w:pPr>
            <w:r>
              <w:rPr>
                <w:color w:val="000000"/>
                <w:kern w:val="0"/>
                <w:sz w:val="24"/>
                <w:lang w:bidi="ar"/>
              </w:rPr>
              <w:t>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时效指标</w:t>
            </w: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开展工作</w:t>
            </w:r>
          </w:p>
        </w:tc>
        <w:tc>
          <w:tcPr>
            <w:tcW w:w="239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2020年1-12月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100%</w:t>
            </w:r>
          </w:p>
        </w:tc>
      </w:tr>
      <w:tr>
        <w:tblPrEx>
          <w:tblCellMar>
            <w:top w:w="0" w:type="dxa"/>
            <w:left w:w="0" w:type="dxa"/>
            <w:bottom w:w="0" w:type="dxa"/>
            <w:right w:w="0" w:type="dxa"/>
          </w:tblCellMar>
        </w:tblPrEx>
        <w:trPr>
          <w:trHeight w:val="517" w:hRule="atLeast"/>
        </w:trPr>
        <w:tc>
          <w:tcPr>
            <w:tcW w:w="390" w:type="dxa"/>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13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项目完成</w:t>
            </w:r>
          </w:p>
          <w:p>
            <w:pPr>
              <w:widowControl/>
              <w:jc w:val="center"/>
              <w:textAlignment w:val="center"/>
              <w:rPr>
                <w:color w:val="000000"/>
                <w:kern w:val="0"/>
                <w:sz w:val="24"/>
                <w:lang w:bidi="ar"/>
              </w:rPr>
            </w:pPr>
            <w:r>
              <w:rPr>
                <w:color w:val="000000"/>
                <w:kern w:val="0"/>
                <w:sz w:val="24"/>
                <w:lang w:bidi="ar"/>
              </w:rPr>
              <w:t>指标</w:t>
            </w:r>
          </w:p>
        </w:tc>
        <w:tc>
          <w:tcPr>
            <w:tcW w:w="102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成本指标</w:t>
            </w: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sz w:val="24"/>
              </w:rPr>
              <w:t>农民工专项行动</w:t>
            </w:r>
          </w:p>
        </w:tc>
        <w:tc>
          <w:tcPr>
            <w:tcW w:w="239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慰问信：4000份*2元；慰问品：10000元</w:t>
            </w:r>
          </w:p>
        </w:tc>
        <w:tc>
          <w:tcPr>
            <w:tcW w:w="239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共计</w:t>
            </w:r>
            <w:r>
              <w:rPr>
                <w:rFonts w:hint="eastAsia"/>
                <w:color w:val="000000"/>
                <w:sz w:val="24"/>
              </w:rPr>
              <w:t>2</w:t>
            </w:r>
            <w:r>
              <w:rPr>
                <w:color w:val="000000"/>
                <w:sz w:val="24"/>
              </w:rPr>
              <w:t>万元</w:t>
            </w:r>
          </w:p>
        </w:tc>
      </w:tr>
      <w:tr>
        <w:tblPrEx>
          <w:tblCellMar>
            <w:top w:w="0" w:type="dxa"/>
            <w:left w:w="0" w:type="dxa"/>
            <w:bottom w:w="0" w:type="dxa"/>
            <w:right w:w="0" w:type="dxa"/>
          </w:tblCellMar>
        </w:tblPrEx>
        <w:trPr>
          <w:trHeight w:val="638" w:hRule="atLeast"/>
        </w:trPr>
        <w:tc>
          <w:tcPr>
            <w:tcW w:w="390" w:type="dxa"/>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136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p>
        </w:tc>
        <w:tc>
          <w:tcPr>
            <w:tcW w:w="102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sz w:val="24"/>
              </w:rPr>
              <w:t>印制宣传资料</w:t>
            </w:r>
          </w:p>
        </w:tc>
        <w:tc>
          <w:tcPr>
            <w:tcW w:w="239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2元/份*1000份</w:t>
            </w:r>
          </w:p>
        </w:tc>
        <w:tc>
          <w:tcPr>
            <w:tcW w:w="239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r>
      <w:tr>
        <w:tblPrEx>
          <w:tblCellMar>
            <w:top w:w="0" w:type="dxa"/>
            <w:left w:w="0" w:type="dxa"/>
            <w:bottom w:w="0" w:type="dxa"/>
            <w:right w:w="0" w:type="dxa"/>
          </w:tblCellMar>
        </w:tblPrEx>
        <w:trPr>
          <w:trHeight w:val="1050" w:hRule="atLeast"/>
        </w:trPr>
        <w:tc>
          <w:tcPr>
            <w:tcW w:w="390" w:type="dxa"/>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项目完成</w:t>
            </w:r>
          </w:p>
          <w:p>
            <w:pPr>
              <w:widowControl/>
              <w:jc w:val="center"/>
              <w:textAlignment w:val="center"/>
              <w:rPr>
                <w:color w:val="000000"/>
                <w:kern w:val="0"/>
                <w:sz w:val="24"/>
                <w:lang w:bidi="ar"/>
              </w:rPr>
            </w:pPr>
            <w:r>
              <w:rPr>
                <w:color w:val="000000"/>
                <w:kern w:val="0"/>
                <w:sz w:val="24"/>
                <w:lang w:bidi="ar"/>
              </w:rPr>
              <w:t>指标</w:t>
            </w:r>
          </w:p>
        </w:tc>
        <w:tc>
          <w:tcPr>
            <w:tcW w:w="102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社会效益</w:t>
            </w:r>
          </w:p>
          <w:p>
            <w:pPr>
              <w:widowControl/>
              <w:jc w:val="center"/>
              <w:textAlignment w:val="center"/>
              <w:rPr>
                <w:color w:val="000000"/>
                <w:sz w:val="24"/>
              </w:rPr>
            </w:pPr>
            <w:r>
              <w:rPr>
                <w:color w:val="000000"/>
                <w:sz w:val="24"/>
              </w:rPr>
              <w:t>指标</w:t>
            </w: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实现辖区农民工全覆盖慰问</w:t>
            </w:r>
          </w:p>
        </w:tc>
        <w:tc>
          <w:tcPr>
            <w:tcW w:w="239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营造良好劳动就业环境；为群众提供优质劳动就业等政策服务，构建和谐劳动就业关系</w:t>
            </w:r>
          </w:p>
        </w:tc>
        <w:tc>
          <w:tcPr>
            <w:tcW w:w="239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202</w:t>
            </w:r>
            <w:r>
              <w:rPr>
                <w:rFonts w:hint="eastAsia"/>
                <w:color w:val="000000"/>
                <w:sz w:val="24"/>
              </w:rPr>
              <w:t>1</w:t>
            </w:r>
            <w:r>
              <w:rPr>
                <w:color w:val="000000"/>
                <w:sz w:val="24"/>
              </w:rPr>
              <w:t>年，主动监察用人单位112户次，均按要求签订劳动合同，劳动合同签订率为100%；立案处理拖欠农民工工资举报投诉案件5件，劳动保障监察举报投诉案件结案率和拖欠农民工工资举报投诉案件结案率均为100%。共立案受理劳动争议118件，结案112件，结案率94.92%，完成目标任务；案外调解929件，调解结案率90%，达成调解成功率不低60%的目标任务。</w:t>
            </w:r>
          </w:p>
        </w:tc>
      </w:tr>
      <w:tr>
        <w:tblPrEx>
          <w:tblCellMar>
            <w:top w:w="0" w:type="dxa"/>
            <w:left w:w="0" w:type="dxa"/>
            <w:bottom w:w="0" w:type="dxa"/>
            <w:right w:w="0" w:type="dxa"/>
          </w:tblCellMar>
        </w:tblPrEx>
        <w:trPr>
          <w:trHeight w:val="1050" w:hRule="atLeast"/>
        </w:trPr>
        <w:tc>
          <w:tcPr>
            <w:tcW w:w="390" w:type="dxa"/>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项目完成</w:t>
            </w:r>
          </w:p>
          <w:p>
            <w:pPr>
              <w:widowControl/>
              <w:jc w:val="center"/>
              <w:textAlignment w:val="center"/>
              <w:rPr>
                <w:color w:val="000000"/>
                <w:kern w:val="0"/>
                <w:sz w:val="24"/>
                <w:lang w:bidi="ar"/>
              </w:rPr>
            </w:pPr>
            <w:r>
              <w:rPr>
                <w:color w:val="000000"/>
                <w:kern w:val="0"/>
                <w:sz w:val="24"/>
                <w:lang w:bidi="ar"/>
              </w:rPr>
              <w:t>指标</w:t>
            </w:r>
          </w:p>
        </w:tc>
        <w:tc>
          <w:tcPr>
            <w:tcW w:w="102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将宣传资料发放至建筑工地农民工手中，普及劳动保障知识，提高农民工维权意识</w:t>
            </w:r>
          </w:p>
        </w:tc>
        <w:tc>
          <w:tcPr>
            <w:tcW w:w="239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营造良好劳动就业环境；为群众提供优质劳动就业等政策服务，构建和谐劳动就业关系</w:t>
            </w:r>
          </w:p>
        </w:tc>
        <w:tc>
          <w:tcPr>
            <w:tcW w:w="239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r>
      <w:tr>
        <w:tblPrEx>
          <w:tblCellMar>
            <w:top w:w="0" w:type="dxa"/>
            <w:left w:w="0" w:type="dxa"/>
            <w:bottom w:w="0" w:type="dxa"/>
            <w:right w:w="0" w:type="dxa"/>
          </w:tblCellMar>
        </w:tblPrEx>
        <w:trPr>
          <w:trHeight w:val="1050" w:hRule="atLeast"/>
        </w:trPr>
        <w:tc>
          <w:tcPr>
            <w:tcW w:w="390" w:type="dxa"/>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项目完成</w:t>
            </w:r>
          </w:p>
          <w:p>
            <w:pPr>
              <w:widowControl/>
              <w:jc w:val="center"/>
              <w:textAlignment w:val="center"/>
              <w:rPr>
                <w:color w:val="000000"/>
                <w:kern w:val="0"/>
                <w:sz w:val="24"/>
                <w:lang w:bidi="ar"/>
              </w:rPr>
            </w:pPr>
            <w:r>
              <w:rPr>
                <w:color w:val="000000"/>
                <w:kern w:val="0"/>
                <w:sz w:val="24"/>
                <w:lang w:bidi="ar"/>
              </w:rPr>
              <w:t>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可持续影响指标</w:t>
            </w: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实现辖区农民工全覆盖慰问</w:t>
            </w:r>
          </w:p>
        </w:tc>
        <w:tc>
          <w:tcPr>
            <w:tcW w:w="239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实现辖区农民工全覆盖慰问</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实现辖区农民工全覆盖慰问</w:t>
            </w:r>
          </w:p>
        </w:tc>
      </w:tr>
    </w:tbl>
    <w:p>
      <w:pPr>
        <w:spacing w:line="572" w:lineRule="exact"/>
        <w:rPr>
          <w:rFonts w:ascii="方正小标宋简体" w:hAnsi="宋体" w:eastAsia="方正小标宋简体"/>
          <w:kern w:val="0"/>
          <w:sz w:val="40"/>
          <w:szCs w:val="44"/>
        </w:rPr>
      </w:pPr>
    </w:p>
    <w:tbl>
      <w:tblPr>
        <w:tblStyle w:val="13"/>
        <w:tblpPr w:leftFromText="180" w:rightFromText="180" w:vertAnchor="text" w:horzAnchor="margin" w:tblpXSpec="center" w:tblpY="-606"/>
        <w:tblOverlap w:val="never"/>
        <w:tblW w:w="9960" w:type="dxa"/>
        <w:tblInd w:w="0" w:type="dxa"/>
        <w:tblLayout w:type="fixed"/>
        <w:tblCellMar>
          <w:top w:w="0" w:type="dxa"/>
          <w:left w:w="0" w:type="dxa"/>
          <w:bottom w:w="0" w:type="dxa"/>
          <w:right w:w="0" w:type="dxa"/>
        </w:tblCellMar>
      </w:tblPr>
      <w:tblGrid>
        <w:gridCol w:w="390"/>
        <w:gridCol w:w="1367"/>
        <w:gridCol w:w="1025"/>
        <w:gridCol w:w="279"/>
        <w:gridCol w:w="1882"/>
        <w:gridCol w:w="231"/>
        <w:gridCol w:w="1006"/>
        <w:gridCol w:w="1273"/>
        <w:gridCol w:w="115"/>
        <w:gridCol w:w="2392"/>
      </w:tblGrid>
      <w:tr>
        <w:tblPrEx>
          <w:tblCellMar>
            <w:top w:w="0" w:type="dxa"/>
            <w:left w:w="0" w:type="dxa"/>
            <w:bottom w:w="0" w:type="dxa"/>
            <w:right w:w="0" w:type="dxa"/>
          </w:tblCellMar>
        </w:tblPrEx>
        <w:trPr>
          <w:trHeight w:val="1034" w:hRule="atLeast"/>
        </w:trPr>
        <w:tc>
          <w:tcPr>
            <w:tcW w:w="9960" w:type="dxa"/>
            <w:gridSpan w:val="10"/>
            <w:tcBorders>
              <w:top w:val="nil"/>
              <w:left w:val="nil"/>
              <w:bottom w:val="nil"/>
              <w:right w:val="nil"/>
            </w:tcBorders>
            <w:tcMar>
              <w:top w:w="15" w:type="dxa"/>
              <w:left w:w="15" w:type="dxa"/>
              <w:right w:w="15" w:type="dxa"/>
            </w:tcMar>
            <w:vAlign w:val="center"/>
          </w:tcPr>
          <w:p>
            <w:pPr>
              <w:widowControl/>
              <w:textAlignment w:val="center"/>
              <w:rPr>
                <w:rFonts w:ascii="宋体" w:hAnsi="宋体" w:cs="宋体"/>
                <w:b/>
                <w:sz w:val="32"/>
                <w:szCs w:val="32"/>
              </w:rPr>
            </w:pPr>
          </w:p>
          <w:p>
            <w:pPr>
              <w:widowControl/>
              <w:jc w:val="center"/>
              <w:textAlignment w:val="center"/>
              <w:rPr>
                <w:color w:val="000000"/>
                <w:sz w:val="36"/>
                <w:szCs w:val="36"/>
              </w:rPr>
            </w:pPr>
            <w:r>
              <w:rPr>
                <w:rFonts w:hint="eastAsia" w:ascii="宋体" w:hAnsi="宋体" w:cs="宋体"/>
                <w:b/>
                <w:sz w:val="32"/>
                <w:szCs w:val="32"/>
              </w:rPr>
              <w:t>2021年部门预算项目绩效目标自评</w:t>
            </w:r>
          </w:p>
        </w:tc>
      </w:tr>
      <w:tr>
        <w:tblPrEx>
          <w:tblCellMar>
            <w:top w:w="0" w:type="dxa"/>
            <w:left w:w="0" w:type="dxa"/>
            <w:bottom w:w="0" w:type="dxa"/>
            <w:right w:w="0" w:type="dxa"/>
          </w:tblCellMar>
        </w:tblPrEx>
        <w:trPr>
          <w:trHeight w:val="276" w:hRule="atLeast"/>
        </w:trPr>
        <w:tc>
          <w:tcPr>
            <w:tcW w:w="306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color w:val="000000"/>
                <w:sz w:val="24"/>
              </w:rPr>
            </w:pPr>
            <w:r>
              <w:rPr>
                <w:rFonts w:hint="eastAsia" w:ascii="宋体" w:hAnsi="宋体" w:cs="宋体"/>
                <w:kern w:val="0"/>
                <w:sz w:val="24"/>
              </w:rPr>
              <w:t>主管部门及代码</w:t>
            </w:r>
          </w:p>
        </w:tc>
        <w:tc>
          <w:tcPr>
            <w:tcW w:w="311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color w:val="000000"/>
                <w:sz w:val="24"/>
              </w:rPr>
            </w:pPr>
            <w:r>
              <w:rPr>
                <w:rFonts w:hint="eastAsia" w:ascii="宋体" w:hAnsi="宋体" w:cs="宋体"/>
                <w:sz w:val="24"/>
              </w:rPr>
              <w:t>攀枝花市西区人力资源和社会保障局</w:t>
            </w:r>
          </w:p>
        </w:tc>
        <w:tc>
          <w:tcPr>
            <w:tcW w:w="12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pPr>
            <w:r>
              <w:rPr>
                <w:rFonts w:hint="eastAsia" w:ascii="宋体" w:hAnsi="宋体" w:cs="宋体"/>
                <w:kern w:val="0"/>
                <w:sz w:val="24"/>
              </w:rPr>
              <w:t>实施单位</w:t>
            </w:r>
          </w:p>
        </w:tc>
        <w:tc>
          <w:tcPr>
            <w:tcW w:w="25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pPr>
            <w:r>
              <w:rPr>
                <w:rFonts w:hint="eastAsia" w:ascii="宋体" w:hAnsi="宋体" w:cs="宋体"/>
                <w:sz w:val="24"/>
              </w:rPr>
              <w:t>攀枝花市西区人力资源和社会保障局</w:t>
            </w:r>
          </w:p>
        </w:tc>
      </w:tr>
      <w:tr>
        <w:tblPrEx>
          <w:tblCellMar>
            <w:top w:w="0" w:type="dxa"/>
            <w:left w:w="0" w:type="dxa"/>
            <w:bottom w:w="0" w:type="dxa"/>
            <w:right w:w="0" w:type="dxa"/>
          </w:tblCellMar>
        </w:tblPrEx>
        <w:trPr>
          <w:trHeight w:val="276" w:hRule="atLeast"/>
        </w:trPr>
        <w:tc>
          <w:tcPr>
            <w:tcW w:w="3061" w:type="dxa"/>
            <w:gridSpan w:val="4"/>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color w:val="000000"/>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color w:val="000000"/>
                <w:sz w:val="24"/>
              </w:rPr>
            </w:pPr>
            <w:r>
              <w:rPr>
                <w:rFonts w:hint="eastAsia" w:ascii="宋体" w:hAnsi="宋体" w:cs="宋体"/>
                <w:kern w:val="0"/>
                <w:sz w:val="24"/>
              </w:rPr>
              <w:t xml:space="preserve"> 预算数：</w:t>
            </w:r>
          </w:p>
        </w:tc>
        <w:tc>
          <w:tcPr>
            <w:tcW w:w="123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pPr>
            <w:r>
              <w:rPr>
                <w:rFonts w:hint="eastAsia" w:ascii="宋体" w:hAnsi="宋体" w:cs="宋体"/>
                <w:sz w:val="24"/>
              </w:rPr>
              <w:t>2</w:t>
            </w:r>
          </w:p>
        </w:tc>
        <w:tc>
          <w:tcPr>
            <w:tcW w:w="12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pPr>
            <w:r>
              <w:rPr>
                <w:rFonts w:hint="eastAsia" w:ascii="宋体" w:hAnsi="宋体" w:cs="宋体"/>
                <w:kern w:val="0"/>
                <w:sz w:val="24"/>
              </w:rPr>
              <w:t xml:space="preserve"> 执行数：</w:t>
            </w:r>
          </w:p>
        </w:tc>
        <w:tc>
          <w:tcPr>
            <w:tcW w:w="25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pPr>
            <w:r>
              <w:rPr>
                <w:rFonts w:hint="eastAsia"/>
              </w:rPr>
              <w:t>2</w:t>
            </w:r>
          </w:p>
        </w:tc>
      </w:tr>
      <w:tr>
        <w:tblPrEx>
          <w:tblCellMar>
            <w:top w:w="0" w:type="dxa"/>
            <w:left w:w="0" w:type="dxa"/>
            <w:bottom w:w="0" w:type="dxa"/>
            <w:right w:w="0" w:type="dxa"/>
          </w:tblCellMar>
        </w:tblPrEx>
        <w:trPr>
          <w:trHeight w:val="299" w:hRule="atLeast"/>
        </w:trPr>
        <w:tc>
          <w:tcPr>
            <w:tcW w:w="3061" w:type="dxa"/>
            <w:gridSpan w:val="4"/>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sz w:val="24"/>
              </w:rPr>
            </w:pP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sz w:val="24"/>
              </w:rPr>
            </w:pPr>
            <w:r>
              <w:rPr>
                <w:rFonts w:hint="eastAsia" w:ascii="宋体" w:hAnsi="宋体" w:cs="宋体"/>
                <w:kern w:val="0"/>
                <w:sz w:val="24"/>
              </w:rPr>
              <w:t>财政拨款</w:t>
            </w:r>
          </w:p>
        </w:tc>
        <w:tc>
          <w:tcPr>
            <w:tcW w:w="123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pPr>
            <w:r>
              <w:rPr>
                <w:rFonts w:hint="eastAsia"/>
              </w:rPr>
              <w:t>2</w:t>
            </w:r>
          </w:p>
        </w:tc>
        <w:tc>
          <w:tcPr>
            <w:tcW w:w="12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sz w:val="24"/>
              </w:rPr>
            </w:pPr>
            <w:r>
              <w:rPr>
                <w:rFonts w:hint="eastAsia" w:ascii="宋体" w:hAnsi="宋体" w:cs="宋体"/>
                <w:kern w:val="0"/>
                <w:sz w:val="24"/>
              </w:rPr>
              <w:t>财政拨款</w:t>
            </w:r>
          </w:p>
        </w:tc>
        <w:tc>
          <w:tcPr>
            <w:tcW w:w="25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pPr>
            <w:r>
              <w:rPr>
                <w:rFonts w:hint="eastAsia"/>
              </w:rPr>
              <w:t>2</w:t>
            </w:r>
          </w:p>
        </w:tc>
      </w:tr>
      <w:tr>
        <w:tblPrEx>
          <w:tblCellMar>
            <w:top w:w="0" w:type="dxa"/>
            <w:left w:w="0" w:type="dxa"/>
            <w:bottom w:w="0" w:type="dxa"/>
            <w:right w:w="0" w:type="dxa"/>
          </w:tblCellMar>
        </w:tblPrEx>
        <w:trPr>
          <w:trHeight w:val="276" w:hRule="atLeast"/>
        </w:trPr>
        <w:tc>
          <w:tcPr>
            <w:tcW w:w="3061" w:type="dxa"/>
            <w:gridSpan w:val="4"/>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sz w:val="24"/>
              </w:rPr>
            </w:pP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sz w:val="24"/>
              </w:rPr>
            </w:pPr>
            <w:r>
              <w:rPr>
                <w:rFonts w:hint="eastAsia" w:ascii="宋体" w:hAnsi="宋体" w:cs="宋体"/>
                <w:kern w:val="0"/>
                <w:sz w:val="24"/>
              </w:rPr>
              <w:t>其他资金</w:t>
            </w:r>
          </w:p>
        </w:tc>
        <w:tc>
          <w:tcPr>
            <w:tcW w:w="123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pPr>
          </w:p>
        </w:tc>
        <w:tc>
          <w:tcPr>
            <w:tcW w:w="12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sz w:val="24"/>
              </w:rPr>
            </w:pPr>
            <w:r>
              <w:rPr>
                <w:rFonts w:hint="eastAsia" w:ascii="宋体" w:hAnsi="宋体" w:cs="宋体"/>
                <w:kern w:val="0"/>
                <w:sz w:val="24"/>
              </w:rPr>
              <w:t>其他资金</w:t>
            </w:r>
          </w:p>
        </w:tc>
        <w:tc>
          <w:tcPr>
            <w:tcW w:w="25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kern w:val="0"/>
                <w:sz w:val="24"/>
                <w:lang w:bidi="ar"/>
              </w:rPr>
              <w:t>年度目标完成情况</w:t>
            </w:r>
          </w:p>
        </w:tc>
        <w:tc>
          <w:tcPr>
            <w:tcW w:w="478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kern w:val="0"/>
                <w:sz w:val="24"/>
                <w:lang w:bidi="ar"/>
              </w:rPr>
              <w:t>预期目标</w:t>
            </w:r>
          </w:p>
        </w:tc>
        <w:tc>
          <w:tcPr>
            <w:tcW w:w="478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kern w:val="0"/>
                <w:sz w:val="24"/>
                <w:lang w:bidi="ar"/>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4"/>
              </w:rPr>
            </w:pPr>
          </w:p>
        </w:tc>
        <w:tc>
          <w:tcPr>
            <w:tcW w:w="478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按照《劳动法》《劳动合同法》《劳动保障监察条例》《劳动争议调解仲裁法》《关于印发攀枝花市加强农民工服务保障工作方案的通知》</w:t>
            </w:r>
          </w:p>
          <w:p>
            <w:pPr>
              <w:widowControl/>
              <w:jc w:val="center"/>
              <w:textAlignment w:val="center"/>
              <w:rPr>
                <w:color w:val="000000"/>
                <w:sz w:val="24"/>
              </w:rPr>
            </w:pPr>
            <w:r>
              <w:rPr>
                <w:color w:val="000000"/>
                <w:sz w:val="24"/>
              </w:rPr>
              <w:t>全力构建社会公平正义，营造良好劳动就业环境，为群众提供优质劳动就业等政策服务，构建和谐劳动就业关系。</w:t>
            </w:r>
          </w:p>
        </w:tc>
        <w:tc>
          <w:tcPr>
            <w:tcW w:w="478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202</w:t>
            </w:r>
            <w:r>
              <w:rPr>
                <w:rFonts w:hint="eastAsia"/>
                <w:color w:val="000000"/>
                <w:sz w:val="24"/>
              </w:rPr>
              <w:t>1</w:t>
            </w:r>
            <w:r>
              <w:rPr>
                <w:color w:val="000000"/>
                <w:sz w:val="24"/>
              </w:rPr>
              <w:t>年，</w:t>
            </w:r>
            <w:r>
              <w:rPr>
                <w:rFonts w:hint="eastAsia"/>
                <w:color w:val="000000"/>
                <w:sz w:val="24"/>
              </w:rPr>
              <w:t>开展农民工专项行动，慰问农民工4000人次，</w:t>
            </w:r>
            <w:r>
              <w:rPr>
                <w:color w:val="000000"/>
                <w:sz w:val="24"/>
              </w:rPr>
              <w:t>开展农民工“五大专项”行动、和谐劳动“春风行动”工作，截止3月14日，发放慰问金含慰问品和慰问金，2.6575万元；节后就业摸排省内就业意愿人数30人；举办专场招聘会，提供岗位45个；根治欠薪冬季攻坚服务农民工19人兑付工资金额18.7万元；证照办理服务农民工55人次；农民工群体满意度达到96%以上</w:t>
            </w:r>
            <w:r>
              <w:rPr>
                <w:rFonts w:hint="eastAsia"/>
                <w:color w:val="000000"/>
                <w:sz w:val="24"/>
              </w:rPr>
              <w:t>，政策法规宣传普及率达96%</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kern w:val="0"/>
                <w:sz w:val="24"/>
                <w:lang w:bidi="ar"/>
              </w:rPr>
              <w:t>二级指标</w:t>
            </w: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kern w:val="0"/>
                <w:sz w:val="24"/>
                <w:lang w:bidi="ar"/>
              </w:rPr>
              <w:t>三级指标</w:t>
            </w:r>
          </w:p>
        </w:tc>
        <w:tc>
          <w:tcPr>
            <w:tcW w:w="239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kern w:val="0"/>
                <w:sz w:val="24"/>
                <w:lang w:bidi="ar"/>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项目完成</w:t>
            </w:r>
          </w:p>
          <w:p>
            <w:pPr>
              <w:widowControl/>
              <w:jc w:val="center"/>
              <w:textAlignment w:val="center"/>
              <w:rPr>
                <w:color w:val="000000"/>
                <w:sz w:val="24"/>
              </w:rPr>
            </w:pPr>
            <w:r>
              <w:rPr>
                <w:color w:val="000000"/>
                <w:kern w:val="0"/>
                <w:sz w:val="24"/>
                <w:lang w:bidi="ar"/>
              </w:rPr>
              <w:t>指标</w:t>
            </w:r>
          </w:p>
        </w:tc>
        <w:tc>
          <w:tcPr>
            <w:tcW w:w="102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数量指标</w:t>
            </w: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sz w:val="24"/>
              </w:rPr>
              <w:t>农民工专项行动</w:t>
            </w:r>
          </w:p>
        </w:tc>
        <w:tc>
          <w:tcPr>
            <w:tcW w:w="239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慰问农民工4000人次</w:t>
            </w:r>
          </w:p>
        </w:tc>
        <w:tc>
          <w:tcPr>
            <w:tcW w:w="239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color w:val="000000"/>
                <w:sz w:val="24"/>
              </w:rPr>
              <w:t>2021年，开展农民工“五大专项”行动、和谐劳动“春风行动”工作，截止3月14日，发放慰问金含慰问品和慰问金，2.6575万元；节后就业摸排省内就业意愿人数30人；举办专场招聘会，提供岗位45个；根治欠薪冬季攻坚服务农民工19人兑付工资金额18.7万元；证照办理服务农民工55人次；旅途暖冬服务农民工390，投入金额2.13万元</w:t>
            </w:r>
          </w:p>
        </w:tc>
      </w:tr>
      <w:tr>
        <w:tblPrEx>
          <w:tblCellMar>
            <w:top w:w="0" w:type="dxa"/>
            <w:left w:w="0" w:type="dxa"/>
            <w:bottom w:w="0" w:type="dxa"/>
            <w:right w:w="0" w:type="dxa"/>
          </w:tblCellMar>
        </w:tblPrEx>
        <w:trPr>
          <w:trHeight w:val="1297" w:hRule="atLeast"/>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项目完成</w:t>
            </w:r>
          </w:p>
          <w:p>
            <w:pPr>
              <w:widowControl/>
              <w:jc w:val="center"/>
              <w:textAlignment w:val="center"/>
              <w:rPr>
                <w:color w:val="000000"/>
                <w:sz w:val="24"/>
              </w:rPr>
            </w:pPr>
            <w:r>
              <w:rPr>
                <w:color w:val="000000"/>
                <w:kern w:val="0"/>
                <w:sz w:val="24"/>
                <w:lang w:bidi="ar"/>
              </w:rPr>
              <w:t>指标</w:t>
            </w:r>
          </w:p>
        </w:tc>
        <w:tc>
          <w:tcPr>
            <w:tcW w:w="102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开展</w:t>
            </w:r>
            <w:r>
              <w:rPr>
                <w:rFonts w:hint="eastAsia"/>
                <w:color w:val="000000"/>
                <w:sz w:val="24"/>
              </w:rPr>
              <w:t>工作培训</w:t>
            </w:r>
            <w:r>
              <w:rPr>
                <w:color w:val="000000"/>
                <w:sz w:val="24"/>
              </w:rPr>
              <w:t>专项行动</w:t>
            </w:r>
          </w:p>
        </w:tc>
        <w:tc>
          <w:tcPr>
            <w:tcW w:w="239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以中央、省、市文件为准，按实际情况合理使用</w:t>
            </w:r>
          </w:p>
        </w:tc>
        <w:tc>
          <w:tcPr>
            <w:tcW w:w="2392" w:type="dxa"/>
            <w:vMerge w:val="continue"/>
            <w:tcBorders>
              <w:left w:val="single" w:color="000000" w:sz="4" w:space="0"/>
              <w:right w:val="single" w:color="000000" w:sz="4" w:space="0"/>
            </w:tcBorders>
            <w:tcMar>
              <w:top w:w="15" w:type="dxa"/>
              <w:left w:w="15" w:type="dxa"/>
              <w:right w:w="15" w:type="dxa"/>
            </w:tcMar>
            <w:vAlign w:val="center"/>
          </w:tcPr>
          <w:p>
            <w:pPr>
              <w:widowControl/>
              <w:spacing w:line="0" w:lineRule="atLeast"/>
              <w:jc w:val="center"/>
              <w:textAlignment w:val="center"/>
              <w:rPr>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项目完成</w:t>
            </w:r>
          </w:p>
          <w:p>
            <w:pPr>
              <w:widowControl/>
              <w:jc w:val="center"/>
              <w:textAlignment w:val="center"/>
              <w:rPr>
                <w:color w:val="000000"/>
                <w:sz w:val="24"/>
              </w:rPr>
            </w:pPr>
            <w:r>
              <w:rPr>
                <w:color w:val="000000"/>
                <w:kern w:val="0"/>
                <w:sz w:val="24"/>
                <w:lang w:bidi="ar"/>
              </w:rPr>
              <w:t>指标</w:t>
            </w:r>
          </w:p>
        </w:tc>
        <w:tc>
          <w:tcPr>
            <w:tcW w:w="102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印制宣传资料</w:t>
            </w:r>
          </w:p>
        </w:tc>
        <w:tc>
          <w:tcPr>
            <w:tcW w:w="239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预计1000份</w:t>
            </w:r>
          </w:p>
        </w:tc>
        <w:tc>
          <w:tcPr>
            <w:tcW w:w="2392"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jc w:val="center"/>
              <w:rPr>
                <w:kern w:val="0"/>
                <w:sz w:val="18"/>
                <w:szCs w:val="18"/>
              </w:rPr>
            </w:pPr>
          </w:p>
        </w:tc>
      </w:tr>
      <w:tr>
        <w:tblPrEx>
          <w:tblCellMar>
            <w:top w:w="0" w:type="dxa"/>
            <w:left w:w="0" w:type="dxa"/>
            <w:bottom w:w="0" w:type="dxa"/>
            <w:right w:w="0" w:type="dxa"/>
          </w:tblCellMar>
        </w:tblPrEx>
        <w:trPr>
          <w:trHeight w:val="893" w:hRule="atLeast"/>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项目完成</w:t>
            </w:r>
          </w:p>
          <w:p>
            <w:pPr>
              <w:widowControl/>
              <w:jc w:val="center"/>
              <w:textAlignment w:val="center"/>
              <w:rPr>
                <w:color w:val="000000"/>
                <w:kern w:val="0"/>
                <w:sz w:val="24"/>
                <w:lang w:bidi="ar"/>
              </w:rPr>
            </w:pPr>
            <w:r>
              <w:rPr>
                <w:color w:val="000000"/>
                <w:kern w:val="0"/>
                <w:sz w:val="24"/>
                <w:lang w:bidi="ar"/>
              </w:rPr>
              <w:t>指标</w:t>
            </w:r>
          </w:p>
        </w:tc>
        <w:tc>
          <w:tcPr>
            <w:tcW w:w="102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维护劳动和谐关系</w:t>
            </w:r>
          </w:p>
        </w:tc>
        <w:tc>
          <w:tcPr>
            <w:tcW w:w="239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完成日常案件办理、组织参加培训等</w:t>
            </w:r>
          </w:p>
        </w:tc>
        <w:tc>
          <w:tcPr>
            <w:tcW w:w="239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r>
      <w:tr>
        <w:tblPrEx>
          <w:tblCellMar>
            <w:top w:w="0" w:type="dxa"/>
            <w:left w:w="0" w:type="dxa"/>
            <w:bottom w:w="0" w:type="dxa"/>
            <w:right w:w="0" w:type="dxa"/>
          </w:tblCellMar>
        </w:tblPrEx>
        <w:trPr>
          <w:trHeight w:val="1050" w:hRule="atLeast"/>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项目完成</w:t>
            </w:r>
          </w:p>
          <w:p>
            <w:pPr>
              <w:widowControl/>
              <w:jc w:val="center"/>
              <w:textAlignment w:val="center"/>
              <w:rPr>
                <w:color w:val="000000"/>
                <w:sz w:val="24"/>
              </w:rPr>
            </w:pPr>
            <w:r>
              <w:rPr>
                <w:color w:val="000000"/>
                <w:kern w:val="0"/>
                <w:sz w:val="24"/>
                <w:lang w:bidi="ar"/>
              </w:rPr>
              <w:t>指标</w:t>
            </w:r>
          </w:p>
        </w:tc>
        <w:tc>
          <w:tcPr>
            <w:tcW w:w="102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质量指标</w:t>
            </w: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sz w:val="24"/>
              </w:rPr>
              <w:t>农民工专项行动</w:t>
            </w:r>
          </w:p>
        </w:tc>
        <w:tc>
          <w:tcPr>
            <w:tcW w:w="239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开展农民工座谈、慰问不少于2次</w:t>
            </w:r>
          </w:p>
        </w:tc>
        <w:tc>
          <w:tcPr>
            <w:tcW w:w="239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color w:val="000000"/>
                <w:sz w:val="24"/>
              </w:rPr>
              <w:t>2021年1-8月，开展农民工“五大专项”行动、和谐劳动“春风行动”工作，截止3月14日，发放慰问金含慰问品和慰问金，2.6575万元；节后就业摸排省内就业意愿人数30人；举办专场招聘会，提供岗位45个；根治欠薪冬季攻坚服务农民工19人兑付工资金额18.7万元；证照办理服务农民工55人次；旅途暖冬服务农民工390，投入金额2.13万元</w:t>
            </w:r>
          </w:p>
        </w:tc>
      </w:tr>
      <w:tr>
        <w:tblPrEx>
          <w:tblCellMar>
            <w:top w:w="0" w:type="dxa"/>
            <w:left w:w="0" w:type="dxa"/>
            <w:bottom w:w="0" w:type="dxa"/>
            <w:right w:w="0" w:type="dxa"/>
          </w:tblCellMar>
        </w:tblPrEx>
        <w:trPr>
          <w:trHeight w:val="1050" w:hRule="atLeast"/>
        </w:trPr>
        <w:tc>
          <w:tcPr>
            <w:tcW w:w="390" w:type="dxa"/>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项目完成</w:t>
            </w:r>
          </w:p>
          <w:p>
            <w:pPr>
              <w:widowControl/>
              <w:jc w:val="center"/>
              <w:textAlignment w:val="center"/>
              <w:rPr>
                <w:color w:val="000000"/>
                <w:kern w:val="0"/>
                <w:sz w:val="24"/>
                <w:lang w:bidi="ar"/>
              </w:rPr>
            </w:pPr>
            <w:r>
              <w:rPr>
                <w:color w:val="000000"/>
                <w:kern w:val="0"/>
                <w:sz w:val="24"/>
                <w:lang w:bidi="ar"/>
              </w:rPr>
              <w:t>指标</w:t>
            </w:r>
          </w:p>
        </w:tc>
        <w:tc>
          <w:tcPr>
            <w:tcW w:w="102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维护劳动和谐关系案件办理</w:t>
            </w:r>
          </w:p>
        </w:tc>
        <w:tc>
          <w:tcPr>
            <w:tcW w:w="239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完成率100%</w:t>
            </w:r>
          </w:p>
        </w:tc>
        <w:tc>
          <w:tcPr>
            <w:tcW w:w="239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r>
      <w:tr>
        <w:tblPrEx>
          <w:tblCellMar>
            <w:top w:w="0" w:type="dxa"/>
            <w:left w:w="0" w:type="dxa"/>
            <w:bottom w:w="0" w:type="dxa"/>
            <w:right w:w="0" w:type="dxa"/>
          </w:tblCellMar>
        </w:tblPrEx>
        <w:trPr>
          <w:trHeight w:val="775" w:hRule="atLeast"/>
        </w:trPr>
        <w:tc>
          <w:tcPr>
            <w:tcW w:w="390" w:type="dxa"/>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项目完成</w:t>
            </w:r>
          </w:p>
          <w:p>
            <w:pPr>
              <w:widowControl/>
              <w:jc w:val="center"/>
              <w:textAlignment w:val="center"/>
              <w:rPr>
                <w:color w:val="000000"/>
                <w:kern w:val="0"/>
                <w:sz w:val="24"/>
                <w:lang w:bidi="ar"/>
              </w:rPr>
            </w:pPr>
            <w:r>
              <w:rPr>
                <w:color w:val="000000"/>
                <w:kern w:val="0"/>
                <w:sz w:val="24"/>
                <w:lang w:bidi="ar"/>
              </w:rPr>
              <w:t>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时效指标</w:t>
            </w: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开展工作</w:t>
            </w:r>
          </w:p>
        </w:tc>
        <w:tc>
          <w:tcPr>
            <w:tcW w:w="239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2020年1-12月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100%</w:t>
            </w:r>
          </w:p>
        </w:tc>
      </w:tr>
      <w:tr>
        <w:tblPrEx>
          <w:tblCellMar>
            <w:top w:w="0" w:type="dxa"/>
            <w:left w:w="0" w:type="dxa"/>
            <w:bottom w:w="0" w:type="dxa"/>
            <w:right w:w="0" w:type="dxa"/>
          </w:tblCellMar>
        </w:tblPrEx>
        <w:trPr>
          <w:trHeight w:val="517" w:hRule="atLeast"/>
        </w:trPr>
        <w:tc>
          <w:tcPr>
            <w:tcW w:w="390" w:type="dxa"/>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13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项目完成</w:t>
            </w:r>
          </w:p>
          <w:p>
            <w:pPr>
              <w:widowControl/>
              <w:jc w:val="center"/>
              <w:textAlignment w:val="center"/>
              <w:rPr>
                <w:color w:val="000000"/>
                <w:kern w:val="0"/>
                <w:sz w:val="24"/>
                <w:lang w:bidi="ar"/>
              </w:rPr>
            </w:pPr>
            <w:r>
              <w:rPr>
                <w:color w:val="000000"/>
                <w:kern w:val="0"/>
                <w:sz w:val="24"/>
                <w:lang w:bidi="ar"/>
              </w:rPr>
              <w:t>指标</w:t>
            </w:r>
          </w:p>
        </w:tc>
        <w:tc>
          <w:tcPr>
            <w:tcW w:w="102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成本指标</w:t>
            </w: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sz w:val="24"/>
              </w:rPr>
              <w:t>农民工专项行动</w:t>
            </w:r>
          </w:p>
        </w:tc>
        <w:tc>
          <w:tcPr>
            <w:tcW w:w="239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慰问信：4000份*2元；慰问品：10000元</w:t>
            </w:r>
          </w:p>
        </w:tc>
        <w:tc>
          <w:tcPr>
            <w:tcW w:w="239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共计</w:t>
            </w:r>
            <w:r>
              <w:rPr>
                <w:rFonts w:hint="eastAsia"/>
                <w:color w:val="000000"/>
                <w:sz w:val="24"/>
              </w:rPr>
              <w:t>2</w:t>
            </w:r>
            <w:r>
              <w:rPr>
                <w:color w:val="000000"/>
                <w:sz w:val="24"/>
              </w:rPr>
              <w:t>万元</w:t>
            </w:r>
          </w:p>
        </w:tc>
      </w:tr>
      <w:tr>
        <w:tblPrEx>
          <w:tblCellMar>
            <w:top w:w="0" w:type="dxa"/>
            <w:left w:w="0" w:type="dxa"/>
            <w:bottom w:w="0" w:type="dxa"/>
            <w:right w:w="0" w:type="dxa"/>
          </w:tblCellMar>
        </w:tblPrEx>
        <w:trPr>
          <w:trHeight w:val="638" w:hRule="atLeast"/>
        </w:trPr>
        <w:tc>
          <w:tcPr>
            <w:tcW w:w="390" w:type="dxa"/>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136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p>
        </w:tc>
        <w:tc>
          <w:tcPr>
            <w:tcW w:w="102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sz w:val="24"/>
              </w:rPr>
              <w:t>印制宣传资料</w:t>
            </w:r>
          </w:p>
        </w:tc>
        <w:tc>
          <w:tcPr>
            <w:tcW w:w="239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2元/份*1000份</w:t>
            </w:r>
          </w:p>
        </w:tc>
        <w:tc>
          <w:tcPr>
            <w:tcW w:w="239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r>
      <w:tr>
        <w:tblPrEx>
          <w:tblCellMar>
            <w:top w:w="0" w:type="dxa"/>
            <w:left w:w="0" w:type="dxa"/>
            <w:bottom w:w="0" w:type="dxa"/>
            <w:right w:w="0" w:type="dxa"/>
          </w:tblCellMar>
        </w:tblPrEx>
        <w:trPr>
          <w:trHeight w:val="1050" w:hRule="atLeast"/>
        </w:trPr>
        <w:tc>
          <w:tcPr>
            <w:tcW w:w="390" w:type="dxa"/>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项目完成</w:t>
            </w:r>
          </w:p>
          <w:p>
            <w:pPr>
              <w:widowControl/>
              <w:jc w:val="center"/>
              <w:textAlignment w:val="center"/>
              <w:rPr>
                <w:color w:val="000000"/>
                <w:kern w:val="0"/>
                <w:sz w:val="24"/>
                <w:lang w:bidi="ar"/>
              </w:rPr>
            </w:pPr>
            <w:r>
              <w:rPr>
                <w:color w:val="000000"/>
                <w:kern w:val="0"/>
                <w:sz w:val="24"/>
                <w:lang w:bidi="ar"/>
              </w:rPr>
              <w:t>指标</w:t>
            </w:r>
          </w:p>
        </w:tc>
        <w:tc>
          <w:tcPr>
            <w:tcW w:w="102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社会效益</w:t>
            </w:r>
          </w:p>
          <w:p>
            <w:pPr>
              <w:widowControl/>
              <w:jc w:val="center"/>
              <w:textAlignment w:val="center"/>
              <w:rPr>
                <w:color w:val="000000"/>
                <w:sz w:val="24"/>
              </w:rPr>
            </w:pPr>
            <w:r>
              <w:rPr>
                <w:color w:val="000000"/>
                <w:sz w:val="24"/>
              </w:rPr>
              <w:t>指标</w:t>
            </w: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实现辖区农民工全覆盖慰问</w:t>
            </w:r>
          </w:p>
        </w:tc>
        <w:tc>
          <w:tcPr>
            <w:tcW w:w="239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营造良好劳动就业环境；为群众提供优质劳动就业等政策服务，构建和谐劳动就业关系</w:t>
            </w:r>
          </w:p>
        </w:tc>
        <w:tc>
          <w:tcPr>
            <w:tcW w:w="239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202</w:t>
            </w:r>
            <w:r>
              <w:rPr>
                <w:rFonts w:hint="eastAsia"/>
                <w:color w:val="000000"/>
                <w:sz w:val="24"/>
              </w:rPr>
              <w:t>1</w:t>
            </w:r>
            <w:r>
              <w:rPr>
                <w:color w:val="000000"/>
                <w:sz w:val="24"/>
              </w:rPr>
              <w:t>年，主动监察用人单位112户次，均按要求签订劳动合同，劳动合同签订率为100%；立案处理拖欠农民工工资举报投诉案件5件，劳动保障监察举报投诉案件结案率和拖欠农民工工资举报投诉案件结案率均为100%。共立案受理劳动争议118件，结案112件，结案率94.92%，完成目标任务；案外调解929件，调解结案率90%，达成调解成功率不低60%的目标任务。</w:t>
            </w:r>
          </w:p>
        </w:tc>
      </w:tr>
      <w:tr>
        <w:tblPrEx>
          <w:tblCellMar>
            <w:top w:w="0" w:type="dxa"/>
            <w:left w:w="0" w:type="dxa"/>
            <w:bottom w:w="0" w:type="dxa"/>
            <w:right w:w="0" w:type="dxa"/>
          </w:tblCellMar>
        </w:tblPrEx>
        <w:trPr>
          <w:trHeight w:val="1050" w:hRule="atLeast"/>
        </w:trPr>
        <w:tc>
          <w:tcPr>
            <w:tcW w:w="390" w:type="dxa"/>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项目完成</w:t>
            </w:r>
          </w:p>
          <w:p>
            <w:pPr>
              <w:widowControl/>
              <w:jc w:val="center"/>
              <w:textAlignment w:val="center"/>
              <w:rPr>
                <w:color w:val="000000"/>
                <w:kern w:val="0"/>
                <w:sz w:val="24"/>
                <w:lang w:bidi="ar"/>
              </w:rPr>
            </w:pPr>
            <w:r>
              <w:rPr>
                <w:color w:val="000000"/>
                <w:kern w:val="0"/>
                <w:sz w:val="24"/>
                <w:lang w:bidi="ar"/>
              </w:rPr>
              <w:t>指标</w:t>
            </w:r>
          </w:p>
        </w:tc>
        <w:tc>
          <w:tcPr>
            <w:tcW w:w="102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将宣传资料发放至建筑工地农民工手中，普及劳动保障知识，提高农民工维权意识</w:t>
            </w:r>
          </w:p>
        </w:tc>
        <w:tc>
          <w:tcPr>
            <w:tcW w:w="239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营造良好劳动就业环境；为群众提供优质劳动就业等政策服务，构建和谐劳动就业关系</w:t>
            </w:r>
          </w:p>
        </w:tc>
        <w:tc>
          <w:tcPr>
            <w:tcW w:w="239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r>
      <w:tr>
        <w:tblPrEx>
          <w:tblCellMar>
            <w:top w:w="0" w:type="dxa"/>
            <w:left w:w="0" w:type="dxa"/>
            <w:bottom w:w="0" w:type="dxa"/>
            <w:right w:w="0" w:type="dxa"/>
          </w:tblCellMar>
        </w:tblPrEx>
        <w:trPr>
          <w:trHeight w:val="1050" w:hRule="atLeast"/>
        </w:trPr>
        <w:tc>
          <w:tcPr>
            <w:tcW w:w="390" w:type="dxa"/>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项目完成</w:t>
            </w:r>
          </w:p>
          <w:p>
            <w:pPr>
              <w:widowControl/>
              <w:jc w:val="center"/>
              <w:textAlignment w:val="center"/>
              <w:rPr>
                <w:color w:val="000000"/>
                <w:kern w:val="0"/>
                <w:sz w:val="24"/>
                <w:lang w:bidi="ar"/>
              </w:rPr>
            </w:pPr>
            <w:r>
              <w:rPr>
                <w:color w:val="000000"/>
                <w:kern w:val="0"/>
                <w:sz w:val="24"/>
                <w:lang w:bidi="ar"/>
              </w:rPr>
              <w:t>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可持续影响指标</w:t>
            </w: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实现辖区农民工全覆盖慰问</w:t>
            </w:r>
          </w:p>
        </w:tc>
        <w:tc>
          <w:tcPr>
            <w:tcW w:w="239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实现辖区农民工全覆盖慰问</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实现辖区农民工全覆盖慰问</w:t>
            </w:r>
          </w:p>
        </w:tc>
      </w:tr>
      <w:tr>
        <w:tblPrEx>
          <w:tblCellMar>
            <w:top w:w="0" w:type="dxa"/>
            <w:left w:w="0" w:type="dxa"/>
            <w:bottom w:w="0" w:type="dxa"/>
            <w:right w:w="0" w:type="dxa"/>
          </w:tblCellMar>
        </w:tblPrEx>
        <w:trPr>
          <w:trHeight w:val="1050" w:hRule="atLeast"/>
        </w:trPr>
        <w:tc>
          <w:tcPr>
            <w:tcW w:w="390" w:type="dxa"/>
            <w:tcBorders>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满意度</w:t>
            </w:r>
          </w:p>
          <w:p>
            <w:pPr>
              <w:widowControl/>
              <w:jc w:val="center"/>
              <w:textAlignment w:val="center"/>
              <w:rPr>
                <w:color w:val="000000"/>
                <w:sz w:val="24"/>
              </w:rPr>
            </w:pPr>
            <w:r>
              <w:rPr>
                <w:color w:val="000000"/>
                <w:sz w:val="24"/>
              </w:rPr>
              <w:t>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服务对象满意度指标</w:t>
            </w: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农民工群体满意度达到96%以上</w:t>
            </w:r>
          </w:p>
        </w:tc>
        <w:tc>
          <w:tcPr>
            <w:tcW w:w="239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sz w:val="24"/>
              </w:rPr>
              <w:t>农民工群体</w:t>
            </w:r>
            <w:r>
              <w:rPr>
                <w:color w:val="000000"/>
                <w:sz w:val="24"/>
              </w:rPr>
              <w:t>满意度达到96%以上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100%</w:t>
            </w:r>
          </w:p>
        </w:tc>
      </w:tr>
    </w:tbl>
    <w:p>
      <w:pPr>
        <w:pStyle w:val="2"/>
        <w:spacing w:before="93"/>
        <w:rPr>
          <w:rFonts w:ascii="方正小标宋简体" w:hAnsi="宋体" w:eastAsia="方正小标宋简体"/>
          <w:sz w:val="40"/>
          <w:szCs w:val="44"/>
        </w:rPr>
      </w:pPr>
    </w:p>
    <w:p>
      <w:pPr>
        <w:pStyle w:val="2"/>
        <w:spacing w:before="93"/>
        <w:rPr>
          <w:rFonts w:ascii="方正小标宋简体" w:hAnsi="宋体" w:eastAsia="方正小标宋简体"/>
          <w:sz w:val="40"/>
          <w:szCs w:val="44"/>
        </w:rPr>
      </w:pPr>
    </w:p>
    <w:p>
      <w:pPr>
        <w:pStyle w:val="2"/>
        <w:spacing w:before="93"/>
        <w:rPr>
          <w:rFonts w:ascii="方正小标宋简体" w:hAnsi="宋体" w:eastAsia="方正小标宋简体"/>
          <w:sz w:val="40"/>
          <w:szCs w:val="44"/>
        </w:rPr>
      </w:pPr>
    </w:p>
    <w:p>
      <w:pPr>
        <w:pStyle w:val="2"/>
        <w:spacing w:before="93"/>
        <w:rPr>
          <w:rFonts w:ascii="方正小标宋简体" w:hAnsi="宋体" w:eastAsia="方正小标宋简体"/>
          <w:sz w:val="40"/>
          <w:szCs w:val="44"/>
        </w:rPr>
      </w:pPr>
    </w:p>
    <w:p>
      <w:pPr>
        <w:pStyle w:val="2"/>
        <w:spacing w:before="93"/>
        <w:rPr>
          <w:rFonts w:ascii="方正小标宋简体" w:hAnsi="宋体" w:eastAsia="方正小标宋简体"/>
          <w:sz w:val="40"/>
          <w:szCs w:val="44"/>
        </w:rPr>
      </w:pPr>
    </w:p>
    <w:p>
      <w:pPr>
        <w:pStyle w:val="2"/>
        <w:spacing w:before="93"/>
        <w:rPr>
          <w:rFonts w:ascii="方正小标宋简体" w:hAnsi="宋体" w:eastAsia="方正小标宋简体"/>
          <w:sz w:val="40"/>
          <w:szCs w:val="44"/>
        </w:rPr>
      </w:pPr>
    </w:p>
    <w:p>
      <w:pPr>
        <w:pStyle w:val="2"/>
        <w:spacing w:before="93"/>
        <w:rPr>
          <w:rFonts w:ascii="方正小标宋简体" w:hAnsi="宋体" w:eastAsia="方正小标宋简体"/>
          <w:sz w:val="40"/>
          <w:szCs w:val="44"/>
        </w:rPr>
      </w:pPr>
    </w:p>
    <w:p>
      <w:pPr>
        <w:pStyle w:val="2"/>
        <w:spacing w:before="93"/>
        <w:rPr>
          <w:rFonts w:ascii="方正小标宋简体" w:hAnsi="宋体" w:eastAsia="方正小标宋简体"/>
          <w:sz w:val="40"/>
          <w:szCs w:val="44"/>
        </w:rPr>
      </w:pPr>
    </w:p>
    <w:p>
      <w:pPr>
        <w:pStyle w:val="2"/>
        <w:spacing w:before="93"/>
        <w:rPr>
          <w:rFonts w:ascii="方正小标宋简体" w:hAnsi="宋体" w:eastAsia="方正小标宋简体"/>
          <w:sz w:val="40"/>
          <w:szCs w:val="44"/>
        </w:rPr>
      </w:pPr>
    </w:p>
    <w:p>
      <w:pPr>
        <w:pStyle w:val="2"/>
        <w:spacing w:before="93"/>
        <w:rPr>
          <w:rFonts w:ascii="方正小标宋简体" w:hAnsi="宋体" w:eastAsia="方正小标宋简体"/>
          <w:sz w:val="40"/>
          <w:szCs w:val="44"/>
        </w:rPr>
      </w:pPr>
    </w:p>
    <w:p>
      <w:pPr>
        <w:pStyle w:val="2"/>
        <w:spacing w:before="93"/>
        <w:rPr>
          <w:rFonts w:ascii="方正小标宋简体" w:hAnsi="宋体" w:eastAsia="方正小标宋简体"/>
          <w:sz w:val="40"/>
          <w:szCs w:val="44"/>
        </w:rPr>
      </w:pPr>
    </w:p>
    <w:p>
      <w:pPr>
        <w:pStyle w:val="2"/>
        <w:spacing w:before="93"/>
        <w:rPr>
          <w:rFonts w:ascii="方正小标宋简体" w:hAnsi="宋体" w:eastAsia="方正小标宋简体"/>
          <w:sz w:val="40"/>
          <w:szCs w:val="44"/>
        </w:rPr>
      </w:pPr>
    </w:p>
    <w:p>
      <w:pPr>
        <w:pStyle w:val="2"/>
        <w:spacing w:before="93"/>
        <w:rPr>
          <w:rFonts w:ascii="方正小标宋简体" w:hAnsi="宋体" w:eastAsia="方正小标宋简体"/>
          <w:sz w:val="40"/>
          <w:szCs w:val="44"/>
        </w:rPr>
      </w:pPr>
    </w:p>
    <w:p>
      <w:pPr>
        <w:pStyle w:val="2"/>
        <w:spacing w:before="93"/>
        <w:rPr>
          <w:rFonts w:ascii="方正小标宋简体" w:hAnsi="宋体" w:eastAsia="方正小标宋简体"/>
          <w:sz w:val="40"/>
          <w:szCs w:val="44"/>
        </w:rPr>
      </w:pPr>
    </w:p>
    <w:p>
      <w:pPr>
        <w:pStyle w:val="2"/>
        <w:spacing w:before="93"/>
        <w:rPr>
          <w:rFonts w:ascii="方正小标宋简体" w:hAnsi="宋体" w:eastAsia="方正小标宋简体"/>
          <w:sz w:val="40"/>
          <w:szCs w:val="44"/>
        </w:rPr>
      </w:pPr>
    </w:p>
    <w:p>
      <w:pPr>
        <w:pStyle w:val="2"/>
        <w:spacing w:before="93"/>
        <w:rPr>
          <w:rFonts w:ascii="方正小标宋简体" w:hAnsi="宋体" w:eastAsia="方正小标宋简体"/>
          <w:sz w:val="40"/>
          <w:szCs w:val="44"/>
        </w:rPr>
      </w:pPr>
    </w:p>
    <w:p>
      <w:pPr>
        <w:pStyle w:val="2"/>
        <w:spacing w:before="93"/>
        <w:jc w:val="center"/>
        <w:rPr>
          <w:rFonts w:hint="eastAsia" w:ascii="宋体" w:hAnsi="宋体" w:cs="宋体"/>
          <w:b/>
          <w:sz w:val="32"/>
          <w:szCs w:val="32"/>
        </w:rPr>
      </w:pPr>
    </w:p>
    <w:p>
      <w:pPr>
        <w:pStyle w:val="2"/>
        <w:spacing w:before="93"/>
        <w:jc w:val="center"/>
        <w:rPr>
          <w:rFonts w:hint="eastAsia" w:ascii="宋体" w:hAnsi="宋体" w:cs="宋体"/>
          <w:b/>
          <w:sz w:val="32"/>
          <w:szCs w:val="32"/>
        </w:rPr>
      </w:pPr>
    </w:p>
    <w:p>
      <w:pPr>
        <w:pStyle w:val="2"/>
        <w:spacing w:before="93"/>
        <w:jc w:val="center"/>
        <w:rPr>
          <w:rFonts w:ascii="方正小标宋简体" w:hAnsi="宋体" w:eastAsia="方正小标宋简体"/>
          <w:sz w:val="40"/>
          <w:szCs w:val="44"/>
        </w:rPr>
      </w:pPr>
      <w:r>
        <w:rPr>
          <w:rFonts w:hint="eastAsia" w:ascii="宋体" w:hAnsi="宋体" w:cs="宋体"/>
          <w:b/>
          <w:sz w:val="32"/>
          <w:szCs w:val="32"/>
        </w:rPr>
        <w:t>2021年部门预算项目绩效目标自评</w:t>
      </w:r>
    </w:p>
    <w:tbl>
      <w:tblPr>
        <w:tblStyle w:val="13"/>
        <w:tblpPr w:leftFromText="180" w:rightFromText="180" w:vertAnchor="text" w:horzAnchor="margin" w:tblpXSpec="center" w:tblpY="429"/>
        <w:tblOverlap w:val="never"/>
        <w:tblW w:w="9960" w:type="dxa"/>
        <w:tblInd w:w="0" w:type="dxa"/>
        <w:tblLayout w:type="fixed"/>
        <w:tblCellMar>
          <w:top w:w="0" w:type="dxa"/>
          <w:left w:w="0" w:type="dxa"/>
          <w:bottom w:w="0" w:type="dxa"/>
          <w:right w:w="0" w:type="dxa"/>
        </w:tblCellMar>
      </w:tblPr>
      <w:tblGrid>
        <w:gridCol w:w="390"/>
        <w:gridCol w:w="1367"/>
        <w:gridCol w:w="1025"/>
        <w:gridCol w:w="279"/>
        <w:gridCol w:w="1882"/>
        <w:gridCol w:w="231"/>
        <w:gridCol w:w="1006"/>
        <w:gridCol w:w="1273"/>
        <w:gridCol w:w="115"/>
        <w:gridCol w:w="2392"/>
      </w:tblGrid>
      <w:tr>
        <w:tblPrEx>
          <w:tblCellMar>
            <w:top w:w="0" w:type="dxa"/>
            <w:left w:w="0" w:type="dxa"/>
            <w:bottom w:w="0" w:type="dxa"/>
            <w:right w:w="0" w:type="dxa"/>
          </w:tblCellMar>
        </w:tblPrEx>
        <w:trPr>
          <w:trHeight w:val="276" w:hRule="atLeast"/>
        </w:trPr>
        <w:tc>
          <w:tcPr>
            <w:tcW w:w="306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color w:val="000000"/>
                <w:sz w:val="24"/>
              </w:rPr>
            </w:pPr>
            <w:r>
              <w:rPr>
                <w:rFonts w:hint="eastAsia" w:ascii="宋体" w:hAnsi="宋体" w:cs="宋体"/>
                <w:kern w:val="0"/>
                <w:sz w:val="24"/>
              </w:rPr>
              <w:t>主管部门及代码</w:t>
            </w:r>
          </w:p>
        </w:tc>
        <w:tc>
          <w:tcPr>
            <w:tcW w:w="311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color w:val="000000"/>
                <w:sz w:val="24"/>
              </w:rPr>
            </w:pPr>
            <w:r>
              <w:rPr>
                <w:rFonts w:hint="eastAsia" w:ascii="宋体" w:hAnsi="宋体" w:cs="宋体"/>
                <w:sz w:val="24"/>
              </w:rPr>
              <w:t>攀枝花市西区人力资源和社会保障局</w:t>
            </w:r>
          </w:p>
        </w:tc>
        <w:tc>
          <w:tcPr>
            <w:tcW w:w="12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pPr>
            <w:r>
              <w:rPr>
                <w:rFonts w:hint="eastAsia" w:ascii="宋体" w:hAnsi="宋体" w:cs="宋体"/>
                <w:kern w:val="0"/>
                <w:sz w:val="24"/>
              </w:rPr>
              <w:t>实施单位</w:t>
            </w:r>
          </w:p>
        </w:tc>
        <w:tc>
          <w:tcPr>
            <w:tcW w:w="25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pPr>
            <w:r>
              <w:rPr>
                <w:rFonts w:hint="eastAsia" w:ascii="宋体" w:hAnsi="宋体" w:cs="宋体"/>
                <w:sz w:val="24"/>
              </w:rPr>
              <w:t>攀枝花市西区人力资源和社会保障局</w:t>
            </w:r>
          </w:p>
        </w:tc>
      </w:tr>
      <w:tr>
        <w:tblPrEx>
          <w:tblCellMar>
            <w:top w:w="0" w:type="dxa"/>
            <w:left w:w="0" w:type="dxa"/>
            <w:bottom w:w="0" w:type="dxa"/>
            <w:right w:w="0" w:type="dxa"/>
          </w:tblCellMar>
        </w:tblPrEx>
        <w:trPr>
          <w:trHeight w:val="276" w:hRule="atLeast"/>
        </w:trPr>
        <w:tc>
          <w:tcPr>
            <w:tcW w:w="3061" w:type="dxa"/>
            <w:gridSpan w:val="4"/>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color w:val="000000"/>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color w:val="000000"/>
                <w:sz w:val="24"/>
              </w:rPr>
            </w:pPr>
            <w:r>
              <w:rPr>
                <w:rFonts w:hint="eastAsia" w:ascii="宋体" w:hAnsi="宋体" w:cs="宋体"/>
                <w:kern w:val="0"/>
                <w:sz w:val="24"/>
              </w:rPr>
              <w:t xml:space="preserve"> 预算数：</w:t>
            </w:r>
          </w:p>
        </w:tc>
        <w:tc>
          <w:tcPr>
            <w:tcW w:w="123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pPr>
            <w:r>
              <w:rPr>
                <w:rFonts w:hint="eastAsia"/>
              </w:rPr>
              <w:t>8</w:t>
            </w:r>
          </w:p>
        </w:tc>
        <w:tc>
          <w:tcPr>
            <w:tcW w:w="12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pPr>
            <w:r>
              <w:rPr>
                <w:rFonts w:hint="eastAsia" w:ascii="宋体" w:hAnsi="宋体" w:cs="宋体"/>
                <w:kern w:val="0"/>
                <w:sz w:val="24"/>
              </w:rPr>
              <w:t xml:space="preserve"> 执行数：</w:t>
            </w:r>
          </w:p>
        </w:tc>
        <w:tc>
          <w:tcPr>
            <w:tcW w:w="25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pPr>
            <w:r>
              <w:rPr>
                <w:rFonts w:hint="eastAsia"/>
              </w:rPr>
              <w:t>8</w:t>
            </w:r>
          </w:p>
        </w:tc>
      </w:tr>
      <w:tr>
        <w:tblPrEx>
          <w:tblCellMar>
            <w:top w:w="0" w:type="dxa"/>
            <w:left w:w="0" w:type="dxa"/>
            <w:bottom w:w="0" w:type="dxa"/>
            <w:right w:w="0" w:type="dxa"/>
          </w:tblCellMar>
        </w:tblPrEx>
        <w:trPr>
          <w:trHeight w:val="276" w:hRule="atLeast"/>
        </w:trPr>
        <w:tc>
          <w:tcPr>
            <w:tcW w:w="3061" w:type="dxa"/>
            <w:gridSpan w:val="4"/>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sz w:val="24"/>
              </w:rPr>
            </w:pP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sz w:val="24"/>
              </w:rPr>
            </w:pPr>
            <w:r>
              <w:rPr>
                <w:rFonts w:hint="eastAsia" w:ascii="宋体" w:hAnsi="宋体" w:cs="宋体"/>
                <w:kern w:val="0"/>
                <w:sz w:val="24"/>
              </w:rPr>
              <w:t>财政拨款</w:t>
            </w:r>
          </w:p>
        </w:tc>
        <w:tc>
          <w:tcPr>
            <w:tcW w:w="123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pPr>
          </w:p>
        </w:tc>
        <w:tc>
          <w:tcPr>
            <w:tcW w:w="12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sz w:val="24"/>
              </w:rPr>
            </w:pPr>
            <w:r>
              <w:rPr>
                <w:rFonts w:hint="eastAsia" w:ascii="宋体" w:hAnsi="宋体" w:cs="宋体"/>
                <w:kern w:val="0"/>
                <w:sz w:val="24"/>
              </w:rPr>
              <w:t>财政拨款</w:t>
            </w:r>
          </w:p>
        </w:tc>
        <w:tc>
          <w:tcPr>
            <w:tcW w:w="25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pPr>
          </w:p>
        </w:tc>
      </w:tr>
      <w:tr>
        <w:tblPrEx>
          <w:tblCellMar>
            <w:top w:w="0" w:type="dxa"/>
            <w:left w:w="0" w:type="dxa"/>
            <w:bottom w:w="0" w:type="dxa"/>
            <w:right w:w="0" w:type="dxa"/>
          </w:tblCellMar>
        </w:tblPrEx>
        <w:trPr>
          <w:trHeight w:val="276" w:hRule="atLeast"/>
        </w:trPr>
        <w:tc>
          <w:tcPr>
            <w:tcW w:w="3061" w:type="dxa"/>
            <w:gridSpan w:val="4"/>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sz w:val="24"/>
              </w:rPr>
            </w:pP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sz w:val="24"/>
              </w:rPr>
            </w:pPr>
            <w:r>
              <w:rPr>
                <w:rFonts w:hint="eastAsia" w:ascii="宋体" w:hAnsi="宋体" w:cs="宋体"/>
                <w:kern w:val="0"/>
                <w:sz w:val="24"/>
              </w:rPr>
              <w:t>其他资金</w:t>
            </w:r>
          </w:p>
        </w:tc>
        <w:tc>
          <w:tcPr>
            <w:tcW w:w="123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pPr>
          </w:p>
        </w:tc>
        <w:tc>
          <w:tcPr>
            <w:tcW w:w="12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sz w:val="24"/>
              </w:rPr>
            </w:pPr>
            <w:r>
              <w:rPr>
                <w:rFonts w:hint="eastAsia" w:ascii="宋体" w:hAnsi="宋体" w:cs="宋体"/>
                <w:kern w:val="0"/>
                <w:sz w:val="24"/>
              </w:rPr>
              <w:t>其他资金</w:t>
            </w:r>
          </w:p>
        </w:tc>
        <w:tc>
          <w:tcPr>
            <w:tcW w:w="25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kern w:val="0"/>
                <w:sz w:val="24"/>
                <w:lang w:bidi="ar"/>
              </w:rPr>
              <w:t>年度目标完成情况</w:t>
            </w:r>
          </w:p>
        </w:tc>
        <w:tc>
          <w:tcPr>
            <w:tcW w:w="478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kern w:val="0"/>
                <w:sz w:val="24"/>
                <w:lang w:bidi="ar"/>
              </w:rPr>
              <w:t>预期目标</w:t>
            </w:r>
          </w:p>
        </w:tc>
        <w:tc>
          <w:tcPr>
            <w:tcW w:w="478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kern w:val="0"/>
                <w:sz w:val="24"/>
                <w:lang w:bidi="ar"/>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4"/>
              </w:rPr>
            </w:pPr>
          </w:p>
        </w:tc>
        <w:tc>
          <w:tcPr>
            <w:tcW w:w="478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按照区委区政府统一部署，组织开展</w:t>
            </w:r>
            <w:r>
              <w:rPr>
                <w:rFonts w:hint="eastAsia"/>
                <w:color w:val="000000"/>
                <w:sz w:val="24"/>
              </w:rPr>
              <w:t>三支一扶</w:t>
            </w:r>
            <w:r>
              <w:rPr>
                <w:color w:val="000000"/>
                <w:sz w:val="24"/>
              </w:rPr>
              <w:t>考试（考核）招聘事业单位工作人员工作。发布招聘信息，组织实施考务工作，确保试卷的制作、印刷、运送及阅卷，考场和安保设备的租赁等公招考试工作经费，顺利完成招聘任务。</w:t>
            </w:r>
          </w:p>
        </w:tc>
        <w:tc>
          <w:tcPr>
            <w:tcW w:w="478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color w:val="000000"/>
                <w:sz w:val="24"/>
              </w:rPr>
            </w:pPr>
            <w:r>
              <w:rPr>
                <w:color w:val="000000"/>
                <w:sz w:val="24"/>
              </w:rPr>
              <w:t>落实“攀枝花人才新政七条”，考核招聘</w:t>
            </w:r>
            <w:r>
              <w:rPr>
                <w:rFonts w:hint="eastAsia"/>
                <w:color w:val="000000"/>
                <w:sz w:val="24"/>
              </w:rPr>
              <w:t>三支一扶</w:t>
            </w:r>
            <w:r>
              <w:rPr>
                <w:color w:val="000000"/>
                <w:sz w:val="24"/>
              </w:rPr>
              <w:t>专</w:t>
            </w:r>
            <w:r>
              <w:rPr>
                <w:sz w:val="24"/>
              </w:rPr>
              <w:t>业人才</w:t>
            </w: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名。</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kern w:val="0"/>
                <w:sz w:val="24"/>
                <w:lang w:bidi="ar"/>
              </w:rPr>
              <w:t>二级指标</w:t>
            </w: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kern w:val="0"/>
                <w:sz w:val="24"/>
                <w:lang w:bidi="ar"/>
              </w:rPr>
              <w:t>三级指标</w:t>
            </w:r>
          </w:p>
        </w:tc>
        <w:tc>
          <w:tcPr>
            <w:tcW w:w="239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kern w:val="0"/>
                <w:sz w:val="24"/>
                <w:lang w:bidi="ar"/>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项目完成</w:t>
            </w:r>
          </w:p>
          <w:p>
            <w:pPr>
              <w:widowControl/>
              <w:jc w:val="center"/>
              <w:textAlignment w:val="center"/>
              <w:rPr>
                <w:color w:val="000000"/>
                <w:sz w:val="24"/>
              </w:rPr>
            </w:pPr>
            <w:r>
              <w:rPr>
                <w:color w:val="000000"/>
                <w:kern w:val="0"/>
                <w:sz w:val="24"/>
                <w:lang w:bidi="ar"/>
              </w:rPr>
              <w:t>指标</w:t>
            </w:r>
          </w:p>
        </w:tc>
        <w:tc>
          <w:tcPr>
            <w:tcW w:w="102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数量指标</w:t>
            </w: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公开考试招聘</w:t>
            </w:r>
            <w:r>
              <w:rPr>
                <w:rFonts w:hint="eastAsia"/>
                <w:color w:val="000000"/>
                <w:kern w:val="0"/>
                <w:sz w:val="24"/>
                <w:lang w:bidi="ar"/>
              </w:rPr>
              <w:t>三支一扶</w:t>
            </w:r>
            <w:r>
              <w:rPr>
                <w:color w:val="000000"/>
                <w:kern w:val="0"/>
                <w:sz w:val="24"/>
                <w:lang w:bidi="ar"/>
              </w:rPr>
              <w:t>人员工作</w:t>
            </w:r>
          </w:p>
        </w:tc>
        <w:tc>
          <w:tcPr>
            <w:tcW w:w="239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截至</w:t>
            </w:r>
            <w:r>
              <w:rPr>
                <w:rFonts w:hint="eastAsia"/>
                <w:color w:val="000000"/>
                <w:kern w:val="0"/>
                <w:sz w:val="24"/>
                <w:lang w:bidi="ar"/>
              </w:rPr>
              <w:t>目前</w:t>
            </w:r>
            <w:r>
              <w:rPr>
                <w:color w:val="000000"/>
                <w:kern w:val="0"/>
                <w:sz w:val="24"/>
                <w:lang w:bidi="ar"/>
              </w:rPr>
              <w:t>，按照</w:t>
            </w:r>
            <w:r>
              <w:rPr>
                <w:rFonts w:hint="eastAsia"/>
                <w:color w:val="000000"/>
                <w:kern w:val="0"/>
                <w:sz w:val="24"/>
                <w:lang w:bidi="ar"/>
              </w:rPr>
              <w:t>省、市人社部门</w:t>
            </w:r>
            <w:r>
              <w:rPr>
                <w:color w:val="000000"/>
                <w:kern w:val="0"/>
                <w:sz w:val="24"/>
                <w:lang w:bidi="ar"/>
              </w:rPr>
              <w:t>统一部署，</w:t>
            </w:r>
            <w:r>
              <w:rPr>
                <w:rFonts w:hint="eastAsia"/>
                <w:color w:val="000000"/>
                <w:kern w:val="0"/>
                <w:sz w:val="24"/>
                <w:lang w:bidi="ar"/>
              </w:rPr>
              <w:t>已完成“三支一扶”招募2人。</w:t>
            </w:r>
          </w:p>
          <w:p>
            <w:pPr>
              <w:widowControl/>
              <w:jc w:val="center"/>
              <w:textAlignment w:val="center"/>
              <w:rPr>
                <w:rFonts w:ascii="宋体" w:hAnsi="宋体" w:cs="宋体"/>
                <w:color w:val="000000"/>
                <w:sz w:val="18"/>
                <w:szCs w:val="18"/>
              </w:rPr>
            </w:pPr>
            <w:r>
              <w:rPr>
                <w:color w:val="000000"/>
                <w:kern w:val="0"/>
                <w:sz w:val="24"/>
                <w:lang w:bidi="ar"/>
              </w:rPr>
              <w:t>严格按照国家和省、市、区</w:t>
            </w:r>
            <w:r>
              <w:rPr>
                <w:rFonts w:hint="eastAsia"/>
                <w:color w:val="000000"/>
                <w:kern w:val="0"/>
                <w:sz w:val="24"/>
                <w:lang w:bidi="ar"/>
              </w:rPr>
              <w:t>“三支一扶”计划招募工作</w:t>
            </w:r>
            <w:r>
              <w:rPr>
                <w:color w:val="000000"/>
                <w:kern w:val="0"/>
                <w:sz w:val="24"/>
                <w:lang w:bidi="ar"/>
              </w:rPr>
              <w:t>政策规定</w:t>
            </w:r>
            <w:r>
              <w:rPr>
                <w:rFonts w:hint="eastAsia"/>
                <w:color w:val="000000"/>
                <w:kern w:val="0"/>
                <w:sz w:val="24"/>
                <w:lang w:bidi="ar"/>
              </w:rPr>
              <w:t>执行</w:t>
            </w:r>
            <w:r>
              <w:rPr>
                <w:color w:val="000000"/>
                <w:kern w:val="0"/>
                <w:sz w:val="24"/>
                <w:lang w:bidi="ar"/>
              </w:rPr>
              <w:t>，</w:t>
            </w:r>
            <w:r>
              <w:rPr>
                <w:rFonts w:hint="eastAsia"/>
                <w:color w:val="000000"/>
                <w:kern w:val="0"/>
                <w:sz w:val="24"/>
                <w:lang w:bidi="ar"/>
              </w:rPr>
              <w:t>对落实国家政策，解决大学生就业，充实基层高素质人才对，引导大学生树立正确世界观、人生观、价值观，推动经济社会发展，进一步推动落实乡村振兴工作具有重要意义。</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按区委区政府要求开展公开</w:t>
            </w:r>
            <w:r>
              <w:rPr>
                <w:rFonts w:hint="eastAsia"/>
                <w:color w:val="000000"/>
                <w:kern w:val="0"/>
                <w:sz w:val="24"/>
                <w:lang w:bidi="ar"/>
              </w:rPr>
              <w:t>三支一扶人员</w:t>
            </w:r>
            <w:r>
              <w:rPr>
                <w:color w:val="000000"/>
                <w:kern w:val="0"/>
                <w:sz w:val="24"/>
                <w:lang w:bidi="ar"/>
              </w:rPr>
              <w:t>人员</w:t>
            </w:r>
            <w:r>
              <w:rPr>
                <w:rFonts w:hint="eastAsia"/>
                <w:color w:val="000000"/>
                <w:kern w:val="0"/>
                <w:sz w:val="24"/>
                <w:lang w:bidi="ar"/>
              </w:rPr>
              <w:t>考核</w:t>
            </w:r>
            <w:r>
              <w:rPr>
                <w:color w:val="000000"/>
                <w:kern w:val="0"/>
                <w:sz w:val="24"/>
                <w:lang w:bidi="ar"/>
              </w:rPr>
              <w:t>工作</w:t>
            </w:r>
          </w:p>
        </w:tc>
      </w:tr>
      <w:tr>
        <w:tblPrEx>
          <w:tblCellMar>
            <w:top w:w="0" w:type="dxa"/>
            <w:left w:w="0" w:type="dxa"/>
            <w:bottom w:w="0" w:type="dxa"/>
            <w:right w:w="0" w:type="dxa"/>
          </w:tblCellMar>
        </w:tblPrEx>
        <w:trPr>
          <w:trHeight w:val="1216" w:hRule="atLeast"/>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项目完成</w:t>
            </w:r>
          </w:p>
          <w:p>
            <w:pPr>
              <w:widowControl/>
              <w:jc w:val="center"/>
              <w:textAlignment w:val="center"/>
              <w:rPr>
                <w:color w:val="000000"/>
                <w:sz w:val="24"/>
              </w:rPr>
            </w:pPr>
            <w:r>
              <w:rPr>
                <w:color w:val="000000"/>
                <w:kern w:val="0"/>
                <w:sz w:val="24"/>
                <w:lang w:bidi="ar"/>
              </w:rPr>
              <w:t>指标</w:t>
            </w:r>
          </w:p>
        </w:tc>
        <w:tc>
          <w:tcPr>
            <w:tcW w:w="10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按区委区政府要求开展公开</w:t>
            </w:r>
            <w:r>
              <w:rPr>
                <w:rFonts w:hint="eastAsia"/>
                <w:color w:val="000000"/>
                <w:kern w:val="0"/>
                <w:sz w:val="24"/>
                <w:lang w:bidi="ar"/>
              </w:rPr>
              <w:t>三支一扶人员</w:t>
            </w:r>
            <w:r>
              <w:rPr>
                <w:color w:val="000000"/>
                <w:kern w:val="0"/>
                <w:sz w:val="24"/>
                <w:lang w:bidi="ar"/>
              </w:rPr>
              <w:t>人员</w:t>
            </w:r>
            <w:r>
              <w:rPr>
                <w:rFonts w:hint="eastAsia"/>
                <w:color w:val="000000"/>
                <w:kern w:val="0"/>
                <w:sz w:val="24"/>
                <w:lang w:bidi="ar"/>
              </w:rPr>
              <w:t>考核</w:t>
            </w:r>
            <w:r>
              <w:rPr>
                <w:color w:val="000000"/>
                <w:kern w:val="0"/>
                <w:sz w:val="24"/>
                <w:lang w:bidi="ar"/>
              </w:rPr>
              <w:t>工作</w:t>
            </w:r>
          </w:p>
        </w:tc>
        <w:tc>
          <w:tcPr>
            <w:tcW w:w="239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按区委区政府要求开展公开</w:t>
            </w:r>
            <w:r>
              <w:rPr>
                <w:rFonts w:hint="eastAsia"/>
                <w:color w:val="000000"/>
                <w:kern w:val="0"/>
                <w:sz w:val="24"/>
                <w:lang w:bidi="ar"/>
              </w:rPr>
              <w:t>三支一扶人员</w:t>
            </w:r>
            <w:r>
              <w:rPr>
                <w:color w:val="000000"/>
                <w:kern w:val="0"/>
                <w:sz w:val="24"/>
                <w:lang w:bidi="ar"/>
              </w:rPr>
              <w:t>人员</w:t>
            </w:r>
            <w:r>
              <w:rPr>
                <w:rFonts w:hint="eastAsia"/>
                <w:color w:val="000000"/>
                <w:kern w:val="0"/>
                <w:sz w:val="24"/>
                <w:lang w:bidi="ar"/>
              </w:rPr>
              <w:t>考核</w:t>
            </w:r>
            <w:r>
              <w:rPr>
                <w:color w:val="000000"/>
                <w:kern w:val="0"/>
                <w:sz w:val="24"/>
                <w:lang w:bidi="ar"/>
              </w:rPr>
              <w:t>工作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按区委区政府要求开展公开</w:t>
            </w:r>
            <w:r>
              <w:rPr>
                <w:rFonts w:hint="eastAsia"/>
                <w:color w:val="000000"/>
                <w:kern w:val="0"/>
                <w:sz w:val="24"/>
                <w:lang w:bidi="ar"/>
              </w:rPr>
              <w:t>三支一扶人员</w:t>
            </w:r>
            <w:r>
              <w:rPr>
                <w:color w:val="000000"/>
                <w:kern w:val="0"/>
                <w:sz w:val="24"/>
                <w:lang w:bidi="ar"/>
              </w:rPr>
              <w:t>人员</w:t>
            </w:r>
            <w:r>
              <w:rPr>
                <w:rFonts w:hint="eastAsia"/>
                <w:color w:val="000000"/>
                <w:kern w:val="0"/>
                <w:sz w:val="24"/>
                <w:lang w:bidi="ar"/>
              </w:rPr>
              <w:t>考核</w:t>
            </w:r>
            <w:r>
              <w:rPr>
                <w:color w:val="000000"/>
                <w:kern w:val="0"/>
                <w:sz w:val="24"/>
                <w:lang w:bidi="ar"/>
              </w:rPr>
              <w:t>工作</w:t>
            </w:r>
          </w:p>
        </w:tc>
      </w:tr>
      <w:tr>
        <w:tblPrEx>
          <w:tblCellMar>
            <w:top w:w="0" w:type="dxa"/>
            <w:left w:w="0" w:type="dxa"/>
            <w:bottom w:w="0" w:type="dxa"/>
            <w:right w:w="0" w:type="dxa"/>
          </w:tblCellMar>
        </w:tblPrEx>
        <w:trPr>
          <w:trHeight w:val="929" w:hRule="atLeast"/>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项目完成</w:t>
            </w:r>
          </w:p>
          <w:p>
            <w:pPr>
              <w:widowControl/>
              <w:jc w:val="center"/>
              <w:textAlignment w:val="center"/>
              <w:rPr>
                <w:color w:val="000000"/>
                <w:sz w:val="24"/>
              </w:rPr>
            </w:pPr>
            <w:r>
              <w:rPr>
                <w:color w:val="000000"/>
                <w:kern w:val="0"/>
                <w:sz w:val="24"/>
                <w:lang w:bidi="ar"/>
              </w:rPr>
              <w:t>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质量指标</w:t>
            </w: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确保工作安全、有序进行</w:t>
            </w:r>
          </w:p>
        </w:tc>
        <w:tc>
          <w:tcPr>
            <w:tcW w:w="239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确保工作安全、有序进行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kern w:val="0"/>
                <w:sz w:val="18"/>
                <w:szCs w:val="18"/>
              </w:rPr>
            </w:pPr>
            <w:r>
              <w:rPr>
                <w:color w:val="000000"/>
                <w:sz w:val="24"/>
              </w:rPr>
              <w:t>100%</w:t>
            </w:r>
          </w:p>
        </w:tc>
      </w:tr>
      <w:tr>
        <w:tblPrEx>
          <w:tblCellMar>
            <w:top w:w="0" w:type="dxa"/>
            <w:left w:w="0" w:type="dxa"/>
            <w:bottom w:w="0" w:type="dxa"/>
            <w:right w:w="0" w:type="dxa"/>
          </w:tblCellMar>
        </w:tblPrEx>
        <w:trPr>
          <w:trHeight w:val="817" w:hRule="atLeast"/>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项目完成</w:t>
            </w:r>
          </w:p>
          <w:p>
            <w:pPr>
              <w:widowControl/>
              <w:jc w:val="center"/>
              <w:textAlignment w:val="center"/>
              <w:rPr>
                <w:color w:val="000000"/>
                <w:sz w:val="24"/>
              </w:rPr>
            </w:pPr>
            <w:r>
              <w:rPr>
                <w:color w:val="000000"/>
                <w:kern w:val="0"/>
                <w:sz w:val="24"/>
                <w:lang w:bidi="ar"/>
              </w:rPr>
              <w:t>指标</w:t>
            </w:r>
          </w:p>
        </w:tc>
        <w:tc>
          <w:tcPr>
            <w:tcW w:w="102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时效指标</w:t>
            </w: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公开考试</w:t>
            </w:r>
            <w:r>
              <w:rPr>
                <w:rFonts w:hint="eastAsia"/>
                <w:color w:val="000000"/>
                <w:kern w:val="0"/>
                <w:sz w:val="24"/>
                <w:lang w:bidi="ar"/>
              </w:rPr>
              <w:t>三支一扶</w:t>
            </w:r>
            <w:r>
              <w:rPr>
                <w:color w:val="000000"/>
                <w:kern w:val="0"/>
                <w:sz w:val="24"/>
                <w:lang w:bidi="ar"/>
              </w:rPr>
              <w:t>工作人员工作</w:t>
            </w:r>
          </w:p>
        </w:tc>
        <w:tc>
          <w:tcPr>
            <w:tcW w:w="239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202</w:t>
            </w:r>
            <w:r>
              <w:rPr>
                <w:rFonts w:hint="eastAsia"/>
                <w:color w:val="000000"/>
                <w:kern w:val="0"/>
                <w:sz w:val="24"/>
                <w:lang w:bidi="ar"/>
              </w:rPr>
              <w:t>1</w:t>
            </w:r>
            <w:r>
              <w:rPr>
                <w:color w:val="000000"/>
                <w:kern w:val="0"/>
                <w:sz w:val="24"/>
                <w:lang w:bidi="ar"/>
              </w:rPr>
              <w:t>年截止</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100%</w:t>
            </w:r>
          </w:p>
        </w:tc>
      </w:tr>
      <w:tr>
        <w:tblPrEx>
          <w:tblCellMar>
            <w:top w:w="0" w:type="dxa"/>
            <w:left w:w="0" w:type="dxa"/>
            <w:bottom w:w="0" w:type="dxa"/>
            <w:right w:w="0" w:type="dxa"/>
          </w:tblCellMar>
        </w:tblPrEx>
        <w:trPr>
          <w:trHeight w:val="722" w:hRule="atLeast"/>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项目完成</w:t>
            </w:r>
          </w:p>
          <w:p>
            <w:pPr>
              <w:widowControl/>
              <w:jc w:val="center"/>
              <w:textAlignment w:val="center"/>
              <w:rPr>
                <w:color w:val="000000"/>
                <w:kern w:val="0"/>
                <w:sz w:val="24"/>
                <w:lang w:bidi="ar"/>
              </w:rPr>
            </w:pPr>
            <w:r>
              <w:rPr>
                <w:color w:val="000000"/>
                <w:kern w:val="0"/>
                <w:sz w:val="24"/>
                <w:lang w:bidi="ar"/>
              </w:rPr>
              <w:t>指标</w:t>
            </w:r>
          </w:p>
        </w:tc>
        <w:tc>
          <w:tcPr>
            <w:tcW w:w="10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公开考试</w:t>
            </w:r>
            <w:r>
              <w:rPr>
                <w:rFonts w:hint="eastAsia"/>
                <w:color w:val="000000"/>
                <w:kern w:val="0"/>
                <w:sz w:val="24"/>
                <w:lang w:bidi="ar"/>
              </w:rPr>
              <w:t>三支一扶</w:t>
            </w:r>
            <w:r>
              <w:rPr>
                <w:color w:val="000000"/>
                <w:kern w:val="0"/>
                <w:sz w:val="24"/>
                <w:lang w:bidi="ar"/>
              </w:rPr>
              <w:t>工作人员工作</w:t>
            </w:r>
          </w:p>
        </w:tc>
        <w:tc>
          <w:tcPr>
            <w:tcW w:w="239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202</w:t>
            </w:r>
            <w:r>
              <w:rPr>
                <w:rFonts w:hint="eastAsia"/>
                <w:color w:val="000000"/>
                <w:kern w:val="0"/>
                <w:sz w:val="24"/>
                <w:lang w:bidi="ar"/>
              </w:rPr>
              <w:t>1</w:t>
            </w:r>
            <w:r>
              <w:rPr>
                <w:color w:val="000000"/>
                <w:kern w:val="0"/>
                <w:sz w:val="24"/>
                <w:lang w:bidi="ar"/>
              </w:rPr>
              <w:t>年截止</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100%</w:t>
            </w:r>
          </w:p>
        </w:tc>
      </w:tr>
      <w:tr>
        <w:tblPrEx>
          <w:tblCellMar>
            <w:top w:w="0" w:type="dxa"/>
            <w:left w:w="0" w:type="dxa"/>
            <w:bottom w:w="0" w:type="dxa"/>
            <w:right w:w="0" w:type="dxa"/>
          </w:tblCellMar>
        </w:tblPrEx>
        <w:trPr>
          <w:trHeight w:val="1050" w:hRule="atLeast"/>
        </w:trPr>
        <w:tc>
          <w:tcPr>
            <w:tcW w:w="390" w:type="dxa"/>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项目完成</w:t>
            </w:r>
          </w:p>
          <w:p>
            <w:pPr>
              <w:widowControl/>
              <w:jc w:val="center"/>
              <w:textAlignment w:val="center"/>
              <w:rPr>
                <w:color w:val="000000"/>
                <w:kern w:val="0"/>
                <w:sz w:val="24"/>
                <w:lang w:bidi="ar"/>
              </w:rPr>
            </w:pPr>
            <w:r>
              <w:rPr>
                <w:color w:val="000000"/>
                <w:kern w:val="0"/>
                <w:sz w:val="24"/>
                <w:lang w:bidi="ar"/>
              </w:rPr>
              <w:t>指标</w:t>
            </w:r>
          </w:p>
        </w:tc>
        <w:tc>
          <w:tcPr>
            <w:tcW w:w="102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社会效益</w:t>
            </w:r>
          </w:p>
          <w:p>
            <w:pPr>
              <w:widowControl/>
              <w:jc w:val="center"/>
              <w:textAlignment w:val="center"/>
              <w:rPr>
                <w:color w:val="000000"/>
                <w:kern w:val="0"/>
                <w:sz w:val="24"/>
                <w:lang w:bidi="ar"/>
              </w:rPr>
            </w:pPr>
            <w:r>
              <w:rPr>
                <w:color w:val="000000"/>
                <w:kern w:val="0"/>
                <w:sz w:val="24"/>
                <w:lang w:bidi="ar"/>
              </w:rPr>
              <w:t>指标</w:t>
            </w: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开展考务工作</w:t>
            </w:r>
          </w:p>
        </w:tc>
        <w:tc>
          <w:tcPr>
            <w:tcW w:w="239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严格按照国家和省、市、区相关人事考试政策规定，公开、公平、公正开展考务工作，促进考务工作合规进行</w:t>
            </w:r>
          </w:p>
        </w:tc>
        <w:tc>
          <w:tcPr>
            <w:tcW w:w="239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落实“攀枝花人才新政七条”，考核招聘高层次和紧缺专业人才</w:t>
            </w:r>
            <w:r>
              <w:rPr>
                <w:rFonts w:hint="eastAsia"/>
                <w:color w:val="000000"/>
                <w:sz w:val="24"/>
              </w:rPr>
              <w:t>2</w:t>
            </w:r>
            <w:r>
              <w:rPr>
                <w:color w:val="000000"/>
                <w:sz w:val="24"/>
              </w:rPr>
              <w:t>名。</w:t>
            </w:r>
          </w:p>
          <w:p>
            <w:pPr>
              <w:widowControl/>
              <w:jc w:val="center"/>
              <w:textAlignment w:val="center"/>
              <w:rPr>
                <w:color w:val="000000"/>
                <w:kern w:val="0"/>
                <w:sz w:val="24"/>
                <w:lang w:bidi="ar"/>
              </w:rPr>
            </w:pPr>
            <w:r>
              <w:rPr>
                <w:color w:val="000000"/>
                <w:kern w:val="0"/>
                <w:sz w:val="24"/>
                <w:lang w:bidi="ar"/>
              </w:rPr>
              <w:t>100%</w:t>
            </w:r>
          </w:p>
        </w:tc>
      </w:tr>
      <w:tr>
        <w:tblPrEx>
          <w:tblCellMar>
            <w:top w:w="0" w:type="dxa"/>
            <w:left w:w="0" w:type="dxa"/>
            <w:bottom w:w="0" w:type="dxa"/>
            <w:right w:w="0" w:type="dxa"/>
          </w:tblCellMar>
        </w:tblPrEx>
        <w:trPr>
          <w:trHeight w:val="1050" w:hRule="atLeast"/>
        </w:trPr>
        <w:tc>
          <w:tcPr>
            <w:tcW w:w="390" w:type="dxa"/>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项目完成</w:t>
            </w:r>
          </w:p>
          <w:p>
            <w:pPr>
              <w:widowControl/>
              <w:jc w:val="center"/>
              <w:textAlignment w:val="center"/>
              <w:rPr>
                <w:color w:val="000000"/>
                <w:kern w:val="0"/>
                <w:sz w:val="24"/>
                <w:lang w:bidi="ar"/>
              </w:rPr>
            </w:pPr>
            <w:r>
              <w:rPr>
                <w:color w:val="000000"/>
                <w:kern w:val="0"/>
                <w:sz w:val="24"/>
                <w:lang w:bidi="ar"/>
              </w:rPr>
              <w:t>指标</w:t>
            </w:r>
          </w:p>
        </w:tc>
        <w:tc>
          <w:tcPr>
            <w:tcW w:w="10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引才工作</w:t>
            </w:r>
          </w:p>
        </w:tc>
        <w:tc>
          <w:tcPr>
            <w:tcW w:w="239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招聘符合西区发展及工作需要的高素质人才，推动各项工作有序、高效、高质量完成</w:t>
            </w:r>
          </w:p>
        </w:tc>
        <w:tc>
          <w:tcPr>
            <w:tcW w:w="239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p>
        </w:tc>
      </w:tr>
      <w:tr>
        <w:tblPrEx>
          <w:tblCellMar>
            <w:top w:w="0" w:type="dxa"/>
            <w:left w:w="0" w:type="dxa"/>
            <w:bottom w:w="0" w:type="dxa"/>
            <w:right w:w="0" w:type="dxa"/>
          </w:tblCellMar>
        </w:tblPrEx>
        <w:trPr>
          <w:trHeight w:val="852" w:hRule="atLeast"/>
        </w:trPr>
        <w:tc>
          <w:tcPr>
            <w:tcW w:w="390" w:type="dxa"/>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项目完成</w:t>
            </w:r>
          </w:p>
          <w:p>
            <w:pPr>
              <w:widowControl/>
              <w:jc w:val="center"/>
              <w:textAlignment w:val="center"/>
              <w:rPr>
                <w:color w:val="000000"/>
                <w:kern w:val="0"/>
                <w:sz w:val="24"/>
                <w:lang w:bidi="ar"/>
              </w:rPr>
            </w:pPr>
            <w:r>
              <w:rPr>
                <w:color w:val="000000"/>
                <w:kern w:val="0"/>
                <w:sz w:val="24"/>
                <w:lang w:bidi="ar"/>
              </w:rPr>
              <w:t>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可持续影响指标</w:t>
            </w: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招考工作</w:t>
            </w:r>
          </w:p>
        </w:tc>
        <w:tc>
          <w:tcPr>
            <w:tcW w:w="239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保障人事人才工作顺利进行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100%</w:t>
            </w:r>
          </w:p>
        </w:tc>
      </w:tr>
      <w:tr>
        <w:tblPrEx>
          <w:tblCellMar>
            <w:top w:w="0" w:type="dxa"/>
            <w:left w:w="0" w:type="dxa"/>
            <w:bottom w:w="0" w:type="dxa"/>
            <w:right w:w="0" w:type="dxa"/>
          </w:tblCellMar>
        </w:tblPrEx>
        <w:trPr>
          <w:trHeight w:val="800" w:hRule="atLeast"/>
        </w:trPr>
        <w:tc>
          <w:tcPr>
            <w:tcW w:w="390" w:type="dxa"/>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13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满意度指标</w:t>
            </w:r>
          </w:p>
        </w:tc>
        <w:tc>
          <w:tcPr>
            <w:tcW w:w="102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服务对象满意度指标</w:t>
            </w: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招考人员满意度</w:t>
            </w:r>
          </w:p>
        </w:tc>
        <w:tc>
          <w:tcPr>
            <w:tcW w:w="239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大于95%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100%</w:t>
            </w:r>
          </w:p>
        </w:tc>
      </w:tr>
      <w:tr>
        <w:tblPrEx>
          <w:tblCellMar>
            <w:top w:w="0" w:type="dxa"/>
            <w:left w:w="0" w:type="dxa"/>
            <w:bottom w:w="0" w:type="dxa"/>
            <w:right w:w="0" w:type="dxa"/>
          </w:tblCellMar>
        </w:tblPrEx>
        <w:trPr>
          <w:trHeight w:val="801" w:hRule="atLeast"/>
        </w:trPr>
        <w:tc>
          <w:tcPr>
            <w:tcW w:w="390" w:type="dxa"/>
            <w:tcBorders>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136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p>
        </w:tc>
        <w:tc>
          <w:tcPr>
            <w:tcW w:w="10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引进人员满意度</w:t>
            </w:r>
          </w:p>
        </w:tc>
        <w:tc>
          <w:tcPr>
            <w:tcW w:w="239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大于95%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100%</w:t>
            </w:r>
          </w:p>
        </w:tc>
      </w:tr>
    </w:tbl>
    <w:p>
      <w:pPr>
        <w:spacing w:line="600" w:lineRule="exact"/>
        <w:jc w:val="center"/>
        <w:rPr>
          <w:rFonts w:ascii="黑体" w:hAnsi="黑体" w:eastAsia="黑体"/>
          <w:sz w:val="44"/>
          <w:szCs w:val="44"/>
        </w:rPr>
      </w:pPr>
      <w:bookmarkStart w:id="83" w:name="_Toc15396618"/>
    </w:p>
    <w:p>
      <w:pPr>
        <w:spacing w:line="600" w:lineRule="exact"/>
        <w:jc w:val="center"/>
        <w:rPr>
          <w:rFonts w:ascii="黑体" w:hAnsi="黑体" w:eastAsia="黑体"/>
          <w:sz w:val="44"/>
          <w:szCs w:val="44"/>
        </w:rPr>
      </w:pPr>
    </w:p>
    <w:p>
      <w:pPr>
        <w:spacing w:line="600" w:lineRule="exact"/>
        <w:jc w:val="center"/>
        <w:rPr>
          <w:rFonts w:ascii="黑体" w:hAnsi="黑体" w:eastAsia="黑体"/>
          <w:sz w:val="44"/>
          <w:szCs w:val="44"/>
        </w:rPr>
      </w:pPr>
    </w:p>
    <w:p>
      <w:pPr>
        <w:spacing w:line="600" w:lineRule="exact"/>
        <w:jc w:val="center"/>
        <w:rPr>
          <w:rFonts w:ascii="黑体" w:hAnsi="黑体" w:eastAsia="黑体"/>
          <w:sz w:val="44"/>
          <w:szCs w:val="44"/>
        </w:rPr>
      </w:pPr>
    </w:p>
    <w:p>
      <w:pPr>
        <w:spacing w:line="600" w:lineRule="exact"/>
        <w:jc w:val="center"/>
        <w:rPr>
          <w:rFonts w:ascii="黑体" w:hAnsi="黑体" w:eastAsia="黑体"/>
          <w:sz w:val="44"/>
          <w:szCs w:val="44"/>
        </w:rPr>
      </w:pPr>
    </w:p>
    <w:p>
      <w:pPr>
        <w:pStyle w:val="2"/>
        <w:spacing w:before="93"/>
        <w:rPr>
          <w:rFonts w:ascii="黑体" w:hAnsi="黑体" w:eastAsia="黑体"/>
          <w:sz w:val="44"/>
          <w:szCs w:val="44"/>
        </w:rPr>
      </w:pPr>
    </w:p>
    <w:p>
      <w:pPr>
        <w:pStyle w:val="2"/>
        <w:spacing w:before="93"/>
        <w:rPr>
          <w:rFonts w:ascii="黑体" w:hAnsi="黑体" w:eastAsia="黑体"/>
          <w:sz w:val="44"/>
          <w:szCs w:val="44"/>
        </w:rPr>
      </w:pPr>
    </w:p>
    <w:p>
      <w:pPr>
        <w:pStyle w:val="2"/>
        <w:spacing w:before="93"/>
        <w:rPr>
          <w:rFonts w:ascii="黑体" w:hAnsi="黑体" w:eastAsia="黑体"/>
          <w:sz w:val="44"/>
          <w:szCs w:val="44"/>
        </w:rPr>
      </w:pPr>
    </w:p>
    <w:p>
      <w:pPr>
        <w:pStyle w:val="2"/>
        <w:spacing w:before="93"/>
        <w:rPr>
          <w:rFonts w:ascii="黑体" w:hAnsi="黑体" w:eastAsia="黑体"/>
          <w:sz w:val="44"/>
          <w:szCs w:val="44"/>
        </w:rPr>
      </w:pPr>
    </w:p>
    <w:p>
      <w:pPr>
        <w:spacing w:line="600" w:lineRule="exact"/>
        <w:jc w:val="center"/>
        <w:rPr>
          <w:rFonts w:ascii="黑体" w:hAnsi="黑体" w:eastAsia="黑体"/>
          <w:sz w:val="44"/>
          <w:szCs w:val="44"/>
        </w:rPr>
      </w:pPr>
    </w:p>
    <w:p>
      <w:pPr>
        <w:spacing w:line="600" w:lineRule="exact"/>
        <w:jc w:val="center"/>
        <w:outlineLvl w:val="0"/>
        <w:rPr>
          <w:rFonts w:ascii="仿宋" w:hAnsi="仿宋" w:eastAsia="仿宋"/>
        </w:rPr>
      </w:pPr>
      <w:bookmarkStart w:id="84" w:name="_Toc17628"/>
      <w:r>
        <w:rPr>
          <w:rFonts w:hint="eastAsia" w:ascii="黑体" w:hAnsi="黑体" w:eastAsia="黑体"/>
          <w:sz w:val="44"/>
          <w:szCs w:val="44"/>
        </w:rPr>
        <w:t>第</w:t>
      </w:r>
      <w:r>
        <w:rPr>
          <w:rStyle w:val="25"/>
          <w:rFonts w:hint="eastAsia" w:ascii="黑体" w:hAnsi="黑体" w:eastAsia="黑体"/>
          <w:b w:val="0"/>
        </w:rPr>
        <w:t>五部分 附表</w:t>
      </w:r>
      <w:bookmarkEnd w:id="79"/>
      <w:bookmarkEnd w:id="83"/>
      <w:bookmarkEnd w:id="84"/>
      <w:bookmarkStart w:id="85" w:name="_Toc15396619"/>
    </w:p>
    <w:p>
      <w:pPr>
        <w:pStyle w:val="4"/>
        <w:rPr>
          <w:rFonts w:ascii="仿宋" w:hAnsi="仿宋" w:eastAsia="仿宋"/>
        </w:rPr>
      </w:pPr>
      <w:bookmarkStart w:id="86" w:name="_Toc23029"/>
      <w:r>
        <w:rPr>
          <w:rFonts w:hint="eastAsia" w:ascii="仿宋" w:hAnsi="仿宋" w:eastAsia="仿宋"/>
          <w:b w:val="0"/>
        </w:rPr>
        <w:t>一、收</w:t>
      </w:r>
      <w:r>
        <w:rPr>
          <w:rStyle w:val="26"/>
          <w:rFonts w:hint="eastAsia" w:ascii="仿宋" w:hAnsi="仿宋" w:eastAsia="仿宋"/>
          <w:b w:val="0"/>
          <w:bCs w:val="0"/>
        </w:rPr>
        <w:t>入支出决算总表</w:t>
      </w:r>
      <w:bookmarkEnd w:id="85"/>
      <w:bookmarkEnd w:id="86"/>
    </w:p>
    <w:p>
      <w:pPr>
        <w:pStyle w:val="4"/>
        <w:rPr>
          <w:rFonts w:ascii="仿宋" w:hAnsi="仿宋" w:eastAsia="仿宋"/>
        </w:rPr>
      </w:pPr>
      <w:bookmarkStart w:id="87" w:name="_Toc15396620"/>
      <w:bookmarkStart w:id="88" w:name="_Toc27533"/>
      <w:r>
        <w:rPr>
          <w:rFonts w:hint="eastAsia" w:ascii="仿宋" w:hAnsi="仿宋" w:eastAsia="仿宋"/>
          <w:b w:val="0"/>
        </w:rPr>
        <w:t>二、收</w:t>
      </w:r>
      <w:r>
        <w:rPr>
          <w:rStyle w:val="26"/>
          <w:rFonts w:hint="eastAsia" w:ascii="仿宋" w:hAnsi="仿宋" w:eastAsia="仿宋"/>
          <w:b w:val="0"/>
          <w:bCs w:val="0"/>
        </w:rPr>
        <w:t>入决算表</w:t>
      </w:r>
      <w:bookmarkEnd w:id="87"/>
      <w:bookmarkEnd w:id="88"/>
    </w:p>
    <w:p>
      <w:pPr>
        <w:pStyle w:val="4"/>
        <w:rPr>
          <w:rFonts w:ascii="仿宋" w:hAnsi="仿宋" w:eastAsia="仿宋"/>
        </w:rPr>
      </w:pPr>
      <w:bookmarkStart w:id="89" w:name="_Toc24146"/>
      <w:bookmarkStart w:id="90" w:name="_Toc15396621"/>
      <w:r>
        <w:rPr>
          <w:rStyle w:val="26"/>
          <w:rFonts w:hint="eastAsia" w:ascii="仿宋" w:hAnsi="仿宋" w:eastAsia="仿宋"/>
          <w:b w:val="0"/>
          <w:bCs w:val="0"/>
        </w:rPr>
        <w:t>三、</w:t>
      </w:r>
      <w:r>
        <w:rPr>
          <w:rFonts w:hint="eastAsia" w:ascii="仿宋" w:hAnsi="仿宋" w:eastAsia="仿宋"/>
          <w:b w:val="0"/>
        </w:rPr>
        <w:t>支</w:t>
      </w:r>
      <w:r>
        <w:rPr>
          <w:rStyle w:val="26"/>
          <w:rFonts w:hint="eastAsia" w:ascii="仿宋" w:hAnsi="仿宋" w:eastAsia="仿宋"/>
          <w:b w:val="0"/>
          <w:bCs w:val="0"/>
        </w:rPr>
        <w:t>出决算表</w:t>
      </w:r>
      <w:bookmarkEnd w:id="89"/>
      <w:bookmarkEnd w:id="90"/>
    </w:p>
    <w:p>
      <w:pPr>
        <w:pStyle w:val="4"/>
        <w:rPr>
          <w:rFonts w:ascii="仿宋" w:hAnsi="仿宋" w:eastAsia="仿宋"/>
          <w:b w:val="0"/>
        </w:rPr>
      </w:pPr>
      <w:bookmarkStart w:id="91" w:name="_Toc200"/>
      <w:bookmarkStart w:id="92" w:name="_Toc15396622"/>
      <w:r>
        <w:rPr>
          <w:rStyle w:val="26"/>
          <w:rFonts w:hint="eastAsia" w:ascii="仿宋" w:hAnsi="仿宋" w:eastAsia="仿宋"/>
          <w:b w:val="0"/>
          <w:bCs w:val="0"/>
        </w:rPr>
        <w:t>四、</w:t>
      </w:r>
      <w:r>
        <w:rPr>
          <w:rFonts w:hint="eastAsia" w:ascii="仿宋" w:hAnsi="仿宋" w:eastAsia="仿宋"/>
          <w:b w:val="0"/>
        </w:rPr>
        <w:t>财</w:t>
      </w:r>
      <w:r>
        <w:rPr>
          <w:rStyle w:val="26"/>
          <w:rFonts w:hint="eastAsia" w:ascii="仿宋" w:hAnsi="仿宋" w:eastAsia="仿宋"/>
          <w:b w:val="0"/>
          <w:bCs w:val="0"/>
        </w:rPr>
        <w:t>政拨款收入支出决算总表</w:t>
      </w:r>
      <w:bookmarkEnd w:id="91"/>
      <w:bookmarkEnd w:id="92"/>
    </w:p>
    <w:p>
      <w:pPr>
        <w:pStyle w:val="4"/>
        <w:rPr>
          <w:rStyle w:val="26"/>
          <w:rFonts w:ascii="仿宋" w:hAnsi="仿宋" w:eastAsia="仿宋"/>
          <w:b w:val="0"/>
          <w:bCs w:val="0"/>
        </w:rPr>
      </w:pPr>
      <w:bookmarkStart w:id="93" w:name="_Toc15396623"/>
      <w:bookmarkStart w:id="94" w:name="_Toc5313"/>
      <w:r>
        <w:rPr>
          <w:rStyle w:val="26"/>
          <w:rFonts w:hint="eastAsia" w:ascii="仿宋" w:hAnsi="仿宋" w:eastAsia="仿宋"/>
          <w:b w:val="0"/>
          <w:bCs w:val="0"/>
        </w:rPr>
        <w:t>五、</w:t>
      </w:r>
      <w:r>
        <w:rPr>
          <w:rFonts w:hint="eastAsia" w:ascii="仿宋" w:hAnsi="仿宋" w:eastAsia="仿宋"/>
          <w:b w:val="0"/>
        </w:rPr>
        <w:t>财</w:t>
      </w:r>
      <w:r>
        <w:rPr>
          <w:rStyle w:val="26"/>
          <w:rFonts w:hint="eastAsia" w:ascii="仿宋" w:hAnsi="仿宋" w:eastAsia="仿宋"/>
          <w:b w:val="0"/>
          <w:bCs w:val="0"/>
        </w:rPr>
        <w:t>政拨款支出决算明细表</w:t>
      </w:r>
      <w:bookmarkEnd w:id="93"/>
      <w:bookmarkEnd w:id="94"/>
      <w:bookmarkStart w:id="95" w:name="_Toc15396624"/>
    </w:p>
    <w:p>
      <w:pPr>
        <w:pStyle w:val="4"/>
        <w:rPr>
          <w:rFonts w:ascii="仿宋" w:hAnsi="仿宋" w:eastAsia="仿宋"/>
        </w:rPr>
      </w:pPr>
      <w:bookmarkStart w:id="96" w:name="_Toc25526"/>
      <w:r>
        <w:rPr>
          <w:rStyle w:val="26"/>
          <w:rFonts w:hint="eastAsia" w:ascii="仿宋" w:hAnsi="仿宋" w:eastAsia="仿宋"/>
          <w:b w:val="0"/>
          <w:bCs w:val="0"/>
        </w:rPr>
        <w:t>六、</w:t>
      </w:r>
      <w:r>
        <w:rPr>
          <w:rFonts w:hint="eastAsia" w:ascii="仿宋" w:hAnsi="仿宋" w:eastAsia="仿宋"/>
          <w:b w:val="0"/>
        </w:rPr>
        <w:t>一</w:t>
      </w:r>
      <w:r>
        <w:rPr>
          <w:rStyle w:val="26"/>
          <w:rFonts w:hint="eastAsia" w:ascii="仿宋" w:hAnsi="仿宋" w:eastAsia="仿宋"/>
          <w:b w:val="0"/>
          <w:bCs w:val="0"/>
        </w:rPr>
        <w:t>般公共预算财政拨款支出决算表</w:t>
      </w:r>
      <w:bookmarkEnd w:id="95"/>
      <w:bookmarkEnd w:id="96"/>
    </w:p>
    <w:p>
      <w:pPr>
        <w:pStyle w:val="4"/>
        <w:rPr>
          <w:rFonts w:ascii="仿宋" w:hAnsi="仿宋" w:eastAsia="仿宋"/>
        </w:rPr>
      </w:pPr>
      <w:bookmarkStart w:id="97" w:name="_Toc15396625"/>
      <w:bookmarkStart w:id="98" w:name="_Toc8038"/>
      <w:r>
        <w:rPr>
          <w:rStyle w:val="26"/>
          <w:rFonts w:hint="eastAsia" w:ascii="仿宋" w:hAnsi="仿宋" w:eastAsia="仿宋"/>
          <w:b w:val="0"/>
          <w:bCs w:val="0"/>
        </w:rPr>
        <w:t>七、</w:t>
      </w:r>
      <w:r>
        <w:rPr>
          <w:rFonts w:hint="eastAsia" w:ascii="仿宋" w:hAnsi="仿宋" w:eastAsia="仿宋"/>
          <w:b w:val="0"/>
        </w:rPr>
        <w:t>一</w:t>
      </w:r>
      <w:r>
        <w:rPr>
          <w:rStyle w:val="26"/>
          <w:rFonts w:hint="eastAsia" w:ascii="仿宋" w:hAnsi="仿宋" w:eastAsia="仿宋"/>
          <w:b w:val="0"/>
          <w:bCs w:val="0"/>
        </w:rPr>
        <w:t>般公共预算财政拨款支出决算明细表</w:t>
      </w:r>
      <w:bookmarkEnd w:id="97"/>
      <w:bookmarkEnd w:id="98"/>
    </w:p>
    <w:p>
      <w:pPr>
        <w:pStyle w:val="4"/>
        <w:rPr>
          <w:rFonts w:ascii="仿宋" w:hAnsi="仿宋" w:eastAsia="仿宋"/>
        </w:rPr>
      </w:pPr>
      <w:bookmarkStart w:id="99" w:name="_Toc15396626"/>
      <w:bookmarkStart w:id="100" w:name="_Toc22299"/>
      <w:r>
        <w:rPr>
          <w:rStyle w:val="26"/>
          <w:rFonts w:hint="eastAsia" w:ascii="仿宋" w:hAnsi="仿宋" w:eastAsia="仿宋"/>
          <w:b w:val="0"/>
          <w:bCs w:val="0"/>
        </w:rPr>
        <w:t>八、</w:t>
      </w:r>
      <w:r>
        <w:rPr>
          <w:rFonts w:hint="eastAsia" w:ascii="仿宋" w:hAnsi="仿宋" w:eastAsia="仿宋"/>
          <w:b w:val="0"/>
        </w:rPr>
        <w:t>一</w:t>
      </w:r>
      <w:r>
        <w:rPr>
          <w:rStyle w:val="26"/>
          <w:rFonts w:hint="eastAsia" w:ascii="仿宋" w:hAnsi="仿宋" w:eastAsia="仿宋"/>
          <w:b w:val="0"/>
          <w:bCs w:val="0"/>
        </w:rPr>
        <w:t>般公共预算财政拨款基本支出决算表</w:t>
      </w:r>
      <w:bookmarkEnd w:id="99"/>
      <w:bookmarkEnd w:id="100"/>
    </w:p>
    <w:p>
      <w:pPr>
        <w:pStyle w:val="4"/>
        <w:rPr>
          <w:rFonts w:ascii="仿宋" w:hAnsi="仿宋" w:eastAsia="仿宋"/>
        </w:rPr>
      </w:pPr>
      <w:bookmarkStart w:id="101" w:name="_Toc15396627"/>
      <w:bookmarkStart w:id="102" w:name="_Toc607"/>
      <w:r>
        <w:rPr>
          <w:rStyle w:val="26"/>
          <w:rFonts w:hint="eastAsia" w:ascii="仿宋" w:hAnsi="仿宋" w:eastAsia="仿宋"/>
          <w:b w:val="0"/>
          <w:bCs w:val="0"/>
        </w:rPr>
        <w:t>九、</w:t>
      </w:r>
      <w:r>
        <w:rPr>
          <w:rFonts w:hint="eastAsia" w:ascii="仿宋" w:hAnsi="仿宋" w:eastAsia="仿宋"/>
          <w:b w:val="0"/>
        </w:rPr>
        <w:t>一</w:t>
      </w:r>
      <w:r>
        <w:rPr>
          <w:rStyle w:val="26"/>
          <w:rFonts w:hint="eastAsia" w:ascii="仿宋" w:hAnsi="仿宋" w:eastAsia="仿宋"/>
          <w:b w:val="0"/>
          <w:bCs w:val="0"/>
        </w:rPr>
        <w:t>般公共预算财政拨款项目支出决算表</w:t>
      </w:r>
      <w:bookmarkEnd w:id="101"/>
      <w:bookmarkEnd w:id="102"/>
    </w:p>
    <w:p>
      <w:pPr>
        <w:pStyle w:val="4"/>
        <w:rPr>
          <w:rFonts w:ascii="仿宋" w:hAnsi="仿宋" w:eastAsia="仿宋"/>
        </w:rPr>
      </w:pPr>
      <w:bookmarkStart w:id="103" w:name="_Toc15396628"/>
      <w:bookmarkStart w:id="104" w:name="_Toc4446"/>
      <w:r>
        <w:rPr>
          <w:rStyle w:val="26"/>
          <w:rFonts w:hint="eastAsia" w:ascii="仿宋" w:hAnsi="仿宋" w:eastAsia="仿宋"/>
          <w:b w:val="0"/>
          <w:bCs w:val="0"/>
        </w:rPr>
        <w:t>十、</w:t>
      </w:r>
      <w:r>
        <w:rPr>
          <w:rFonts w:hint="eastAsia" w:ascii="仿宋" w:hAnsi="仿宋" w:eastAsia="仿宋"/>
          <w:b w:val="0"/>
        </w:rPr>
        <w:t>一</w:t>
      </w:r>
      <w:r>
        <w:rPr>
          <w:rStyle w:val="26"/>
          <w:rFonts w:hint="eastAsia" w:ascii="仿宋" w:hAnsi="仿宋" w:eastAsia="仿宋"/>
          <w:b w:val="0"/>
          <w:bCs w:val="0"/>
        </w:rPr>
        <w:t>般公共预算财政拨款“三公”经费支出决算表</w:t>
      </w:r>
      <w:bookmarkEnd w:id="103"/>
      <w:bookmarkEnd w:id="104"/>
    </w:p>
    <w:p>
      <w:pPr>
        <w:pStyle w:val="4"/>
        <w:rPr>
          <w:rFonts w:ascii="仿宋" w:hAnsi="仿宋" w:eastAsia="仿宋"/>
        </w:rPr>
      </w:pPr>
      <w:bookmarkStart w:id="105" w:name="_Toc23083"/>
      <w:bookmarkStart w:id="106" w:name="_Toc15396629"/>
      <w:r>
        <w:rPr>
          <w:rStyle w:val="26"/>
          <w:rFonts w:hint="eastAsia" w:ascii="仿宋" w:hAnsi="仿宋" w:eastAsia="仿宋"/>
          <w:b w:val="0"/>
          <w:bCs w:val="0"/>
        </w:rPr>
        <w:t>十一、</w:t>
      </w:r>
      <w:r>
        <w:rPr>
          <w:rFonts w:hint="eastAsia" w:ascii="仿宋" w:hAnsi="仿宋" w:eastAsia="仿宋"/>
          <w:b w:val="0"/>
        </w:rPr>
        <w:t>政</w:t>
      </w:r>
      <w:r>
        <w:rPr>
          <w:rStyle w:val="26"/>
          <w:rFonts w:hint="eastAsia" w:ascii="仿宋" w:hAnsi="仿宋" w:eastAsia="仿宋"/>
          <w:b w:val="0"/>
          <w:bCs w:val="0"/>
        </w:rPr>
        <w:t>府性基金预算财政拨款收入支出决算表</w:t>
      </w:r>
      <w:bookmarkEnd w:id="105"/>
      <w:bookmarkEnd w:id="106"/>
    </w:p>
    <w:p>
      <w:pPr>
        <w:pStyle w:val="4"/>
        <w:rPr>
          <w:rFonts w:ascii="仿宋" w:hAnsi="仿宋" w:eastAsia="仿宋"/>
        </w:rPr>
      </w:pPr>
      <w:bookmarkStart w:id="107" w:name="_Toc15396630"/>
      <w:bookmarkStart w:id="108" w:name="_Toc26067"/>
      <w:r>
        <w:rPr>
          <w:rStyle w:val="26"/>
          <w:rFonts w:hint="eastAsia" w:ascii="仿宋" w:hAnsi="仿宋" w:eastAsia="仿宋"/>
          <w:b w:val="0"/>
          <w:bCs w:val="0"/>
        </w:rPr>
        <w:t>十二、</w:t>
      </w:r>
      <w:r>
        <w:rPr>
          <w:rFonts w:hint="eastAsia" w:ascii="仿宋" w:hAnsi="仿宋" w:eastAsia="仿宋"/>
          <w:b w:val="0"/>
        </w:rPr>
        <w:t>政</w:t>
      </w:r>
      <w:r>
        <w:rPr>
          <w:rStyle w:val="26"/>
          <w:rFonts w:hint="eastAsia" w:ascii="仿宋" w:hAnsi="仿宋" w:eastAsia="仿宋"/>
          <w:b w:val="0"/>
          <w:bCs w:val="0"/>
        </w:rPr>
        <w:t>府性基金预算财政拨款“三公”经费支出决算表</w:t>
      </w:r>
      <w:bookmarkEnd w:id="107"/>
      <w:bookmarkEnd w:id="108"/>
    </w:p>
    <w:p>
      <w:pPr>
        <w:pStyle w:val="4"/>
        <w:rPr>
          <w:rStyle w:val="26"/>
          <w:rFonts w:ascii="仿宋" w:hAnsi="仿宋" w:eastAsia="仿宋"/>
          <w:b w:val="0"/>
          <w:bCs w:val="0"/>
        </w:rPr>
      </w:pPr>
      <w:bookmarkStart w:id="109" w:name="_Toc15396631"/>
      <w:bookmarkStart w:id="110" w:name="_Toc31328"/>
      <w:r>
        <w:rPr>
          <w:rStyle w:val="26"/>
          <w:rFonts w:hint="eastAsia" w:ascii="仿宋" w:hAnsi="仿宋" w:eastAsia="仿宋"/>
          <w:b w:val="0"/>
          <w:bCs w:val="0"/>
        </w:rPr>
        <w:t>十三、</w:t>
      </w:r>
      <w:r>
        <w:rPr>
          <w:rFonts w:hint="eastAsia" w:ascii="仿宋" w:hAnsi="仿宋" w:eastAsia="仿宋"/>
          <w:b w:val="0"/>
        </w:rPr>
        <w:t>国</w:t>
      </w:r>
      <w:r>
        <w:rPr>
          <w:rStyle w:val="26"/>
          <w:rFonts w:hint="eastAsia" w:ascii="仿宋" w:hAnsi="仿宋" w:eastAsia="仿宋"/>
          <w:b w:val="0"/>
          <w:bCs w:val="0"/>
        </w:rPr>
        <w:t>有资本经营预算财政拨款收入支出决算表</w:t>
      </w:r>
      <w:bookmarkEnd w:id="109"/>
      <w:bookmarkEnd w:id="110"/>
    </w:p>
    <w:p>
      <w:pPr>
        <w:rPr>
          <w:rFonts w:eastAsia="仿宋"/>
        </w:rPr>
      </w:pPr>
      <w:bookmarkStart w:id="111" w:name="_Toc6429"/>
      <w:r>
        <w:rPr>
          <w:rStyle w:val="26"/>
          <w:rFonts w:hint="eastAsia" w:ascii="仿宋" w:hAnsi="仿宋" w:eastAsia="仿宋"/>
          <w:b w:val="0"/>
          <w:bCs w:val="0"/>
        </w:rPr>
        <w:t>十四、国有资本经营预算财政拨款支出决算表</w:t>
      </w:r>
      <w:bookmarkEnd w:id="111"/>
    </w:p>
    <w:sectPr>
      <w:headerReference r:id="rId3" w:type="default"/>
      <w:footerReference r:id="rId4" w:type="default"/>
      <w:pgSz w:w="11906" w:h="16838"/>
      <w:pgMar w:top="1440" w:right="1906"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imesNewRoman">
    <w:altName w:val="宋体"/>
    <w:panose1 w:val="00000000000000000000"/>
    <w:charset w:val="86"/>
    <w:family w:val="roma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15</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F3B910"/>
    <w:multiLevelType w:val="singleLevel"/>
    <w:tmpl w:val="9EF3B910"/>
    <w:lvl w:ilvl="0" w:tentative="0">
      <w:start w:val="2"/>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190DE420"/>
    <w:multiLevelType w:val="singleLevel"/>
    <w:tmpl w:val="190DE420"/>
    <w:lvl w:ilvl="0" w:tentative="0">
      <w:start w:val="2"/>
      <w:numFmt w:val="chineseCounting"/>
      <w:suff w:val="nothing"/>
      <w:lvlText w:val="（%1）"/>
      <w:lvlJc w:val="left"/>
      <w:rPr>
        <w:rFonts w:hint="eastAsia"/>
      </w:rPr>
    </w:lvl>
  </w:abstractNum>
  <w:abstractNum w:abstractNumId="4">
    <w:nsid w:val="1F053078"/>
    <w:multiLevelType w:val="singleLevel"/>
    <w:tmpl w:val="1F053078"/>
    <w:lvl w:ilvl="0" w:tentative="0">
      <w:start w:val="1"/>
      <w:numFmt w:val="decimal"/>
      <w:lvlText w:val="%1."/>
      <w:lvlJc w:val="left"/>
      <w:pPr>
        <w:tabs>
          <w:tab w:val="left" w:pos="312"/>
        </w:tabs>
        <w:ind w:left="-10"/>
      </w:pPr>
    </w:lvl>
  </w:abstractNum>
  <w:abstractNum w:abstractNumId="5">
    <w:nsid w:val="3E794925"/>
    <w:multiLevelType w:val="singleLevel"/>
    <w:tmpl w:val="3E794925"/>
    <w:lvl w:ilvl="0" w:tentative="0">
      <w:start w:val="3"/>
      <w:numFmt w:val="chineseCounting"/>
      <w:suff w:val="nothing"/>
      <w:lvlText w:val="（%1）"/>
      <w:lvlJc w:val="left"/>
      <w:rPr>
        <w:rFonts w:hint="eastAsia"/>
      </w:rPr>
    </w:lvl>
  </w:abstractNum>
  <w:abstractNum w:abstractNumId="6">
    <w:nsid w:val="485B6868"/>
    <w:multiLevelType w:val="singleLevel"/>
    <w:tmpl w:val="485B6868"/>
    <w:lvl w:ilvl="0" w:tentative="0">
      <w:start w:val="1"/>
      <w:numFmt w:val="decimal"/>
      <w:lvlText w:val="%1."/>
      <w:lvlJc w:val="left"/>
      <w:pPr>
        <w:tabs>
          <w:tab w:val="left" w:pos="312"/>
        </w:tabs>
      </w:pPr>
    </w:lvl>
  </w:abstractNum>
  <w:abstractNum w:abstractNumId="7">
    <w:nsid w:val="5656DC04"/>
    <w:multiLevelType w:val="singleLevel"/>
    <w:tmpl w:val="5656DC04"/>
    <w:lvl w:ilvl="0" w:tentative="0">
      <w:start w:val="3"/>
      <w:numFmt w:val="chineseCounting"/>
      <w:suff w:val="nothing"/>
      <w:lvlText w:val="（%1）"/>
      <w:lvlJc w:val="left"/>
      <w:rPr>
        <w:rFonts w:hint="eastAsia"/>
      </w:rPr>
    </w:lvl>
  </w:abstractNum>
  <w:num w:numId="1">
    <w:abstractNumId w:val="0"/>
  </w:num>
  <w:num w:numId="2">
    <w:abstractNumId w:val="2"/>
  </w:num>
  <w:num w:numId="3">
    <w:abstractNumId w:val="4"/>
  </w:num>
  <w:num w:numId="4">
    <w:abstractNumId w:val="6"/>
  </w:num>
  <w:num w:numId="5">
    <w:abstractNumId w:val="1"/>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2YmUxZjk2NzRmYTg5MDQ2ZDU3YTM2YzM2MGI4ZDIifQ=="/>
  </w:docVars>
  <w:rsids>
    <w:rsidRoot w:val="00172A27"/>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0F2E71"/>
    <w:rsid w:val="00114E9B"/>
    <w:rsid w:val="00142216"/>
    <w:rsid w:val="00144D6A"/>
    <w:rsid w:val="0014729F"/>
    <w:rsid w:val="00157BAB"/>
    <w:rsid w:val="001654D1"/>
    <w:rsid w:val="00172A27"/>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12C4"/>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2EED"/>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23B6"/>
    <w:rsid w:val="00B53C56"/>
    <w:rsid w:val="00B56B0F"/>
    <w:rsid w:val="00B57DAF"/>
    <w:rsid w:val="00B7740E"/>
    <w:rsid w:val="00B77EA6"/>
    <w:rsid w:val="00B80414"/>
    <w:rsid w:val="00B81598"/>
    <w:rsid w:val="00B841F1"/>
    <w:rsid w:val="00B944D6"/>
    <w:rsid w:val="00BA60E4"/>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D57E2"/>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A2658"/>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5E2C1F"/>
    <w:rsid w:val="0291729C"/>
    <w:rsid w:val="035472C2"/>
    <w:rsid w:val="0649665A"/>
    <w:rsid w:val="066E0107"/>
    <w:rsid w:val="067C6FD8"/>
    <w:rsid w:val="07996F6E"/>
    <w:rsid w:val="09D71932"/>
    <w:rsid w:val="0A2032A3"/>
    <w:rsid w:val="0CAB5E4B"/>
    <w:rsid w:val="0D0A6FB9"/>
    <w:rsid w:val="101860EC"/>
    <w:rsid w:val="10C055FF"/>
    <w:rsid w:val="118107EC"/>
    <w:rsid w:val="11BE6CEE"/>
    <w:rsid w:val="13D50BC4"/>
    <w:rsid w:val="16BB723D"/>
    <w:rsid w:val="174B3798"/>
    <w:rsid w:val="19E23538"/>
    <w:rsid w:val="1ADF23AF"/>
    <w:rsid w:val="1B566A1D"/>
    <w:rsid w:val="1BE8440E"/>
    <w:rsid w:val="1D155CEE"/>
    <w:rsid w:val="1E305BD5"/>
    <w:rsid w:val="20921968"/>
    <w:rsid w:val="21EF4C11"/>
    <w:rsid w:val="22904400"/>
    <w:rsid w:val="233A4F77"/>
    <w:rsid w:val="23502A74"/>
    <w:rsid w:val="23860B96"/>
    <w:rsid w:val="240371BF"/>
    <w:rsid w:val="2453422D"/>
    <w:rsid w:val="26C97A14"/>
    <w:rsid w:val="27603077"/>
    <w:rsid w:val="27794B9A"/>
    <w:rsid w:val="278D659B"/>
    <w:rsid w:val="29FD04D3"/>
    <w:rsid w:val="2C8A61B5"/>
    <w:rsid w:val="2DF04E50"/>
    <w:rsid w:val="2F4B4BBB"/>
    <w:rsid w:val="30BF5D0A"/>
    <w:rsid w:val="310E41D5"/>
    <w:rsid w:val="319F7F4E"/>
    <w:rsid w:val="31B73338"/>
    <w:rsid w:val="321A75C1"/>
    <w:rsid w:val="32745D8A"/>
    <w:rsid w:val="32E80292"/>
    <w:rsid w:val="339274A3"/>
    <w:rsid w:val="33E22665"/>
    <w:rsid w:val="35A531FC"/>
    <w:rsid w:val="36AA5135"/>
    <w:rsid w:val="37E16F03"/>
    <w:rsid w:val="3B77310B"/>
    <w:rsid w:val="3C15041F"/>
    <w:rsid w:val="3C403734"/>
    <w:rsid w:val="3D926C96"/>
    <w:rsid w:val="3D98207C"/>
    <w:rsid w:val="3E2053BD"/>
    <w:rsid w:val="3EA83117"/>
    <w:rsid w:val="40941381"/>
    <w:rsid w:val="43B32459"/>
    <w:rsid w:val="44E268DA"/>
    <w:rsid w:val="45624CB2"/>
    <w:rsid w:val="477E24BD"/>
    <w:rsid w:val="4850570B"/>
    <w:rsid w:val="48F344F9"/>
    <w:rsid w:val="4A627F82"/>
    <w:rsid w:val="4B4F25DA"/>
    <w:rsid w:val="4B586131"/>
    <w:rsid w:val="4BE068DB"/>
    <w:rsid w:val="4D08624A"/>
    <w:rsid w:val="4D244ABE"/>
    <w:rsid w:val="4D577224"/>
    <w:rsid w:val="4DFE22B0"/>
    <w:rsid w:val="4EAB630A"/>
    <w:rsid w:val="4ECE2238"/>
    <w:rsid w:val="4FBF1C14"/>
    <w:rsid w:val="509C5F52"/>
    <w:rsid w:val="50D923F6"/>
    <w:rsid w:val="518357C9"/>
    <w:rsid w:val="54A76DB3"/>
    <w:rsid w:val="5542115B"/>
    <w:rsid w:val="565F04E4"/>
    <w:rsid w:val="585831BF"/>
    <w:rsid w:val="5AF92295"/>
    <w:rsid w:val="5B8A0BB9"/>
    <w:rsid w:val="5CD71FC4"/>
    <w:rsid w:val="612754C0"/>
    <w:rsid w:val="636F2863"/>
    <w:rsid w:val="64BF7F2F"/>
    <w:rsid w:val="65951FFD"/>
    <w:rsid w:val="665803F5"/>
    <w:rsid w:val="66580C17"/>
    <w:rsid w:val="66CC2DBD"/>
    <w:rsid w:val="6B87575E"/>
    <w:rsid w:val="6C4A05C8"/>
    <w:rsid w:val="6C8D1B2C"/>
    <w:rsid w:val="6D0F37F6"/>
    <w:rsid w:val="6DD449CE"/>
    <w:rsid w:val="6E7E3605"/>
    <w:rsid w:val="6FF5CC65"/>
    <w:rsid w:val="715C0E4B"/>
    <w:rsid w:val="72223D00"/>
    <w:rsid w:val="72734D90"/>
    <w:rsid w:val="72AC2703"/>
    <w:rsid w:val="73AD73D5"/>
    <w:rsid w:val="73B6EB34"/>
    <w:rsid w:val="75107D40"/>
    <w:rsid w:val="75E8027D"/>
    <w:rsid w:val="79507512"/>
    <w:rsid w:val="79EE5BA4"/>
    <w:rsid w:val="7A894339"/>
    <w:rsid w:val="7E41481C"/>
    <w:rsid w:val="7EEF11D3"/>
    <w:rsid w:val="7F65392B"/>
    <w:rsid w:val="7FA30C79"/>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Plain Text"/>
    <w:basedOn w:val="1"/>
    <w:qFormat/>
    <w:uiPriority w:val="0"/>
    <w:rPr>
      <w:rFonts w:ascii="宋体" w:hAnsi="Courier New"/>
    </w:rPr>
  </w:style>
  <w:style w:type="paragraph" w:styleId="8">
    <w:name w:val="Balloon Text"/>
    <w:basedOn w:val="1"/>
    <w:link w:val="28"/>
    <w:semiHidden/>
    <w:unhideWhenUsed/>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paragraph" w:customStyle="1" w:styleId="1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18">
    <w:name w:val="Header Char"/>
    <w:basedOn w:val="14"/>
    <w:semiHidden/>
    <w:qFormat/>
    <w:uiPriority w:val="99"/>
    <w:rPr>
      <w:rFonts w:ascii="Times New Roman" w:hAnsi="Times New Roman"/>
      <w:sz w:val="18"/>
      <w:szCs w:val="18"/>
    </w:rPr>
  </w:style>
  <w:style w:type="character" w:customStyle="1" w:styleId="19">
    <w:name w:val="页眉 字符"/>
    <w:link w:val="10"/>
    <w:semiHidden/>
    <w:qFormat/>
    <w:locked/>
    <w:uiPriority w:val="99"/>
    <w:rPr>
      <w:sz w:val="18"/>
    </w:rPr>
  </w:style>
  <w:style w:type="character" w:customStyle="1" w:styleId="20">
    <w:name w:val="Footer Char"/>
    <w:basedOn w:val="14"/>
    <w:semiHidden/>
    <w:qFormat/>
    <w:uiPriority w:val="99"/>
    <w:rPr>
      <w:rFonts w:ascii="Times New Roman" w:hAnsi="Times New Roman"/>
      <w:sz w:val="18"/>
      <w:szCs w:val="18"/>
    </w:rPr>
  </w:style>
  <w:style w:type="character" w:customStyle="1" w:styleId="21">
    <w:name w:val="页脚 字符"/>
    <w:link w:val="9"/>
    <w:qFormat/>
    <w:locked/>
    <w:uiPriority w:val="99"/>
    <w:rPr>
      <w:sz w:val="18"/>
    </w:rPr>
  </w:style>
  <w:style w:type="character" w:customStyle="1" w:styleId="22">
    <w:name w:val="Body Text Char"/>
    <w:basedOn w:val="14"/>
    <w:semiHidden/>
    <w:qFormat/>
    <w:uiPriority w:val="99"/>
    <w:rPr>
      <w:rFonts w:ascii="Times New Roman" w:hAnsi="Times New Roman"/>
      <w:szCs w:val="24"/>
    </w:rPr>
  </w:style>
  <w:style w:type="character" w:customStyle="1" w:styleId="23">
    <w:name w:val="正文文本 字符"/>
    <w:link w:val="2"/>
    <w:qFormat/>
    <w:locked/>
    <w:uiPriority w:val="99"/>
    <w:rPr>
      <w:rFonts w:ascii="仿宋_GB2312" w:hAnsi="Times New Roman" w:eastAsia="仿宋_GB2312"/>
      <w:sz w:val="24"/>
    </w:rPr>
  </w:style>
  <w:style w:type="paragraph" w:styleId="24">
    <w:name w:val="List Paragraph"/>
    <w:basedOn w:val="1"/>
    <w:qFormat/>
    <w:uiPriority w:val="34"/>
    <w:pPr>
      <w:ind w:firstLine="420" w:firstLineChars="200"/>
    </w:pPr>
  </w:style>
  <w:style w:type="character" w:customStyle="1" w:styleId="25">
    <w:name w:val="标题 1 字符"/>
    <w:basedOn w:val="14"/>
    <w:link w:val="3"/>
    <w:qFormat/>
    <w:uiPriority w:val="9"/>
    <w:rPr>
      <w:rFonts w:ascii="Times New Roman" w:hAnsi="Times New Roman"/>
      <w:b/>
      <w:bCs/>
      <w:kern w:val="44"/>
      <w:sz w:val="44"/>
      <w:szCs w:val="44"/>
    </w:rPr>
  </w:style>
  <w:style w:type="character" w:customStyle="1" w:styleId="26">
    <w:name w:val="标题 2 字符"/>
    <w:basedOn w:val="1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字符"/>
    <w:basedOn w:val="14"/>
    <w:link w:val="8"/>
    <w:semiHidden/>
    <w:qFormat/>
    <w:uiPriority w:val="99"/>
    <w:rPr>
      <w:rFonts w:ascii="Times New Roman" w:hAnsi="Times New Roman"/>
      <w:kern w:val="2"/>
      <w:sz w:val="18"/>
      <w:szCs w:val="18"/>
    </w:rPr>
  </w:style>
  <w:style w:type="character" w:customStyle="1" w:styleId="29">
    <w:name w:val="标题 3 字符"/>
    <w:basedOn w:val="14"/>
    <w:link w:val="5"/>
    <w:qFormat/>
    <w:uiPriority w:val="9"/>
    <w:rPr>
      <w:rFonts w:ascii="Times New Roman" w:hAnsi="Times New Roman"/>
      <w:b/>
      <w:bCs/>
      <w:kern w:val="2"/>
      <w:sz w:val="32"/>
      <w:szCs w:val="32"/>
    </w:rPr>
  </w:style>
  <w:style w:type="paragraph" w:customStyle="1" w:styleId="30">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fontstyle01"/>
    <w:basedOn w:val="14"/>
    <w:qFormat/>
    <w:uiPriority w:val="0"/>
    <w:rPr>
      <w:rFonts w:hint="eastAsia" w:ascii="仿宋_GB2312" w:eastAsia="仿宋_GB2312"/>
      <w:color w:val="000000"/>
      <w:sz w:val="32"/>
      <w:szCs w:val="32"/>
    </w:rPr>
  </w:style>
  <w:style w:type="character" w:customStyle="1" w:styleId="32">
    <w:name w:val="fontstyle21"/>
    <w:basedOn w:val="14"/>
    <w:qFormat/>
    <w:uiPriority w:val="0"/>
    <w:rPr>
      <w:rFonts w:hint="default" w:ascii="TimesNewRoman" w:hAnsi="TimesNewRoman"/>
      <w:color w:val="000000"/>
      <w:sz w:val="34"/>
      <w:szCs w:val="34"/>
    </w:rPr>
  </w:style>
  <w:style w:type="character" w:customStyle="1" w:styleId="33">
    <w:name w:val="标题 2 字符1"/>
    <w:basedOn w:val="14"/>
    <w:link w:val="4"/>
    <w:qFormat/>
    <w:uiPriority w:val="9"/>
    <w:rPr>
      <w:rFonts w:asciiTheme="majorHAnsi" w:hAnsiTheme="majorHAnsi" w:eastAsiaTheme="majorEastAsia" w:cstheme="majorBidi"/>
      <w:b/>
      <w:bCs/>
      <w:kern w:val="2"/>
      <w:sz w:val="32"/>
      <w:szCs w:val="32"/>
    </w:rPr>
  </w:style>
  <w:style w:type="paragraph" w:customStyle="1" w:styleId="34">
    <w:name w:val="WPSOffice手动目录 1"/>
    <w:qFormat/>
    <w:uiPriority w:val="0"/>
    <w:rPr>
      <w:rFonts w:ascii="Times New Roman" w:hAnsi="Times New Roman" w:eastAsia="宋体" w:cs="Times New Roman"/>
      <w:lang w:val="en-US" w:eastAsia="zh-CN" w:bidi="ar-SA"/>
    </w:rPr>
  </w:style>
  <w:style w:type="paragraph" w:customStyle="1" w:styleId="35">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2.xml"/><Relationship Id="rId13" Type="http://schemas.openxmlformats.org/officeDocument/2006/relationships/chart" Target="charts/chart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40" b="0" i="0" u="none" strike="noStrike" kern="1200" spc="0" baseline="0">
              <a:solidFill>
                <a:schemeClr val="tx1">
                  <a:lumMod val="65000"/>
                  <a:lumOff val="35000"/>
                </a:schemeClr>
              </a:solidFill>
              <a:latin typeface="+mn-lt"/>
              <a:ea typeface="+mn-ea"/>
              <a:cs typeface="+mn-cs"/>
            </a:defRPr>
          </a:pPr>
        </a:p>
      </c:txPr>
    </c:title>
    <c:autoTitleDeleted val="0"/>
    <c:plotArea>
      <c:layout/>
      <c:ofPieChart>
        <c:ofPieType val="pie"/>
        <c:varyColors val="1"/>
        <c:ser>
          <c:idx val="0"/>
          <c:order val="0"/>
          <c:tx>
            <c:strRef>
              <c:f>Sheet1!$B$1</c:f>
              <c:strCache>
                <c:ptCount val="1"/>
                <c:pt idx="0">
                  <c:v>收入决算结构图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explosion val="6"/>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r>
                      <a:t>2710.47,</a:t>
                    </a:r>
                  </a:p>
                </c:rich>
              </c:tx>
              <c:dLblPos val="outEnd"/>
              <c:showLegendKey val="0"/>
              <c:showVal val="0"/>
              <c:showCatName val="0"/>
              <c:showSerName val="0"/>
              <c:showPercent val="1"/>
              <c:showBubbleSize val="0"/>
              <c:extLst>
                <c:ext xmlns:c15="http://schemas.microsoft.com/office/drawing/2012/chart" uri="{CE6537A1-D6FC-4f65-9D91-7224C49458BB}"/>
              </c:extLst>
            </c:dLbl>
            <c:dLbl>
              <c:idx val="1"/>
              <c:delete val="1"/>
            </c:dLbl>
            <c:dLbl>
              <c:idx val="2"/>
              <c:layout/>
              <c:tx>
                <c:rich>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r>
                      <a:t>23.25</a:t>
                    </a:r>
                  </a:p>
                </c:rich>
              </c:tx>
              <c:dLblPos val="outEnd"/>
              <c:showLegendKey val="0"/>
              <c:showVal val="0"/>
              <c:showCatName val="0"/>
              <c:showSerName val="0"/>
              <c:showPercent val="1"/>
              <c:showBubbleSize val="0"/>
              <c:extLst>
                <c:ext xmlns:c15="http://schemas.microsoft.com/office/drawing/2012/chart" uri="{CE6537A1-D6FC-4f65-9D91-7224C49458BB}"/>
              </c:extLst>
            </c:dLbl>
            <c:dLbl>
              <c:idx val="3"/>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一般公共预算财政拨款收入</c:v>
                </c:pt>
                <c:pt idx="1">
                  <c:v>政府性基金预算财政拨款收入</c:v>
                </c:pt>
                <c:pt idx="2">
                  <c:v>其他收入</c:v>
                </c:pt>
              </c:strCache>
            </c:strRef>
          </c:cat>
          <c:val>
            <c:numRef>
              <c:f>Sheet1!$B$2:$B$4</c:f>
              <c:numCache>
                <c:formatCode>General</c:formatCode>
                <c:ptCount val="3"/>
                <c:pt idx="0">
                  <c:v>2710.47</c:v>
                </c:pt>
                <c:pt idx="1">
                  <c:v>23.25</c:v>
                </c:pt>
                <c:pt idx="2">
                  <c:v>0.52</c:v>
                </c:pt>
              </c:numCache>
            </c:numRef>
          </c:val>
        </c:ser>
        <c:dLbls>
          <c:showLegendKey val="0"/>
          <c:showVal val="1"/>
          <c:showCatName val="0"/>
          <c:showSerName val="0"/>
          <c:showPercent val="0"/>
          <c:showBubbleSize val="0"/>
          <c:showLeaderLines val="1"/>
        </c:dLbls>
        <c:gapWidth val="100"/>
        <c:secondPieSize val="75"/>
        <c:serLines>
          <c:spPr>
            <a:ln w="9525" cap="flat" cmpd="sng" algn="ctr">
              <a:solidFill>
                <a:schemeClr val="tx1"/>
              </a:solidFill>
              <a:prstDash val="solid"/>
              <a:round/>
            </a:ln>
            <a:effectLst/>
          </c:spPr>
        </c:serLines>
      </c:of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accent1"/>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manualLayout>
          <c:layoutTarget val="inner"/>
          <c:xMode val="edge"/>
          <c:yMode val="edge"/>
          <c:x val="0.0217983651226158"/>
          <c:y val="0.175406504065041"/>
          <c:w val="0.940054495912807"/>
          <c:h val="0.81849593495935"/>
        </c:manualLayout>
      </c:layout>
      <c:pie3DChart>
        <c:varyColors val="1"/>
        <c:ser>
          <c:idx val="0"/>
          <c:order val="0"/>
          <c:tx>
            <c:strRef>
              <c:f>Sheet1!$B$1</c:f>
              <c:strCache>
                <c:ptCount val="1"/>
                <c:pt idx="0">
                  <c:v>支出决算结构图</c:v>
                </c:pt>
              </c:strCache>
            </c:strRef>
          </c:tx>
          <c:spPr>
            <a:scene3d>
              <a:camera prst="orthographicFront"/>
              <a:lightRig rig="threePt" dir="t"/>
            </a:scene3d>
            <a:sp3d contourW="25400"/>
          </c:spPr>
          <c:explosion val="0"/>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1061.62</c:v>
                </c:pt>
                <c:pt idx="1">
                  <c:v>1700.98</c:v>
                </c:pt>
              </c:numCache>
            </c:numRef>
          </c:val>
        </c:ser>
        <c:dLbls>
          <c:showLegendKey val="0"/>
          <c:showVal val="1"/>
          <c:showCatName val="0"/>
          <c:showSerName val="0"/>
          <c:showPercent val="0"/>
          <c:showBubbleSize val="0"/>
        </c:dLbls>
      </c:pie3D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85</Pages>
  <Words>6364</Words>
  <Characters>36275</Characters>
  <Lines>302</Lines>
  <Paragraphs>85</Paragraphs>
  <TotalTime>18</TotalTime>
  <ScaleCrop>false</ScaleCrop>
  <LinksUpToDate>false</LinksUpToDate>
  <CharactersWithSpaces>42554</CharactersWithSpaces>
  <Application>WPS Office_11.8.2.10229_F1E327BC-269C-435d-A152-05C5408002CA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2023-08-01T01:27:00Z</dcterms:created>
  <dc:creator>曹颖</dc:creator>
  <cp:lastModifiedBy>RSJ</cp:lastModifiedBy>
  <cp:lastPrinted>2022-08-08T09:11:00Z</cp:lastPrinted>
  <dcterms:modified xsi:type="dcterms:W3CDTF">2023-10-07T07:32:41Z</dcterms:modified>
  <dc:title>四川省***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4E7D7BB643864D41AFE6DF6AD5EF7F79</vt:lpwstr>
  </property>
</Properties>
</file>