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hint="eastAsia" w:ascii="方正小标宋简体" w:hAnsi="宋体" w:eastAsia="方正小标宋简体"/>
          <w:kern w:val="0"/>
          <w:sz w:val="40"/>
          <w:szCs w:val="44"/>
          <w:lang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val="en-US" w:eastAsia="zh-CN"/>
        </w:rPr>
        <w:t>攀枝花市西区</w:t>
      </w:r>
      <w:r>
        <w:rPr>
          <w:rFonts w:hint="eastAsia" w:ascii="方正小标宋简体" w:hAnsi="宋体" w:eastAsia="方正小标宋简体"/>
          <w:kern w:val="0"/>
          <w:sz w:val="40"/>
          <w:szCs w:val="44"/>
          <w:lang w:eastAsia="zh-CN"/>
        </w:rPr>
        <w:t>财政投资评审中心</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2"/>
        <w:ind w:firstLine="640" w:firstLineChars="200"/>
        <w:rPr>
          <w:rFonts w:hint="eastAsia"/>
          <w:lang w:val="zh-CN"/>
        </w:rPr>
      </w:pPr>
      <w:r>
        <w:rPr>
          <w:rFonts w:hint="default" w:ascii="Times New Roman" w:hAnsi="Times New Roman" w:eastAsia="仿宋_GB2312" w:cs="Times New Roman"/>
          <w:color w:val="000000"/>
          <w:sz w:val="32"/>
          <w:szCs w:val="32"/>
        </w:rPr>
        <w:t>攀枝花市西区财政投资评审中心为西区财政局所属全额拨款事业单位，</w:t>
      </w:r>
      <w:r>
        <w:rPr>
          <w:rFonts w:hint="default" w:ascii="Times New Roman" w:hAnsi="Times New Roman" w:eastAsia="仿宋_GB2312" w:cs="Times New Roman"/>
          <w:sz w:val="32"/>
          <w:szCs w:val="32"/>
        </w:rPr>
        <w:t>执行政府会计制度。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sz w:val="32"/>
          <w:szCs w:val="32"/>
        </w:rPr>
        <w:t>制定投资评审规章制度，指导投资评审业务工作。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t>确定投资评审项目，下达评审计划。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3.确认或批复评审机构出具的评审报告。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4.依据财政部的统一规定和要求制定预算绩效考核的具体实施办法，指导和监督预算绩效评价工作。</w:t>
      </w:r>
    </w:p>
    <w:p>
      <w:pPr>
        <w:pStyle w:val="2"/>
        <w:rPr>
          <w:rFonts w:hint="eastAsia" w:eastAsia="仿宋_GB2312"/>
          <w:lang w:val="zh-CN" w:eastAsia="zh-CN"/>
        </w:rPr>
      </w:pPr>
      <w:r>
        <w:rPr>
          <w:rFonts w:hint="default" w:ascii="Times New Roman" w:hAnsi="Times New Roman" w:eastAsia="仿宋_GB2312" w:cs="Times New Roman"/>
          <w:color w:val="000000"/>
          <w:sz w:val="32"/>
          <w:szCs w:val="32"/>
        </w:rPr>
        <w:t>5.受理、处理评审争议和投诉</w:t>
      </w:r>
      <w:r>
        <w:rPr>
          <w:rFonts w:hint="eastAsia" w:eastAsia="仿宋_GB2312" w:cs="Times New Roman"/>
          <w:color w:val="000000"/>
          <w:sz w:val="32"/>
          <w:szCs w:val="32"/>
          <w:lang w:eastAsia="zh-CN"/>
        </w:rPr>
        <w:t>。</w:t>
      </w:r>
    </w:p>
    <w:p>
      <w:pPr>
        <w:widowControl/>
        <w:numPr>
          <w:ilvl w:val="0"/>
          <w:numId w:val="1"/>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lang w:val="zh-CN"/>
        </w:rPr>
      </w:pP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年末实有事业人员</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编内</w:t>
      </w:r>
      <w:r>
        <w:rPr>
          <w:rFonts w:hint="default" w:ascii="Times New Roman" w:hAnsi="Times New Roman" w:eastAsia="仿宋_GB2312" w:cs="Times New Roman"/>
          <w:sz w:val="32"/>
          <w:szCs w:val="32"/>
        </w:rPr>
        <w:t>聘用人员1人。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年本年收入合计</w:t>
      </w:r>
      <w:r>
        <w:rPr>
          <w:rFonts w:hint="eastAsia" w:ascii="Times New Roman" w:hAnsi="Times New Roman" w:eastAsia="仿宋_GB2312" w:cs="Times New Roman"/>
          <w:sz w:val="32"/>
          <w:szCs w:val="32"/>
          <w:lang w:val="en-US" w:eastAsia="zh-CN"/>
        </w:rPr>
        <w:t>298.40</w:t>
      </w:r>
      <w:r>
        <w:rPr>
          <w:rFonts w:hint="eastAsia" w:ascii="Times New Roman" w:hAnsi="Times New Roman" w:eastAsia="仿宋_GB2312" w:cs="Times New Roman"/>
          <w:sz w:val="32"/>
          <w:szCs w:val="32"/>
        </w:rPr>
        <w:t>万元，其中：一般公共预算财政拨款收入</w:t>
      </w:r>
      <w:r>
        <w:rPr>
          <w:rFonts w:hint="eastAsia" w:ascii="Times New Roman" w:hAnsi="Times New Roman" w:eastAsia="仿宋_GB2312" w:cs="Times New Roman"/>
          <w:sz w:val="32"/>
          <w:szCs w:val="32"/>
          <w:lang w:val="en-US" w:eastAsia="zh-CN"/>
        </w:rPr>
        <w:t>200.10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；政府性基金预算财政拨款收入</w:t>
      </w:r>
      <w:r>
        <w:rPr>
          <w:rFonts w:hint="eastAsia" w:ascii="Times New Roman" w:hAnsi="Times New Roman" w:eastAsia="仿宋_GB2312" w:cs="Times New Roman"/>
          <w:sz w:val="32"/>
          <w:szCs w:val="32"/>
          <w:lang w:val="en-US" w:eastAsia="zh-CN"/>
        </w:rPr>
        <w:t>98.28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0.02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2"/>
        <w:rPr>
          <w:lang w:val="zh-CN"/>
        </w:rPr>
      </w:pPr>
    </w:p>
    <w:p>
      <w:pPr>
        <w:widowControl/>
        <w:numPr>
          <w:ilvl w:val="0"/>
          <w:numId w:val="2"/>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lang w:val="zh-CN"/>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年本年支出合计</w:t>
      </w:r>
      <w:r>
        <w:rPr>
          <w:rFonts w:hint="eastAsia" w:ascii="Times New Roman" w:hAnsi="Times New Roman" w:eastAsia="仿宋_GB2312" w:cs="Times New Roman"/>
          <w:sz w:val="32"/>
          <w:szCs w:val="32"/>
          <w:lang w:val="en-US" w:eastAsia="zh-CN"/>
        </w:rPr>
        <w:t>308.37</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200.12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color w:val="000000"/>
          <w:sz w:val="32"/>
          <w:szCs w:val="32"/>
        </w:rPr>
        <w:t>人员经费</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lang w:val="en-US" w:eastAsia="zh-CN"/>
        </w:rPr>
        <w:t xml:space="preserve">177.59 </w:t>
      </w:r>
      <w:r>
        <w:rPr>
          <w:rFonts w:hint="default" w:ascii="Times New Roman" w:hAnsi="Times New Roman" w:eastAsia="仿宋_GB2312" w:cs="Times New Roman"/>
          <w:color w:val="000000"/>
          <w:sz w:val="32"/>
          <w:szCs w:val="32"/>
          <w:lang w:eastAsia="zh-CN"/>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公用经</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lang w:val="en-US" w:eastAsia="zh-CN"/>
        </w:rPr>
        <w:t>13.01万元</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108.25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项目评审结算经费</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lang w:val="en-US" w:eastAsia="zh-CN"/>
        </w:rPr>
        <w:t>84.33万元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业务经费</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lang w:val="en-US" w:eastAsia="zh-CN"/>
        </w:rPr>
        <w:t>13.94万元。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pStyle w:val="4"/>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基本支出</w:t>
      </w:r>
      <w:r>
        <w:rPr>
          <w:rFonts w:hint="default" w:ascii="Times New Roman" w:hAnsi="Times New Roman" w:eastAsia="仿宋_GB2312" w:cs="Times New Roman"/>
          <w:sz w:val="32"/>
          <w:szCs w:val="32"/>
        </w:rPr>
        <w:t>预算绩效目标完成情况</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（1）产出指标完成情况分析。包括数量指标、质量指标、时效指标和成本指标。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根据工作时间及进度，按照单位实际情况按月及时支付人员工资、社保、公用经费等基本费用共计</w:t>
      </w:r>
      <w:r>
        <w:rPr>
          <w:rFonts w:hint="default" w:ascii="Times New Roman" w:hAnsi="Times New Roman" w:eastAsia="仿宋_GB2312" w:cs="Times New Roman"/>
          <w:sz w:val="32"/>
          <w:szCs w:val="32"/>
          <w:lang w:val="en-US" w:eastAsia="zh-CN"/>
        </w:rPr>
        <w:t>200.12万元</w:t>
      </w:r>
      <w:r>
        <w:rPr>
          <w:rFonts w:hint="default" w:ascii="Times New Roman" w:hAnsi="Times New Roman" w:eastAsia="仿宋_GB2312" w:cs="Times New Roman"/>
          <w:sz w:val="32"/>
          <w:szCs w:val="32"/>
          <w:lang w:eastAsia="zh-CN"/>
        </w:rPr>
        <w:t>，完成进度</w:t>
      </w:r>
      <w:r>
        <w:rPr>
          <w:rFonts w:hint="default" w:ascii="Times New Roman" w:hAnsi="Times New Roman" w:eastAsia="仿宋_GB2312" w:cs="Times New Roman"/>
          <w:sz w:val="32"/>
          <w:szCs w:val="32"/>
          <w:lang w:val="en-US" w:eastAsia="zh-CN"/>
        </w:rPr>
        <w:t>98.18%，</w:t>
      </w:r>
      <w:r>
        <w:rPr>
          <w:rFonts w:hint="default" w:ascii="Times New Roman" w:hAnsi="Times New Roman" w:eastAsia="仿宋_GB2312" w:cs="Times New Roman"/>
          <w:sz w:val="32"/>
          <w:szCs w:val="32"/>
          <w:lang w:eastAsia="zh-CN"/>
        </w:rPr>
        <w:t>基本支出的数量、质量、时效、成本指标均达标。保障日常工作效率，</w:t>
      </w:r>
      <w:r>
        <w:rPr>
          <w:rFonts w:hint="default" w:ascii="Times New Roman" w:hAnsi="Times New Roman" w:eastAsia="仿宋_GB2312" w:cs="Times New Roman"/>
          <w:sz w:val="32"/>
          <w:szCs w:val="32"/>
        </w:rPr>
        <w:t>有效保障单位各项工作有序开展</w:t>
      </w:r>
      <w:r>
        <w:rPr>
          <w:rFonts w:hint="default" w:ascii="Times New Roman" w:hAnsi="Times New Roman" w:eastAsia="仿宋_GB2312" w:cs="Times New Roman"/>
          <w:sz w:val="32"/>
          <w:szCs w:val="32"/>
          <w:lang w:eastAsia="zh-CN"/>
        </w:rPr>
        <w:t>；并不断加强预算执行管理，提升了我区财政财务管理的科学化、精细化水平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效益指标完成情况分析。包括经济效益、社会效益、生态效益和可持续影响。</w:t>
      </w:r>
    </w:p>
    <w:p>
      <w:pPr>
        <w:pStyle w:val="4"/>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无</w:t>
      </w:r>
    </w:p>
    <w:p>
      <w:pPr>
        <w:pStyle w:val="4"/>
        <w:keepNext w:val="0"/>
        <w:keepLines w:val="0"/>
        <w:pageBreakBefore w:val="0"/>
        <w:widowControl w:val="0"/>
        <w:numPr>
          <w:ilvl w:val="0"/>
          <w:numId w:val="0"/>
        </w:numPr>
        <w:tabs>
          <w:tab w:val="left" w:pos="1058"/>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满</w:t>
      </w:r>
      <w:r>
        <w:rPr>
          <w:rFonts w:hint="default" w:ascii="Times New Roman" w:hAnsi="Times New Roman" w:eastAsia="仿宋_GB2312" w:cs="Times New Roman"/>
          <w:sz w:val="32"/>
          <w:szCs w:val="32"/>
        </w:rPr>
        <w:t>意度指标完成情况分析。</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根据单位实际情况按时支付了人员工资、社保等基本支出，顺利完成满意度指标。</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级专项（项目）资金绩效目标完成情况</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（1）产出指标完成情况分析。包括数量指标、质量指标、时效指标和成本指标。</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按照工作计划的顺利推进，项目评审结算经费、业务经费项目专项资金的数量、质量、时效指标均达标。项目评审结算经费项目成本指标完成率为</w:t>
      </w:r>
      <w:r>
        <w:rPr>
          <w:rFonts w:hint="default" w:ascii="Times New Roman" w:hAnsi="Times New Roman" w:eastAsia="仿宋_GB2312" w:cs="Times New Roman"/>
          <w:sz w:val="32"/>
          <w:szCs w:val="32"/>
          <w:lang w:val="en-US" w:eastAsia="zh-CN"/>
        </w:rPr>
        <w:t>21.08%，因有的项目业主单位未按时报送票据，故存在结余；</w:t>
      </w:r>
      <w:r>
        <w:rPr>
          <w:rFonts w:hint="default" w:ascii="Times New Roman" w:hAnsi="Times New Roman" w:eastAsia="仿宋_GB2312" w:cs="Times New Roman"/>
          <w:sz w:val="32"/>
          <w:szCs w:val="32"/>
          <w:lang w:eastAsia="zh-CN"/>
        </w:rPr>
        <w:t>业务经费项目成本指标完成率为</w:t>
      </w:r>
      <w:r>
        <w:rPr>
          <w:rFonts w:hint="default" w:ascii="Times New Roman" w:hAnsi="Times New Roman" w:eastAsia="仿宋_GB2312" w:cs="Times New Roman"/>
          <w:sz w:val="32"/>
          <w:szCs w:val="32"/>
          <w:lang w:val="en-US" w:eastAsia="zh-CN"/>
        </w:rPr>
        <w:t>55.76%，部分经费未达到支付条件，故有结余。</w:t>
      </w:r>
    </w:p>
    <w:p>
      <w:pPr>
        <w:pStyle w:val="4"/>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效益指标完成情况分析。包括经济效益、社会效益、生态效益和可持续影响。</w:t>
      </w:r>
    </w:p>
    <w:p>
      <w:pPr>
        <w:pStyle w:val="4"/>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项目评审结算经费项目完成社会效益指标，提高综合审减率，提高财政资金使用效率，保障工作顺利推进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业务经费项目完成可持续影响指标。</w:t>
      </w:r>
    </w:p>
    <w:p>
      <w:pPr>
        <w:pStyle w:val="4"/>
        <w:keepNext w:val="0"/>
        <w:keepLines w:val="0"/>
        <w:pageBreakBefore w:val="0"/>
        <w:widowControl w:val="0"/>
        <w:numPr>
          <w:ilvl w:val="0"/>
          <w:numId w:val="0"/>
        </w:numPr>
        <w:tabs>
          <w:tab w:val="left" w:pos="1073"/>
        </w:tabs>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满意度指标完成情况分析。</w:t>
      </w:r>
    </w:p>
    <w:p>
      <w:pPr>
        <w:pStyle w:val="4"/>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项目实施保障了全区项目评审及结算工作顺利推进，提高财政资金使用效率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提升了工作人员专业能力技术，做好评审工作，确保财政资金使用安全、规范有效。</w:t>
      </w:r>
      <w:r>
        <w:rPr>
          <w:rFonts w:hint="default" w:ascii="Times New Roman" w:hAnsi="Times New Roman" w:eastAsia="仿宋_GB2312" w:cs="Times New Roman"/>
          <w:sz w:val="32"/>
          <w:szCs w:val="32"/>
          <w:lang w:eastAsia="zh-CN"/>
        </w:rPr>
        <w:t>保证服务对象满意度指标达标。</w:t>
      </w:r>
    </w:p>
    <w:p>
      <w:pPr>
        <w:widowControl/>
        <w:numPr>
          <w:ilvl w:val="0"/>
          <w:numId w:val="2"/>
        </w:numPr>
        <w:adjustRightInd w:val="0"/>
        <w:snapToGrid w:val="0"/>
        <w:spacing w:line="572"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结果应用情况。</w:t>
      </w:r>
    </w:p>
    <w:p>
      <w:pPr>
        <w:pStyle w:val="2"/>
        <w:numPr>
          <w:ilvl w:val="0"/>
          <w:numId w:val="0"/>
        </w:numPr>
        <w:ind w:leftChars="200" w:firstLine="320" w:firstLineChars="100"/>
        <w:rPr>
          <w:lang w:val="zh-CN"/>
        </w:rPr>
      </w:pPr>
      <w:r>
        <w:rPr>
          <w:rFonts w:hint="default" w:ascii="Times New Roman" w:hAnsi="Times New Roman" w:eastAsia="仿宋_GB2312" w:cs="Times New Roman"/>
          <w:sz w:val="32"/>
          <w:szCs w:val="32"/>
          <w:lang w:eastAsia="zh-CN"/>
        </w:rPr>
        <w:t>区财政投资评审中心严格按照相关文件要求，在西区人民政府网站上公开了部门绩效评价等信息。</w:t>
      </w:r>
    </w:p>
    <w:p>
      <w:pPr>
        <w:widowControl/>
        <w:numPr>
          <w:ilvl w:val="0"/>
          <w:numId w:val="3"/>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pStyle w:val="2"/>
        <w:ind w:firstLine="640" w:firstLineChars="200"/>
        <w:rPr>
          <w:lang w:val="zh-CN"/>
        </w:rPr>
      </w:pPr>
      <w:r>
        <w:rPr>
          <w:rFonts w:hint="eastAsia" w:eastAsia="仿宋_GB2312"/>
          <w:sz w:val="32"/>
          <w:szCs w:val="32"/>
          <w:lang w:eastAsia="zh-CN"/>
        </w:rPr>
        <w:t>按照预算绩效管理要求，本单位对整体支出进行了自查自评，并对照绩效指标评价标准进行了评分，各项指标均达标完成。</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.本单位整体支出绩效目标实现情况。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全年通过加强预算收支管理，健全内部管理制度，严格内部管理流程，部门整体支出控制在预算范围内，财务收支平衡，有效保障了单位各项工作有序开展。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.项目绩效目标完成情况。</w:t>
      </w:r>
    </w:p>
    <w:p>
      <w:pPr>
        <w:pStyle w:val="2"/>
        <w:ind w:firstLine="640" w:firstLineChars="200"/>
        <w:rPr>
          <w:lang w:val="zh-CN"/>
        </w:rPr>
      </w:pPr>
      <w:r>
        <w:rPr>
          <w:rFonts w:hint="default" w:ascii="Times New Roman" w:hAnsi="Times New Roman" w:eastAsia="仿宋_GB2312" w:cs="Times New Roman"/>
          <w:sz w:val="32"/>
          <w:szCs w:val="32"/>
        </w:rPr>
        <w:t>全年各项目按照工作计划顺利推进，</w:t>
      </w:r>
      <w:r>
        <w:rPr>
          <w:rFonts w:hint="default" w:ascii="Times New Roman" w:hAnsi="Times New Roman" w:eastAsia="仿宋_GB2312" w:cs="Times New Roman"/>
          <w:sz w:val="32"/>
          <w:szCs w:val="32"/>
          <w:lang w:val="en-US" w:eastAsia="zh-CN"/>
        </w:rPr>
        <w:t>2021年全年送审项目36个，审定金额31906.455万元、审减率29.51%；提升了工作人员专业能力技术，做好评审工作，确保财政资金使用安全、规范有效。</w:t>
      </w:r>
    </w:p>
    <w:p>
      <w:pPr>
        <w:widowControl/>
        <w:numPr>
          <w:ilvl w:val="0"/>
          <w:numId w:val="4"/>
        </w:numPr>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存在问题。</w:t>
      </w:r>
    </w:p>
    <w:p>
      <w:pPr>
        <w:pStyle w:val="2"/>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无</w:t>
      </w:r>
      <w:r>
        <w:rPr>
          <w:rFonts w:hint="eastAsia" w:eastAsia="仿宋_GB2312" w:cs="Times New Roman"/>
          <w:sz w:val="32"/>
          <w:szCs w:val="32"/>
          <w:lang w:val="zh-CN"/>
        </w:rPr>
        <w:t>。</w:t>
      </w:r>
    </w:p>
    <w:p>
      <w:pPr>
        <w:widowControl/>
        <w:numPr>
          <w:ilvl w:val="0"/>
          <w:numId w:val="4"/>
        </w:numPr>
        <w:adjustRightInd w:val="0"/>
        <w:snapToGrid w:val="0"/>
        <w:spacing w:line="576"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bookmarkStart w:id="0" w:name="_GoBack"/>
      <w:bookmarkEnd w:id="0"/>
      <w:r>
        <w:rPr>
          <w:rFonts w:hint="eastAsia" w:ascii="仿宋_GB2312" w:hAnsi="宋体" w:eastAsia="仿宋_GB2312" w:cs="宋体"/>
          <w:kern w:val="0"/>
          <w:sz w:val="32"/>
          <w:szCs w:val="32"/>
          <w:shd w:val="clear" w:color="auto" w:fill="FFFFFF"/>
          <w:lang w:val="zh-CN"/>
        </w:rPr>
        <w:t>改进建议。</w:t>
      </w:r>
    </w:p>
    <w:p>
      <w:pPr>
        <w:pStyle w:val="2"/>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无</w:t>
      </w:r>
      <w:r>
        <w:rPr>
          <w:rFonts w:hint="eastAsia" w:eastAsia="仿宋_GB2312" w:cs="Times New Roman"/>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87D3D"/>
    <w:multiLevelType w:val="singleLevel"/>
    <w:tmpl w:val="8E087D3D"/>
    <w:lvl w:ilvl="0" w:tentative="0">
      <w:start w:val="3"/>
      <w:numFmt w:val="chineseCounting"/>
      <w:suff w:val="nothing"/>
      <w:lvlText w:val="（%1）"/>
      <w:lvlJc w:val="left"/>
      <w:rPr>
        <w:rFonts w:hint="eastAsia"/>
      </w:rPr>
    </w:lvl>
  </w:abstractNum>
  <w:abstractNum w:abstractNumId="1">
    <w:nsid w:val="928E0A48"/>
    <w:multiLevelType w:val="singleLevel"/>
    <w:tmpl w:val="928E0A48"/>
    <w:lvl w:ilvl="0" w:tentative="0">
      <w:start w:val="2"/>
      <w:numFmt w:val="chineseCounting"/>
      <w:suff w:val="nothing"/>
      <w:lvlText w:val="（%1）"/>
      <w:lvlJc w:val="left"/>
      <w:rPr>
        <w:rFonts w:hint="eastAsia"/>
      </w:rPr>
    </w:lvl>
  </w:abstractNum>
  <w:abstractNum w:abstractNumId="2">
    <w:nsid w:val="3E794925"/>
    <w:multiLevelType w:val="singleLevel"/>
    <w:tmpl w:val="3E794925"/>
    <w:lvl w:ilvl="0" w:tentative="0">
      <w:start w:val="3"/>
      <w:numFmt w:val="chineseCounting"/>
      <w:suff w:val="nothing"/>
      <w:lvlText w:val="（%1）"/>
      <w:lvlJc w:val="left"/>
      <w:rPr>
        <w:rFonts w:hint="eastAsia"/>
      </w:rPr>
    </w:lvl>
  </w:abstractNum>
  <w:abstractNum w:abstractNumId="3">
    <w:nsid w:val="44F380D0"/>
    <w:multiLevelType w:val="singleLevel"/>
    <w:tmpl w:val="44F380D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2ODRhNjVlZGJjMjBmOWRmZmQyMWE5YTM2NzUxYzAifQ=="/>
  </w:docVars>
  <w:rsids>
    <w:rsidRoot w:val="00BD2985"/>
    <w:rsid w:val="004B2632"/>
    <w:rsid w:val="00570454"/>
    <w:rsid w:val="005945B4"/>
    <w:rsid w:val="00666309"/>
    <w:rsid w:val="009F0735"/>
    <w:rsid w:val="00A16591"/>
    <w:rsid w:val="00AD68E1"/>
    <w:rsid w:val="00BD2985"/>
    <w:rsid w:val="06401CB1"/>
    <w:rsid w:val="09480908"/>
    <w:rsid w:val="0E7166BB"/>
    <w:rsid w:val="244B34E8"/>
    <w:rsid w:val="2B3614FA"/>
    <w:rsid w:val="36231969"/>
    <w:rsid w:val="397C6EDE"/>
    <w:rsid w:val="4E020650"/>
    <w:rsid w:val="60CD1661"/>
    <w:rsid w:val="72840C09"/>
    <w:rsid w:val="74891FF5"/>
    <w:rsid w:val="7782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semiHidden/>
    <w:unhideWhenUsed/>
    <w:qFormat/>
    <w:uiPriority w:val="99"/>
    <w:pPr>
      <w:spacing w:after="120"/>
    </w:pPr>
  </w:style>
  <w:style w:type="paragraph" w:customStyle="1" w:styleId="3">
    <w:name w:val="样式1"/>
    <w:basedOn w:val="1"/>
    <w:qFormat/>
    <w:uiPriority w:val="0"/>
    <w:rPr>
      <w:b/>
      <w:color w:val="538135"/>
      <w:sz w:val="28"/>
    </w:rPr>
  </w:style>
  <w:style w:type="paragraph" w:styleId="4">
    <w:name w:val="Plain Text"/>
    <w:basedOn w:val="1"/>
    <w:qFormat/>
    <w:uiPriority w:val="0"/>
    <w:rPr>
      <w:rFonts w:ascii="宋体" w:hAnsi="Courier New"/>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semiHidden/>
    <w:qFormat/>
    <w:uiPriority w:val="99"/>
    <w:rPr>
      <w:rFonts w:ascii="Times New Roman" w:hAnsi="Times New Roman" w:eastAsia="宋体" w:cs="Times New Roman"/>
      <w:szCs w:val="24"/>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1466</Words>
  <Characters>1583</Characters>
  <Lines>14</Lines>
  <Paragraphs>4</Paragraphs>
  <TotalTime>12</TotalTime>
  <ScaleCrop>false</ScaleCrop>
  <LinksUpToDate>false</LinksUpToDate>
  <CharactersWithSpaces>1584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2022-09-01T09:24:00Z</dcterms:created>
  <dc:creator>李轶</dc:creator>
  <cp:lastModifiedBy>Administrator</cp:lastModifiedBy>
  <dcterms:modified xsi:type="dcterms:W3CDTF">2023-05-09T03:28:11Z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0D6DA3B3930B43CE8630F9888A46B80E</vt:lpwstr>
  </property>
</Properties>
</file>