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96597"/>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000000"/>
          <w:sz w:val="52"/>
          <w:szCs w:val="52"/>
          <w:lang w:eastAsia="zh-CN"/>
        </w:rPr>
      </w:pPr>
      <w:r>
        <w:rPr>
          <w:rFonts w:hint="eastAsia" w:ascii="Times New Roman" w:hAnsi="Times New Roman" w:eastAsia="方正小标宋简体" w:cs="Times New Roman"/>
          <w:color w:val="000000"/>
          <w:sz w:val="52"/>
          <w:szCs w:val="52"/>
          <w:lang w:eastAsia="zh-CN"/>
        </w:rPr>
        <w:t>2021年度</w:t>
      </w:r>
      <w:bookmarkEnd w:id="0"/>
      <w:bookmarkEnd w:id="1"/>
      <w:bookmarkEnd w:id="2"/>
      <w:bookmarkEnd w:id="3"/>
      <w:bookmarkEnd w:id="4"/>
    </w:p>
    <w:bookmarkEnd w:id="5"/>
    <w:p>
      <w:pPr>
        <w:adjustRightInd w:val="0"/>
        <w:snapToGrid w:val="0"/>
        <w:spacing w:line="360" w:lineRule="auto"/>
        <w:jc w:val="center"/>
        <w:outlineLvl w:val="0"/>
        <w:rPr>
          <w:rFonts w:hint="eastAsia" w:ascii="Times New Roman" w:hAnsi="Times New Roman" w:eastAsia="方正小标宋简体" w:cs="Times New Roman"/>
          <w:color w:val="000000"/>
          <w:sz w:val="52"/>
          <w:szCs w:val="52"/>
          <w:lang w:eastAsia="zh-CN"/>
        </w:rPr>
      </w:pPr>
      <w:bookmarkStart w:id="6" w:name="_Toc15306268"/>
      <w:bookmarkStart w:id="7" w:name="_Toc15396598"/>
      <w:bookmarkStart w:id="8" w:name="_Toc15378442"/>
      <w:bookmarkStart w:id="9" w:name="_Toc15377426"/>
      <w:bookmarkStart w:id="10" w:name="_Toc15396476"/>
      <w:bookmarkStart w:id="11" w:name="_Toc15377194"/>
      <w:r>
        <w:rPr>
          <w:rFonts w:hint="eastAsia" w:ascii="Times New Roman" w:hAnsi="Times New Roman" w:eastAsia="方正小标宋简体" w:cs="Times New Roman"/>
          <w:color w:val="000000"/>
          <w:sz w:val="52"/>
          <w:szCs w:val="52"/>
          <w:lang w:eastAsia="zh-CN"/>
        </w:rPr>
        <w:t>攀枝花市西区人民政府办公室</w:t>
      </w:r>
    </w:p>
    <w:p>
      <w:pPr>
        <w:adjustRightInd w:val="0"/>
        <w:snapToGrid w:val="0"/>
        <w:spacing w:line="360" w:lineRule="auto"/>
        <w:jc w:val="center"/>
        <w:outlineLvl w:val="0"/>
        <w:rPr>
          <w:rFonts w:hint="default" w:ascii="Times New Roman" w:hAnsi="Times New Roman" w:eastAsia="方正小标宋简体" w:cs="Times New Roman"/>
          <w:color w:val="000000"/>
          <w:sz w:val="52"/>
          <w:szCs w:val="52"/>
          <w:lang w:eastAsia="zh-CN"/>
        </w:rPr>
      </w:pPr>
      <w:r>
        <w:rPr>
          <w:rFonts w:hint="eastAsia" w:ascii="Times New Roman" w:hAnsi="Times New Roman" w:eastAsia="方正小标宋简体" w:cs="Times New Roman"/>
          <w:color w:val="000000"/>
          <w:sz w:val="52"/>
          <w:szCs w:val="52"/>
          <w:lang w:eastAsia="zh-CN"/>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w:t>
      </w:r>
      <w:r>
        <w:rPr>
          <w:rFonts w:hint="eastAsia"/>
          <w:lang w:val="en-US" w:eastAsia="zh-CN"/>
        </w:rPr>
        <w:t>10</w:t>
      </w:r>
      <w:r>
        <w:rPr>
          <w:rFonts w:hint="eastAsia"/>
        </w:rPr>
        <w:t>月9日</w:t>
      </w:r>
    </w:p>
    <w:p/>
    <w:p>
      <w:pPr>
        <w:pStyle w:val="12"/>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sz w:val="24"/>
        </w:rPr>
        <w:t>第一部分</w:t>
      </w:r>
      <w:r>
        <w:rPr>
          <w:sz w:val="24"/>
        </w:rPr>
        <w:t xml:space="preserve"> </w:t>
      </w:r>
      <w:r>
        <w:rPr>
          <w:rFonts w:hint="eastAsia"/>
          <w:sz w:val="24"/>
        </w:rPr>
        <w:t>部门概况</w:t>
      </w:r>
      <w:r>
        <w:rPr>
          <w:rFonts w:hint="eastAsia" w:ascii="Times New Roman" w:hAnsi="Times New Roman" w:eastAsia="宋体" w:cs="Times New Roman"/>
          <w:kern w:val="2"/>
          <w:sz w:val="24"/>
          <w:szCs w:val="24"/>
          <w:lang w:val="en-US" w:eastAsia="zh-CN" w:bidi="ar-SA"/>
        </w:rPr>
        <w:t>.....................................................................................................4</w:t>
      </w:r>
    </w:p>
    <w:p>
      <w:pPr>
        <w:pStyle w:val="13"/>
        <w:adjustRightInd w:val="0"/>
        <w:snapToGrid w:val="0"/>
        <w:spacing w:line="440" w:lineRule="exact"/>
        <w:jc w:val="left"/>
        <w:rPr>
          <w:rFonts w:ascii="仿宋" w:hAnsi="仿宋" w:eastAsia="仿宋"/>
          <w:sz w:val="24"/>
        </w:rPr>
      </w:pPr>
      <w:r>
        <w:rPr>
          <w:rFonts w:hint="eastAsia"/>
          <w:sz w:val="24"/>
        </w:rPr>
        <w:t>一、基本职能及主要工作</w:t>
      </w:r>
      <w:r>
        <w:rPr>
          <w:rFonts w:hint="eastAsia" w:cs="Times New Roman"/>
          <w:sz w:val="24"/>
          <w:lang w:val="en-US" w:eastAsia="zh-CN"/>
        </w:rPr>
        <w:t>....................................................................................</w:t>
      </w:r>
      <w:r>
        <w:rPr>
          <w:b w:val="0"/>
          <w:bCs/>
          <w:sz w:val="24"/>
        </w:rPr>
        <w:t>4</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二、机构设置</w:t>
      </w:r>
      <w:r>
        <w:rPr>
          <w:rFonts w:hint="eastAsia" w:cs="Times New Roman"/>
          <w:sz w:val="24"/>
          <w:lang w:val="en-US" w:eastAsia="zh-CN"/>
        </w:rPr>
        <w:t>........................................................................................................6</w:t>
      </w:r>
    </w:p>
    <w:p>
      <w:pPr>
        <w:pStyle w:val="12"/>
        <w:adjustRightInd w:val="0"/>
        <w:snapToGrid w:val="0"/>
        <w:spacing w:before="0" w:line="440" w:lineRule="exact"/>
        <w:jc w:val="left"/>
        <w:rPr>
          <w:rFonts w:hint="eastAsia" w:ascii="Times New Roman" w:hAnsi="Times New Roman" w:eastAsia="宋体" w:cs="Times New Roman"/>
          <w:kern w:val="2"/>
          <w:sz w:val="24"/>
          <w:szCs w:val="24"/>
          <w:lang w:val="en-US" w:eastAsia="zh-CN" w:bidi="ar-SA"/>
        </w:rPr>
      </w:pPr>
      <w:r>
        <w:rPr>
          <w:rFonts w:hint="eastAsia"/>
          <w:sz w:val="24"/>
        </w:rPr>
        <w:t>第二部分 2021年度部门决算情况说明</w:t>
      </w:r>
      <w:r>
        <w:rPr>
          <w:rFonts w:hint="eastAsia" w:ascii="Times New Roman" w:hAnsi="Times New Roman" w:eastAsia="宋体" w:cs="Times New Roman"/>
          <w:kern w:val="2"/>
          <w:sz w:val="24"/>
          <w:szCs w:val="24"/>
          <w:lang w:val="en-US" w:eastAsia="zh-CN" w:bidi="ar-SA"/>
        </w:rPr>
        <w:t>....................................................................8</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cs="Times New Roman"/>
          <w:sz w:val="24"/>
          <w:lang w:val="en-US" w:eastAsia="zh-CN"/>
        </w:rPr>
        <w:t>........................................................................8</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cs="Times New Roman"/>
          <w:sz w:val="24"/>
          <w:lang w:val="en-US" w:eastAsia="zh-CN"/>
        </w:rPr>
        <w:t>........................................................................................8</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cs="Times New Roman"/>
          <w:sz w:val="24"/>
          <w:lang w:val="en-US" w:eastAsia="zh-CN"/>
        </w:rPr>
        <w:t>........................................................................................9</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cs="Times New Roman"/>
          <w:sz w:val="24"/>
          <w:lang w:val="en-US" w:eastAsia="zh-CN"/>
        </w:rPr>
        <w:t>........................................................9</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cs="Times New Roman"/>
          <w:sz w:val="24"/>
          <w:lang w:val="en-US" w:eastAsia="zh-CN"/>
        </w:rPr>
        <w:t>................................................9</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cs="Times New Roman"/>
          <w:sz w:val="24"/>
          <w:lang w:val="en-US" w:eastAsia="zh-CN"/>
        </w:rPr>
        <w:t>........................................11</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七、“三公”经费财政拨款支出决算情况说明</w:t>
      </w:r>
      <w:r>
        <w:rPr>
          <w:rFonts w:hint="eastAsia" w:cs="Times New Roman"/>
          <w:sz w:val="24"/>
          <w:lang w:val="en-US" w:eastAsia="zh-CN"/>
        </w:rPr>
        <w:t>................................................12</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cs="Times New Roman"/>
          <w:sz w:val="24"/>
          <w:lang w:val="en-US" w:eastAsia="zh-CN"/>
        </w:rPr>
        <w:t>.................................... ......................13</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九、国有资本经营预算支出决算情况说明</w:t>
      </w:r>
      <w:r>
        <w:rPr>
          <w:rFonts w:hint="eastAsia" w:cs="Times New Roman"/>
          <w:sz w:val="24"/>
          <w:lang w:val="en-US" w:eastAsia="zh-CN"/>
        </w:rPr>
        <w:t>........................................................13</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cs="Times New Roman"/>
          <w:sz w:val="24"/>
          <w:lang w:val="en-US" w:eastAsia="zh-CN"/>
        </w:rPr>
        <w:t>............................................................................13</w:t>
      </w:r>
    </w:p>
    <w:p>
      <w:pPr>
        <w:pStyle w:val="12"/>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cs="Times New Roman"/>
          <w:kern w:val="2"/>
          <w:sz w:val="24"/>
          <w:szCs w:val="24"/>
          <w:lang w:val="en-US" w:eastAsia="zh-CN" w:bidi="ar-SA"/>
        </w:rPr>
        <w:t>....................................................................................................15</w:t>
      </w:r>
    </w:p>
    <w:p>
      <w:pPr>
        <w:pStyle w:val="12"/>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Times New Roman" w:hAnsi="Times New Roman" w:eastAsia="宋体" w:cs="Times New Roman"/>
          <w:kern w:val="2"/>
          <w:sz w:val="24"/>
          <w:szCs w:val="24"/>
          <w:lang w:val="en-US" w:eastAsia="zh-CN" w:bidi="ar-SA"/>
        </w:rPr>
        <w:t>............................................................................................................17</w:t>
      </w:r>
    </w:p>
    <w:p>
      <w:pPr>
        <w:pStyle w:val="12"/>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Times New Roman" w:hAnsi="Times New Roman" w:eastAsia="宋体" w:cs="Times New Roman"/>
          <w:kern w:val="2"/>
          <w:sz w:val="24"/>
          <w:szCs w:val="24"/>
          <w:lang w:val="en-US" w:eastAsia="zh-CN" w:bidi="ar-SA"/>
        </w:rPr>
        <w:t>............................................................................................................27</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Style w:val="28"/>
          <w:rFonts w:ascii="仿宋" w:hAnsi="仿宋" w:eastAsia="仿宋"/>
          <w:b w:val="0"/>
          <w:bCs w:val="0"/>
        </w:rPr>
      </w:pPr>
      <w:bookmarkStart w:id="14" w:name="_Toc15396600"/>
      <w:bookmarkStart w:id="15" w:name="_Toc15377197"/>
      <w:r>
        <w:rPr>
          <w:rFonts w:hint="eastAsia" w:ascii="黑体" w:hAnsi="黑体" w:eastAsia="黑体"/>
          <w:b w:val="0"/>
          <w:sz w:val="32"/>
          <w:szCs w:val="32"/>
        </w:rPr>
        <w:t>一、基</w:t>
      </w:r>
      <w:r>
        <w:rPr>
          <w:rStyle w:val="28"/>
          <w:rFonts w:hint="eastAsia" w:ascii="黑体" w:hAnsi="黑体" w:eastAsia="黑体"/>
          <w:b w:val="0"/>
          <w:bCs w:val="0"/>
          <w:sz w:val="32"/>
          <w:szCs w:val="32"/>
        </w:rPr>
        <w:t>本职能及主要工作</w:t>
      </w:r>
      <w:bookmarkEnd w:id="14"/>
      <w:bookmarkEnd w:id="15"/>
    </w:p>
    <w:p>
      <w:pPr>
        <w:pStyle w:val="6"/>
        <w:pageBreakBefore w:val="0"/>
        <w:kinsoku/>
        <w:wordWrap/>
        <w:overflowPunct/>
        <w:topLinePunct w:val="0"/>
        <w:autoSpaceDE/>
        <w:autoSpaceDN/>
        <w:bidi w:val="0"/>
        <w:adjustRightInd w:val="0"/>
        <w:snapToGrid w:val="0"/>
        <w:spacing w:before="93" w:line="600" w:lineRule="exact"/>
        <w:ind w:firstLine="675" w:firstLineChars="210"/>
        <w:textAlignment w:val="auto"/>
        <w:outlineLvl w:val="2"/>
        <w:rPr>
          <w:rFonts w:hint="eastAsia" w:ascii="仿宋" w:hAnsi="仿宋" w:eastAsia="仿宋"/>
          <w:bCs/>
          <w:sz w:val="32"/>
          <w:szCs w:val="32"/>
        </w:rPr>
      </w:pPr>
      <w:bookmarkStart w:id="16" w:name="_Toc15377198"/>
      <w:bookmarkStart w:id="17" w:name="_Toc15378445"/>
      <w:r>
        <w:rPr>
          <w:rFonts w:hint="eastAsia" w:ascii="仿宋" w:hAnsi="仿宋" w:eastAsia="仿宋"/>
          <w:b/>
          <w:bCs w:val="0"/>
          <w:sz w:val="32"/>
          <w:szCs w:val="32"/>
        </w:rPr>
        <w:t>（一）主要职能。</w:t>
      </w:r>
      <w:bookmarkEnd w:id="16"/>
      <w:bookmarkEnd w:id="17"/>
      <w:bookmarkStart w:id="18" w:name="_Toc15378446"/>
      <w:bookmarkStart w:id="19" w:name="_Toc15377199"/>
    </w:p>
    <w:p>
      <w:pPr>
        <w:pStyle w:val="6"/>
        <w:pageBreakBefore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 w:hAnsi="仿宋" w:eastAsia="仿宋"/>
          <w:bCs/>
          <w:sz w:val="32"/>
          <w:szCs w:val="32"/>
        </w:rPr>
      </w:pPr>
      <w:r>
        <w:rPr>
          <w:rFonts w:hint="default" w:ascii="Times New Roman" w:hAnsi="Times New Roman" w:eastAsia="仿宋_GB2312" w:cs="Times New Roman"/>
          <w:sz w:val="32"/>
          <w:szCs w:val="32"/>
        </w:rPr>
        <w:t>攀枝花市西区人民政府办公室（简称区政府办公室），为协助区政府领导处理区政府日常工作的机构。其主要职能为：协助区政府领导同志组织起草或审核以区政府、区政府办公室名义发布的公文，办理市政府、市政府办公室及市级部门发送区政府的文电，指导全区行政机关公文处理工作；研究区政府部门和镇人民政府、区政府派出机构请示区政府的事项，提出审核意见，报区政府领导同志审批；负责区政府重要会议事务工作和区政府领导同志参加重大活动的组织安排；协助完成区政府的有关接待工作；督促检查区政府部门和镇人民政府、区政府派出机构对区政府决定事项及区政府领导同志指示的贯彻落实情况，及时向区政府领导同志报告；根据区政府领导同志的指示，对区政府部门间争议问题提出处理意见和建议，报区政府领导同志决定；负责区政府值班工作，指导区政府部门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同志的指示，组织专题调查研究，及时反映情况，提出政策性建议；负责区政府外事工作；承担区政府公布的有关行政审批事项；承办区政府和区政府领导同志交办的其他事项。</w:t>
      </w:r>
    </w:p>
    <w:p>
      <w:pPr>
        <w:pStyle w:val="6"/>
        <w:pageBreakBefore w:val="0"/>
        <w:kinsoku/>
        <w:wordWrap/>
        <w:overflowPunct/>
        <w:topLinePunct w:val="0"/>
        <w:autoSpaceDE/>
        <w:autoSpaceDN/>
        <w:bidi w:val="0"/>
        <w:adjustRightInd w:val="0"/>
        <w:snapToGrid w:val="0"/>
        <w:spacing w:before="93" w:line="600" w:lineRule="exact"/>
        <w:ind w:firstLine="675" w:firstLineChars="210"/>
        <w:textAlignment w:val="auto"/>
        <w:outlineLvl w:val="2"/>
        <w:rPr>
          <w:rFonts w:hint="eastAsia" w:ascii="仿宋" w:hAnsi="仿宋" w:eastAsia="仿宋"/>
          <w:b/>
          <w:bCs w:val="0"/>
          <w:sz w:val="32"/>
          <w:szCs w:val="32"/>
        </w:rPr>
      </w:pPr>
      <w:r>
        <w:rPr>
          <w:rFonts w:hint="eastAsia" w:ascii="仿宋" w:hAnsi="仿宋" w:eastAsia="仿宋"/>
          <w:b/>
          <w:bCs w:val="0"/>
          <w:sz w:val="32"/>
          <w:szCs w:val="32"/>
        </w:rPr>
        <w:t>（二）</w:t>
      </w:r>
      <w:r>
        <w:rPr>
          <w:rFonts w:ascii="仿宋" w:hAnsi="仿宋" w:eastAsia="仿宋"/>
          <w:b/>
          <w:bCs w:val="0"/>
          <w:sz w:val="32"/>
          <w:szCs w:val="32"/>
        </w:rPr>
        <w:t>20</w:t>
      </w:r>
      <w:r>
        <w:rPr>
          <w:rFonts w:hint="eastAsia" w:ascii="仿宋" w:hAnsi="仿宋" w:eastAsia="仿宋"/>
          <w:b/>
          <w:bCs w:val="0"/>
          <w:sz w:val="32"/>
          <w:szCs w:val="32"/>
        </w:rPr>
        <w:t>21年重点工作完成情况。</w:t>
      </w:r>
      <w:bookmarkEnd w:id="18"/>
      <w:bookmarkEnd w:id="19"/>
    </w:p>
    <w:p>
      <w:pPr>
        <w:pStyle w:val="6"/>
        <w:pageBreakBefore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在协调推进方面，主动参与全区民生工程等重点工作，针对各部门在工作推进中遇到的困难和问题，组织召开专题协调会，强化重点工作协调推进。在联络沟通方面，不断加强与区委</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、区人大</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、区政协办公室之间协调沟通，科学合理地安排政府工作。同时，积极抓好上下级之间协调，及时传达区政府各项工作部署，及时反映基层意见和建议，有力确保政令畅通。</w:t>
      </w:r>
      <w:r>
        <w:rPr>
          <w:rFonts w:hint="eastAsia" w:ascii="仿宋_GB2312" w:hAnsi="仿宋_GB2312" w:eastAsia="仿宋_GB2312" w:cs="仿宋_GB2312"/>
          <w:sz w:val="32"/>
          <w:szCs w:val="32"/>
          <w:lang w:eastAsia="zh-CN"/>
        </w:rPr>
        <w:t>规范政府（办公室）文件的使用，2021年以区政府或区政府办公室名义发文同比精简18%，会议数量同比减少20%。</w:t>
      </w:r>
    </w:p>
    <w:p>
      <w:pPr>
        <w:pStyle w:val="6"/>
        <w:pageBreakBefore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全力抗“疫”，精准督办防控事项400余项、统筹日调度会300余次。值守</w:t>
      </w:r>
      <w:r>
        <w:rPr>
          <w:rFonts w:hint="eastAsia" w:ascii="仿宋_GB2312" w:hAnsi="仿宋_GB2312" w:eastAsia="仿宋_GB2312" w:cs="仿宋_GB2312"/>
          <w:sz w:val="32"/>
          <w:szCs w:val="32"/>
          <w:lang w:val="en-US" w:eastAsia="zh-CN"/>
        </w:rPr>
        <w:t>防汛抗旱，</w:t>
      </w:r>
      <w:r>
        <w:rPr>
          <w:rFonts w:hint="eastAsia" w:ascii="仿宋_GB2312" w:hAnsi="仿宋_GB2312" w:eastAsia="仿宋_GB2312" w:cs="仿宋_GB2312"/>
          <w:sz w:val="32"/>
          <w:szCs w:val="32"/>
        </w:rPr>
        <w:t>夯实24小时值守制度，配合开展应急避险演练，全年安排值守411人次，抽查190次。落实森防责任，累计开展森防工作指导23次，发放整改通知书、提醒敦促函20份。</w:t>
      </w:r>
    </w:p>
    <w:p>
      <w:pPr>
        <w:pStyle w:val="6"/>
        <w:pageBreakBefore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牵头完成上级反馈政务公开存在问题整改反馈，政府网站和政务新媒体主动公开政府信息28700余条，牵头整改省、市反馈错别字、错链等</w:t>
      </w:r>
      <w:r>
        <w:rPr>
          <w:rFonts w:hint="eastAsia" w:ascii="仿宋_GB2312" w:hAnsi="仿宋_GB2312" w:eastAsia="仿宋_GB2312" w:cs="仿宋_GB2312"/>
          <w:sz w:val="32"/>
          <w:szCs w:val="32"/>
          <w:lang w:val="en" w:eastAsia="zh-CN"/>
        </w:rPr>
        <w:t>2000</w:t>
      </w:r>
      <w:r>
        <w:rPr>
          <w:rFonts w:hint="eastAsia" w:ascii="仿宋_GB2312" w:hAnsi="仿宋_GB2312" w:eastAsia="仿宋_GB2312" w:cs="仿宋_GB2312"/>
          <w:sz w:val="32"/>
          <w:szCs w:val="32"/>
          <w:lang w:val="en-US" w:eastAsia="zh-CN"/>
        </w:rPr>
        <w:t>余个，指导、协调、监督全区政府系统政府网站和政务新媒体建设和问题整改4</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0余次。牵头开展“走好网上群众路线，为民服务办实事”“政务新媒体突出问题排查整治”等工作。</w:t>
      </w:r>
    </w:p>
    <w:p>
      <w:pPr>
        <w:pStyle w:val="6"/>
        <w:pageBreakBefore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紧紧围绕区委、区政府中心工作，对区政府领导交办事项的落实推进情况进行常态化、台账式督查。</w:t>
      </w:r>
      <w:r>
        <w:rPr>
          <w:rFonts w:hint="eastAsia" w:ascii="仿宋_GB2312" w:hAnsi="仿宋_GB2312" w:eastAsia="仿宋_GB2312" w:cs="仿宋_GB2312"/>
          <w:sz w:val="32"/>
          <w:szCs w:val="32"/>
        </w:rPr>
        <w:t>制发《区政府督查清单》</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期，督办事项</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项，已办结</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区政府重要文件、会议、决定和重大工作部署进行任务分解细化，组建督查台账，准确掌握全区重点工作安排。分解《政府工作报告》共92项，制定《区政府常务会议督查清单》8期共88项；分解区政府每月重点工作安排，制定《区政府重点工作督查清单》5期共88项。2021年，共收到区人大代表建议65件、政协提案78件，市人大代表建议8件、政协提案11件，区政府办公室按照全区各部门（单位）职能职责，将案件分派至各相关单位予以办理。市区的人大代表建议、政协提案已全部办结并回复，满意率100%。</w:t>
      </w:r>
    </w:p>
    <w:p>
      <w:pPr>
        <w:pStyle w:val="6"/>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出版发行《攀枝花市西区年鉴（20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）》《攀枝花市西区执政实录（20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）》。区地方志</w:t>
      </w:r>
      <w:r>
        <w:rPr>
          <w:rFonts w:hint="eastAsia" w:ascii="仿宋_GB2312" w:hAnsi="仿宋_GB2312" w:eastAsia="仿宋_GB2312" w:cs="仿宋_GB2312"/>
          <w:sz w:val="32"/>
          <w:szCs w:val="32"/>
          <w:lang w:eastAsia="zh-CN"/>
        </w:rPr>
        <w:t>编纂中心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（区委党史研究室）采用志书交换等方式，收集全国各种地方志、年鉴、文史资料及其他与地方志有关的书籍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做好珍稀文献收集、整理与口述史采集、图片归档工作。</w:t>
      </w:r>
    </w:p>
    <w:p>
      <w:pPr>
        <w:keepNext/>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Style w:val="28"/>
          <w:rFonts w:hint="eastAsia" w:ascii="黑体" w:hAnsi="黑体" w:eastAsia="黑体" w:cs="黑体"/>
          <w:b w:val="0"/>
          <w:bCs w:val="0"/>
          <w:sz w:val="32"/>
          <w:szCs w:val="32"/>
        </w:rPr>
      </w:pPr>
      <w:bookmarkStart w:id="20" w:name="_Toc15396601"/>
      <w:bookmarkStart w:id="21" w:name="_Toc15377200"/>
      <w:r>
        <w:rPr>
          <w:rFonts w:hint="eastAsia" w:ascii="黑体" w:hAnsi="黑体" w:eastAsia="黑体" w:cs="黑体"/>
          <w:b w:val="0"/>
          <w:sz w:val="32"/>
          <w:szCs w:val="32"/>
        </w:rPr>
        <w:t>二、机</w:t>
      </w:r>
      <w:r>
        <w:rPr>
          <w:rStyle w:val="28"/>
          <w:rFonts w:hint="eastAsia" w:ascii="黑体" w:hAnsi="黑体" w:eastAsia="黑体" w:cs="黑体"/>
          <w:b w:val="0"/>
          <w:bCs w:val="0"/>
          <w:sz w:val="32"/>
          <w:szCs w:val="32"/>
        </w:rPr>
        <w:t>构设置</w:t>
      </w:r>
      <w:bookmarkEnd w:id="20"/>
      <w:bookmarkEnd w:id="21"/>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内设机构6个（秘书股、机要股、综合股、督查股、信息股、机关事务股）。共设编制14个，其中，区领导编制6个，公务员编制8个，20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年年末实有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人，其中区领导</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名，公务员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名，工勤人员2名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名退休人员。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区地方志编纂中心有</w:t>
      </w:r>
      <w:r>
        <w:rPr>
          <w:rFonts w:hint="eastAsia" w:ascii="仿宋_GB2312" w:hAnsi="仿宋_GB2312" w:eastAsia="仿宋_GB2312" w:cs="仿宋_GB2312"/>
          <w:sz w:val="32"/>
          <w:szCs w:val="32"/>
        </w:rPr>
        <w:t>参公编制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2021年末实有7人。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区政策研究中心有</w:t>
      </w:r>
      <w:r>
        <w:rPr>
          <w:rFonts w:hint="eastAsia" w:ascii="仿宋_GB2312" w:hAnsi="仿宋_GB2312" w:eastAsia="仿宋_GB2312" w:cs="仿宋_GB2312"/>
          <w:sz w:val="32"/>
          <w:szCs w:val="32"/>
        </w:rPr>
        <w:t>事业编制17名。20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年末实有事业人员1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pageBreakBefore w:val="0"/>
        <w:widowControl/>
        <w:kinsoku/>
        <w:wordWrap/>
        <w:overflowPunct/>
        <w:topLinePunct w:val="0"/>
        <w:autoSpaceDE/>
        <w:autoSpaceDN/>
        <w:bidi w:val="0"/>
        <w:spacing w:line="600" w:lineRule="exact"/>
        <w:jc w:val="left"/>
        <w:textAlignment w:val="auto"/>
        <w:rPr>
          <w:rFonts w:ascii="仿宋" w:hAnsi="仿宋" w:eastAsia="仿宋"/>
          <w:kern w:val="0"/>
          <w:sz w:val="32"/>
          <w:szCs w:val="32"/>
        </w:rPr>
      </w:pPr>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bookmarkStart w:id="22" w:name="_Toc15396602"/>
      <w:bookmarkStart w:id="23" w:name="_Toc15377204"/>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p>
    <w:p>
      <w:pPr>
        <w:pStyle w:val="3"/>
        <w:pageBreakBefore w:val="0"/>
        <w:kinsoku/>
        <w:wordWrap/>
        <w:overflowPunct/>
        <w:topLinePunct w:val="0"/>
        <w:bidi w:val="0"/>
        <w:spacing w:line="600" w:lineRule="exact"/>
        <w:ind w:right="440"/>
        <w:jc w:val="center"/>
        <w:textAlignment w:val="auto"/>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rPr>
          <w:rFonts w:hint="eastAsia"/>
        </w:rPr>
      </w:pPr>
    </w:p>
    <w:p>
      <w:pPr>
        <w:pStyle w:val="2"/>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rPr>
          <w:rFonts w:hint="eastAsia"/>
        </w:rPr>
      </w:pPr>
    </w:p>
    <w:p>
      <w:pPr>
        <w:pStyle w:val="3"/>
        <w:pageBreakBefore w:val="0"/>
        <w:kinsoku/>
        <w:wordWrap/>
        <w:overflowPunct/>
        <w:topLinePunct w:val="0"/>
        <w:bidi w:val="0"/>
        <w:spacing w:line="600" w:lineRule="exact"/>
        <w:ind w:right="440"/>
        <w:jc w:val="center"/>
        <w:textAlignment w:val="auto"/>
      </w:pPr>
      <w:r>
        <w:rPr>
          <w:rFonts w:hint="eastAsia" w:ascii="黑体" w:hAnsi="黑体" w:eastAsia="黑体"/>
          <w:b w:val="0"/>
          <w:lang w:val="en-US" w:eastAsia="zh-CN"/>
        </w:rPr>
        <w:t xml:space="preserve">  </w:t>
      </w:r>
      <w:r>
        <w:rPr>
          <w:rFonts w:hint="eastAsia" w:ascii="黑体" w:hAnsi="黑体" w:eastAsia="黑体"/>
          <w:b w:val="0"/>
        </w:rPr>
        <w:t>第二部分 2021年度</w:t>
      </w:r>
      <w:r>
        <w:rPr>
          <w:rStyle w:val="27"/>
          <w:rFonts w:hint="eastAsia" w:ascii="黑体" w:hAnsi="黑体" w:eastAsia="黑体"/>
          <w:b w:val="0"/>
          <w:bCs/>
        </w:rPr>
        <w:t>部门决算情况说明</w:t>
      </w:r>
      <w:bookmarkEnd w:id="22"/>
      <w:bookmarkEnd w:id="23"/>
    </w:p>
    <w:p>
      <w:pPr>
        <w:pStyle w:val="26"/>
        <w:pageBreakBefore w:val="0"/>
        <w:numPr>
          <w:ilvl w:val="0"/>
          <w:numId w:val="1"/>
        </w:numPr>
        <w:kinsoku/>
        <w:wordWrap/>
        <w:overflowPunct/>
        <w:topLinePunct w:val="0"/>
        <w:bidi w:val="0"/>
        <w:spacing w:line="600" w:lineRule="exact"/>
        <w:ind w:firstLineChars="0"/>
        <w:textAlignment w:val="auto"/>
        <w:outlineLvl w:val="1"/>
        <w:rPr>
          <w:rStyle w:val="28"/>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2021年度收、支总计</w:t>
      </w:r>
      <w:r>
        <w:rPr>
          <w:rFonts w:hint="eastAsia" w:ascii="仿宋_GB2312" w:hAnsi="仿宋_GB2312" w:eastAsia="仿宋_GB2312" w:cs="仿宋_GB2312"/>
          <w:sz w:val="32"/>
          <w:szCs w:val="32"/>
          <w:lang w:val="en-US" w:eastAsia="zh-CN"/>
        </w:rPr>
        <w:t>874.63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与2020年相比，收、支总计各减少</w:t>
      </w:r>
      <w:r>
        <w:rPr>
          <w:rFonts w:hint="eastAsia" w:ascii="仿宋_GB2312" w:hAnsi="仿宋_GB2312" w:eastAsia="仿宋_GB2312" w:cs="仿宋_GB2312"/>
          <w:sz w:val="32"/>
          <w:szCs w:val="32"/>
          <w:lang w:val="en-US" w:eastAsia="zh-CN"/>
        </w:rPr>
        <w:t>19.37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530860</wp:posOffset>
            </wp:positionH>
            <wp:positionV relativeFrom="paragraph">
              <wp:posOffset>175895</wp:posOffset>
            </wp:positionV>
            <wp:extent cx="3002280" cy="1912620"/>
            <wp:effectExtent l="4445" t="4445" r="22225" b="698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Style w:val="26"/>
        <w:pageBreakBefore w:val="0"/>
        <w:numPr>
          <w:ilvl w:val="0"/>
          <w:numId w:val="1"/>
        </w:numPr>
        <w:kinsoku/>
        <w:wordWrap/>
        <w:overflowPunct/>
        <w:topLinePunct w:val="0"/>
        <w:bidi w:val="0"/>
        <w:spacing w:line="600" w:lineRule="exact"/>
        <w:ind w:firstLineChars="0"/>
        <w:textAlignment w:val="auto"/>
        <w:outlineLvl w:val="1"/>
        <w:rPr>
          <w:rStyle w:val="28"/>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8"/>
          <w:rFonts w:hint="eastAsia" w:ascii="黑体" w:hAnsi="黑体" w:eastAsia="黑体"/>
          <w:b w:val="0"/>
        </w:rPr>
        <w:t>入决算情况说明</w:t>
      </w:r>
      <w:bookmarkEnd w:id="26"/>
      <w:bookmarkEnd w:id="27"/>
    </w:p>
    <w:p>
      <w:pPr>
        <w:pageBreakBefore w:val="0"/>
        <w:kinsoku/>
        <w:wordWrap/>
        <w:overflowPunct/>
        <w:topLinePunct w:val="0"/>
        <w:bidi w:val="0"/>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2021年本年收入合计</w:t>
      </w:r>
      <w:r>
        <w:rPr>
          <w:rFonts w:hint="eastAsia" w:ascii="仿宋_GB2312" w:hAnsi="仿宋_GB2312" w:eastAsia="仿宋_GB2312" w:cs="仿宋_GB2312"/>
          <w:sz w:val="32"/>
          <w:szCs w:val="32"/>
          <w:lang w:val="en-US" w:eastAsia="zh-CN"/>
        </w:rPr>
        <w:t>830.63</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88.96</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91.5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firstLineChars="200"/>
        <w:textAlignment w:val="auto"/>
        <w:outlineLvl w:val="1"/>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467360</wp:posOffset>
            </wp:positionH>
            <wp:positionV relativeFrom="paragraph">
              <wp:posOffset>43180</wp:posOffset>
            </wp:positionV>
            <wp:extent cx="3207385" cy="1820545"/>
            <wp:effectExtent l="4445" t="4445" r="7620" b="228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Style w:val="26"/>
        <w:pageBreakBefore w:val="0"/>
        <w:numPr>
          <w:ilvl w:val="0"/>
          <w:numId w:val="1"/>
        </w:numPr>
        <w:kinsoku/>
        <w:wordWrap/>
        <w:overflowPunct/>
        <w:topLinePunct w:val="0"/>
        <w:bidi w:val="0"/>
        <w:spacing w:line="600" w:lineRule="exact"/>
        <w:ind w:firstLineChars="0"/>
        <w:textAlignment w:val="auto"/>
        <w:outlineLvl w:val="1"/>
        <w:rPr>
          <w:rStyle w:val="28"/>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p>
    <w:p>
      <w:pPr>
        <w:pageBreakBefore w:val="0"/>
        <w:kinsoku/>
        <w:wordWrap/>
        <w:overflowPunct/>
        <w:topLinePunct w:val="0"/>
        <w:bidi w:val="0"/>
        <w:spacing w:line="60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2021年本年支出合计</w:t>
      </w:r>
      <w:r>
        <w:rPr>
          <w:rFonts w:hint="eastAsia" w:ascii="仿宋_GB2312" w:hAnsi="仿宋_GB2312" w:eastAsia="仿宋_GB2312" w:cs="仿宋_GB2312"/>
          <w:sz w:val="32"/>
          <w:szCs w:val="32"/>
          <w:lang w:val="en-US" w:eastAsia="zh-CN"/>
        </w:rPr>
        <w:t>874.5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782.99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89.54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10.46</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textAlignment w:val="auto"/>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593725</wp:posOffset>
            </wp:positionH>
            <wp:positionV relativeFrom="paragraph">
              <wp:posOffset>115570</wp:posOffset>
            </wp:positionV>
            <wp:extent cx="3246755" cy="2111375"/>
            <wp:effectExtent l="5080" t="4445" r="5715" b="177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图3：支出决算结构图（</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firstLineChars="200"/>
        <w:textAlignment w:val="auto"/>
        <w:outlineLvl w:val="1"/>
        <w:rPr>
          <w:rStyle w:val="28"/>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2021年财政拨款收、支总计</w:t>
      </w:r>
      <w:r>
        <w:rPr>
          <w:rFonts w:hint="eastAsia" w:ascii="仿宋_GB2312" w:hAnsi="仿宋_GB2312" w:eastAsia="仿宋_GB2312" w:cs="仿宋_GB2312"/>
          <w:sz w:val="32"/>
          <w:szCs w:val="32"/>
          <w:lang w:val="en-US" w:eastAsia="zh-CN"/>
        </w:rPr>
        <w:t>874.5</w:t>
      </w:r>
      <w:r>
        <w:rPr>
          <w:rFonts w:hint="eastAsia" w:ascii="仿宋_GB2312" w:hAnsi="仿宋_GB2312" w:eastAsia="仿宋_GB2312" w:cs="仿宋_GB2312"/>
          <w:sz w:val="32"/>
          <w:szCs w:val="32"/>
        </w:rPr>
        <w:t>万元。与2020年相比，财政拨款收、支总计各减少</w:t>
      </w:r>
      <w:r>
        <w:rPr>
          <w:rFonts w:hint="eastAsia" w:ascii="仿宋_GB2312" w:hAnsi="仿宋_GB2312" w:eastAsia="仿宋_GB2312" w:cs="仿宋_GB2312"/>
          <w:sz w:val="32"/>
          <w:szCs w:val="32"/>
          <w:lang w:val="en-US" w:eastAsia="zh-CN"/>
        </w:rPr>
        <w:t>18.66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textAlignment w:val="auto"/>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338455</wp:posOffset>
            </wp:positionH>
            <wp:positionV relativeFrom="paragraph">
              <wp:posOffset>42545</wp:posOffset>
            </wp:positionV>
            <wp:extent cx="3317875" cy="2397125"/>
            <wp:effectExtent l="4445" t="4445" r="11430" b="177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00" w:lineRule="exact"/>
        <w:textAlignment w:val="auto"/>
        <w:rPr>
          <w:rFonts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图4：财政拨款收、支决算总计变动情况（</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firstLineChars="200"/>
        <w:textAlignment w:val="auto"/>
        <w:outlineLvl w:val="1"/>
        <w:rPr>
          <w:rStyle w:val="28"/>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sz w:val="32"/>
          <w:szCs w:val="32"/>
          <w:lang w:eastAsia="zh-CN"/>
        </w:rPr>
      </w:pPr>
      <w:bookmarkStart w:id="34" w:name="_Toc15377210"/>
      <w:r>
        <w:rPr>
          <w:rFonts w:hint="eastAsia" w:ascii="仿宋_GB2312" w:hAnsi="仿宋_GB2312" w:eastAsia="仿宋_GB2312" w:cs="仿宋_GB2312"/>
          <w:b/>
          <w:sz w:val="32"/>
          <w:szCs w:val="32"/>
        </w:rPr>
        <w:t>（一）一般公共预算财政拨款支出决算总体情况</w:t>
      </w:r>
      <w:bookmarkEnd w:id="34"/>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2021年一般公共预算财政拨款支出</w:t>
      </w:r>
      <w:r>
        <w:rPr>
          <w:rFonts w:hint="eastAsia" w:ascii="仿宋_GB2312" w:hAnsi="仿宋_GB2312" w:eastAsia="仿宋_GB2312" w:cs="仿宋_GB2312"/>
          <w:sz w:val="32"/>
          <w:szCs w:val="32"/>
          <w:lang w:val="en-US" w:eastAsia="zh-CN"/>
        </w:rPr>
        <w:t>783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89.54</w:t>
      </w:r>
      <w:r>
        <w:rPr>
          <w:rFonts w:hint="eastAsia" w:ascii="仿宋_GB2312" w:hAnsi="仿宋_GB2312" w:eastAsia="仿宋_GB2312" w:cs="仿宋_GB2312"/>
          <w:sz w:val="32"/>
          <w:szCs w:val="32"/>
        </w:rPr>
        <w:t>%。与2020年相比，一般公共预算财政拨款支出减少</w:t>
      </w:r>
      <w:r>
        <w:rPr>
          <w:rFonts w:hint="eastAsia" w:ascii="仿宋_GB2312" w:hAnsi="仿宋_GB2312" w:eastAsia="仿宋_GB2312" w:cs="仿宋_GB2312"/>
          <w:sz w:val="32"/>
          <w:szCs w:val="32"/>
          <w:lang w:val="en-US" w:eastAsia="zh-CN"/>
        </w:rPr>
        <w:t>14.02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308610</wp:posOffset>
            </wp:positionH>
            <wp:positionV relativeFrom="paragraph">
              <wp:posOffset>80010</wp:posOffset>
            </wp:positionV>
            <wp:extent cx="3627120" cy="2191385"/>
            <wp:effectExtent l="4445" t="5080" r="698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sz w:val="32"/>
          <w:szCs w:val="32"/>
          <w:lang w:eastAsia="zh-CN"/>
        </w:rPr>
      </w:pPr>
      <w:bookmarkStart w:id="35" w:name="_Toc15377211"/>
      <w:r>
        <w:rPr>
          <w:rFonts w:hint="eastAsia" w:ascii="仿宋_GB2312" w:hAnsi="仿宋_GB2312" w:eastAsia="仿宋_GB2312" w:cs="仿宋_GB2312"/>
          <w:b/>
          <w:sz w:val="32"/>
          <w:szCs w:val="32"/>
        </w:rPr>
        <w:t>（二）一般公共预算财政拨款支出决算结构情况</w:t>
      </w:r>
      <w:bookmarkEnd w:id="35"/>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2021年一般公共预算财政拨款支出</w:t>
      </w:r>
      <w:r>
        <w:rPr>
          <w:rFonts w:hint="eastAsia" w:ascii="仿宋_GB2312" w:hAnsi="仿宋_GB2312" w:eastAsia="仿宋_GB2312" w:cs="仿宋_GB2312"/>
          <w:sz w:val="32"/>
          <w:szCs w:val="32"/>
          <w:lang w:val="en-US" w:eastAsia="zh-CN"/>
        </w:rPr>
        <w:t>783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val="0"/>
          <w:bCs/>
          <w:sz w:val="32"/>
          <w:szCs w:val="32"/>
        </w:rPr>
        <w:t>一般公共服务</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78.42</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rPr>
        <w:t>社会保障和就业支出</w:t>
      </w:r>
      <w:r>
        <w:rPr>
          <w:rFonts w:hint="eastAsia" w:ascii="仿宋_GB2312" w:hAnsi="仿宋_GB2312" w:eastAsia="仿宋_GB2312" w:cs="仿宋_GB2312"/>
          <w:b w:val="0"/>
          <w:bCs/>
          <w:sz w:val="32"/>
          <w:szCs w:val="32"/>
          <w:lang w:val="en-US" w:eastAsia="zh-CN"/>
        </w:rPr>
        <w:t>59.77</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7.63</w:t>
      </w:r>
      <w:r>
        <w:rPr>
          <w:rFonts w:hint="eastAsia" w:ascii="仿宋_GB2312" w:hAnsi="仿宋_GB2312" w:eastAsia="仿宋_GB2312" w:cs="仿宋_GB2312"/>
          <w:b w:val="0"/>
          <w:bCs/>
          <w:sz w:val="32"/>
          <w:szCs w:val="32"/>
        </w:rPr>
        <w:t>%；卫生健康支出</w:t>
      </w:r>
      <w:r>
        <w:rPr>
          <w:rFonts w:hint="eastAsia" w:ascii="仿宋_GB2312" w:hAnsi="仿宋_GB2312" w:eastAsia="仿宋_GB2312" w:cs="仿宋_GB2312"/>
          <w:b w:val="0"/>
          <w:bCs/>
          <w:sz w:val="32"/>
          <w:szCs w:val="32"/>
          <w:lang w:val="en-US" w:eastAsia="zh-CN"/>
        </w:rPr>
        <w:t>43.</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5.62</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65.23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458470</wp:posOffset>
            </wp:positionH>
            <wp:positionV relativeFrom="paragraph">
              <wp:posOffset>139065</wp:posOffset>
            </wp:positionV>
            <wp:extent cx="3731260" cy="2414270"/>
            <wp:effectExtent l="4445" t="5080" r="17145" b="1905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b/>
          <w:sz w:val="32"/>
          <w:szCs w:val="32"/>
          <w:lang w:eastAsia="zh-CN"/>
        </w:rPr>
      </w:pPr>
      <w:bookmarkStart w:id="36" w:name="_Toc15377212"/>
      <w:r>
        <w:rPr>
          <w:rFonts w:hint="eastAsia" w:ascii="仿宋_GB2312" w:hAnsi="仿宋_GB2312" w:eastAsia="仿宋_GB2312" w:cs="仿宋_GB2312"/>
          <w:b/>
          <w:sz w:val="32"/>
          <w:szCs w:val="32"/>
        </w:rPr>
        <w:t>（三）一般公共预算财政拨款支出决算具体情况</w:t>
      </w:r>
      <w:bookmarkEnd w:id="36"/>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firstLineChars="200"/>
        <w:textAlignment w:val="auto"/>
        <w:outlineLvl w:val="2"/>
        <w:rPr>
          <w:rFonts w:hint="eastAsia" w:ascii="仿宋_GB2312" w:hAnsi="仿宋_GB2312" w:eastAsia="仿宋_GB2312" w:cs="仿宋_GB2312"/>
          <w:b w:val="0"/>
          <w:bCs/>
          <w:sz w:val="32"/>
          <w:szCs w:val="32"/>
        </w:rPr>
      </w:pPr>
      <w:bookmarkStart w:id="37" w:name="_Toc15377444"/>
      <w:bookmarkStart w:id="38" w:name="_Toc15377213"/>
      <w:bookmarkStart w:id="39" w:name="_Toc15378460"/>
      <w:r>
        <w:rPr>
          <w:rFonts w:hint="eastAsia" w:ascii="仿宋_GB2312" w:hAnsi="仿宋_GB2312" w:eastAsia="仿宋_GB2312" w:cs="仿宋_GB2312"/>
          <w:b w:val="0"/>
          <w:bCs/>
          <w:sz w:val="32"/>
          <w:szCs w:val="32"/>
        </w:rPr>
        <w:t>2021年一般公共预算支出决算数为</w:t>
      </w:r>
      <w:r>
        <w:rPr>
          <w:rFonts w:hint="eastAsia" w:ascii="仿宋_GB2312" w:hAnsi="仿宋_GB2312" w:eastAsia="仿宋_GB2312" w:cs="仿宋_GB2312"/>
          <w:b w:val="0"/>
          <w:bCs/>
          <w:sz w:val="32"/>
          <w:szCs w:val="32"/>
          <w:lang w:val="en-US" w:eastAsia="zh-CN"/>
        </w:rPr>
        <w:t>783万元</w:t>
      </w:r>
      <w:r>
        <w:rPr>
          <w:rFonts w:hint="eastAsia" w:ascii="仿宋_GB2312" w:hAnsi="仿宋_GB2312" w:eastAsia="仿宋_GB2312" w:cs="仿宋_GB2312"/>
          <w:b w:val="0"/>
          <w:bCs/>
          <w:sz w:val="32"/>
          <w:szCs w:val="32"/>
        </w:rPr>
        <w:t>，</w:t>
      </w:r>
      <w:r>
        <w:rPr>
          <w:rStyle w:val="17"/>
          <w:rFonts w:hint="eastAsia" w:ascii="仿宋_GB2312" w:hAnsi="仿宋_GB2312" w:eastAsia="仿宋_GB2312" w:cs="仿宋_GB2312"/>
          <w:b w:val="0"/>
          <w:bCs/>
          <w:sz w:val="32"/>
          <w:szCs w:val="32"/>
        </w:rPr>
        <w:t>完成预算</w:t>
      </w:r>
      <w:r>
        <w:rPr>
          <w:rStyle w:val="17"/>
          <w:rFonts w:hint="eastAsia" w:ascii="仿宋_GB2312" w:hAnsi="仿宋_GB2312" w:eastAsia="仿宋_GB2312" w:cs="仿宋_GB2312"/>
          <w:b w:val="0"/>
          <w:bCs/>
          <w:sz w:val="32"/>
          <w:szCs w:val="32"/>
          <w:lang w:val="en-US" w:eastAsia="zh-CN"/>
        </w:rPr>
        <w:t>100</w:t>
      </w:r>
      <w:r>
        <w:rPr>
          <w:rStyle w:val="17"/>
          <w:rFonts w:hint="eastAsia" w:ascii="仿宋_GB2312" w:hAnsi="仿宋_GB2312" w:eastAsia="仿宋_GB2312" w:cs="仿宋_GB2312"/>
          <w:b w:val="0"/>
          <w:bCs/>
          <w:sz w:val="32"/>
          <w:szCs w:val="32"/>
        </w:rPr>
        <w:t>%。其中：</w:t>
      </w:r>
      <w:bookmarkEnd w:id="37"/>
      <w:bookmarkEnd w:id="38"/>
      <w:bookmarkEnd w:id="39"/>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color w:val="000000"/>
          <w:sz w:val="32"/>
          <w:szCs w:val="32"/>
        </w:rPr>
      </w:pPr>
      <w:r>
        <w:rPr>
          <w:rStyle w:val="17"/>
          <w:rFonts w:hint="eastAsia" w:ascii="仿宋_GB2312" w:hAnsi="仿宋_GB2312" w:eastAsia="仿宋_GB2312" w:cs="仿宋_GB2312"/>
          <w:b w:val="0"/>
          <w:bCs/>
          <w:color w:val="000000"/>
          <w:sz w:val="32"/>
          <w:szCs w:val="32"/>
        </w:rPr>
        <w:t>1.一般公共服务（</w:t>
      </w:r>
      <w:r>
        <w:rPr>
          <w:rStyle w:val="17"/>
          <w:rFonts w:hint="eastAsia" w:ascii="仿宋_GB2312" w:hAnsi="仿宋_GB2312" w:eastAsia="仿宋_GB2312" w:cs="仿宋_GB2312"/>
          <w:b w:val="0"/>
          <w:bCs/>
          <w:color w:val="000000"/>
          <w:sz w:val="32"/>
          <w:szCs w:val="32"/>
          <w:lang w:val="en-US" w:eastAsia="zh-CN"/>
        </w:rPr>
        <w:t>201</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eastAsia="zh-CN"/>
        </w:rPr>
        <w:t>政府办公厅（室）及相关机构事务</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03</w:t>
      </w:r>
      <w:r>
        <w:rPr>
          <w:rStyle w:val="17"/>
          <w:rFonts w:hint="eastAsia" w:ascii="仿宋_GB2312" w:hAnsi="仿宋_GB2312" w:eastAsia="仿宋_GB2312" w:cs="仿宋_GB2312"/>
          <w:b w:val="0"/>
          <w:bCs/>
          <w:color w:val="000000"/>
          <w:sz w:val="32"/>
          <w:szCs w:val="32"/>
        </w:rPr>
        <w:t xml:space="preserve">）: </w:t>
      </w:r>
      <w:r>
        <w:rPr>
          <w:rStyle w:val="17"/>
          <w:rFonts w:hint="eastAsia" w:ascii="仿宋_GB2312" w:hAnsi="仿宋_GB2312" w:eastAsia="仿宋_GB2312" w:cs="仿宋_GB2312"/>
          <w:b w:val="0"/>
          <w:bCs/>
          <w:color w:val="000000"/>
          <w:sz w:val="32"/>
          <w:szCs w:val="32"/>
          <w:lang w:eastAsia="zh-CN"/>
        </w:rPr>
        <w:t>行政运行</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01</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423.59</w:t>
      </w:r>
      <w:r>
        <w:rPr>
          <w:rStyle w:val="17"/>
          <w:rFonts w:hint="eastAsia" w:ascii="仿宋_GB2312" w:hAnsi="仿宋_GB2312" w:eastAsia="仿宋_GB2312" w:cs="仿宋_GB2312"/>
          <w:b w:val="0"/>
          <w:bCs/>
          <w:color w:val="000000"/>
          <w:sz w:val="32"/>
          <w:szCs w:val="32"/>
        </w:rPr>
        <w:t>万元，完成预算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eastAsia="zh-CN"/>
        </w:rPr>
        <w:t>；一般行政管理事务（</w:t>
      </w:r>
      <w:r>
        <w:rPr>
          <w:rStyle w:val="17"/>
          <w:rFonts w:hint="eastAsia" w:ascii="仿宋_GB2312" w:hAnsi="仿宋_GB2312" w:eastAsia="仿宋_GB2312" w:cs="仿宋_GB2312"/>
          <w:b w:val="0"/>
          <w:bCs/>
          <w:color w:val="000000"/>
          <w:sz w:val="32"/>
          <w:szCs w:val="32"/>
          <w:lang w:val="en-US" w:eastAsia="zh-CN"/>
        </w:rPr>
        <w:t>02</w:t>
      </w:r>
      <w:r>
        <w:rPr>
          <w:rStyle w:val="17"/>
          <w:rFonts w:hint="eastAsia" w:ascii="仿宋_GB2312" w:hAnsi="仿宋_GB2312" w:eastAsia="仿宋_GB2312" w:cs="仿宋_GB2312"/>
          <w:b w:val="0"/>
          <w:bCs/>
          <w:color w:val="000000"/>
          <w:sz w:val="32"/>
          <w:szCs w:val="32"/>
          <w:lang w:eastAsia="zh-CN"/>
        </w:rPr>
        <w:t>）支出决算为</w:t>
      </w:r>
      <w:r>
        <w:rPr>
          <w:rStyle w:val="17"/>
          <w:rFonts w:hint="eastAsia" w:ascii="仿宋_GB2312" w:hAnsi="仿宋_GB2312" w:eastAsia="仿宋_GB2312" w:cs="仿宋_GB2312"/>
          <w:b w:val="0"/>
          <w:bCs/>
          <w:color w:val="000000"/>
          <w:sz w:val="32"/>
          <w:szCs w:val="32"/>
          <w:lang w:val="en-US" w:eastAsia="zh-CN"/>
        </w:rPr>
        <w:t>44万元，完成预算100%；事业运行（50）支出决算为146.41万元，完成预算100%</w:t>
      </w:r>
      <w:r>
        <w:rPr>
          <w:rStyle w:val="17"/>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Style w:val="17"/>
          <w:rFonts w:hint="eastAsia" w:ascii="仿宋_GB2312" w:hAnsi="仿宋_GB2312" w:eastAsia="仿宋_GB2312" w:cs="仿宋_GB2312"/>
          <w:b w:val="0"/>
          <w:bCs w:val="0"/>
          <w:color w:val="000000"/>
          <w:sz w:val="32"/>
          <w:szCs w:val="32"/>
          <w:lang w:val="en-US" w:eastAsia="zh-CN"/>
        </w:rPr>
        <w:t>2</w:t>
      </w:r>
      <w:r>
        <w:rPr>
          <w:rStyle w:val="17"/>
          <w:rFonts w:hint="eastAsia" w:ascii="仿宋_GB2312" w:hAnsi="仿宋_GB2312" w:eastAsia="仿宋_GB2312" w:cs="仿宋_GB2312"/>
          <w:b w:val="0"/>
          <w:bCs w:val="0"/>
          <w:color w:val="000000"/>
          <w:sz w:val="32"/>
          <w:szCs w:val="32"/>
        </w:rPr>
        <w:t>.社会保障和就业（</w:t>
      </w:r>
      <w:r>
        <w:rPr>
          <w:rStyle w:val="17"/>
          <w:rFonts w:hint="eastAsia" w:ascii="仿宋_GB2312" w:hAnsi="仿宋_GB2312" w:eastAsia="仿宋_GB2312" w:cs="仿宋_GB2312"/>
          <w:b w:val="0"/>
          <w:bCs w:val="0"/>
          <w:color w:val="000000"/>
          <w:sz w:val="32"/>
          <w:szCs w:val="32"/>
          <w:lang w:val="en-US" w:eastAsia="zh-CN"/>
        </w:rPr>
        <w:t>208</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eastAsia="zh-CN"/>
        </w:rPr>
        <w:t>行政事业单位养老支出</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val="en-US" w:eastAsia="zh-CN"/>
        </w:rPr>
        <w:t>05</w:t>
      </w:r>
      <w:r>
        <w:rPr>
          <w:rStyle w:val="17"/>
          <w:rFonts w:hint="eastAsia" w:ascii="仿宋_GB2312" w:hAnsi="仿宋_GB2312" w:eastAsia="仿宋_GB2312" w:cs="仿宋_GB2312"/>
          <w:b w:val="0"/>
          <w:bCs w:val="0"/>
          <w:color w:val="000000"/>
          <w:sz w:val="32"/>
          <w:szCs w:val="32"/>
        </w:rPr>
        <w:t>）: 支</w:t>
      </w:r>
      <w:r>
        <w:rPr>
          <w:rStyle w:val="17"/>
          <w:rFonts w:hint="eastAsia" w:ascii="仿宋_GB2312" w:hAnsi="仿宋_GB2312" w:eastAsia="仿宋_GB2312" w:cs="仿宋_GB2312"/>
          <w:b w:val="0"/>
          <w:bCs w:val="0"/>
          <w:color w:val="000000"/>
          <w:sz w:val="32"/>
          <w:szCs w:val="32"/>
          <w:lang w:eastAsia="zh-CN"/>
        </w:rPr>
        <w:t>行政单位离退休（</w:t>
      </w:r>
      <w:r>
        <w:rPr>
          <w:rStyle w:val="17"/>
          <w:rFonts w:hint="eastAsia" w:ascii="仿宋_GB2312" w:hAnsi="仿宋_GB2312" w:eastAsia="仿宋_GB2312" w:cs="仿宋_GB2312"/>
          <w:b w:val="0"/>
          <w:bCs w:val="0"/>
          <w:color w:val="000000"/>
          <w:sz w:val="32"/>
          <w:szCs w:val="32"/>
          <w:lang w:val="en-US" w:eastAsia="zh-CN"/>
        </w:rPr>
        <w:t>01</w:t>
      </w:r>
      <w:r>
        <w:rPr>
          <w:rStyle w:val="17"/>
          <w:rFonts w:hint="eastAsia" w:ascii="仿宋_GB2312" w:hAnsi="仿宋_GB2312" w:eastAsia="仿宋_GB2312" w:cs="仿宋_GB2312"/>
          <w:b w:val="0"/>
          <w:bCs w:val="0"/>
          <w:color w:val="000000"/>
          <w:sz w:val="32"/>
          <w:szCs w:val="32"/>
          <w:lang w:eastAsia="zh-CN"/>
        </w:rPr>
        <w:t>）</w:t>
      </w:r>
      <w:r>
        <w:rPr>
          <w:rStyle w:val="17"/>
          <w:rFonts w:hint="eastAsia" w:ascii="仿宋_GB2312" w:hAnsi="仿宋_GB2312" w:eastAsia="仿宋_GB2312" w:cs="仿宋_GB2312"/>
          <w:b w:val="0"/>
          <w:bCs w:val="0"/>
          <w:color w:val="000000"/>
          <w:sz w:val="32"/>
          <w:szCs w:val="32"/>
        </w:rPr>
        <w:t>出决算为</w:t>
      </w:r>
      <w:r>
        <w:rPr>
          <w:rStyle w:val="17"/>
          <w:rFonts w:hint="eastAsia" w:ascii="仿宋_GB2312" w:hAnsi="仿宋_GB2312" w:eastAsia="仿宋_GB2312" w:cs="仿宋_GB2312"/>
          <w:b w:val="0"/>
          <w:bCs w:val="0"/>
          <w:color w:val="000000"/>
          <w:sz w:val="32"/>
          <w:szCs w:val="32"/>
          <w:lang w:val="en-US" w:eastAsia="zh-CN"/>
        </w:rPr>
        <w:t>13.1</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val="0"/>
          <w:bCs w:val="0"/>
          <w:color w:val="000000"/>
          <w:sz w:val="32"/>
          <w:szCs w:val="32"/>
          <w:lang w:val="en-US" w:eastAsia="zh-CN"/>
        </w:rPr>
        <w:t>100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eastAsia="zh-CN"/>
        </w:rPr>
        <w:t>；机关事业单位基本养老保险（</w:t>
      </w:r>
      <w:r>
        <w:rPr>
          <w:rStyle w:val="17"/>
          <w:rFonts w:hint="eastAsia" w:ascii="仿宋_GB2312" w:hAnsi="仿宋_GB2312" w:eastAsia="仿宋_GB2312" w:cs="仿宋_GB2312"/>
          <w:b w:val="0"/>
          <w:bCs w:val="0"/>
          <w:color w:val="000000"/>
          <w:sz w:val="32"/>
          <w:szCs w:val="32"/>
          <w:lang w:val="en-US" w:eastAsia="zh-CN"/>
        </w:rPr>
        <w:t>05</w:t>
      </w:r>
      <w:r>
        <w:rPr>
          <w:rStyle w:val="17"/>
          <w:rFonts w:hint="eastAsia" w:ascii="仿宋_GB2312" w:hAnsi="仿宋_GB2312" w:eastAsia="仿宋_GB2312" w:cs="仿宋_GB2312"/>
          <w:b w:val="0"/>
          <w:bCs w:val="0"/>
          <w:color w:val="000000"/>
          <w:sz w:val="32"/>
          <w:szCs w:val="32"/>
          <w:lang w:eastAsia="zh-CN"/>
        </w:rPr>
        <w:t>）支出决算为</w:t>
      </w:r>
      <w:r>
        <w:rPr>
          <w:rStyle w:val="17"/>
          <w:rFonts w:hint="eastAsia" w:ascii="仿宋_GB2312" w:hAnsi="仿宋_GB2312" w:eastAsia="仿宋_GB2312" w:cs="仿宋_GB2312"/>
          <w:b w:val="0"/>
          <w:bCs w:val="0"/>
          <w:color w:val="000000"/>
          <w:sz w:val="32"/>
          <w:szCs w:val="32"/>
          <w:lang w:val="en-US" w:eastAsia="zh-CN"/>
        </w:rPr>
        <w:t>46.68万元，完成预算100%。</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color w:val="000000"/>
          <w:sz w:val="32"/>
          <w:szCs w:val="32"/>
        </w:rPr>
      </w:pPr>
      <w:r>
        <w:rPr>
          <w:rStyle w:val="17"/>
          <w:rFonts w:hint="eastAsia" w:ascii="仿宋_GB2312" w:hAnsi="仿宋_GB2312" w:eastAsia="仿宋_GB2312" w:cs="仿宋_GB2312"/>
          <w:b w:val="0"/>
          <w:bCs w:val="0"/>
          <w:color w:val="000000"/>
          <w:sz w:val="32"/>
          <w:szCs w:val="32"/>
          <w:lang w:val="en-US" w:eastAsia="zh-CN"/>
        </w:rPr>
        <w:t>3</w:t>
      </w:r>
      <w:r>
        <w:rPr>
          <w:rStyle w:val="17"/>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卫生健康</w:t>
      </w:r>
      <w:r>
        <w:rPr>
          <w:rFonts w:hint="eastAsia" w:ascii="仿宋_GB2312" w:hAnsi="仿宋_GB2312" w:eastAsia="仿宋_GB2312" w:cs="仿宋_GB2312"/>
          <w:b w:val="0"/>
          <w:bCs w:val="0"/>
          <w:color w:val="000000"/>
          <w:sz w:val="32"/>
          <w:szCs w:val="32"/>
          <w:lang w:eastAsia="zh-CN"/>
        </w:rPr>
        <w:t>支出</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val="en-US" w:eastAsia="zh-CN"/>
        </w:rPr>
        <w:t>210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eastAsia="zh-CN"/>
        </w:rPr>
        <w:t>行政事业单位医疗</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val="en-US" w:eastAsia="zh-CN"/>
        </w:rPr>
        <w:t>11</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val="0"/>
          <w:bCs w:val="0"/>
          <w:color w:val="000000"/>
          <w:sz w:val="32"/>
          <w:szCs w:val="32"/>
          <w:lang w:eastAsia="zh-CN"/>
        </w:rPr>
        <w:t>行政单位医疗（</w:t>
      </w:r>
      <w:r>
        <w:rPr>
          <w:rStyle w:val="17"/>
          <w:rFonts w:hint="eastAsia" w:ascii="仿宋_GB2312" w:hAnsi="仿宋_GB2312" w:eastAsia="仿宋_GB2312" w:cs="仿宋_GB2312"/>
          <w:b w:val="0"/>
          <w:bCs w:val="0"/>
          <w:color w:val="000000"/>
          <w:sz w:val="32"/>
          <w:szCs w:val="32"/>
          <w:lang w:val="en-US" w:eastAsia="zh-CN"/>
        </w:rPr>
        <w:t>01</w:t>
      </w:r>
      <w:r>
        <w:rPr>
          <w:rStyle w:val="17"/>
          <w:rFonts w:hint="eastAsia" w:ascii="仿宋_GB2312" w:hAnsi="仿宋_GB2312" w:eastAsia="仿宋_GB2312" w:cs="仿宋_GB2312"/>
          <w:b w:val="0"/>
          <w:bCs w:val="0"/>
          <w:color w:val="000000"/>
          <w:sz w:val="32"/>
          <w:szCs w:val="32"/>
          <w:lang w:eastAsia="zh-CN"/>
        </w:rPr>
        <w:t>）</w:t>
      </w:r>
      <w:r>
        <w:rPr>
          <w:rStyle w:val="17"/>
          <w:rFonts w:hint="eastAsia" w:ascii="仿宋_GB2312" w:hAnsi="仿宋_GB2312" w:eastAsia="仿宋_GB2312" w:cs="仿宋_GB2312"/>
          <w:b w:val="0"/>
          <w:bCs w:val="0"/>
          <w:color w:val="000000"/>
          <w:sz w:val="32"/>
          <w:szCs w:val="32"/>
        </w:rPr>
        <w:t>支</w:t>
      </w:r>
      <w:r>
        <w:rPr>
          <w:rStyle w:val="17"/>
          <w:rFonts w:hint="eastAsia" w:ascii="仿宋_GB2312" w:hAnsi="仿宋_GB2312" w:eastAsia="仿宋_GB2312" w:cs="仿宋_GB2312"/>
          <w:b w:val="0"/>
          <w:bCs/>
          <w:color w:val="000000"/>
          <w:sz w:val="32"/>
          <w:szCs w:val="32"/>
        </w:rPr>
        <w:t>出决算为</w:t>
      </w:r>
      <w:r>
        <w:rPr>
          <w:rStyle w:val="17"/>
          <w:rFonts w:hint="eastAsia" w:ascii="仿宋_GB2312" w:hAnsi="仿宋_GB2312" w:eastAsia="仿宋_GB2312" w:cs="仿宋_GB2312"/>
          <w:b w:val="0"/>
          <w:bCs/>
          <w:color w:val="000000"/>
          <w:sz w:val="32"/>
          <w:szCs w:val="32"/>
          <w:lang w:val="en-US" w:eastAsia="zh-CN"/>
        </w:rPr>
        <w:t>29.73</w:t>
      </w:r>
      <w:r>
        <w:rPr>
          <w:rStyle w:val="17"/>
          <w:rFonts w:hint="eastAsia" w:ascii="仿宋_GB2312" w:hAnsi="仿宋_GB2312" w:eastAsia="仿宋_GB2312" w:cs="仿宋_GB2312"/>
          <w:b w:val="0"/>
          <w:bCs/>
          <w:color w:val="000000"/>
          <w:sz w:val="32"/>
          <w:szCs w:val="32"/>
        </w:rPr>
        <w:t>万元，完成预算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eastAsia="zh-CN"/>
        </w:rPr>
        <w:t>；事业单位医疗（</w:t>
      </w:r>
      <w:r>
        <w:rPr>
          <w:rStyle w:val="17"/>
          <w:rFonts w:hint="eastAsia" w:ascii="仿宋_GB2312" w:hAnsi="仿宋_GB2312" w:eastAsia="仿宋_GB2312" w:cs="仿宋_GB2312"/>
          <w:b w:val="0"/>
          <w:bCs/>
          <w:color w:val="000000"/>
          <w:sz w:val="32"/>
          <w:szCs w:val="32"/>
          <w:lang w:val="en-US" w:eastAsia="zh-CN"/>
        </w:rPr>
        <w:t>02</w:t>
      </w:r>
      <w:r>
        <w:rPr>
          <w:rStyle w:val="17"/>
          <w:rFonts w:hint="eastAsia" w:ascii="仿宋_GB2312" w:hAnsi="仿宋_GB2312" w:eastAsia="仿宋_GB2312" w:cs="仿宋_GB2312"/>
          <w:b w:val="0"/>
          <w:bCs/>
          <w:color w:val="000000"/>
          <w:sz w:val="32"/>
          <w:szCs w:val="32"/>
          <w:lang w:eastAsia="zh-CN"/>
        </w:rPr>
        <w:t>）</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10.38</w:t>
      </w:r>
      <w:r>
        <w:rPr>
          <w:rStyle w:val="17"/>
          <w:rFonts w:hint="eastAsia" w:ascii="仿宋_GB2312" w:hAnsi="仿宋_GB2312" w:eastAsia="仿宋_GB2312" w:cs="仿宋_GB2312"/>
          <w:b w:val="0"/>
          <w:bCs/>
          <w:color w:val="000000"/>
          <w:sz w:val="32"/>
          <w:szCs w:val="32"/>
        </w:rPr>
        <w:t>万元，完成预算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eastAsia="zh-CN"/>
        </w:rPr>
        <w:t>；公务员医疗补助（</w:t>
      </w:r>
      <w:r>
        <w:rPr>
          <w:rStyle w:val="17"/>
          <w:rFonts w:hint="eastAsia" w:ascii="仿宋_GB2312" w:hAnsi="仿宋_GB2312" w:eastAsia="仿宋_GB2312" w:cs="仿宋_GB2312"/>
          <w:b w:val="0"/>
          <w:bCs/>
          <w:color w:val="000000"/>
          <w:sz w:val="32"/>
          <w:szCs w:val="32"/>
          <w:lang w:val="en-US" w:eastAsia="zh-CN"/>
        </w:rPr>
        <w:t>03</w:t>
      </w:r>
      <w:r>
        <w:rPr>
          <w:rStyle w:val="17"/>
          <w:rFonts w:hint="eastAsia" w:ascii="仿宋_GB2312" w:hAnsi="仿宋_GB2312" w:eastAsia="仿宋_GB2312" w:cs="仿宋_GB2312"/>
          <w:b w:val="0"/>
          <w:bCs/>
          <w:color w:val="000000"/>
          <w:sz w:val="32"/>
          <w:szCs w:val="32"/>
          <w:lang w:eastAsia="zh-CN"/>
        </w:rPr>
        <w:t>）</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3.88</w:t>
      </w:r>
      <w:r>
        <w:rPr>
          <w:rStyle w:val="17"/>
          <w:rFonts w:hint="eastAsia" w:ascii="仿宋_GB2312" w:hAnsi="仿宋_GB2312" w:eastAsia="仿宋_GB2312" w:cs="仿宋_GB2312"/>
          <w:b w:val="0"/>
          <w:bCs/>
          <w:color w:val="000000"/>
          <w:sz w:val="32"/>
          <w:szCs w:val="32"/>
        </w:rPr>
        <w:t>万元，完成预算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val="0"/>
          <w:bCs/>
          <w:color w:val="auto"/>
          <w:sz w:val="32"/>
          <w:szCs w:val="32"/>
          <w:lang w:val="en-US" w:eastAsia="zh-CN"/>
        </w:rPr>
        <w:t>4.住房保障支出（221）住房改革支出（02）住房公积金（01）支出决算为65.23万元，完成预算100%。</w:t>
      </w:r>
    </w:p>
    <w:p>
      <w:pPr>
        <w:pageBreakBefore w:val="0"/>
        <w:tabs>
          <w:tab w:val="right" w:pos="8306"/>
        </w:tabs>
        <w:kinsoku/>
        <w:wordWrap/>
        <w:overflowPunct/>
        <w:topLinePunct w:val="0"/>
        <w:bidi w:val="0"/>
        <w:spacing w:line="600" w:lineRule="exact"/>
        <w:ind w:firstLine="640"/>
        <w:textAlignment w:val="auto"/>
        <w:outlineLvl w:val="1"/>
        <w:rPr>
          <w:rStyle w:val="28"/>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pageBreakBefore w:val="0"/>
        <w:kinsoku/>
        <w:wordWrap/>
        <w:overflowPunct/>
        <w:topLinePunct w:val="0"/>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2021年一般公共预算财政拨款基本支出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万元，其中：</w:t>
      </w:r>
    </w:p>
    <w:p>
      <w:pPr>
        <w:pageBreakBefore w:val="0"/>
        <w:kinsoku/>
        <w:wordWrap/>
        <w:overflowPunct/>
        <w:topLinePunct w:val="0"/>
        <w:bidi w:val="0"/>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664.73</w:t>
      </w:r>
      <w:r>
        <w:rPr>
          <w:rFonts w:hint="eastAsia" w:ascii="仿宋_GB2312" w:hAnsi="仿宋_GB2312" w:eastAsia="仿宋_GB2312" w:cs="仿宋_GB2312"/>
          <w:sz w:val="32"/>
          <w:szCs w:val="32"/>
        </w:rPr>
        <w:t>万元，主要包括：基本工资、津贴补贴、奖金、伙食补助费、绩效工资、机关事业单位基本养老保险缴费、其他社会保障缴费、其他工资福利支出、退休费、生活补助、医疗费补助、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74.27</w:t>
      </w:r>
      <w:r>
        <w:rPr>
          <w:rFonts w:hint="eastAsia" w:ascii="仿宋_GB2312" w:hAnsi="仿宋_GB2312" w:eastAsia="仿宋_GB2312" w:cs="仿宋_GB2312"/>
          <w:sz w:val="32"/>
          <w:szCs w:val="32"/>
        </w:rPr>
        <w:t>万元，主要包括：办公费、印刷费、咨询费、手续费、邮电费、差旅费、维修（护）费、租赁费、会议费、培训费、公务接待费、劳务费、委托业务费、工会经费、福利费、公务用车运行维护费、其他交通费、其他商品和服务支出、办公设备购置等。</w:t>
      </w:r>
    </w:p>
    <w:p>
      <w:pPr>
        <w:pageBreakBefore w:val="0"/>
        <w:kinsoku/>
        <w:wordWrap/>
        <w:overflowPunct/>
        <w:topLinePunct w:val="0"/>
        <w:bidi w:val="0"/>
        <w:spacing w:line="600" w:lineRule="exact"/>
        <w:ind w:firstLine="640"/>
        <w:textAlignment w:val="auto"/>
        <w:outlineLvl w:val="1"/>
        <w:rPr>
          <w:rStyle w:val="28"/>
          <w:rFonts w:ascii="黑体" w:hAnsi="黑体" w:eastAsia="黑体"/>
          <w:b w:val="0"/>
        </w:rPr>
      </w:pPr>
      <w:bookmarkStart w:id="42" w:name="_Toc15396609"/>
      <w:bookmarkStart w:id="43" w:name="_Toc15377215"/>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600" w:lineRule="exact"/>
        <w:ind w:firstLine="640"/>
        <w:textAlignment w:val="auto"/>
        <w:outlineLvl w:val="2"/>
        <w:rPr>
          <w:rFonts w:hint="eastAsia" w:ascii="仿宋_GB2312" w:hAnsi="仿宋_GB2312" w:eastAsia="仿宋_GB2312" w:cs="仿宋_GB2312"/>
          <w:b/>
          <w:sz w:val="32"/>
          <w:szCs w:val="32"/>
          <w:lang w:eastAsia="zh-CN"/>
        </w:rPr>
      </w:pPr>
      <w:bookmarkStart w:id="44" w:name="_Toc15377216"/>
      <w:r>
        <w:rPr>
          <w:rFonts w:hint="eastAsia" w:ascii="仿宋_GB2312" w:hAnsi="仿宋_GB2312" w:eastAsia="仿宋_GB2312" w:cs="仿宋_GB2312"/>
          <w:b/>
          <w:sz w:val="32"/>
          <w:szCs w:val="32"/>
        </w:rPr>
        <w:t>（一）“三公”经费财政拨款支出决算总体情况说明</w:t>
      </w:r>
      <w:bookmarkEnd w:id="44"/>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2021年“三公”经费财政拨款支出决算为</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%，决算数与预算数持平。</w:t>
      </w:r>
    </w:p>
    <w:p>
      <w:pPr>
        <w:pageBreakBefore w:val="0"/>
        <w:kinsoku/>
        <w:wordWrap/>
        <w:overflowPunct/>
        <w:topLinePunct w:val="0"/>
        <w:bidi w:val="0"/>
        <w:spacing w:line="600" w:lineRule="exact"/>
        <w:ind w:firstLine="640"/>
        <w:textAlignment w:val="auto"/>
        <w:outlineLvl w:val="2"/>
        <w:rPr>
          <w:rFonts w:hint="eastAsia" w:ascii="仿宋_GB2312" w:hAnsi="仿宋_GB2312" w:eastAsia="仿宋_GB2312" w:cs="仿宋_GB2312"/>
          <w:b/>
          <w:sz w:val="32"/>
          <w:szCs w:val="32"/>
          <w:lang w:eastAsia="zh-CN"/>
        </w:rPr>
      </w:pPr>
      <w:bookmarkStart w:id="45" w:name="_Toc15377217"/>
      <w:r>
        <w:rPr>
          <w:rFonts w:hint="eastAsia" w:ascii="仿宋_GB2312" w:hAnsi="仿宋_GB2312" w:eastAsia="仿宋_GB2312" w:cs="仿宋_GB2312"/>
          <w:b/>
          <w:sz w:val="32"/>
          <w:szCs w:val="32"/>
        </w:rPr>
        <w:t>（二）“三公”经费财政拨款支出决算具体情况说明</w:t>
      </w:r>
      <w:bookmarkEnd w:id="45"/>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万元；公务接待费支出决算</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万元。具体情况如下：</w:t>
      </w: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r>
        <w:rPr>
          <w:rFonts w:hint="default" w:ascii="Times New Roman" w:hAnsi="Times New Roman" w:eastAsia="仿宋" w:cs="Times New Roman"/>
          <w:color w:val="000000"/>
          <w:sz w:val="32"/>
          <w:szCs w:val="32"/>
        </w:rPr>
        <w:pict>
          <v:shape id="Object 5" o:spid="_x0000_s2050" o:spt="75" type="#_x0000_t75" style="position:absolute;left:0pt;margin-left:15.65pt;margin-top:3pt;height:173.9pt;width:286.9pt;mso-wrap-distance-bottom:0pt;mso-wrap-distance-left:9pt;mso-wrap-distance-right:9pt;mso-wrap-distance-top:0pt;z-index:251665408;mso-width-relative:page;mso-height-relative:page;" o:ole="t" filled="f" o:preferrelative="t" stroked="f" coordsize="21600,21600">
            <v:path/>
            <v:fill on="f" focussize="0,0"/>
            <v:stroke on="f"/>
            <v:imagedata r:id="rId13" o:title=""/>
            <o:lock v:ext="edit" aspectratio="t"/>
            <w10:wrap type="square"/>
          </v:shape>
          <o:OLEObject Type="Embed" ProgID="Excel.Chart" ShapeID="Object 5" DrawAspect="Content" ObjectID="_1468075725" r:id="rId12">
            <o:LockedField>false</o:LockedField>
          </o:OLEObject>
        </w:pict>
      </w: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textAlignment w:val="auto"/>
        <w:rPr>
          <w:rFonts w:hint="eastAsia" w:ascii="仿宋" w:hAnsi="仿宋" w:eastAsia="仿宋"/>
          <w:sz w:val="32"/>
          <w:szCs w:val="3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val="0"/>
          <w:bCs/>
          <w:color w:val="000000"/>
          <w:sz w:val="32"/>
          <w:szCs w:val="32"/>
        </w:rPr>
      </w:pPr>
      <w:bookmarkStart w:id="46" w:name="_Toc15396610"/>
      <w:bookmarkStart w:id="47" w:name="_Toc15377218"/>
      <w:r>
        <w:rPr>
          <w:rFonts w:hint="eastAsia" w:ascii="仿宋_GB2312" w:hAnsi="仿宋_GB2312" w:eastAsia="仿宋_GB2312" w:cs="仿宋_GB2312"/>
          <w:b w:val="0"/>
          <w:bCs/>
          <w:color w:val="000000"/>
          <w:sz w:val="32"/>
          <w:szCs w:val="32"/>
        </w:rPr>
        <w:t>1.因公出国（境）经费支出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全年安排因公出国（境）团组</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次，出国（境）</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人。因公出国（境）支出决算</w:t>
      </w:r>
      <w:r>
        <w:rPr>
          <w:rFonts w:hint="eastAsia" w:ascii="仿宋_GB2312" w:hAnsi="仿宋_GB2312" w:eastAsia="仿宋_GB2312" w:cs="仿宋_GB2312"/>
          <w:b w:val="0"/>
          <w:bCs/>
          <w:color w:val="000000"/>
          <w:sz w:val="32"/>
          <w:szCs w:val="32"/>
          <w:lang w:eastAsia="zh-CN"/>
        </w:rPr>
        <w:t>与</w:t>
      </w:r>
      <w:r>
        <w:rPr>
          <w:rFonts w:hint="eastAsia" w:ascii="仿宋_GB2312" w:hAnsi="仿宋_GB2312" w:eastAsia="仿宋_GB2312" w:cs="仿宋_GB2312"/>
          <w:b w:val="0"/>
          <w:bCs/>
          <w:color w:val="000000"/>
          <w:sz w:val="32"/>
          <w:szCs w:val="32"/>
          <w:lang w:val="en-US" w:eastAsia="zh-CN"/>
        </w:rPr>
        <w:t>2020年持平</w:t>
      </w:r>
      <w:r>
        <w:rPr>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2.公务用车购置及运行维护费支出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公务用车购置及运行维护费支出决算</w:t>
      </w:r>
      <w:r>
        <w:rPr>
          <w:rFonts w:hint="eastAsia" w:ascii="仿宋_GB2312" w:hAnsi="仿宋_GB2312" w:eastAsia="仿宋_GB2312" w:cs="仿宋_GB2312"/>
          <w:b w:val="0"/>
          <w:bCs/>
          <w:color w:val="000000"/>
          <w:sz w:val="32"/>
          <w:szCs w:val="32"/>
          <w:lang w:eastAsia="zh-CN"/>
        </w:rPr>
        <w:t>与</w:t>
      </w:r>
      <w:r>
        <w:rPr>
          <w:rFonts w:hint="eastAsia" w:ascii="仿宋_GB2312" w:hAnsi="仿宋_GB2312" w:eastAsia="仿宋_GB2312" w:cs="仿宋_GB2312"/>
          <w:b w:val="0"/>
          <w:bCs/>
          <w:color w:val="000000"/>
          <w:sz w:val="32"/>
          <w:szCs w:val="32"/>
          <w:lang w:val="en-US" w:eastAsia="zh-CN"/>
        </w:rPr>
        <w:t>2020年持平</w:t>
      </w:r>
      <w:r>
        <w:rPr>
          <w:rFonts w:hint="eastAsia" w:ascii="仿宋_GB2312" w:hAnsi="仿宋_GB2312" w:eastAsia="仿宋_GB2312" w:cs="仿宋_GB2312"/>
          <w:b w:val="0"/>
          <w:bCs/>
          <w:color w:val="000000"/>
          <w:sz w:val="32"/>
          <w:szCs w:val="32"/>
        </w:rPr>
        <w:t>。</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3.公务接待费支出</w:t>
      </w:r>
      <w:r>
        <w:rPr>
          <w:rFonts w:hint="eastAsia" w:ascii="仿宋_GB2312" w:hAnsi="仿宋_GB2312" w:eastAsia="仿宋_GB2312" w:cs="仿宋_GB2312"/>
          <w:b w:val="0"/>
          <w:bCs/>
          <w:color w:val="000000"/>
          <w:sz w:val="32"/>
          <w:szCs w:val="32"/>
          <w:lang w:val="en-US" w:eastAsia="zh-CN"/>
        </w:rPr>
        <w:t>0.07</w:t>
      </w:r>
      <w:r>
        <w:rPr>
          <w:rFonts w:hint="eastAsia" w:ascii="仿宋_GB2312" w:hAnsi="仿宋_GB2312" w:eastAsia="仿宋_GB2312" w:cs="仿宋_GB2312"/>
          <w:b w:val="0"/>
          <w:bCs/>
          <w:color w:val="000000"/>
          <w:sz w:val="32"/>
          <w:szCs w:val="32"/>
        </w:rPr>
        <w:t>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rPr>
        <w:t>公务接待费支出决算</w:t>
      </w:r>
      <w:r>
        <w:rPr>
          <w:rFonts w:hint="eastAsia" w:ascii="仿宋_GB2312" w:hAnsi="仿宋_GB2312" w:eastAsia="仿宋_GB2312" w:cs="仿宋_GB2312"/>
          <w:b w:val="0"/>
          <w:bCs/>
          <w:color w:val="000000"/>
          <w:sz w:val="32"/>
          <w:szCs w:val="32"/>
          <w:lang w:eastAsia="zh-CN"/>
        </w:rPr>
        <w:t>与</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eastAsia="zh-CN"/>
        </w:rPr>
        <w:t>持平</w:t>
      </w:r>
      <w:r>
        <w:rPr>
          <w:rFonts w:hint="eastAsia" w:ascii="仿宋_GB2312" w:hAnsi="仿宋_GB2312" w:eastAsia="仿宋_GB2312" w:cs="仿宋_GB2312"/>
          <w:b w:val="0"/>
          <w:bCs/>
          <w:color w:val="000000"/>
          <w:sz w:val="32"/>
          <w:szCs w:val="32"/>
        </w:rPr>
        <w:t>。其中：</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b w:val="0"/>
          <w:bCs/>
          <w:color w:val="FF0000"/>
          <w:sz w:val="32"/>
          <w:szCs w:val="32"/>
          <w:lang w:val="en-US" w:eastAsia="zh-CN"/>
        </w:rPr>
      </w:pPr>
      <w:r>
        <w:rPr>
          <w:rFonts w:hint="eastAsia" w:ascii="仿宋_GB2312" w:hAnsi="仿宋_GB2312" w:eastAsia="仿宋_GB2312" w:cs="仿宋_GB2312"/>
          <w:b w:val="0"/>
          <w:bCs/>
          <w:color w:val="000000"/>
          <w:sz w:val="32"/>
          <w:szCs w:val="32"/>
        </w:rPr>
        <w:t>国内公务接待支出</w:t>
      </w:r>
      <w:r>
        <w:rPr>
          <w:rFonts w:hint="eastAsia" w:ascii="仿宋_GB2312" w:hAnsi="仿宋_GB2312" w:eastAsia="仿宋_GB2312" w:cs="仿宋_GB2312"/>
          <w:b w:val="0"/>
          <w:bCs/>
          <w:color w:val="000000"/>
          <w:sz w:val="32"/>
          <w:szCs w:val="32"/>
          <w:lang w:val="en-US" w:eastAsia="zh-CN"/>
        </w:rPr>
        <w:t>0.07</w:t>
      </w:r>
      <w:r>
        <w:rPr>
          <w:rFonts w:hint="eastAsia" w:ascii="仿宋_GB2312" w:hAnsi="仿宋_GB2312" w:eastAsia="仿宋_GB2312" w:cs="仿宋_GB2312"/>
          <w:b w:val="0"/>
          <w:bCs/>
          <w:color w:val="000000"/>
          <w:sz w:val="32"/>
          <w:szCs w:val="32"/>
        </w:rPr>
        <w:t>万元，主要用于开展业务活动</w:t>
      </w:r>
      <w:r>
        <w:rPr>
          <w:rFonts w:hint="eastAsia" w:ascii="仿宋_GB2312" w:hAnsi="仿宋_GB2312" w:eastAsia="仿宋_GB2312" w:cs="仿宋_GB2312"/>
          <w:b w:val="0"/>
          <w:bCs/>
          <w:color w:val="000000"/>
          <w:sz w:val="32"/>
          <w:szCs w:val="32"/>
          <w:lang w:eastAsia="zh-CN"/>
        </w:rPr>
        <w:t>产生的</w:t>
      </w:r>
      <w:r>
        <w:rPr>
          <w:rFonts w:hint="eastAsia" w:ascii="仿宋_GB2312" w:hAnsi="仿宋_GB2312" w:eastAsia="仿宋_GB2312" w:cs="仿宋_GB2312"/>
          <w:b w:val="0"/>
          <w:bCs/>
          <w:color w:val="000000"/>
          <w:sz w:val="32"/>
          <w:szCs w:val="32"/>
        </w:rPr>
        <w:t>用餐费。国内公务接待</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批次，</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人次（不包括陪同人员），共计支出</w:t>
      </w:r>
      <w:r>
        <w:rPr>
          <w:rFonts w:hint="eastAsia" w:ascii="仿宋_GB2312" w:hAnsi="仿宋_GB2312" w:eastAsia="仿宋_GB2312" w:cs="仿宋_GB2312"/>
          <w:b w:val="0"/>
          <w:bCs/>
          <w:color w:val="000000"/>
          <w:sz w:val="32"/>
          <w:szCs w:val="32"/>
          <w:lang w:val="en-US" w:eastAsia="zh-CN"/>
        </w:rPr>
        <w:t>0.07</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val="0"/>
          <w:bCs/>
          <w:color w:val="000000"/>
          <w:sz w:val="32"/>
          <w:szCs w:val="32"/>
          <w:lang w:eastAsia="zh-CN"/>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外事接待支出</w:t>
      </w:r>
      <w:r>
        <w:rPr>
          <w:rFonts w:hint="eastAsia" w:ascii="仿宋_GB2312" w:hAnsi="仿宋_GB2312" w:eastAsia="仿宋_GB2312" w:cs="仿宋_GB2312"/>
          <w:b w:val="0"/>
          <w:bCs/>
          <w:color w:val="000000"/>
          <w:sz w:val="32"/>
          <w:szCs w:val="32"/>
          <w:lang w:val="en-US" w:eastAsia="zh-CN"/>
        </w:rPr>
        <w:t>0</w:t>
      </w:r>
      <w:r>
        <w:rPr>
          <w:rFonts w:hint="eastAsia" w:ascii="仿宋_GB2312" w:hAnsi="仿宋_GB2312" w:eastAsia="仿宋_GB2312" w:cs="仿宋_GB2312"/>
          <w:b w:val="0"/>
          <w:bCs/>
          <w:color w:val="000000"/>
          <w:sz w:val="32"/>
          <w:szCs w:val="32"/>
        </w:rPr>
        <w:t>万元</w:t>
      </w:r>
      <w:r>
        <w:rPr>
          <w:rFonts w:hint="eastAsia" w:ascii="仿宋_GB2312" w:hAnsi="仿宋_GB2312" w:eastAsia="仿宋_GB2312" w:cs="仿宋_GB2312"/>
          <w:b w:val="0"/>
          <w:bCs/>
          <w:color w:val="000000"/>
          <w:sz w:val="32"/>
          <w:szCs w:val="32"/>
          <w:lang w:eastAsia="zh-CN"/>
        </w:rPr>
        <w:t>。</w:t>
      </w:r>
    </w:p>
    <w:p>
      <w:pPr>
        <w:pageBreakBefore w:val="0"/>
        <w:kinsoku/>
        <w:wordWrap/>
        <w:overflowPunct/>
        <w:topLinePunct w:val="0"/>
        <w:bidi w:val="0"/>
        <w:spacing w:line="600" w:lineRule="exact"/>
        <w:ind w:firstLine="640"/>
        <w:textAlignment w:val="auto"/>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600" w:lineRule="exact"/>
        <w:ind w:firstLine="64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91.5</w:t>
      </w:r>
      <w:r>
        <w:rPr>
          <w:rFonts w:hint="eastAsia" w:ascii="仿宋_GB2312" w:eastAsia="仿宋_GB2312"/>
          <w:sz w:val="32"/>
          <w:szCs w:val="32"/>
        </w:rPr>
        <w:t>万元。</w:t>
      </w:r>
    </w:p>
    <w:p>
      <w:pPr>
        <w:pageBreakBefore w:val="0"/>
        <w:numPr>
          <w:ilvl w:val="0"/>
          <w:numId w:val="2"/>
        </w:numPr>
        <w:kinsoku/>
        <w:wordWrap/>
        <w:overflowPunct/>
        <w:topLinePunct w:val="0"/>
        <w:bidi w:val="0"/>
        <w:spacing w:line="600" w:lineRule="exact"/>
        <w:ind w:firstLine="640"/>
        <w:textAlignment w:val="auto"/>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600" w:lineRule="exact"/>
        <w:ind w:firstLine="640"/>
        <w:textAlignment w:val="auto"/>
        <w:rPr>
          <w:rFonts w:ascii="方正小标宋简体" w:hAnsi="方正小标宋简体" w:eastAsia="方正小标宋简体" w:cs="方正小标宋简体"/>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numPr>
          <w:ilvl w:val="0"/>
          <w:numId w:val="2"/>
        </w:numPr>
        <w:kinsoku/>
        <w:wordWrap/>
        <w:overflowPunct/>
        <w:topLinePunct w:val="0"/>
        <w:bidi w:val="0"/>
        <w:spacing w:line="600" w:lineRule="exact"/>
        <w:ind w:firstLine="640"/>
        <w:textAlignment w:val="auto"/>
        <w:outlineLvl w:val="1"/>
        <w:rPr>
          <w:rStyle w:val="28"/>
          <w:rFonts w:ascii="黑体" w:hAnsi="黑体" w:eastAsia="黑体"/>
          <w:b w:val="0"/>
        </w:rPr>
      </w:pPr>
      <w:bookmarkStart w:id="50" w:name="_Toc15377221"/>
      <w:bookmarkStart w:id="51" w:name="_Toc15396612"/>
      <w:r>
        <w:rPr>
          <w:rStyle w:val="28"/>
          <w:rFonts w:hint="eastAsia" w:ascii="黑体" w:hAnsi="黑体" w:eastAsia="黑体"/>
          <w:b w:val="0"/>
        </w:rPr>
        <w:t>其他重要事项的情况说明</w:t>
      </w:r>
      <w:bookmarkEnd w:id="50"/>
      <w:bookmarkEnd w:id="51"/>
    </w:p>
    <w:p>
      <w:pPr>
        <w:pageBreakBefore w:val="0"/>
        <w:kinsoku/>
        <w:wordWrap/>
        <w:overflowPunct/>
        <w:topLinePunct w:val="0"/>
        <w:bidi w:val="0"/>
        <w:spacing w:line="600" w:lineRule="exact"/>
        <w:ind w:firstLine="643" w:firstLineChars="200"/>
        <w:textAlignment w:val="auto"/>
        <w:outlineLvl w:val="2"/>
        <w:rPr>
          <w:rFonts w:hint="eastAsia" w:ascii="仿宋_GB2312" w:hAnsi="仿宋_GB2312" w:eastAsia="仿宋_GB2312" w:cs="仿宋_GB2312"/>
          <w:sz w:val="32"/>
          <w:szCs w:val="32"/>
          <w:lang w:eastAsia="zh-CN"/>
        </w:rPr>
      </w:pPr>
      <w:bookmarkStart w:id="52" w:name="_Toc15377222"/>
      <w:r>
        <w:rPr>
          <w:rFonts w:hint="eastAsia" w:ascii="仿宋_GB2312" w:hAnsi="仿宋_GB2312" w:eastAsia="仿宋_GB2312" w:cs="仿宋_GB2312"/>
          <w:b/>
          <w:sz w:val="32"/>
          <w:szCs w:val="32"/>
        </w:rPr>
        <w:t>（一）机关运行经费支出情况</w:t>
      </w:r>
      <w:bookmarkEnd w:id="52"/>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color w:val="000000"/>
          <w:sz w:val="32"/>
          <w:szCs w:val="32"/>
          <w:lang w:eastAsia="zh-CN"/>
        </w:rPr>
        <w:t>攀枝花市西区人民政府办公室</w:t>
      </w:r>
      <w:r>
        <w:rPr>
          <w:rFonts w:hint="eastAsia" w:ascii="仿宋_GB2312" w:hAnsi="仿宋_GB2312" w:eastAsia="仿宋_GB2312" w:cs="仿宋_GB2312"/>
          <w:sz w:val="32"/>
          <w:szCs w:val="32"/>
        </w:rPr>
        <w:t>机关运行经费支出</w:t>
      </w:r>
      <w:r>
        <w:rPr>
          <w:rFonts w:hint="eastAsia" w:ascii="仿宋_GB2312" w:hAnsi="仿宋_GB2312" w:eastAsia="仿宋_GB2312" w:cs="仿宋_GB2312"/>
          <w:sz w:val="32"/>
          <w:szCs w:val="32"/>
          <w:lang w:val="en-US" w:eastAsia="zh-CN"/>
        </w:rPr>
        <w:t>74.27</w:t>
      </w:r>
      <w:r>
        <w:rPr>
          <w:rFonts w:hint="eastAsia" w:ascii="仿宋_GB2312" w:hAnsi="仿宋_GB2312" w:eastAsia="仿宋_GB2312" w:cs="仿宋_GB2312"/>
          <w:sz w:val="32"/>
          <w:szCs w:val="32"/>
        </w:rPr>
        <w:t>万元，比2020年增加</w:t>
      </w:r>
      <w:r>
        <w:rPr>
          <w:rFonts w:hint="eastAsia" w:ascii="仿宋_GB2312" w:hAnsi="仿宋_GB2312" w:eastAsia="仿宋_GB2312" w:cs="仿宋_GB2312"/>
          <w:sz w:val="32"/>
          <w:szCs w:val="32"/>
          <w:lang w:val="en-US" w:eastAsia="zh-CN"/>
        </w:rPr>
        <w:t>5.05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仿宋_GB2312" w:hAnsi="仿宋_GB2312" w:eastAsia="仿宋_GB2312" w:cs="仿宋_GB2312"/>
          <w:b/>
          <w:sz w:val="32"/>
          <w:szCs w:val="32"/>
          <w:lang w:eastAsia="zh-CN"/>
        </w:rPr>
      </w:pPr>
      <w:bookmarkStart w:id="53" w:name="_Toc15377223"/>
      <w:r>
        <w:rPr>
          <w:rFonts w:hint="eastAsia" w:ascii="仿宋_GB2312" w:hAnsi="仿宋_GB2312" w:eastAsia="仿宋_GB2312" w:cs="仿宋_GB2312"/>
          <w:b/>
          <w:sz w:val="32"/>
          <w:szCs w:val="32"/>
        </w:rPr>
        <w:t>（二）政府采购支出情况</w:t>
      </w:r>
      <w:bookmarkEnd w:id="53"/>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color w:val="000000"/>
          <w:sz w:val="32"/>
          <w:szCs w:val="32"/>
          <w:lang w:eastAsia="zh-CN"/>
        </w:rPr>
        <w:t>攀枝花市西区人民政府办公室</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仿宋_GB2312" w:hAnsi="仿宋_GB2312" w:eastAsia="仿宋_GB2312" w:cs="仿宋_GB2312"/>
          <w:b/>
          <w:sz w:val="32"/>
          <w:szCs w:val="32"/>
          <w:lang w:eastAsia="zh-CN"/>
        </w:rPr>
      </w:pPr>
      <w:bookmarkStart w:id="54" w:name="_Toc15377224"/>
      <w:r>
        <w:rPr>
          <w:rFonts w:hint="eastAsia" w:ascii="仿宋_GB2312" w:hAnsi="仿宋_GB2312" w:eastAsia="仿宋_GB2312" w:cs="仿宋_GB2312"/>
          <w:b/>
          <w:sz w:val="32"/>
          <w:szCs w:val="32"/>
        </w:rPr>
        <w:t>（三）国有资产占有使用情况</w:t>
      </w:r>
      <w:bookmarkEnd w:id="54"/>
      <w:r>
        <w:rPr>
          <w:rFonts w:hint="eastAsia" w:ascii="仿宋_GB2312" w:hAnsi="仿宋_GB2312" w:eastAsia="仿宋_GB2312" w:cs="仿宋_GB2312"/>
          <w:b/>
          <w:sz w:val="32"/>
          <w:szCs w:val="32"/>
          <w:lang w:eastAsia="zh-CN"/>
        </w:rPr>
        <w:t>。</w:t>
      </w:r>
      <w:bookmarkStart w:id="74" w:name="_GoBack"/>
      <w:bookmarkEnd w:id="74"/>
    </w:p>
    <w:p>
      <w:pPr>
        <w:pageBreakBefore w:val="0"/>
        <w:kinsoku/>
        <w:wordWrap/>
        <w:overflowPunct/>
        <w:topLinePunct w:val="0"/>
        <w:autoSpaceDE w:val="0"/>
        <w:autoSpaceDN w:val="0"/>
        <w:bidi w:val="0"/>
        <w:adjustRightInd w:val="0"/>
        <w:spacing w:line="600" w:lineRule="exact"/>
        <w:ind w:firstLine="640" w:firstLineChars="200"/>
        <w:jc w:val="left"/>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截至2021年12月31日，区政府办公室共有车辆0辆，其中：主要领导干部用车0辆、机要通信用车0辆、应急保障用车0辆、其他用车0辆。单价50万元以上通用设备0台（套），单价100万元以上专用设备0台（套）。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（四）预算绩效管理情况</w:t>
      </w:r>
      <w:r>
        <w:rPr>
          <w:rFonts w:hint="eastAsia" w:ascii="仿宋_GB2312" w:hAnsi="仿宋_GB2312" w:eastAsia="仿宋_GB2312" w:cs="仿宋_GB2312"/>
          <w:b/>
          <w:sz w:val="32"/>
          <w:szCs w:val="32"/>
          <w:lang w:eastAsia="zh-CN"/>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根据预算绩效管理要求，本部门在2021年度预算编制阶段，组织对纪检监察工作经费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政策研究咨询经费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全区老干部及一线工作人员慰问经费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政府业务经费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疫情防控森林草原防灭火信息发布服务工作经费、省政府视频会议系统建设管理工作经费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攀枝花市西区人民政府办公室</w:t>
      </w:r>
      <w:r>
        <w:rPr>
          <w:rFonts w:hint="eastAsia" w:ascii="仿宋_GB2312" w:hAnsi="仿宋_GB2312" w:eastAsia="仿宋_GB2312" w:cs="仿宋_GB2312"/>
          <w:sz w:val="32"/>
          <w:szCs w:val="32"/>
        </w:rPr>
        <w:t>整体绩效评价报告》见附件（第四部分）。</w:t>
      </w:r>
    </w:p>
    <w:p>
      <w:pPr>
        <w:pageBreakBefore w:val="0"/>
        <w:widowControl/>
        <w:kinsoku/>
        <w:wordWrap/>
        <w:overflowPunct/>
        <w:topLinePunct w:val="0"/>
        <w:bidi w:val="0"/>
        <w:spacing w:line="600" w:lineRule="exact"/>
        <w:jc w:val="left"/>
        <w:textAlignment w:val="auto"/>
        <w:rPr>
          <w:rFonts w:ascii="仿宋_GB2312" w:eastAsia="仿宋_GB2312"/>
          <w:b/>
          <w:sz w:val="32"/>
          <w:szCs w:val="32"/>
        </w:rPr>
      </w:pPr>
      <w:r>
        <w:rPr>
          <w:rFonts w:ascii="仿宋_GB2312" w:eastAsia="仿宋_GB2312"/>
          <w:b/>
          <w:sz w:val="32"/>
          <w:szCs w:val="32"/>
        </w:rPr>
        <w:br w:type="page"/>
      </w:r>
    </w:p>
    <w:p>
      <w:pPr>
        <w:pageBreakBefore w:val="0"/>
        <w:numPr>
          <w:ilvl w:val="0"/>
          <w:numId w:val="3"/>
        </w:numPr>
        <w:kinsoku/>
        <w:wordWrap/>
        <w:overflowPunct/>
        <w:topLinePunct w:val="0"/>
        <w:bidi w:val="0"/>
        <w:spacing w:line="600" w:lineRule="exact"/>
        <w:ind w:firstLine="660" w:firstLineChars="150"/>
        <w:jc w:val="center"/>
        <w:textAlignment w:val="auto"/>
        <w:outlineLvl w:val="0"/>
        <w:rPr>
          <w:rStyle w:val="27"/>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7"/>
          <w:rFonts w:hint="eastAsia" w:ascii="黑体" w:hAnsi="黑体" w:eastAsia="黑体"/>
          <w:b w:val="0"/>
        </w:rPr>
        <w:t>词解释</w:t>
      </w:r>
      <w:bookmarkEnd w:id="55"/>
      <w:bookmarkEnd w:id="56"/>
    </w:p>
    <w:p>
      <w:pPr>
        <w:pageBreakBefore w:val="0"/>
        <w:kinsoku/>
        <w:wordWrap/>
        <w:overflowPunct/>
        <w:topLinePunct w:val="0"/>
        <w:bidi w:val="0"/>
        <w:spacing w:line="600" w:lineRule="exact"/>
        <w:jc w:val="left"/>
        <w:textAlignment w:val="auto"/>
        <w:rPr>
          <w:rFonts w:ascii="宋体"/>
          <w:b/>
          <w:sz w:val="44"/>
          <w:szCs w:val="44"/>
        </w:rPr>
      </w:pP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2.其他收入：指单位取得的除上述收入以外的各项收入。主要是利息收入。</w:t>
      </w: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年末结转和结余：指单位按有关规定结转到下年或以后年度继续使用的资金。</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5.一般公共服务支出（类）政府办公厅（室）及相关机构事务（款）行政运行（项）：指区政府办公室用于保障机构正常运行、开展日常工作的基本支出。</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6.社会保障和就业（类）行政事业单位离退休（款）未归口管理的行政单位离退休（项）：指区政府办公室离退休人员的支出。</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eastAsia="zh-CN"/>
        </w:rPr>
        <w:t>行政事业单位医疗</w:t>
      </w:r>
      <w:r>
        <w:rPr>
          <w:rFonts w:hint="eastAsia" w:ascii="仿宋_GB2312" w:hAnsi="仿宋_GB2312" w:eastAsia="仿宋_GB2312" w:cs="仿宋_GB2312"/>
          <w:color w:val="000000"/>
          <w:sz w:val="32"/>
          <w:szCs w:val="32"/>
        </w:rPr>
        <w:t>（款）行政单位医疗（项）：指单位基本医疗保险</w:t>
      </w:r>
      <w:r>
        <w:rPr>
          <w:rFonts w:hint="eastAsia" w:ascii="仿宋_GB2312" w:hAnsi="仿宋_GB2312" w:eastAsia="仿宋_GB2312" w:cs="仿宋_GB2312"/>
          <w:color w:val="000000"/>
          <w:sz w:val="32"/>
          <w:szCs w:val="32"/>
          <w:lang w:eastAsia="zh-CN"/>
        </w:rPr>
        <w:t>缴费经费</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8.住房保障支出（类）住房改革支出（款）住房公积金（项）：指按照《住房公积金管理条例》的规定，由单位及在职职工按规定比例缴存的住房公积金。</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9.基本支出：指为保障机构正常运转、完成日常工作任务而发生的人员支出和公用支出。</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10.项目支出：指在基本支出之外为完成特定行政任务和事业发展目标所发生的支出。</w:t>
      </w: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w:t>
      </w:r>
      <w:r>
        <w:rPr>
          <w:rFonts w:hint="eastAsia" w:ascii="仿宋_GB2312" w:hAnsi="仿宋_GB2312" w:eastAsia="仿宋_GB2312" w:cs="仿宋_GB2312"/>
          <w:sz w:val="32"/>
          <w:szCs w:val="32"/>
          <w:lang w:eastAsia="zh-CN"/>
        </w:rPr>
        <w:t>等。</w:t>
      </w:r>
    </w:p>
    <w:p>
      <w:pPr>
        <w:spacing w:line="600" w:lineRule="exact"/>
        <w:jc w:val="center"/>
        <w:outlineLvl w:val="0"/>
        <w:rPr>
          <w:rStyle w:val="2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7"/>
          <w:rFonts w:hint="eastAsia" w:ascii="黑体" w:hAnsi="黑体" w:eastAsia="黑体"/>
          <w:b w:val="0"/>
        </w:rPr>
        <w:t>四部分 附件</w:t>
      </w:r>
      <w:bookmarkEnd w:id="58"/>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宋体" w:eastAsia="方正小标宋简体"/>
          <w:kern w:val="0"/>
          <w:sz w:val="40"/>
          <w:szCs w:val="44"/>
          <w:lang w:eastAsia="zh-CN"/>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lang w:eastAsia="zh-CN"/>
        </w:rPr>
        <w:t>攀枝花市西区人民政府办公室</w:t>
      </w:r>
    </w:p>
    <w:p>
      <w:pPr>
        <w:keepNext w:val="0"/>
        <w:keepLines w:val="0"/>
        <w:pageBreakBefore w:val="0"/>
        <w:kinsoku/>
        <w:wordWrap/>
        <w:overflowPunct/>
        <w:topLinePunct w:val="0"/>
        <w:autoSpaceDE/>
        <w:bidi w:val="0"/>
        <w:spacing w:line="600" w:lineRule="exact"/>
        <w:jc w:val="center"/>
        <w:textAlignment w:val="auto"/>
        <w:rPr>
          <w:rFonts w:ascii="仿宋_GB2312" w:hAnsi="宋体" w:eastAsia="仿宋_GB2312"/>
          <w:sz w:val="32"/>
          <w:szCs w:val="32"/>
          <w:shd w:val="clear" w:color="auto" w:fill="FFFFFF"/>
        </w:rPr>
      </w:pPr>
      <w:r>
        <w:rPr>
          <w:rFonts w:hint="eastAsia" w:ascii="方正小标宋简体" w:hAnsi="宋体" w:eastAsia="方正小标宋简体"/>
          <w:kern w:val="0"/>
          <w:sz w:val="40"/>
          <w:szCs w:val="44"/>
          <w:lang w:val="en-US" w:eastAsia="zh-CN"/>
        </w:rPr>
        <w:t>2021年</w:t>
      </w:r>
      <w:r>
        <w:rPr>
          <w:rFonts w:hint="eastAsia" w:ascii="方正小标宋简体" w:hAnsi="宋体" w:eastAsia="方正小标宋简体"/>
          <w:kern w:val="0"/>
          <w:sz w:val="40"/>
          <w:szCs w:val="44"/>
        </w:rPr>
        <w:t>部门整体绩效评价报告</w:t>
      </w:r>
    </w:p>
    <w:p>
      <w:pPr>
        <w:keepNext w:val="0"/>
        <w:keepLines w:val="0"/>
        <w:pageBreakBefore w:val="0"/>
        <w:widowControl/>
        <w:kinsoku/>
        <w:wordWrap/>
        <w:overflowPunct/>
        <w:topLinePunct w:val="0"/>
        <w:autoSpaceDE/>
        <w:bidi w:val="0"/>
        <w:adjustRightInd w:val="0"/>
        <w:snapToGrid w:val="0"/>
        <w:spacing w:line="600" w:lineRule="exact"/>
        <w:ind w:firstLine="480" w:firstLineChars="200"/>
        <w:contextualSpacing/>
        <w:jc w:val="left"/>
        <w:textAlignment w:val="auto"/>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autoSpaceDE/>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lang w:val="en-US" w:eastAsia="zh-CN" w:bidi="ar-SA"/>
        </w:rPr>
        <w:t>攀枝花市西区人民政府办公室（以下简称区政府办公室），为协助区政府领导处理区政府日常工作的机构，内设机构</w:t>
      </w: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0"/>
          <w:sz w:val="32"/>
          <w:szCs w:val="32"/>
          <w:lang w:val="en-US" w:eastAsia="zh-CN" w:bidi="ar-SA"/>
        </w:rPr>
        <w:t>个（秘书股、机要股、综合股、督查股、信息股、机关事务股）；区政府直属参公事业单位区地方志编纂中心；区政府办公室下属事业单位区政策研究中心。</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（二）机构职能。</w:t>
      </w:r>
    </w:p>
    <w:p>
      <w:pPr>
        <w:pStyle w:val="8"/>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rPr>
        <w:t>协助区政府领导同志组织起草或审核以区政府、区政府办公室名义发布的公文，办理市政府、市政府办公室及市级部门发送区政府的文电，指导全区行政机关公文处理工作；研究区政府部门和镇人民政府、区政府派出机构请示区政府的事项，提出审核意见，报区政府领导同志审批；负责区政府重要会议事务工作和区政府领导同志参加重大活动的组织安排；协助完成区政府的有关接待工作；督促检查区政府部门和镇人民政府、区政府派出机构对区政府决定事项及区政府领导同志指示的贯彻落实情况，及时向区政府领导同志报告；根据区政府领导同志的指示，对区政府部门间争议问题提出处理意见和建议，报区政府领导同志决定；负责区政府值班工作，指导区政府部门和镇人民政府、区政府派出机构值班工作，及时报告重要情况；指导、监督全区政府信息公开工作；牵头负责全区民生工程工作的实施和推进，组织办理涉及区政府工作的人大代表议案、批评、建议和政协委员提案、建议案；围绕区政府中心工作和区政府领导同志的指示，组织专题调查研究，及时反映情况，提出政策性建议；负责区政府外事工作；承担区政府公布的有关行政审批事项；承办区政府和区政府领导同志交办的其他事项。</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（三）人员概况。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2"/>
          <w:sz w:val="32"/>
          <w:szCs w:val="32"/>
          <w:lang w:val="en-US" w:eastAsia="zh-CN" w:bidi="ar-SA"/>
        </w:rPr>
        <w:t>区政府办公室设公务员编制14个；区地方志编纂中心设参公编制8个；区政策研究中心设事业编制17个。2021年年末实有在职人员34名，退休人员11名。</w:t>
      </w:r>
    </w:p>
    <w:p>
      <w:pPr>
        <w:keepNext w:val="0"/>
        <w:keepLines w:val="0"/>
        <w:pageBreakBefore w:val="0"/>
        <w:widowControl/>
        <w:kinsoku/>
        <w:wordWrap/>
        <w:overflowPunct/>
        <w:topLinePunct w:val="0"/>
        <w:autoSpaceDE/>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（一）部门财政资金收入情况。</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lang w:val="en-US" w:eastAsia="zh-CN"/>
        </w:rPr>
        <w:t>2021年度财政拨款收入874.5万元，其中本年收入830.5万元，年初财政拨款结转结余44万元。</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（二）部门财政资金支出情况。</w:t>
      </w:r>
    </w:p>
    <w:p>
      <w:pPr>
        <w:keepNext w:val="0"/>
        <w:keepLines w:val="0"/>
        <w:pageBreakBefore w:val="0"/>
        <w:widowControl/>
        <w:kinsoku/>
        <w:wordWrap/>
        <w:overflowPunct/>
        <w:topLinePunct w:val="0"/>
        <w:autoSpaceDE/>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val="en-US" w:eastAsia="zh-CN"/>
        </w:rPr>
        <w:t>2021年度财政拨款支出874.5万元，其中本年支出874.5万元。</w:t>
      </w:r>
    </w:p>
    <w:p>
      <w:pPr>
        <w:keepNext w:val="0"/>
        <w:keepLines w:val="0"/>
        <w:pageBreakBefore w:val="0"/>
        <w:widowControl/>
        <w:numPr>
          <w:ilvl w:val="0"/>
          <w:numId w:val="0"/>
        </w:numPr>
        <w:kinsoku/>
        <w:wordWrap/>
        <w:overflowPunct/>
        <w:topLinePunct w:val="0"/>
        <w:autoSpaceDE/>
        <w:bidi w:val="0"/>
        <w:adjustRightInd w:val="0"/>
        <w:snapToGrid w:val="0"/>
        <w:spacing w:line="600" w:lineRule="exact"/>
        <w:ind w:left="640" w:leftChars="0"/>
        <w:contextualSpacing/>
        <w:jc w:val="left"/>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lang w:eastAsia="zh-CN"/>
        </w:rPr>
        <w:t>四、</w:t>
      </w:r>
      <w:r>
        <w:rPr>
          <w:rFonts w:hint="eastAsia" w:ascii="黑体" w:hAnsi="宋体" w:eastAsia="黑体" w:cs="宋体"/>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bidi w:val="0"/>
        <w:adjustRightInd w:val="0"/>
        <w:snapToGrid w:val="0"/>
        <w:spacing w:line="600" w:lineRule="exact"/>
        <w:ind w:left="640" w:leftChars="0"/>
        <w:contextualSpacing/>
        <w:jc w:val="left"/>
        <w:textAlignment w:val="auto"/>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（一）部门预算项目绩效管理。</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left"/>
        <w:textAlignment w:val="auto"/>
        <w:outlineLvl w:val="9"/>
        <w:rPr>
          <w:rFonts w:ascii="仿宋_GB2312" w:hAnsi="宋体" w:eastAsia="仿宋_GB2312" w:cs="宋体"/>
          <w:kern w:val="0"/>
          <w:sz w:val="32"/>
          <w:szCs w:val="32"/>
          <w:shd w:val="clear" w:color="auto" w:fill="FFFFFF"/>
          <w:lang w:val="zh-CN"/>
        </w:rPr>
      </w:pPr>
      <w:r>
        <w:rPr>
          <w:rFonts w:hint="default" w:ascii="Times New Roman" w:hAnsi="Times New Roman" w:eastAsia="仿宋_GB2312" w:cs="仿宋_GB2312"/>
          <w:b w:val="0"/>
          <w:bCs w:val="0"/>
          <w:caps w:val="0"/>
          <w:color w:val="000000"/>
          <w:kern w:val="0"/>
          <w:sz w:val="32"/>
          <w:szCs w:val="32"/>
          <w:shd w:val="clear" w:fill="FFFFFF"/>
          <w:vertAlign w:val="baseline"/>
          <w:lang w:val="zh-CN" w:eastAsia="zh-CN" w:bidi="ar"/>
        </w:rPr>
        <w:t>本年度绩效目标制定合理，目标全部实现，预算编制准确，收支相等。预算无动态调整，执行进度及时，预算能够全部完成，资金无结余，无违规记录。</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（二）结果应用情况。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_GB2312" w:cs="仿宋_GB2312"/>
          <w:b w:val="0"/>
          <w:bCs w:val="0"/>
          <w:caps w:val="0"/>
          <w:snapToGrid w:val="0"/>
          <w:color w:val="auto"/>
          <w:kern w:val="0"/>
          <w:sz w:val="32"/>
          <w:szCs w:val="32"/>
          <w:vertAlign w:val="baseline"/>
          <w:lang w:val="en-US" w:eastAsia="zh-CN"/>
        </w:rPr>
      </w:pPr>
      <w:r>
        <w:rPr>
          <w:rFonts w:hint="default" w:ascii="Times New Roman" w:hAnsi="Times New Roman" w:eastAsia="仿宋_GB2312" w:cs="仿宋_GB2312"/>
          <w:b w:val="0"/>
          <w:bCs w:val="0"/>
          <w:caps w:val="0"/>
          <w:snapToGrid w:val="0"/>
          <w:color w:val="auto"/>
          <w:kern w:val="0"/>
          <w:sz w:val="32"/>
          <w:szCs w:val="32"/>
          <w:vertAlign w:val="baseline"/>
          <w:lang w:val="en-US" w:eastAsia="zh-CN" w:bidi="ar"/>
        </w:rPr>
        <w:t>绩效自评结果拟应用于今后的绩效管理工作，加强绩效评价工作，严格内部管理，通过绩效评价，我办进一步掌握了项目经费使用情况和取得的效果，总结了项目资金管理经验，为下一年提高项目资金的使用效益，加强财政支出的规范管理，完善预算编制和加强绩效目标管理等工作提供重要的参考依据。</w:t>
      </w:r>
    </w:p>
    <w:p>
      <w:pPr>
        <w:pStyle w:val="14"/>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jc w:val="both"/>
        <w:textAlignment w:val="auto"/>
        <w:outlineLvl w:val="9"/>
        <w:rPr>
          <w:rFonts w:ascii="仿宋_GB2312" w:hAnsi="宋体" w:eastAsia="仿宋_GB2312" w:cs="宋体"/>
          <w:kern w:val="0"/>
          <w:sz w:val="32"/>
          <w:szCs w:val="32"/>
          <w:shd w:val="clear" w:color="auto" w:fill="FFFFFF"/>
          <w:lang w:val="zh-CN"/>
        </w:rPr>
      </w:pPr>
      <w:r>
        <w:rPr>
          <w:rFonts w:hint="eastAsia" w:ascii="Times New Roman" w:eastAsia="仿宋_GB2312" w:cs="仿宋_GB2312"/>
          <w:b w:val="0"/>
          <w:bCs w:val="0"/>
          <w:caps w:val="0"/>
          <w:snapToGrid w:val="0"/>
          <w:color w:val="auto"/>
          <w:kern w:val="0"/>
          <w:sz w:val="32"/>
          <w:szCs w:val="32"/>
          <w:vertAlign w:val="baseline"/>
          <w:lang w:val="en-US" w:eastAsia="zh-CN"/>
        </w:rPr>
        <w:t>绩效自评结果拟公开公示情况，拟在协同办公平台进行公开公示，接受监督。</w:t>
      </w:r>
    </w:p>
    <w:p>
      <w:pPr>
        <w:keepNext w:val="0"/>
        <w:keepLines w:val="0"/>
        <w:pageBreakBefore w:val="0"/>
        <w:widowControl/>
        <w:numPr>
          <w:ilvl w:val="0"/>
          <w:numId w:val="0"/>
        </w:numPr>
        <w:kinsoku/>
        <w:wordWrap/>
        <w:overflowPunct/>
        <w:topLinePunct w:val="0"/>
        <w:autoSpaceDE/>
        <w:bidi w:val="0"/>
        <w:adjustRightInd w:val="0"/>
        <w:snapToGrid w:val="0"/>
        <w:spacing w:line="600" w:lineRule="exact"/>
        <w:ind w:firstLine="643" w:firstLineChars="200"/>
        <w:contextualSpacing/>
        <w:jc w:val="left"/>
        <w:textAlignment w:val="auto"/>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（三）自评质量。</w:t>
      </w:r>
    </w:p>
    <w:p>
      <w:pPr>
        <w:pStyle w:val="14"/>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jc w:val="both"/>
        <w:textAlignment w:val="auto"/>
        <w:outlineLvl w:val="9"/>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ascii="Times New Roman" w:eastAsia="仿宋_GB2312" w:cs="仿宋_GB2312"/>
          <w:b w:val="0"/>
          <w:bCs w:val="0"/>
          <w:caps w:val="0"/>
          <w:snapToGrid w:val="0"/>
          <w:color w:val="auto"/>
          <w:kern w:val="0"/>
          <w:sz w:val="32"/>
          <w:szCs w:val="32"/>
          <w:vertAlign w:val="baseline"/>
          <w:lang w:val="en-US" w:eastAsia="zh-CN"/>
        </w:rPr>
        <w:t>我办部门预算整体绩效评价结果良好，</w:t>
      </w:r>
      <w:r>
        <w:rPr>
          <w:rFonts w:hint="eastAsia" w:ascii="仿宋_GB2312" w:eastAsia="仿宋_GB2312" w:cs="宋体"/>
          <w:caps w:val="0"/>
          <w:color w:val="auto"/>
          <w:kern w:val="0"/>
          <w:sz w:val="32"/>
          <w:szCs w:val="32"/>
          <w:shd w:val="clear" w:fill="FFFFFF"/>
          <w:vertAlign w:val="baseline"/>
        </w:rPr>
        <w:t>部门整体支出自评情况准确</w:t>
      </w:r>
      <w:r>
        <w:rPr>
          <w:rFonts w:hint="eastAsia" w:ascii="仿宋_GB2312" w:eastAsia="仿宋_GB2312" w:cs="宋体"/>
          <w:caps w:val="0"/>
          <w:color w:val="auto"/>
          <w:kern w:val="0"/>
          <w:sz w:val="32"/>
          <w:szCs w:val="32"/>
          <w:shd w:val="clear" w:fill="FFFFFF"/>
          <w:vertAlign w:val="baseline"/>
          <w:lang w:eastAsia="zh-CN"/>
        </w:rPr>
        <w:t>，</w:t>
      </w:r>
      <w:r>
        <w:rPr>
          <w:rFonts w:hint="eastAsia" w:ascii="Times New Roman" w:eastAsia="仿宋_GB2312" w:cs="仿宋_GB2312"/>
          <w:b w:val="0"/>
          <w:bCs w:val="0"/>
          <w:caps w:val="0"/>
          <w:snapToGrid w:val="0"/>
          <w:color w:val="auto"/>
          <w:kern w:val="0"/>
          <w:sz w:val="32"/>
          <w:szCs w:val="32"/>
          <w:vertAlign w:val="baseline"/>
          <w:lang w:val="en-US" w:eastAsia="zh-CN"/>
        </w:rPr>
        <w:t>完成了年初设定的绩效目标，保障了单位各项工作任务圆满完成。</w:t>
      </w:r>
    </w:p>
    <w:p>
      <w:pPr>
        <w:keepNext w:val="0"/>
        <w:keepLines w:val="0"/>
        <w:pageBreakBefore w:val="0"/>
        <w:widowControl/>
        <w:kinsoku/>
        <w:wordWrap/>
        <w:overflowPunct/>
        <w:topLinePunct w:val="0"/>
        <w:autoSpaceDE/>
        <w:bidi w:val="0"/>
        <w:adjustRightInd w:val="0"/>
        <w:snapToGrid w:val="0"/>
        <w:spacing w:line="600" w:lineRule="exact"/>
        <w:ind w:firstLine="640" w:firstLineChars="200"/>
        <w:contextualSpacing/>
        <w:jc w:val="left"/>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（一）评价结论。</w:t>
      </w:r>
    </w:p>
    <w:p>
      <w:pPr>
        <w:pStyle w:val="14"/>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640"/>
        <w:jc w:val="both"/>
        <w:textAlignment w:val="auto"/>
        <w:outlineLvl w:val="9"/>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2"/>
          <w:sz w:val="32"/>
          <w:szCs w:val="32"/>
          <w:lang w:val="en-US" w:eastAsia="zh-CN" w:bidi="ar-SA"/>
        </w:rPr>
        <w:t>2021年区政府办公室聚焦“三办”主责主业，提升“三服务”工作质效，积极为推动西区转型发展、高质量发展贡献力量。严格执行资金预算管理制度，在资金管理、执行、支付等流程，进一步强化资金统筹，优化资金结构，明确开支范围、细化资金用途，基本支出保证了部门正常运行和日常工作的顺利开展，较好的完成了全年绩效目标任务。</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（二）存在问题。</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rPr>
        <w:t>绩效指标制定不够完善、合理，绩效评价开展缺乏强有力的制度保障，评价内容不够全面。</w:t>
      </w:r>
    </w:p>
    <w:p>
      <w:pPr>
        <w:keepNext w:val="0"/>
        <w:keepLines w:val="0"/>
        <w:pageBreakBefore w:val="0"/>
        <w:widowControl/>
        <w:kinsoku/>
        <w:wordWrap/>
        <w:overflowPunct/>
        <w:topLinePunct w:val="0"/>
        <w:autoSpaceDE/>
        <w:bidi w:val="0"/>
        <w:adjustRightInd w:val="0"/>
        <w:snapToGrid w:val="0"/>
        <w:spacing w:line="600" w:lineRule="exact"/>
        <w:ind w:firstLine="643" w:firstLineChars="200"/>
        <w:contextualSpacing/>
        <w:jc w:val="left"/>
        <w:textAlignment w:val="auto"/>
        <w:rPr>
          <w:rFonts w:hint="eastAsia" w:ascii="仿宋_GB2312" w:hAnsi="仿宋_GB2312" w:eastAsia="仿宋_GB2312" w:cs="仿宋_GB2312"/>
          <w:b/>
          <w:bCs/>
          <w:kern w:val="0"/>
          <w:sz w:val="32"/>
          <w:szCs w:val="32"/>
          <w:shd w:val="clear" w:color="auto" w:fill="FFFFFF"/>
          <w:lang w:val="zh-CN"/>
        </w:rPr>
      </w:pPr>
      <w:r>
        <w:rPr>
          <w:rFonts w:hint="eastAsia" w:ascii="仿宋_GB2312" w:hAnsi="仿宋_GB2312" w:eastAsia="仿宋_GB2312" w:cs="仿宋_GB2312"/>
          <w:b/>
          <w:bCs/>
          <w:kern w:val="0"/>
          <w:sz w:val="32"/>
          <w:szCs w:val="32"/>
          <w:shd w:val="clear" w:color="auto" w:fill="FFFFFF"/>
          <w:lang w:val="zh-CN"/>
        </w:rPr>
        <w:t>（三）改进建议。</w:t>
      </w:r>
    </w:p>
    <w:p>
      <w:pPr>
        <w:pStyle w:val="6"/>
        <w:keepNext w:val="0"/>
        <w:keepLines w:val="0"/>
        <w:pageBreakBefore w:val="0"/>
        <w:kinsoku/>
        <w:wordWrap/>
        <w:overflowPunct/>
        <w:topLinePunct w:val="0"/>
        <w:autoSpaceDE/>
        <w:bidi w:val="0"/>
        <w:spacing w:before="93" w:line="600" w:lineRule="exact"/>
        <w:ind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一是积极开展法律法规学习培训。加强政策学习，提高思想认识。加强对《预算法》《行政事业单位会计制度》等学习培训，进一步提高预算管理意识，规范部门预算收支核算，切实提高部门预算收支管理水平。二是加强沟通协调，提高预算准确性和完整性。在今后预算绩效管理工作中，进一步完善各项绩效目标管理相关指标体系、制度、方法，进一步提高绩效管理相关数据、信息的准确性和完整性，缩小设定的绩效目标值与实际完成数偏离程度，提高财政资金使用绩效管理效率。</w:t>
      </w:r>
    </w:p>
    <w:p>
      <w:pPr>
        <w:pStyle w:val="6"/>
        <w:keepNext w:val="0"/>
        <w:keepLines w:val="0"/>
        <w:pageBreakBefore w:val="0"/>
        <w:kinsoku/>
        <w:wordWrap/>
        <w:overflowPunct/>
        <w:topLinePunct w:val="0"/>
        <w:autoSpaceDE/>
        <w:bidi w:val="0"/>
        <w:spacing w:before="93" w:line="600" w:lineRule="exact"/>
        <w:textAlignment w:val="auto"/>
        <w:rPr>
          <w:rFonts w:hint="eastAsia" w:ascii="仿宋_GB2312" w:hAnsi="仿宋_GB2312" w:eastAsia="仿宋_GB2312" w:cs="仿宋_GB2312"/>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p>
      <w:pPr>
        <w:pStyle w:val="6"/>
        <w:keepNext w:val="0"/>
        <w:keepLines w:val="0"/>
        <w:pageBreakBefore w:val="0"/>
        <w:kinsoku/>
        <w:wordWrap/>
        <w:overflowPunct/>
        <w:topLinePunct w:val="0"/>
        <w:autoSpaceDE/>
        <w:bidi w:val="0"/>
        <w:spacing w:before="93" w:line="600" w:lineRule="exact"/>
        <w:textAlignment w:val="auto"/>
        <w:rPr>
          <w:rFonts w:hint="eastAsia" w:hAnsi="宋体" w:cs="宋体"/>
          <w:sz w:val="32"/>
          <w:szCs w:val="32"/>
          <w:shd w:val="clear" w:color="auto" w:fill="FFFFFF"/>
          <w:lang w:val="zh-CN"/>
        </w:rPr>
      </w:pPr>
    </w:p>
    <w:tbl>
      <w:tblPr>
        <w:tblStyle w:val="15"/>
        <w:tblpPr w:leftFromText="180" w:rightFromText="180" w:vertAnchor="text" w:horzAnchor="page" w:tblpX="1387" w:tblpY="33"/>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w:t>
            </w:r>
            <w:bookmarkStart w:id="59" w:name="hmjd_error_2_0_类_黑马提示无建议_13742"/>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类</w:t>
            </w:r>
            <w:bookmarkEnd w:id="59"/>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（全区老干部及一线工作人员慰问经费）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慰问全区离退休老干部及一线工作人员</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完成慰问全区离退休老干部57人及一线工作人员</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458"/>
              </w:tabs>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慰问全区离退休老干部及一线工作人员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全区离退休老干部57人及一线工作人员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全区离退休老干部57人及一线工作人员</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完成重大节日走访慰问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完成重大节日走访慰问</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完成重大节日走访慰问</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95"/>
              </w:tabs>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慰问时间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2021年春节前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2021年春节前</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慰问经费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4.85万元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体现区政府对离退休老干部和一线工作人员的关心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体现区政府对离退休老干部和一线工作人员的关心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体现区政府对离退休老干部和一线工作人员的关心</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满意度</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离退休老干部及一线工作人员满意度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spacing w:line="580" w:lineRule="exact"/>
        <w:rPr>
          <w:rStyle w:val="27"/>
          <w:rFonts w:ascii="黑体" w:hAnsi="黑体" w:eastAsia="黑体"/>
          <w:b w:val="0"/>
        </w:rPr>
      </w:pPr>
    </w:p>
    <w:p>
      <w:pPr>
        <w:pStyle w:val="2"/>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579"/>
        <w:gridCol w:w="1525"/>
        <w:gridCol w:w="1718"/>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（纪检监察工作经费）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促有关单位认真履行主体责任，完成党风廉政工作任务；围绕监督单位重点工作，贯通运用监督执纪“四种形态”，精准监督执纪，使被监督单位的干部职工筑牢思想防线，树立廉洁从政意识，干部队伍建设和工作作风明显好转</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完成党风廉政工作任务；围绕监督单位重点工作，贯通运用监督执纪“四种形态”，精准监督执纪，使被监督单位的干部职工筑牢思想防线，树立廉洁从政意识，干部队伍建设和工作作风明显好转</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完成</w:t>
            </w:r>
          </w:p>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数量指标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458"/>
              </w:tabs>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参加业务培训</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3次以上</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1"/>
                <w:szCs w:val="21"/>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0"/>
                <w:sz w:val="21"/>
                <w:szCs w:val="21"/>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订阅纪检监察报纸杂志</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2种</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质量指标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建设纪检监察系统的检举举报平台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2021年年底前完成检举举报平台主体工程建设和大数据应用平台部署应用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时效指标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tabs>
                <w:tab w:val="left" w:pos="395"/>
              </w:tabs>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完成时限</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2021年</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成本指标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办公经费</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效益</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社会效益指标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纪检监察干部的履职能力不断增强，更好适应新形势、新任务、新要求</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纪检监察干部认真履职、勇于担当、敢于监督，纪检监察工作有序开展，取得实效</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纪检监察干部认真履职、勇于担当、敢于监督，纪检监察工作有序开展，取得实效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满意</w:t>
            </w:r>
            <w:r>
              <w:rPr>
                <w:rFonts w:hint="eastAsia" w:ascii="仿宋_GB2312" w:hAnsi="仿宋_GB2312" w:eastAsia="仿宋_GB2312" w:cs="仿宋_GB2312"/>
                <w:kern w:val="0"/>
                <w:sz w:val="21"/>
                <w:szCs w:val="21"/>
                <w:lang w:bidi="ar"/>
              </w:rPr>
              <w:br w:type="textWrapping"/>
            </w:r>
            <w:r>
              <w:rPr>
                <w:rFonts w:hint="eastAsia" w:ascii="仿宋_GB2312" w:hAnsi="仿宋_GB2312" w:eastAsia="仿宋_GB2312" w:cs="仿宋_GB2312"/>
                <w:kern w:val="0"/>
                <w:sz w:val="21"/>
                <w:szCs w:val="21"/>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被监督单位干部职工满意度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r>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（政策研究咨询经费）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20.36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20.36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开展政策解读、咨询、政务调研、信息工作、地方志（党史）工作</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完成政策解读、咨询、政务调研、信息工作、地方志（党史）工作任务</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数量指标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出版发行《攀枝花市西区年鉴》《中共攀枝花市西区执政实录》</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印制《攀枝花市西区年鉴》355册，《中共攀枝花市西区执政实录》350册</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印制《攀枝花市西区年鉴》355册，《中共攀枝花市西区执政实录》350册</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0"/>
                <w:sz w:val="21"/>
                <w:szCs w:val="21"/>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开展政策解读、咨询及政务工作调研</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重要政策解读、咨询及政务调研</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质量指标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政策研究咨询工作及地方志（党史）工作完成率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时效指标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完成时限</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2021年</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成本指标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政策研究咨询工作</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15万元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6.95万元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0"/>
                <w:sz w:val="21"/>
                <w:szCs w:val="21"/>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出版发行《攀枝花市西区年鉴》《中共攀枝花市西区执政实录》</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17万元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13.41万元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bidi="ar"/>
              </w:rPr>
              <w:t>社会效益  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满足群众精神文化需求</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弘扬史志文化，不断以思想文化新觉醒、理论创造新成果、文化建设新成就推动社会经济事业向前发展</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弘扬史志文化，不断以思想文化新觉醒、理论创造新成果、文化建设新成就推动社会经济事业向前发展</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区级各部门满意度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Style w:val="33"/>
                <w:rFonts w:hint="eastAsia" w:ascii="仿宋_GB2312" w:hAnsi="仿宋_GB2312" w:eastAsia="仿宋_GB2312" w:cs="仿宋_GB2312"/>
                <w:sz w:val="21"/>
                <w:szCs w:val="21"/>
                <w:lang w:val="en-US" w:eastAsia="zh-CN" w:bidi="ar"/>
              </w:rPr>
              <w:t>≥</w:t>
            </w:r>
            <w:r>
              <w:rPr>
                <w:rStyle w:val="34"/>
                <w:rFonts w:hint="eastAsia" w:ascii="仿宋_GB2312" w:hAnsi="仿宋_GB2312" w:eastAsia="仿宋_GB2312" w:cs="仿宋_GB2312"/>
                <w:sz w:val="21"/>
                <w:szCs w:val="21"/>
                <w:lang w:val="en-US" w:eastAsia="zh-CN" w:bidi="ar"/>
              </w:rPr>
              <w:t>95%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Style w:val="33"/>
                <w:rFonts w:hint="eastAsia" w:ascii="仿宋_GB2312" w:hAnsi="仿宋_GB2312" w:eastAsia="仿宋_GB2312" w:cs="仿宋_GB2312"/>
                <w:sz w:val="21"/>
                <w:szCs w:val="21"/>
                <w:lang w:val="en-US" w:eastAsia="zh-CN" w:bidi="ar"/>
              </w:rPr>
              <w:t>≥</w:t>
            </w:r>
            <w:r>
              <w:rPr>
                <w:rStyle w:val="34"/>
                <w:rFonts w:hint="eastAsia" w:ascii="仿宋_GB2312" w:hAnsi="仿宋_GB2312" w:eastAsia="仿宋_GB2312" w:cs="仿宋_GB2312"/>
                <w:sz w:val="21"/>
                <w:szCs w:val="21"/>
                <w:lang w:val="en-US" w:eastAsia="zh-CN" w:bidi="ar"/>
              </w:rPr>
              <w:t>95%</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sz w:val="21"/>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领取书籍单位满意度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（政府业务经费）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68.79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68.79</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完成重大项目推进、招商引资、政务信息、各类会议、重大活动等全年各项目标任务</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完成重大项目推进、招商引资、政务信息、各类会议、重大活动等全年各项目标任务</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数量指标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完成全区重大项目推进工作任务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完成全区重大项目推进工作任务</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按计划完成全区重大项目推进工作任务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p>
        </w:tc>
        <w:tc>
          <w:tcPr>
            <w:tcW w:w="1635"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1"/>
                <w:szCs w:val="21"/>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办好全区各项重大活动</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办好各类节日活动及项目竞进拉练等重大活动</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完成项目竞进拉练等重大活动</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1"/>
                <w:szCs w:val="21"/>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召开政府全体会、常务会、经济工作、城市建设、环境保护、农业农村等各类会议及培训</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360余次</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360余次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质量指标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按计划保质保量完成各项工作任务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工作完成率100%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工作完成率100%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时效指标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完成时间</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2021年</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2021年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成本指标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工作经费</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83万元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65.79万元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社会效益  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确保区政府各项工作和服务正常运行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确保区政府各项工作和服务正常运行</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确保区政府各项工作和服务正常运行</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满意度</w:t>
            </w:r>
          </w:p>
          <w:p>
            <w:pPr>
              <w:widowControl/>
              <w:spacing w:line="320" w:lineRule="exact"/>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区级各部门满意度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95%以上</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95%以上</w:t>
            </w:r>
          </w:p>
        </w:tc>
      </w:tr>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（疫情防控、森林草原防灭火信息发布服务工作经费）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持续做好常态化疫情防控工作和森林草原防灭火工作</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持续做好常态化疫情防控工作和森林草原防灭火工作</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信息发布条数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462.5万条</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462.5万条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做好常态化疫情防控工作和森林草原防灭火工作</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做好常态化疫情防控工作和森林草原防灭火工作</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做好常态化疫情防控工作和森林草原防灭火工作</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2021年</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2021年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信息发布经费</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38万元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社会效益  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体现区政府对离退休老干部和一线工作人员的关心</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体现区政府对离退休老干部和一线工作人员的关心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体现区政府对离退休老干部和一线工作人员的关心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工作经费使用率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满意度</w:t>
            </w:r>
          </w:p>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社会公众满意度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Style w:val="35"/>
                <w:rFonts w:hint="eastAsia" w:ascii="仿宋_GB2312" w:hAnsi="仿宋_GB2312" w:eastAsia="仿宋_GB2312" w:cs="仿宋_GB2312"/>
                <w:sz w:val="24"/>
                <w:szCs w:val="24"/>
                <w:lang w:val="en-US" w:eastAsia="zh-CN" w:bidi="ar"/>
              </w:rPr>
              <w:t>≥</w:t>
            </w:r>
            <w:r>
              <w:rPr>
                <w:rStyle w:val="36"/>
                <w:rFonts w:hint="eastAsia" w:ascii="仿宋_GB2312" w:hAnsi="仿宋_GB2312" w:eastAsia="仿宋_GB2312" w:cs="仿宋_GB2312"/>
                <w:sz w:val="24"/>
                <w:szCs w:val="24"/>
                <w:lang w:val="en-US" w:eastAsia="zh-CN" w:bidi="ar"/>
              </w:rPr>
              <w:t>95%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Style w:val="35"/>
                <w:rFonts w:hint="eastAsia" w:ascii="仿宋_GB2312" w:hAnsi="仿宋_GB2312" w:eastAsia="仿宋_GB2312" w:cs="仿宋_GB2312"/>
                <w:sz w:val="24"/>
                <w:szCs w:val="24"/>
                <w:lang w:val="en-US" w:eastAsia="zh-CN" w:bidi="ar"/>
              </w:rPr>
              <w:t>≥</w:t>
            </w:r>
            <w:r>
              <w:rPr>
                <w:rStyle w:val="36"/>
                <w:rFonts w:hint="eastAsia" w:ascii="仿宋_GB2312" w:hAnsi="仿宋_GB2312" w:eastAsia="仿宋_GB2312" w:cs="仿宋_GB2312"/>
                <w:sz w:val="24"/>
                <w:szCs w:val="24"/>
                <w:lang w:val="en-US" w:eastAsia="zh-CN" w:bidi="ar"/>
              </w:rPr>
              <w:t>95%</w:t>
            </w:r>
          </w:p>
        </w:tc>
      </w:tr>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pPr>
            <w:r>
              <w:rPr>
                <w:rFonts w:hint="default" w:ascii="方正小标宋_GBK" w:hAnsi="方正小标宋_GBK" w:eastAsia="方正小标宋_GBK" w:cs="方正小标宋_GBK"/>
                <w:b w:val="0"/>
                <w:bCs w:val="0"/>
                <w:caps w:val="0"/>
                <w:color w:val="auto"/>
                <w:kern w:val="2"/>
                <w:sz w:val="36"/>
                <w:szCs w:val="36"/>
                <w:vertAlign w:val="baseline"/>
                <w:lang w:val="en-US" w:eastAsia="zh-CN" w:bidi="ar"/>
              </w:rPr>
              <w:t>2021年特定</w:t>
            </w:r>
            <w:r>
              <w:rPr>
                <w:rFonts w:hint="eastAsia" w:ascii="方正小标宋_GBK" w:hAnsi="方正小标宋_GBK" w:eastAsia="方正小标宋_GBK" w:cs="方正小标宋_GBK"/>
                <w:b w:val="0"/>
                <w:bCs w:val="0"/>
                <w:caps w:val="0"/>
                <w:color w:val="auto"/>
                <w:kern w:val="2"/>
                <w:sz w:val="36"/>
                <w:szCs w:val="36"/>
                <w:vertAlign w:val="baseline"/>
                <w:lang w:val="en-US" w:eastAsia="zh-CN" w:bidi="ar"/>
              </w:rPr>
              <w:t>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val="0"/>
                <w:bCs/>
                <w:sz w:val="32"/>
                <w:szCs w:val="32"/>
                <w:lang w:eastAsia="zh-CN"/>
              </w:rPr>
              <w:t>（省政府视频会议系统建设管理工作经费）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主管部门及代码</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127001</w:t>
            </w:r>
            <w:r>
              <w:rPr>
                <w:rFonts w:hint="eastAsia" w:ascii="仿宋_GB2312" w:hAnsi="仿宋_GB2312" w:eastAsia="仿宋_GB2312" w:cs="仿宋_GB2312"/>
                <w:sz w:val="24"/>
                <w:szCs w:val="24"/>
                <w:lang w:eastAsia="zh-CN"/>
              </w:rPr>
              <w:t>攀枝花市西区人民政府办公室</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实施单位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攀枝花市西区人民政府办公室</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项目预算</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执行情况</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预算数：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 执行数：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财政拨款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其他资金</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完成情况</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完成省政府要求的视频会议系统建设</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完成省政府要求的视频会议系统建设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w:t>
            </w:r>
          </w:p>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终端</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1台</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6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kern w:val="0"/>
                <w:sz w:val="24"/>
                <w:szCs w:val="24"/>
                <w:lang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摄像机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质量指标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保质保量完成视频会议系统建设</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保质保量完成视频会议系统建设</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保质保量完成视频会议系统建设</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时效指标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2021年</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2021年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成本指标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建设经费</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6万元</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6万元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可持续影响 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资金使用效率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4"/>
                <w:szCs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满意度</w:t>
            </w:r>
          </w:p>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参会部门满意度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100%</w:t>
            </w:r>
          </w:p>
        </w:tc>
      </w:tr>
    </w:tbl>
    <w:p>
      <w:pPr>
        <w:keepNext w:val="0"/>
        <w:keepLines w:val="0"/>
        <w:pageBreakBefore w:val="0"/>
        <w:widowControl/>
        <w:kinsoku/>
        <w:wordWrap/>
        <w:overflowPunct/>
        <w:topLinePunct w:val="0"/>
        <w:autoSpaceDE/>
        <w:autoSpaceDN/>
        <w:bidi w:val="0"/>
        <w:adjustRightInd/>
        <w:snapToGrid/>
        <w:spacing w:line="400" w:lineRule="exact"/>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Fonts w:ascii="仿宋" w:hAnsi="仿宋" w:eastAsia="仿宋"/>
        </w:rPr>
      </w:pPr>
      <w:bookmarkStart w:id="60" w:name="_Toc15396618"/>
      <w:r>
        <w:rPr>
          <w:rFonts w:hint="eastAsia" w:ascii="黑体" w:hAnsi="黑体" w:eastAsia="黑体"/>
          <w:sz w:val="44"/>
          <w:szCs w:val="44"/>
        </w:rPr>
        <w:t>第</w:t>
      </w:r>
      <w:r>
        <w:rPr>
          <w:rStyle w:val="27"/>
          <w:rFonts w:hint="eastAsia" w:ascii="黑体" w:hAnsi="黑体" w:eastAsia="黑体"/>
          <w:b w:val="0"/>
        </w:rPr>
        <w:t>五部分 附表</w:t>
      </w:r>
      <w:bookmarkEnd w:id="57"/>
      <w:bookmarkEnd w:id="60"/>
      <w:bookmarkStart w:id="61" w:name="_Toc15396619"/>
    </w:p>
    <w:p>
      <w:pPr>
        <w:pStyle w:val="4"/>
        <w:rPr>
          <w:rFonts w:hint="eastAsia" w:ascii="仿宋_GB2312" w:hAnsi="仿宋_GB2312" w:eastAsia="仿宋_GB2312" w:cs="仿宋_GB2312"/>
        </w:rPr>
      </w:pPr>
      <w:r>
        <w:rPr>
          <w:rFonts w:hint="eastAsia" w:ascii="仿宋_GB2312" w:hAnsi="仿宋_GB2312" w:eastAsia="仿宋_GB2312" w:cs="仿宋_GB2312"/>
          <w:b w:val="0"/>
        </w:rPr>
        <w:t>一、收</w:t>
      </w:r>
      <w:r>
        <w:rPr>
          <w:rStyle w:val="28"/>
          <w:rFonts w:hint="eastAsia" w:ascii="仿宋_GB2312" w:hAnsi="仿宋_GB2312" w:eastAsia="仿宋_GB2312" w:cs="仿宋_GB2312"/>
          <w:b w:val="0"/>
          <w:bCs w:val="0"/>
        </w:rPr>
        <w:t>入支出决算总表</w:t>
      </w:r>
      <w:bookmarkEnd w:id="61"/>
    </w:p>
    <w:p>
      <w:pPr>
        <w:pStyle w:val="4"/>
        <w:rPr>
          <w:rFonts w:hint="eastAsia" w:ascii="仿宋_GB2312" w:hAnsi="仿宋_GB2312" w:eastAsia="仿宋_GB2312" w:cs="仿宋_GB2312"/>
        </w:rPr>
      </w:pPr>
      <w:bookmarkStart w:id="62" w:name="_Toc15396620"/>
      <w:r>
        <w:rPr>
          <w:rFonts w:hint="eastAsia" w:ascii="仿宋_GB2312" w:hAnsi="仿宋_GB2312" w:eastAsia="仿宋_GB2312" w:cs="仿宋_GB2312"/>
          <w:b w:val="0"/>
        </w:rPr>
        <w:t>二、收</w:t>
      </w:r>
      <w:r>
        <w:rPr>
          <w:rStyle w:val="28"/>
          <w:rFonts w:hint="eastAsia" w:ascii="仿宋_GB2312" w:hAnsi="仿宋_GB2312" w:eastAsia="仿宋_GB2312" w:cs="仿宋_GB2312"/>
          <w:b w:val="0"/>
          <w:bCs w:val="0"/>
        </w:rPr>
        <w:t>入决算表</w:t>
      </w:r>
      <w:bookmarkEnd w:id="62"/>
    </w:p>
    <w:p>
      <w:pPr>
        <w:pStyle w:val="4"/>
        <w:rPr>
          <w:rFonts w:hint="eastAsia" w:ascii="仿宋_GB2312" w:hAnsi="仿宋_GB2312" w:eastAsia="仿宋_GB2312" w:cs="仿宋_GB2312"/>
        </w:rPr>
      </w:pPr>
      <w:bookmarkStart w:id="63" w:name="_Toc15396621"/>
      <w:r>
        <w:rPr>
          <w:rStyle w:val="28"/>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8"/>
          <w:rFonts w:hint="eastAsia" w:ascii="仿宋_GB2312" w:hAnsi="仿宋_GB2312" w:eastAsia="仿宋_GB2312" w:cs="仿宋_GB2312"/>
          <w:b w:val="0"/>
          <w:bCs w:val="0"/>
        </w:rPr>
        <w:t>出决算表</w:t>
      </w:r>
      <w:bookmarkEnd w:id="63"/>
    </w:p>
    <w:p>
      <w:pPr>
        <w:pStyle w:val="4"/>
        <w:rPr>
          <w:rFonts w:hint="eastAsia" w:ascii="仿宋_GB2312" w:hAnsi="仿宋_GB2312" w:eastAsia="仿宋_GB2312" w:cs="仿宋_GB2312"/>
          <w:b w:val="0"/>
        </w:rPr>
      </w:pPr>
      <w:bookmarkStart w:id="64" w:name="_Toc15396622"/>
      <w:r>
        <w:rPr>
          <w:rStyle w:val="28"/>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政拨款收入支出决算总表</w:t>
      </w:r>
      <w:bookmarkEnd w:id="64"/>
    </w:p>
    <w:p>
      <w:pPr>
        <w:pStyle w:val="4"/>
        <w:rPr>
          <w:rStyle w:val="28"/>
          <w:rFonts w:hint="eastAsia" w:ascii="仿宋_GB2312" w:hAnsi="仿宋_GB2312" w:eastAsia="仿宋_GB2312" w:cs="仿宋_GB2312"/>
          <w:b w:val="0"/>
          <w:bCs w:val="0"/>
        </w:rPr>
      </w:pPr>
      <w:bookmarkStart w:id="65" w:name="_Toc15396623"/>
      <w:r>
        <w:rPr>
          <w:rStyle w:val="28"/>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8"/>
          <w:rFonts w:hint="eastAsia" w:ascii="仿宋_GB2312" w:hAnsi="仿宋_GB2312" w:eastAsia="仿宋_GB2312" w:cs="仿宋_GB2312"/>
          <w:b w:val="0"/>
          <w:bCs w:val="0"/>
        </w:rPr>
        <w:t>政拨款支出决算明细表</w:t>
      </w:r>
      <w:bookmarkEnd w:id="65"/>
      <w:bookmarkStart w:id="66" w:name="_Toc15396624"/>
    </w:p>
    <w:p>
      <w:pPr>
        <w:pStyle w:val="4"/>
        <w:rPr>
          <w:rFonts w:hint="eastAsia" w:ascii="仿宋_GB2312" w:hAnsi="仿宋_GB2312" w:eastAsia="仿宋_GB2312" w:cs="仿宋_GB2312"/>
        </w:rPr>
      </w:pPr>
      <w:r>
        <w:rPr>
          <w:rStyle w:val="28"/>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般公共预算财政拨款支出决算表</w:t>
      </w:r>
      <w:bookmarkEnd w:id="66"/>
    </w:p>
    <w:p>
      <w:pPr>
        <w:pStyle w:val="4"/>
        <w:rPr>
          <w:rFonts w:hint="eastAsia" w:ascii="仿宋_GB2312" w:hAnsi="仿宋_GB2312" w:eastAsia="仿宋_GB2312" w:cs="仿宋_GB2312"/>
        </w:rPr>
      </w:pPr>
      <w:bookmarkStart w:id="67" w:name="_Toc15396625"/>
      <w:r>
        <w:rPr>
          <w:rStyle w:val="28"/>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般公共预算财政拨款支出决算明细表</w:t>
      </w:r>
      <w:bookmarkEnd w:id="67"/>
    </w:p>
    <w:p>
      <w:pPr>
        <w:pStyle w:val="4"/>
        <w:rPr>
          <w:rFonts w:hint="eastAsia" w:ascii="仿宋_GB2312" w:hAnsi="仿宋_GB2312" w:eastAsia="仿宋_GB2312" w:cs="仿宋_GB2312"/>
        </w:rPr>
      </w:pPr>
      <w:bookmarkStart w:id="68" w:name="_Toc15396626"/>
      <w:r>
        <w:rPr>
          <w:rStyle w:val="28"/>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般公共预算财政拨款基本支出决算表</w:t>
      </w:r>
      <w:bookmarkEnd w:id="68"/>
    </w:p>
    <w:p>
      <w:pPr>
        <w:pStyle w:val="4"/>
        <w:rPr>
          <w:rFonts w:hint="eastAsia" w:ascii="仿宋_GB2312" w:hAnsi="仿宋_GB2312" w:eastAsia="仿宋_GB2312" w:cs="仿宋_GB2312"/>
        </w:rPr>
      </w:pPr>
      <w:bookmarkStart w:id="69" w:name="_Toc15396627"/>
      <w:r>
        <w:rPr>
          <w:rStyle w:val="28"/>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般公共预算财政拨款项目支出决算表</w:t>
      </w:r>
      <w:bookmarkEnd w:id="69"/>
    </w:p>
    <w:p>
      <w:pPr>
        <w:pStyle w:val="4"/>
        <w:rPr>
          <w:rFonts w:hint="eastAsia" w:ascii="仿宋_GB2312" w:hAnsi="仿宋_GB2312" w:eastAsia="仿宋_GB2312" w:cs="仿宋_GB2312"/>
        </w:rPr>
      </w:pPr>
      <w:bookmarkStart w:id="70" w:name="_Toc15396628"/>
      <w:r>
        <w:rPr>
          <w:rStyle w:val="28"/>
          <w:rFonts w:hint="eastAsia" w:ascii="仿宋_GB2312" w:hAnsi="仿宋_GB2312" w:eastAsia="仿宋_GB2312" w:cs="仿宋_GB2312"/>
          <w:b w:val="0"/>
          <w:bCs w:val="0"/>
        </w:rPr>
        <w:t>十、</w:t>
      </w:r>
      <w:r>
        <w:rPr>
          <w:rFonts w:hint="eastAsia" w:ascii="仿宋_GB2312" w:hAnsi="仿宋_GB2312" w:eastAsia="仿宋_GB2312" w:cs="仿宋_GB2312"/>
          <w:b w:val="0"/>
        </w:rPr>
        <w:t>一</w:t>
      </w:r>
      <w:r>
        <w:rPr>
          <w:rStyle w:val="28"/>
          <w:rFonts w:hint="eastAsia" w:ascii="仿宋_GB2312" w:hAnsi="仿宋_GB2312" w:eastAsia="仿宋_GB2312" w:cs="仿宋_GB2312"/>
          <w:b w:val="0"/>
          <w:bCs w:val="0"/>
        </w:rPr>
        <w:t>般公共预算财政拨款“三公”经费支出决算表</w:t>
      </w:r>
      <w:bookmarkEnd w:id="70"/>
    </w:p>
    <w:p>
      <w:pPr>
        <w:pStyle w:val="4"/>
        <w:rPr>
          <w:rFonts w:hint="eastAsia" w:ascii="仿宋_GB2312" w:hAnsi="仿宋_GB2312" w:eastAsia="仿宋_GB2312" w:cs="仿宋_GB2312"/>
        </w:rPr>
      </w:pPr>
      <w:bookmarkStart w:id="71" w:name="_Toc15396629"/>
      <w:r>
        <w:rPr>
          <w:rStyle w:val="28"/>
          <w:rFonts w:hint="eastAsia" w:ascii="仿宋_GB2312" w:hAnsi="仿宋_GB2312" w:eastAsia="仿宋_GB2312" w:cs="仿宋_GB2312"/>
          <w:b w:val="0"/>
          <w:bCs w:val="0"/>
        </w:rPr>
        <w:t>十一、</w:t>
      </w:r>
      <w:r>
        <w:rPr>
          <w:rFonts w:hint="eastAsia" w:ascii="仿宋_GB2312" w:hAnsi="仿宋_GB2312" w:eastAsia="仿宋_GB2312" w:cs="仿宋_GB2312"/>
          <w:b w:val="0"/>
        </w:rPr>
        <w:t>政</w:t>
      </w:r>
      <w:r>
        <w:rPr>
          <w:rStyle w:val="28"/>
          <w:rFonts w:hint="eastAsia" w:ascii="仿宋_GB2312" w:hAnsi="仿宋_GB2312" w:eastAsia="仿宋_GB2312" w:cs="仿宋_GB2312"/>
          <w:b w:val="0"/>
          <w:bCs w:val="0"/>
        </w:rPr>
        <w:t>府性基金预算财政拨款收入支出决算表</w:t>
      </w:r>
      <w:bookmarkEnd w:id="71"/>
    </w:p>
    <w:p>
      <w:pPr>
        <w:pStyle w:val="4"/>
        <w:rPr>
          <w:rFonts w:hint="eastAsia" w:ascii="仿宋_GB2312" w:hAnsi="仿宋_GB2312" w:eastAsia="仿宋_GB2312" w:cs="仿宋_GB2312"/>
        </w:rPr>
      </w:pPr>
      <w:bookmarkStart w:id="72" w:name="_Toc15396630"/>
      <w:r>
        <w:rPr>
          <w:rStyle w:val="28"/>
          <w:rFonts w:hint="eastAsia" w:ascii="仿宋_GB2312" w:hAnsi="仿宋_GB2312" w:eastAsia="仿宋_GB2312" w:cs="仿宋_GB2312"/>
          <w:b w:val="0"/>
          <w:bCs w:val="0"/>
        </w:rPr>
        <w:t>十二、</w:t>
      </w:r>
      <w:r>
        <w:rPr>
          <w:rFonts w:hint="eastAsia" w:ascii="仿宋_GB2312" w:hAnsi="仿宋_GB2312" w:eastAsia="仿宋_GB2312" w:cs="仿宋_GB2312"/>
          <w:b w:val="0"/>
        </w:rPr>
        <w:t>政</w:t>
      </w:r>
      <w:r>
        <w:rPr>
          <w:rStyle w:val="28"/>
          <w:rFonts w:hint="eastAsia" w:ascii="仿宋_GB2312" w:hAnsi="仿宋_GB2312" w:eastAsia="仿宋_GB2312" w:cs="仿宋_GB2312"/>
          <w:b w:val="0"/>
          <w:bCs w:val="0"/>
        </w:rPr>
        <w:t>府性基金预算财政拨款“三公”经费支出决算表</w:t>
      </w:r>
      <w:bookmarkEnd w:id="72"/>
    </w:p>
    <w:p>
      <w:pPr>
        <w:pStyle w:val="4"/>
        <w:rPr>
          <w:rStyle w:val="28"/>
          <w:rFonts w:hint="eastAsia" w:ascii="仿宋_GB2312" w:hAnsi="仿宋_GB2312" w:eastAsia="仿宋_GB2312" w:cs="仿宋_GB2312"/>
          <w:b w:val="0"/>
          <w:bCs w:val="0"/>
        </w:rPr>
      </w:pPr>
      <w:bookmarkStart w:id="73" w:name="_Toc15396631"/>
      <w:r>
        <w:rPr>
          <w:rStyle w:val="28"/>
          <w:rFonts w:hint="eastAsia" w:ascii="仿宋_GB2312" w:hAnsi="仿宋_GB2312" w:eastAsia="仿宋_GB2312" w:cs="仿宋_GB2312"/>
          <w:b w:val="0"/>
          <w:bCs w:val="0"/>
        </w:rPr>
        <w:t>十三、</w:t>
      </w:r>
      <w:r>
        <w:rPr>
          <w:rFonts w:hint="eastAsia" w:ascii="仿宋_GB2312" w:hAnsi="仿宋_GB2312" w:eastAsia="仿宋_GB2312" w:cs="仿宋_GB2312"/>
          <w:b w:val="0"/>
        </w:rPr>
        <w:t>国</w:t>
      </w:r>
      <w:r>
        <w:rPr>
          <w:rStyle w:val="28"/>
          <w:rFonts w:hint="eastAsia" w:ascii="仿宋_GB2312" w:hAnsi="仿宋_GB2312" w:eastAsia="仿宋_GB2312" w:cs="仿宋_GB2312"/>
          <w:b w:val="0"/>
          <w:bCs w:val="0"/>
        </w:rPr>
        <w:t>有资本经营预算财政拨款收入支出决算表</w:t>
      </w:r>
      <w:bookmarkEnd w:id="73"/>
    </w:p>
    <w:p>
      <w:pPr>
        <w:rPr>
          <w:rFonts w:hint="eastAsia" w:ascii="仿宋_GB2312" w:hAnsi="仿宋_GB2312" w:eastAsia="仿宋_GB2312" w:cs="仿宋_GB2312"/>
        </w:rPr>
      </w:pPr>
      <w:r>
        <w:rPr>
          <w:rStyle w:val="28"/>
          <w:rFonts w:hint="eastAsia" w:ascii="仿宋_GB2312" w:hAnsi="仿宋_GB2312" w:eastAsia="仿宋_GB2312" w:cs="仿宋_GB2312"/>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Helvetica Neue">
    <w:altName w:val="DejaVu Math TeX Gyre"/>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21</w:t>
                              </w:r>
                              <w:r>
                                <w:rPr>
                                  <w:rFonts w:hint="eastAsia" w:ascii="仿宋_GB2312" w:hAnsi="仿宋_GB2312" w:eastAsia="仿宋_GB2312" w:cs="仿宋_GB2312"/>
                                  <w:sz w:val="32"/>
                                  <w:szCs w:val="32"/>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0"/>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21</w:t>
                        </w:r>
                        <w:r>
                          <w:rPr>
                            <w:rFonts w:hint="eastAsia" w:ascii="仿宋_GB2312" w:hAnsi="仿宋_GB2312" w:eastAsia="仿宋_GB2312" w:cs="仿宋_GB2312"/>
                            <w:sz w:val="32"/>
                            <w:szCs w:val="32"/>
                          </w:rPr>
                          <w:fldChar w:fldCharType="end"/>
                        </w:r>
                      </w:p>
                    </w:sdtContent>
                  </w:sdt>
                  <w:p>
                    <w:pPr>
                      <w:pStyle w:val="2"/>
                    </w:pP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0F01134E"/>
    <w:rsid w:val="101860EC"/>
    <w:rsid w:val="10C055FF"/>
    <w:rsid w:val="118107EC"/>
    <w:rsid w:val="13D50BC4"/>
    <w:rsid w:val="16BB723D"/>
    <w:rsid w:val="1BE8440E"/>
    <w:rsid w:val="1D155CEE"/>
    <w:rsid w:val="23860B96"/>
    <w:rsid w:val="240371BF"/>
    <w:rsid w:val="29FD04D3"/>
    <w:rsid w:val="2C8A61B5"/>
    <w:rsid w:val="2DF04E50"/>
    <w:rsid w:val="319F7F4E"/>
    <w:rsid w:val="35FBD4EC"/>
    <w:rsid w:val="36AA5135"/>
    <w:rsid w:val="37E16F03"/>
    <w:rsid w:val="3AFE2098"/>
    <w:rsid w:val="3BBFC67A"/>
    <w:rsid w:val="3D98207C"/>
    <w:rsid w:val="43D3A357"/>
    <w:rsid w:val="44E268DA"/>
    <w:rsid w:val="4A627F82"/>
    <w:rsid w:val="4B4F25DA"/>
    <w:rsid w:val="4BE068DB"/>
    <w:rsid w:val="4D577224"/>
    <w:rsid w:val="4EAB630A"/>
    <w:rsid w:val="4ECE2238"/>
    <w:rsid w:val="5AF92295"/>
    <w:rsid w:val="5CD71FC4"/>
    <w:rsid w:val="6C4A05C8"/>
    <w:rsid w:val="6DBF9B58"/>
    <w:rsid w:val="6E7E3605"/>
    <w:rsid w:val="6FF5CC65"/>
    <w:rsid w:val="715C0E4B"/>
    <w:rsid w:val="72734D90"/>
    <w:rsid w:val="73AD73D5"/>
    <w:rsid w:val="73B6EB34"/>
    <w:rsid w:val="75BFB37C"/>
    <w:rsid w:val="763FF1AE"/>
    <w:rsid w:val="79EE5BA4"/>
    <w:rsid w:val="7A894339"/>
    <w:rsid w:val="7BBE9F78"/>
    <w:rsid w:val="7BD7B3F4"/>
    <w:rsid w:val="7D95FDBF"/>
    <w:rsid w:val="7EEF11D3"/>
    <w:rsid w:val="7FA30C79"/>
    <w:rsid w:val="7FC6D754"/>
    <w:rsid w:val="7FC96657"/>
    <w:rsid w:val="7FF79CC3"/>
    <w:rsid w:val="A825AD18"/>
    <w:rsid w:val="BC3F1CFF"/>
    <w:rsid w:val="BEAB8E93"/>
    <w:rsid w:val="BF7E0369"/>
    <w:rsid w:val="BF7F5C4F"/>
    <w:rsid w:val="BFBB3B87"/>
    <w:rsid w:val="D8D6DB89"/>
    <w:rsid w:val="DB6F4CAB"/>
    <w:rsid w:val="DDB3667E"/>
    <w:rsid w:val="DF6F9789"/>
    <w:rsid w:val="DFF93CD7"/>
    <w:rsid w:val="EEF89657"/>
    <w:rsid w:val="EF7F04CE"/>
    <w:rsid w:val="EFF76DF3"/>
    <w:rsid w:val="F7D54F1E"/>
    <w:rsid w:val="F7FFC83F"/>
    <w:rsid w:val="FB7F0F27"/>
    <w:rsid w:val="FBB38F2B"/>
    <w:rsid w:val="FD9D42EA"/>
    <w:rsid w:val="FEBD88E1"/>
    <w:rsid w:val="FED9276F"/>
    <w:rsid w:val="FFDF8452"/>
    <w:rsid w:val="FFF76F9C"/>
    <w:rsid w:val="FFFF7F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默认"/>
    <w:basedOn w:val="1"/>
    <w:next w:val="1"/>
    <w:qFormat/>
    <w:uiPriority w:val="99"/>
    <w:pPr>
      <w:widowControl/>
    </w:pPr>
    <w:rPr>
      <w:rFonts w:ascii="Helvetica Neue" w:hAnsi="Helvetica Neue" w:cs="Arial Unicode MS"/>
      <w:color w:val="000000"/>
      <w:sz w:val="22"/>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next w:val="12"/>
    <w:semiHidden/>
    <w:unhideWhenUsed/>
    <w:qFormat/>
    <w:uiPriority w:val="99"/>
    <w:pPr>
      <w:keepNext w:val="0"/>
      <w:keepLines w:val="0"/>
      <w:widowControl w:val="0"/>
      <w:suppressLineNumbers w:val="0"/>
      <w:spacing w:before="0" w:beforeAutospacing="1" w:after="0" w:afterAutospacing="1" w:line="240" w:lineRule="auto"/>
      <w:ind w:left="0" w:right="0" w:firstLine="0"/>
      <w:jc w:val="left"/>
    </w:pPr>
    <w:rPr>
      <w:rFonts w:hint="default" w:ascii="Times New Roman" w:hAnsi="Times New Roman" w:eastAsia="宋体" w:cs="Times New Roman"/>
      <w:kern w:val="0"/>
      <w:sz w:val="24"/>
      <w:szCs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41"/>
    <w:basedOn w:val="16"/>
    <w:qFormat/>
    <w:uiPriority w:val="0"/>
    <w:rPr>
      <w:rFonts w:hint="default" w:ascii="东文宋体" w:hAnsi="东文宋体" w:eastAsia="东文宋体" w:cs="东文宋体"/>
      <w:color w:val="000000"/>
      <w:sz w:val="20"/>
      <w:szCs w:val="20"/>
      <w:u w:val="none"/>
    </w:rPr>
  </w:style>
  <w:style w:type="character" w:customStyle="1" w:styleId="34">
    <w:name w:val="font31"/>
    <w:basedOn w:val="16"/>
    <w:qFormat/>
    <w:uiPriority w:val="0"/>
    <w:rPr>
      <w:rFonts w:hint="eastAsia" w:ascii="宋体" w:hAnsi="宋体" w:eastAsia="宋体" w:cs="宋体"/>
      <w:color w:val="000000"/>
      <w:sz w:val="20"/>
      <w:szCs w:val="20"/>
      <w:u w:val="none"/>
    </w:rPr>
  </w:style>
  <w:style w:type="character" w:customStyle="1" w:styleId="35">
    <w:name w:val="font01"/>
    <w:basedOn w:val="16"/>
    <w:qFormat/>
    <w:uiPriority w:val="0"/>
    <w:rPr>
      <w:rFonts w:hint="default" w:ascii="东文宋体" w:hAnsi="东文宋体" w:eastAsia="东文宋体" w:cs="东文宋体"/>
      <w:color w:val="000000"/>
      <w:sz w:val="24"/>
      <w:szCs w:val="24"/>
      <w:u w:val="none"/>
    </w:rPr>
  </w:style>
  <w:style w:type="character" w:customStyle="1" w:styleId="36">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870813397129"/>
          <c:y val="0.227814569536424"/>
          <c:w val="0.885052631578947"/>
          <c:h val="0.55056953642384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2"/>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        </a:t>
                    </a:r>
                    <a:r>
                      <a:t>874.63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2020年</c:v>
                </c:pt>
                <c:pt idx="2">
                  <c:v>2021年</c:v>
                </c:pt>
              </c:strCache>
            </c:strRef>
          </c:cat>
          <c:val>
            <c:numRef>
              <c:f>Sheet1!$B$2:$B$5</c:f>
              <c:numCache>
                <c:formatCode>General</c:formatCode>
                <c:ptCount val="4"/>
                <c:pt idx="0">
                  <c:v>894</c:v>
                </c:pt>
                <c:pt idx="2">
                  <c:v>874.63</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2020年</c:v>
                </c:pt>
                <c:pt idx="2">
                  <c:v>2021年</c:v>
                </c:pt>
              </c:strCache>
            </c:strRef>
          </c:cat>
          <c:val>
            <c:numRef>
              <c:f>Sheet1!$C$2:$C$5</c:f>
              <c:numCache>
                <c:formatCode>General</c:formatCode>
                <c:ptCount val="4"/>
              </c:numCache>
            </c:numRef>
          </c:val>
        </c:ser>
        <c:dLbls>
          <c:showLegendKey val="0"/>
          <c:showVal val="1"/>
          <c:showCatName val="0"/>
          <c:showSerName val="0"/>
          <c:showPercent val="0"/>
          <c:showBubbleSize val="0"/>
        </c:dLbls>
        <c:gapWidth val="444"/>
        <c:overlap val="-90"/>
        <c:axId val="909941101"/>
        <c:axId val="118068668"/>
      </c:barChart>
      <c:catAx>
        <c:axId val="90994110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18068668"/>
        <c:crosses val="autoZero"/>
        <c:auto val="1"/>
        <c:lblAlgn val="ctr"/>
        <c:lblOffset val="100"/>
        <c:noMultiLvlLbl val="0"/>
      </c:catAx>
      <c:valAx>
        <c:axId val="1180686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94110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explosion val="4"/>
            <c:spPr>
              <a:solidFill>
                <a:schemeClr val="accent1"/>
              </a:solidFill>
              <a:ln w="19050">
                <a:solidFill>
                  <a:schemeClr val="lt1"/>
                </a:solidFill>
              </a:ln>
              <a:effectLst/>
            </c:spPr>
          </c:dPt>
          <c:dPt>
            <c:idx val="1"/>
            <c:bubble3D val="0"/>
            <c:explosion val="1"/>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其他收入</c:v>
                </c:pt>
              </c:strCache>
            </c:strRef>
          </c:cat>
          <c:val>
            <c:numRef>
              <c:f>Sheet1!$B$2:$B$5</c:f>
              <c:numCache>
                <c:formatCode>General</c:formatCode>
                <c:ptCount val="4"/>
                <c:pt idx="0">
                  <c:v>739</c:v>
                </c:pt>
                <c:pt idx="1">
                  <c:v>91.5</c:v>
                </c:pt>
                <c:pt idx="2">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66702780787288"/>
          <c:y val="0.6374468085106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12232142857143"/>
          <c:y val="0.204042081949059"/>
          <c:w val="0.38875"/>
          <c:h val="0.602713178294574"/>
        </c:manualLayout>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782.99</c:v>
                </c:pt>
                <c:pt idx="1">
                  <c:v>91.5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870813397129"/>
          <c:y val="0.227814569536424"/>
          <c:w val="0.885052631578947"/>
          <c:h val="0.55056953642384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t>8</a:t>
                    </a:r>
                    <a:r>
                      <a:rPr lang="en-US" altLang="zh-CN"/>
                      <a:t>    </a:t>
                    </a:r>
                    <a:r>
                      <a:t>93.16</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248803827751196"/>
                  <c:y val="-0.00662251655629133"/>
                </c:manualLayout>
              </c:layout>
              <c:tx>
                <c:rich>
                  <a:bodyPr rot="-5400000" spcFirstLastPara="1" vertOverflow="clip" horzOverflow="clip" vert="horz" wrap="square" lIns="38100" tIns="19050" rIns="38100" bIns="19050" anchor="ctr" anchorCtr="1">
                    <a:spAutoFit/>
                  </a:bodyPr>
                  <a:lstStyle/>
                  <a:p>
                    <a:pPr defTabSz="914400">
                      <a:defRPr lang="zh-CN" sz="800" b="0" i="0" u="none" strike="noStrike" kern="1200" baseline="0">
                        <a:solidFill>
                          <a:schemeClr val="tx1">
                            <a:lumMod val="50000"/>
                            <a:lumOff val="50000"/>
                          </a:schemeClr>
                        </a:solidFill>
                        <a:latin typeface="+mn-lt"/>
                        <a:ea typeface="+mn-ea"/>
                        <a:cs typeface="+mn-cs"/>
                      </a:defRPr>
                    </a:pPr>
                    <a:r>
                      <a:rPr lang="en-US" altLang="zh-CN"/>
                      <a:t>        </a:t>
                    </a:r>
                    <a:r>
                      <a:t>874.</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2020年</c:v>
                </c:pt>
                <c:pt idx="2">
                  <c:v>2021年</c:v>
                </c:pt>
              </c:strCache>
            </c:strRef>
          </c:cat>
          <c:val>
            <c:numRef>
              <c:f>Sheet1!$B$2:$B$5</c:f>
              <c:numCache>
                <c:formatCode>General</c:formatCode>
                <c:ptCount val="4"/>
                <c:pt idx="0">
                  <c:v>893.16</c:v>
                </c:pt>
                <c:pt idx="2">
                  <c:v>874.5</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2020年</c:v>
                </c:pt>
                <c:pt idx="2">
                  <c:v>2021年</c:v>
                </c:pt>
              </c:strCache>
            </c:strRef>
          </c:cat>
          <c:val>
            <c:numRef>
              <c:f>Sheet1!$C$2:$C$5</c:f>
              <c:numCache>
                <c:formatCode>General</c:formatCode>
                <c:ptCount val="4"/>
              </c:numCache>
            </c:numRef>
          </c:val>
        </c:ser>
        <c:dLbls>
          <c:showLegendKey val="0"/>
          <c:showVal val="1"/>
          <c:showCatName val="0"/>
          <c:showSerName val="0"/>
          <c:showPercent val="0"/>
          <c:showBubbleSize val="0"/>
        </c:dLbls>
        <c:gapWidth val="444"/>
        <c:overlap val="-90"/>
        <c:axId val="909941101"/>
        <c:axId val="118068668"/>
      </c:barChart>
      <c:catAx>
        <c:axId val="90994110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18068668"/>
        <c:crosses val="autoZero"/>
        <c:auto val="1"/>
        <c:lblAlgn val="ctr"/>
        <c:lblOffset val="100"/>
        <c:noMultiLvlLbl val="0"/>
      </c:catAx>
      <c:valAx>
        <c:axId val="1180686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94110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6428571428572"/>
          <c:y val="0.181396696609678"/>
          <c:w val="0.900727272727273"/>
          <c:h val="0.636078936078936"/>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2020年</c:v>
                </c:pt>
                <c:pt idx="2">
                  <c:v>2021年</c:v>
                </c:pt>
              </c:strCache>
            </c:strRef>
          </c:cat>
          <c:val>
            <c:numRef>
              <c:f>Sheet1!$B$2:$B$5</c:f>
              <c:numCache>
                <c:formatCode>General</c:formatCode>
                <c:ptCount val="4"/>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2020年</c:v>
                </c:pt>
                <c:pt idx="2">
                  <c:v>2021年</c:v>
                </c:pt>
              </c:strCache>
            </c:strRef>
          </c:cat>
          <c:val>
            <c:numRef>
              <c:f>Sheet1!$C$2:$C$5</c:f>
              <c:numCache>
                <c:formatCode>General</c:formatCode>
                <c:ptCount val="4"/>
                <c:pt idx="0">
                  <c:v>797.02</c:v>
                </c:pt>
                <c:pt idx="2">
                  <c:v>783</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2020年</c:v>
                </c:pt>
                <c:pt idx="2">
                  <c:v>2021年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56420260"/>
        <c:axId val="465718811"/>
      </c:barChart>
      <c:catAx>
        <c:axId val="2564202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718811"/>
        <c:crosses val="autoZero"/>
        <c:auto val="1"/>
        <c:lblAlgn val="ctr"/>
        <c:lblOffset val="100"/>
        <c:noMultiLvlLbl val="0"/>
      </c:catAx>
      <c:valAx>
        <c:axId val="4657188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4202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614</c:v>
                </c:pt>
                <c:pt idx="1">
                  <c:v>59.77</c:v>
                </c:pt>
                <c:pt idx="2">
                  <c:v>43.99</c:v>
                </c:pt>
                <c:pt idx="3">
                  <c:v>65.23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9745</Words>
  <Characters>11755</Characters>
  <Lines>57</Lines>
  <Paragraphs>16</Paragraphs>
  <TotalTime>2</TotalTime>
  <ScaleCrop>false</ScaleCrop>
  <LinksUpToDate>false</LinksUpToDate>
  <CharactersWithSpaces>11796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WPS_1663123258</cp:lastModifiedBy>
  <cp:lastPrinted>2022-10-09T18:18:00Z</cp:lastPrinted>
  <dcterms:modified xsi:type="dcterms:W3CDTF">2023-04-14T02:38:13Z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F4A90EF3F76246C483F249334ED8AC09_13</vt:lpwstr>
  </property>
</Properties>
</file>