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2" w:lineRule="exact"/>
        <w:jc w:val="center"/>
        <w:rPr>
          <w:rFonts w:hint="eastAsia" w:ascii="黑体" w:hAnsi="黑体" w:eastAsia="黑体" w:cs="黑体"/>
          <w:sz w:val="32"/>
          <w:szCs w:val="32"/>
        </w:rPr>
      </w:pPr>
      <w:bookmarkStart w:id="1" w:name="_GoBack"/>
      <w:bookmarkEnd w:id="1"/>
      <w:bookmarkStart w:id="0" w:name="_Toc15377226"/>
    </w:p>
    <w:p>
      <w:pPr>
        <w:spacing w:line="572" w:lineRule="exact"/>
        <w:jc w:val="center"/>
        <w:rPr>
          <w:rFonts w:ascii="方正小标宋简体" w:hAnsi="宋体" w:eastAsia="方正小标宋简体"/>
          <w:kern w:val="0"/>
          <w:sz w:val="40"/>
          <w:szCs w:val="44"/>
        </w:rPr>
      </w:pPr>
      <w:r>
        <w:rPr>
          <w:rFonts w:ascii="方正小标宋简体" w:hAnsi="宋体" w:eastAsia="方正小标宋简体"/>
          <w:kern w:val="0"/>
          <w:sz w:val="40"/>
          <w:szCs w:val="44"/>
        </w:rPr>
        <w:t>攀枝花市西区妇幼保健服务中心</w:t>
      </w:r>
    </w:p>
    <w:p>
      <w:pPr>
        <w:spacing w:line="572" w:lineRule="exact"/>
        <w:jc w:val="center"/>
        <w:rPr>
          <w:rFonts w:ascii="方正小标宋简体" w:hAnsi="宋体" w:eastAsia="方正小标宋简体"/>
          <w:kern w:val="0"/>
          <w:sz w:val="40"/>
          <w:szCs w:val="44"/>
          <w:lang w:val="zh-CN"/>
        </w:rPr>
      </w:pPr>
      <w:r>
        <w:rPr>
          <w:rFonts w:ascii="方正小标宋简体" w:hAnsi="宋体" w:eastAsia="方正小标宋简体"/>
          <w:kern w:val="0"/>
          <w:sz w:val="40"/>
          <w:szCs w:val="44"/>
        </w:rPr>
        <w:t>202</w:t>
      </w:r>
      <w:r>
        <w:rPr>
          <w:rFonts w:hint="eastAsia" w:ascii="方正小标宋简体" w:hAnsi="宋体" w:eastAsia="方正小标宋简体"/>
          <w:kern w:val="0"/>
          <w:sz w:val="40"/>
          <w:szCs w:val="44"/>
        </w:rPr>
        <w:t>1</w:t>
      </w:r>
      <w:r>
        <w:rPr>
          <w:rFonts w:ascii="方正小标宋简体" w:hAnsi="宋体" w:eastAsia="方正小标宋简体"/>
          <w:kern w:val="0"/>
          <w:sz w:val="40"/>
          <w:szCs w:val="44"/>
        </w:rPr>
        <w:t>年部门</w:t>
      </w:r>
      <w:r>
        <w:rPr>
          <w:rFonts w:ascii="方正小标宋简体" w:hAnsi="宋体" w:eastAsia="方正小标宋简体"/>
          <w:kern w:val="0"/>
          <w:sz w:val="40"/>
          <w:szCs w:val="44"/>
          <w:lang w:val="zh-CN"/>
        </w:rPr>
        <w:t>整体支出绩效评价报告</w:t>
      </w:r>
    </w:p>
    <w:p>
      <w:pPr>
        <w:widowControl/>
        <w:adjustRightInd w:val="0"/>
        <w:snapToGrid w:val="0"/>
        <w:spacing w:line="572" w:lineRule="exact"/>
        <w:ind w:firstLine="480" w:firstLineChars="200"/>
        <w:contextualSpacing/>
        <w:jc w:val="left"/>
        <w:rPr>
          <w:rFonts w:ascii="黑体" w:hAnsi="宋体" w:eastAsia="黑体" w:cs="宋体"/>
          <w:kern w:val="0"/>
          <w:sz w:val="24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一、</w:t>
      </w: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  <w:lang w:val="zh-CN"/>
        </w:rPr>
        <w:t>部门（单位）概况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（一）机构组成。</w:t>
      </w:r>
    </w:p>
    <w:p>
      <w:pPr>
        <w:spacing w:line="580" w:lineRule="exact"/>
        <w:ind w:firstLine="640" w:firstLineChars="200"/>
        <w:rPr>
          <w:lang w:val="zh-CN"/>
        </w:rPr>
      </w:pPr>
      <w:r>
        <w:rPr>
          <w:rFonts w:eastAsia="仿宋_GB2312"/>
          <w:sz w:val="32"/>
          <w:szCs w:val="32"/>
        </w:rPr>
        <w:t>我单位是财政拨款事业单位,设有主任1名，资产管理部门设置在综合科，执行事业单位会计制度。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</w:t>
      </w:r>
      <w:r>
        <w:rPr>
          <w:rFonts w:hint="eastAsia" w:eastAsia="仿宋_GB2312"/>
          <w:sz w:val="32"/>
          <w:szCs w:val="32"/>
        </w:rPr>
        <w:t>二</w:t>
      </w:r>
      <w:r>
        <w:rPr>
          <w:rFonts w:hint="eastAsia" w:eastAsia="仿宋_GB2312"/>
          <w:sz w:val="32"/>
          <w:szCs w:val="32"/>
          <w:lang w:val="zh-CN"/>
        </w:rPr>
        <w:t>）机构职能。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1.针对国家妇女儿童健康目标和支持性目标的要求，协助卫生行政部门制定具体规划并牵头实施。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2.负责全区孕、产妇健康系统保障及其管理工作，提高孕、产妇及新生儿健康水平，降低孕、产妇死亡率和新生儿出生缺陷的发生。</w:t>
      </w:r>
    </w:p>
    <w:p>
      <w:pPr>
        <w:spacing w:line="580" w:lineRule="exact"/>
        <w:ind w:firstLine="640" w:firstLineChars="20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sz w:val="32"/>
          <w:szCs w:val="32"/>
        </w:rPr>
        <w:t>3.负责全区七岁以下儿童健康</w:t>
      </w:r>
      <w:r>
        <w:rPr>
          <w:rFonts w:eastAsia="仿宋_GB2312"/>
          <w:bCs/>
          <w:color w:val="000000"/>
          <w:kern w:val="0"/>
          <w:sz w:val="32"/>
          <w:szCs w:val="32"/>
        </w:rPr>
        <w:t>系统保健及其管理工作，提高儿童身心健康水平，降低儿童死亡率。</w:t>
      </w:r>
    </w:p>
    <w:p>
      <w:pPr>
        <w:adjustRightInd w:val="0"/>
        <w:snapToGrid w:val="0"/>
        <w:spacing w:line="353" w:lineRule="auto"/>
        <w:ind w:firstLine="640" w:firstLineChars="20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4.负责妇女经、孕、产、哺乳、更年期的卫生保健，做好妇女病的普查普治工作。</w:t>
      </w:r>
    </w:p>
    <w:p>
      <w:pPr>
        <w:adjustRightInd w:val="0"/>
        <w:snapToGrid w:val="0"/>
        <w:spacing w:line="353" w:lineRule="auto"/>
        <w:ind w:firstLine="640" w:firstLineChars="20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5.负责全区计划生育技术服务，掌握全区计划生育技术服务的质量、存在的问题。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6.负责开展婚前医学检查、优生咨询工作，提高人口素质；负责</w:t>
      </w:r>
      <w:r>
        <w:rPr>
          <w:rFonts w:eastAsia="仿宋_GB2312"/>
          <w:sz w:val="32"/>
          <w:szCs w:val="32"/>
        </w:rPr>
        <w:t>全区妇女、儿童保健和计划生育知识等健康教育工作，提高妇女、儿童的自我保健意识和能力。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7.负责全区妇幼保健信息收集、统计、整理、分析评价及上报工作，为卫生行政部门提供妇幼保健服务决策依据。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8.负</w:t>
      </w:r>
      <w:r>
        <w:rPr>
          <w:rFonts w:hint="eastAsia" w:eastAsia="仿宋_GB2312"/>
          <w:sz w:val="32"/>
          <w:szCs w:val="32"/>
        </w:rPr>
        <w:t>责对全区承担妇幼保健</w:t>
      </w:r>
      <w:r>
        <w:rPr>
          <w:rFonts w:eastAsia="仿宋_GB2312"/>
          <w:sz w:val="32"/>
          <w:szCs w:val="32"/>
        </w:rPr>
        <w:t>工作任务医院及基层医疗卫生机构的保健工作业务培训、工作质量检查、指导及评估等工作</w:t>
      </w:r>
      <w:r>
        <w:rPr>
          <w:rFonts w:hint="eastAsia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hint="eastAsia" w:eastAsia="仿宋_GB2312"/>
          <w:sz w:val="32"/>
          <w:szCs w:val="32"/>
          <w:lang w:val="zh-CN"/>
        </w:rPr>
        <w:t>（三）人员概况。</w:t>
      </w:r>
    </w:p>
    <w:p>
      <w:pPr>
        <w:spacing w:line="580" w:lineRule="exact"/>
        <w:ind w:firstLine="640" w:firstLineChars="200"/>
        <w:rPr>
          <w:rFonts w:eastAsia="仿宋_GB2312"/>
          <w:sz w:val="32"/>
          <w:szCs w:val="32"/>
          <w:lang w:val="zh-CN"/>
        </w:rPr>
      </w:pP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21</w:t>
      </w:r>
      <w:r>
        <w:rPr>
          <w:rFonts w:eastAsia="仿宋_GB2312"/>
          <w:sz w:val="32"/>
          <w:szCs w:val="32"/>
        </w:rPr>
        <w:t>年，单位编制人数</w:t>
      </w:r>
      <w:r>
        <w:rPr>
          <w:rFonts w:hint="eastAsia" w:eastAsia="仿宋_GB2312"/>
          <w:sz w:val="32"/>
          <w:szCs w:val="32"/>
        </w:rPr>
        <w:t>16</w:t>
      </w:r>
      <w:r>
        <w:rPr>
          <w:rFonts w:eastAsia="仿宋_GB2312"/>
          <w:sz w:val="32"/>
          <w:szCs w:val="32"/>
        </w:rPr>
        <w:t>人，年末实有人数</w:t>
      </w:r>
      <w:r>
        <w:rPr>
          <w:rFonts w:hint="eastAsia" w:eastAsia="仿宋_GB2312"/>
          <w:sz w:val="32"/>
          <w:szCs w:val="32"/>
        </w:rPr>
        <w:t>23</w:t>
      </w:r>
      <w:r>
        <w:rPr>
          <w:rFonts w:eastAsia="仿宋_GB2312"/>
          <w:sz w:val="32"/>
          <w:szCs w:val="32"/>
        </w:rPr>
        <w:t>人。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二、部门财政资金收支情况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（一）部门财政资金收入情况。</w:t>
      </w:r>
    </w:p>
    <w:p>
      <w:pPr>
        <w:spacing w:line="580" w:lineRule="exact"/>
        <w:ind w:firstLine="640" w:firstLineChars="200"/>
        <w:rPr>
          <w:lang w:val="zh-CN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21</w:t>
      </w:r>
      <w:r>
        <w:rPr>
          <w:rFonts w:eastAsia="仿宋_GB2312"/>
          <w:bCs/>
          <w:color w:val="000000"/>
          <w:kern w:val="0"/>
          <w:sz w:val="32"/>
          <w:szCs w:val="32"/>
        </w:rPr>
        <w:t>年攀枝花市西区妇幼保健服务中心收入预算总额为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234.54</w:t>
      </w:r>
      <w:r>
        <w:rPr>
          <w:rFonts w:eastAsia="仿宋_GB2312"/>
          <w:bCs/>
          <w:color w:val="000000"/>
          <w:kern w:val="0"/>
          <w:sz w:val="32"/>
          <w:szCs w:val="32"/>
        </w:rPr>
        <w:t>万元，其中：当年财政拨款收入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226.14</w:t>
      </w:r>
      <w:r>
        <w:rPr>
          <w:rFonts w:eastAsia="仿宋_GB2312"/>
          <w:bCs/>
          <w:color w:val="000000"/>
          <w:kern w:val="0"/>
          <w:sz w:val="32"/>
          <w:szCs w:val="32"/>
        </w:rPr>
        <w:t>万元，其他收入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8.4</w:t>
      </w:r>
      <w:r>
        <w:rPr>
          <w:rFonts w:eastAsia="仿宋_GB2312"/>
          <w:bCs/>
          <w:color w:val="000000"/>
          <w:kern w:val="0"/>
          <w:sz w:val="32"/>
          <w:szCs w:val="32"/>
        </w:rPr>
        <w:t>万元。</w:t>
      </w:r>
    </w:p>
    <w:p>
      <w:pPr>
        <w:widowControl/>
        <w:numPr>
          <w:ilvl w:val="0"/>
          <w:numId w:val="1"/>
        </w:numPr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部门财政资金支出情况。</w:t>
      </w:r>
    </w:p>
    <w:p>
      <w:pPr>
        <w:spacing w:line="600" w:lineRule="exact"/>
        <w:ind w:firstLine="640" w:firstLineChars="200"/>
        <w:outlineLvl w:val="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202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1</w:t>
      </w:r>
      <w:r>
        <w:rPr>
          <w:rFonts w:eastAsia="仿宋_GB2312"/>
          <w:bCs/>
          <w:color w:val="000000"/>
          <w:kern w:val="0"/>
          <w:sz w:val="32"/>
          <w:szCs w:val="32"/>
        </w:rPr>
        <w:t>年度预算安排支出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234.54</w:t>
      </w:r>
      <w:r>
        <w:rPr>
          <w:rFonts w:eastAsia="仿宋_GB2312"/>
          <w:bCs/>
          <w:color w:val="000000"/>
          <w:kern w:val="0"/>
          <w:sz w:val="32"/>
          <w:szCs w:val="32"/>
        </w:rPr>
        <w:t>万元，主要用于保障该部门机构正常运转、完成日常工作任务以及本单位承担的项目工作。</w:t>
      </w:r>
    </w:p>
    <w:p>
      <w:pPr>
        <w:spacing w:line="600" w:lineRule="exact"/>
        <w:ind w:firstLine="640" w:firstLineChars="200"/>
        <w:outlineLvl w:val="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基本支出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180.31</w:t>
      </w:r>
      <w:r>
        <w:rPr>
          <w:rFonts w:eastAsia="仿宋_GB2312"/>
          <w:bCs/>
          <w:color w:val="000000"/>
          <w:kern w:val="0"/>
          <w:sz w:val="32"/>
          <w:szCs w:val="32"/>
        </w:rPr>
        <w:t>万元，是用于本单位正常运转的日常支出，包括基本工资、津贴补贴、住房公积金和日常公用经费等。</w:t>
      </w:r>
    </w:p>
    <w:p>
      <w:pPr>
        <w:spacing w:line="600" w:lineRule="exact"/>
        <w:ind w:firstLine="640" w:firstLineChars="200"/>
        <w:outlineLvl w:val="1"/>
        <w:rPr>
          <w:lang w:val="zh-CN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项目支出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54.23</w:t>
      </w:r>
      <w:r>
        <w:rPr>
          <w:rFonts w:eastAsia="仿宋_GB2312"/>
          <w:bCs/>
          <w:color w:val="000000"/>
          <w:kern w:val="0"/>
          <w:sz w:val="32"/>
          <w:szCs w:val="32"/>
        </w:rPr>
        <w:t>万元，是用于是用于西区妇幼保健服务中心为完成特定的行政工作任务，用于专项业务工作的经费支出和项目费用。</w:t>
      </w:r>
    </w:p>
    <w:p>
      <w:pPr>
        <w:widowControl/>
        <w:numPr>
          <w:ilvl w:val="0"/>
          <w:numId w:val="2"/>
        </w:numPr>
        <w:adjustRightInd w:val="0"/>
        <w:snapToGrid w:val="0"/>
        <w:spacing w:line="572" w:lineRule="exact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部门整体预算绩效管理情况</w:t>
      </w:r>
    </w:p>
    <w:p>
      <w:pPr>
        <w:widowControl/>
        <w:adjustRightInd w:val="0"/>
        <w:snapToGrid w:val="0"/>
        <w:spacing w:line="572" w:lineRule="exact"/>
        <w:ind w:left="640"/>
        <w:contextualSpacing/>
        <w:jc w:val="left"/>
        <w:rPr>
          <w:rFonts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（一）</w:t>
      </w: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部门预算项目绩效管理。</w:t>
      </w:r>
    </w:p>
    <w:p>
      <w:pPr>
        <w:spacing w:line="580" w:lineRule="exact"/>
        <w:ind w:firstLine="640" w:firstLineChars="200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20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21</w:t>
      </w:r>
      <w:r>
        <w:rPr>
          <w:rFonts w:eastAsia="仿宋_GB2312"/>
          <w:bCs/>
          <w:color w:val="000000"/>
          <w:kern w:val="0"/>
          <w:sz w:val="32"/>
          <w:szCs w:val="32"/>
        </w:rPr>
        <w:t>年，区妇幼按预算管理要求制定了预算绩效目标，准确编制年度预算，加强了预算支出控制，预算绩效目标动态调整，严格按照年初预算执行预算支出，20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21</w:t>
      </w:r>
      <w:r>
        <w:rPr>
          <w:rFonts w:eastAsia="仿宋_GB2312"/>
          <w:bCs/>
          <w:color w:val="000000"/>
          <w:kern w:val="0"/>
          <w:sz w:val="32"/>
          <w:szCs w:val="32"/>
        </w:rPr>
        <w:t>年支出合计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234.54</w:t>
      </w:r>
      <w:r>
        <w:rPr>
          <w:rFonts w:eastAsia="仿宋_GB2312"/>
          <w:bCs/>
          <w:color w:val="000000"/>
          <w:kern w:val="0"/>
          <w:sz w:val="32"/>
          <w:szCs w:val="32"/>
        </w:rPr>
        <w:t>万元，其中：基本支出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180.31</w:t>
      </w:r>
      <w:r>
        <w:rPr>
          <w:rFonts w:eastAsia="仿宋_GB2312"/>
          <w:bCs/>
          <w:color w:val="000000"/>
          <w:kern w:val="0"/>
          <w:sz w:val="32"/>
          <w:szCs w:val="32"/>
        </w:rPr>
        <w:t>万元，项目支出</w:t>
      </w:r>
      <w:r>
        <w:rPr>
          <w:rFonts w:hint="eastAsia" w:eastAsia="仿宋_GB2312"/>
          <w:bCs/>
          <w:color w:val="000000"/>
          <w:kern w:val="0"/>
          <w:sz w:val="32"/>
          <w:szCs w:val="32"/>
        </w:rPr>
        <w:t>54.23</w:t>
      </w:r>
      <w:r>
        <w:rPr>
          <w:rFonts w:eastAsia="仿宋_GB2312"/>
          <w:bCs/>
          <w:color w:val="000000"/>
          <w:kern w:val="0"/>
          <w:sz w:val="32"/>
          <w:szCs w:val="32"/>
        </w:rPr>
        <w:t>万元，无违规使用记录。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shd w:val="clear" w:color="auto" w:fill="FFFFFF"/>
          <w:lang w:val="zh-CN"/>
        </w:rPr>
        <w:t>（二）</w:t>
      </w: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结果应用情况。</w:t>
      </w:r>
    </w:p>
    <w:p>
      <w:pPr>
        <w:pStyle w:val="2"/>
        <w:spacing w:before="93"/>
        <w:ind w:firstLine="640" w:firstLineChars="200"/>
      </w:pPr>
      <w:r>
        <w:rPr>
          <w:rFonts w:ascii="Times New Roman"/>
          <w:bCs/>
          <w:color w:val="000000"/>
          <w:sz w:val="32"/>
          <w:szCs w:val="32"/>
        </w:rPr>
        <w:t>本年度区妇幼通过整体支出绩效评价质量、绩效目标自评公开，规范了预算管理，提高了资金使用效率，保障单位人员经费、单位运转等基本支出，项目支出规范运行。</w:t>
      </w:r>
    </w:p>
    <w:p>
      <w:pPr>
        <w:widowControl/>
        <w:adjustRightInd w:val="0"/>
        <w:snapToGrid w:val="0"/>
        <w:spacing w:line="572" w:lineRule="exact"/>
        <w:ind w:firstLine="640" w:firstLineChars="200"/>
        <w:contextualSpacing/>
        <w:jc w:val="left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（</w:t>
      </w:r>
      <w:r>
        <w:rPr>
          <w:rFonts w:hint="eastAsia" w:ascii="楷体_GB2312" w:hAnsi="楷体_GB2312" w:eastAsia="楷体_GB2312" w:cs="楷体_GB2312"/>
          <w:sz w:val="32"/>
          <w:szCs w:val="32"/>
        </w:rPr>
        <w:t>三</w:t>
      </w:r>
      <w:r>
        <w:rPr>
          <w:rFonts w:hint="eastAsia" w:ascii="楷体_GB2312" w:hAnsi="楷体_GB2312" w:eastAsia="楷体_GB2312" w:cs="楷体_GB2312"/>
          <w:sz w:val="32"/>
          <w:szCs w:val="32"/>
          <w:lang w:val="zh-CN"/>
        </w:rPr>
        <w:t>）自评质量</w:t>
      </w:r>
    </w:p>
    <w:p>
      <w:pPr>
        <w:spacing w:line="600" w:lineRule="exact"/>
        <w:ind w:firstLine="640" w:firstLineChars="200"/>
        <w:outlineLvl w:val="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本年度区妇幼通过整体支出绩效评价质量、绩效目标自评公开，规范了预算管理，提高了资金使用效率，保障单位人员经费、单位运转等基本支出，项目支出规范运行。</w:t>
      </w:r>
    </w:p>
    <w:p>
      <w:pPr>
        <w:widowControl/>
        <w:adjustRightInd w:val="0"/>
        <w:snapToGrid w:val="0"/>
        <w:spacing w:line="576" w:lineRule="exact"/>
        <w:ind w:firstLine="640" w:firstLineChars="200"/>
        <w:contextualSpacing/>
        <w:jc w:val="left"/>
        <w:rPr>
          <w:rFonts w:ascii="黑体" w:hAnsi="宋体" w:eastAsia="黑体" w:cs="宋体"/>
          <w:kern w:val="0"/>
          <w:sz w:val="32"/>
          <w:szCs w:val="32"/>
          <w:shd w:val="clear" w:color="auto" w:fill="FFFFFF"/>
        </w:rPr>
      </w:pPr>
      <w:r>
        <w:rPr>
          <w:rFonts w:hint="eastAsia" w:ascii="黑体" w:hAnsi="宋体" w:eastAsia="黑体" w:cs="宋体"/>
          <w:kern w:val="0"/>
          <w:sz w:val="32"/>
          <w:szCs w:val="32"/>
          <w:shd w:val="clear" w:color="auto" w:fill="FFFFFF"/>
        </w:rPr>
        <w:t>四、评价结论及建议</w:t>
      </w:r>
    </w:p>
    <w:p>
      <w:pPr>
        <w:spacing w:line="60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ascii="楷体_GB2312" w:hAnsi="楷体_GB2312" w:eastAsia="楷体_GB2312" w:cs="楷体_GB2312"/>
          <w:sz w:val="32"/>
          <w:szCs w:val="32"/>
          <w:lang w:val="zh-CN"/>
        </w:rPr>
        <w:t>（一）评价结论。</w:t>
      </w:r>
    </w:p>
    <w:p>
      <w:pPr>
        <w:spacing w:line="600" w:lineRule="exact"/>
        <w:ind w:firstLine="640" w:firstLineChars="200"/>
        <w:outlineLvl w:val="1"/>
        <w:rPr>
          <w:rFonts w:eastAsia="仿宋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通过整体支出绩效评价，规范了预算管理，严格按照财经法规和制度使用、管理资金，提高了资金使用效率。</w:t>
      </w:r>
    </w:p>
    <w:p>
      <w:pPr>
        <w:spacing w:line="60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ascii="楷体_GB2312" w:hAnsi="楷体_GB2312" w:eastAsia="楷体_GB2312" w:cs="楷体_GB2312"/>
          <w:sz w:val="32"/>
          <w:szCs w:val="32"/>
          <w:lang w:val="zh-CN"/>
        </w:rPr>
        <w:t>（二）存在问题。</w:t>
      </w:r>
    </w:p>
    <w:p>
      <w:pPr>
        <w:spacing w:line="600" w:lineRule="exact"/>
        <w:ind w:firstLine="640" w:firstLineChars="200"/>
        <w:outlineLvl w:val="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绩效目标动态监控不到位，内部控制制度有待于进一步完善，评价结果应用不到位,履职成效不高，没有达到规范的效果。</w:t>
      </w:r>
    </w:p>
    <w:p>
      <w:pPr>
        <w:spacing w:line="600" w:lineRule="exact"/>
        <w:ind w:firstLine="640" w:firstLineChars="200"/>
        <w:outlineLvl w:val="1"/>
        <w:rPr>
          <w:rFonts w:ascii="楷体_GB2312" w:hAnsi="楷体_GB2312" w:eastAsia="楷体_GB2312" w:cs="楷体_GB2312"/>
          <w:sz w:val="32"/>
          <w:szCs w:val="32"/>
          <w:lang w:val="zh-CN"/>
        </w:rPr>
      </w:pPr>
      <w:r>
        <w:rPr>
          <w:rFonts w:ascii="楷体_GB2312" w:hAnsi="楷体_GB2312" w:eastAsia="楷体_GB2312" w:cs="楷体_GB2312"/>
          <w:sz w:val="32"/>
          <w:szCs w:val="32"/>
          <w:lang w:val="zh-CN"/>
        </w:rPr>
        <w:t>（三）改进建议。</w:t>
      </w:r>
    </w:p>
    <w:p>
      <w:pPr>
        <w:spacing w:line="600" w:lineRule="exact"/>
        <w:ind w:firstLine="640" w:firstLineChars="200"/>
        <w:outlineLvl w:val="1"/>
        <w:rPr>
          <w:rFonts w:eastAsia="仿宋_GB2312"/>
          <w:bCs/>
          <w:color w:val="000000"/>
          <w:kern w:val="0"/>
          <w:sz w:val="32"/>
          <w:szCs w:val="32"/>
        </w:rPr>
      </w:pPr>
      <w:r>
        <w:rPr>
          <w:rFonts w:eastAsia="仿宋_GB2312"/>
          <w:bCs/>
          <w:color w:val="000000"/>
          <w:kern w:val="0"/>
          <w:sz w:val="32"/>
          <w:szCs w:val="32"/>
        </w:rPr>
        <w:t>及时进行绩效目标的动态监控。高质量的完善内部制度建设，充分运用评价结果行质量监督，根据评价结果提出改进措施并落到实处。提高绩效评价质量，认真执行绩效监控，按照内部制度制度要求，依照相关流程提高履职成效。结合绩效评价结果，对存在不合理的、需要改进提高的工作方法、管理措施、监督力度，进行进一步提升和规范，确保整体支出绩效评价做出实效。</w:t>
      </w: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p>
      <w:pPr>
        <w:pStyle w:val="2"/>
        <w:spacing w:before="93"/>
        <w:rPr>
          <w:rFonts w:ascii="Times New Roman"/>
          <w:bCs/>
          <w:color w:val="000000"/>
          <w:sz w:val="32"/>
          <w:szCs w:val="32"/>
        </w:rPr>
      </w:pP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10"/>
        <w:gridCol w:w="484"/>
        <w:gridCol w:w="135"/>
        <w:gridCol w:w="359"/>
        <w:gridCol w:w="261"/>
        <w:gridCol w:w="549"/>
        <w:gridCol w:w="1107"/>
        <w:gridCol w:w="2106"/>
        <w:gridCol w:w="1803"/>
        <w:gridCol w:w="303"/>
        <w:gridCol w:w="329"/>
        <w:gridCol w:w="502"/>
        <w:gridCol w:w="230"/>
        <w:gridCol w:w="4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附件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项目（政策）资金绩效自评表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Style w:val="31"/>
                <w:rFonts w:hint="default"/>
                <w:sz w:val="21"/>
                <w:szCs w:val="21"/>
              </w:rPr>
              <w:t>（</w:t>
            </w:r>
            <w:r>
              <w:rPr>
                <w:rStyle w:val="32"/>
                <w:sz w:val="21"/>
                <w:szCs w:val="21"/>
              </w:rPr>
              <w:t>2021</w:t>
            </w:r>
            <w:r>
              <w:rPr>
                <w:rStyle w:val="31"/>
                <w:rFonts w:hint="default"/>
                <w:sz w:val="21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7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妇女两癌筛查专项经费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项目主管单位</w:t>
            </w:r>
          </w:p>
        </w:tc>
        <w:tc>
          <w:tcPr>
            <w:tcW w:w="7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项目实施单位</w:t>
            </w:r>
          </w:p>
        </w:tc>
        <w:tc>
          <w:tcPr>
            <w:tcW w:w="73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5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年度资金总额：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4.78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4.78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其中：上级财政资金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3.78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3.78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本级财政资金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1.00 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665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5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2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年度设定目标</w:t>
            </w:r>
          </w:p>
        </w:tc>
        <w:tc>
          <w:tcPr>
            <w:tcW w:w="5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9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通过两癌项目的实施，提高我区妇女宫颈癌和乳腺癌"两癌"的早诊早治率，降低死亡率，切实提高广大妇女的健康水平。</w:t>
            </w:r>
          </w:p>
        </w:tc>
        <w:tc>
          <w:tcPr>
            <w:tcW w:w="573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顺利完成2021年度的两癌筛查。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完成率（%）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项目完成</w:t>
            </w:r>
          </w:p>
        </w:tc>
        <w:tc>
          <w:tcPr>
            <w:tcW w:w="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指标1：全年妇女两癌筛查约700人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700人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714人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指标2：印刷资料，赠送礼品，开展宣传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印刷两癌宣传资料，赠送前来检查人员礼品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指标3：以电话形式通知检查结果及需进一步检查的人员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及时通知检查结果，并联系需要进一步检查及治疗，预计需250个电话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指标1：妇女两癌筛查规范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通过问诊、妇科检查、彩超检查及检验手段，判断检查人员是否需要进一步检查，符合规范要求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通过问诊、妇科检查、彩超检查及检验手段，判断检查人员是否需要进一步检查，符合规范要求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指标2：印刷资料，赠送礼品，开展宣传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开展宣传，及时普及两癌知识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开展宣传，及时普及两癌知识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指标3：以电话形式通知检查结果及需进一步检查的人员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通过电话联系，实现早检查、早治疗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通过电话联系，实现早检查、早治疗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指标1：年度工作完成时间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2021年12月底前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指标1：妇女两癌筛查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约需经费3.6万元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3.58万元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指标2：印刷资料，赠送礼品，开展宣传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约需经费1.0万元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1.0万元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指标3：以电话形式通知检查结果及需进一步检查的人员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约需经费0.2万元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0.2万元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4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项目效益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 指标1：妇女两癌筛查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国家配套经费，给予35-64岁农村妇女免费体检，实现早发现，早干预，减少“因病致贫，因病返贫”的现象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国家配套经费，给予35-65岁农村妇女免费体检，实现早发现，早干预，减少“因病致贫，因病返贫”的现象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指标1：妇女两癌筛查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提高“两癌”筛查质量，提高适龄农村妇女自我保健意识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提高“两癌”筛查质量，提高适龄农村妇女自我保健意识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指标2：印刷资料，赠送礼品，开展宣传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有利于加大宣传力度，使重视和关心身体的农村妇女积极享受免费检查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有利于加大宣传力度，使重视和关心身体的农村妇女积极享受免费检查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指标3：以电话形式通知检查结果及需进一步检查的人员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通过电话随访，使老百姓切实感受到党和政府的关心，达到政府满意、群众满意的双重效果。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通过电话随访，使老百姓切实感受到党和政府的关心，达到政府满意、群众满意的双重效果。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指标1：妇女两癌筛查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对社会对人民有持续影响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对社会对人民有持续影响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2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指标2：印刷资料、开展宣传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对社会对人民有持续影响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对社会对人民有持续影响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6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6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指标1：参检群众满意度</w:t>
            </w:r>
          </w:p>
        </w:tc>
        <w:tc>
          <w:tcPr>
            <w:tcW w:w="2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Style w:val="33"/>
                <w:sz w:val="21"/>
                <w:szCs w:val="21"/>
              </w:rPr>
              <w:t>≥</w:t>
            </w:r>
            <w:r>
              <w:rPr>
                <w:rStyle w:val="31"/>
                <w:rFonts w:hint="default"/>
                <w:sz w:val="21"/>
                <w:szCs w:val="21"/>
              </w:rPr>
              <w:t>90%</w:t>
            </w:r>
          </w:p>
        </w:tc>
        <w:tc>
          <w:tcPr>
            <w:tcW w:w="210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项目（政策）资金绩效自评表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专项（项目）名称</w:t>
            </w:r>
          </w:p>
        </w:tc>
        <w:tc>
          <w:tcPr>
            <w:tcW w:w="7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新冠疫情院感防控经费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项目主管单位</w:t>
            </w:r>
          </w:p>
        </w:tc>
        <w:tc>
          <w:tcPr>
            <w:tcW w:w="7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攀枝花市西区卫生健康局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765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攀枝花市西区妇幼保健服务中心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实际完成数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年度资金总额：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3.90 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3.90 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其中：上级财政资金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本级财政资金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3.90 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3.90 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40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其他资金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1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17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年度设定目标</w:t>
            </w:r>
          </w:p>
        </w:tc>
        <w:tc>
          <w:tcPr>
            <w:tcW w:w="6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798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全员落实标准预防措施：手卫生、消毒隔离，防护用品使用，医疗废物管理等，加强对重点部门、重点环节、重点人员的感控工作，做到科学防控，精准措施。</w:t>
            </w:r>
          </w:p>
        </w:tc>
        <w:tc>
          <w:tcPr>
            <w:tcW w:w="6846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顺利完成2021年项目相关工作。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实际完成数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完成率（%）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项目完成</w:t>
            </w:r>
          </w:p>
        </w:tc>
        <w:tc>
          <w:tcPr>
            <w:tcW w:w="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指标1：开展核酸检测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全员定期核酸检测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指标2：购买防护及消毒用品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标准消杀，科学防控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指标1：开展核酸检测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严防严控，防止疫情反弹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指标2：购买防护及消毒用品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及时更换防护用品及消杀制剂，确保防控有效实施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指标1：开展核酸检测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按防控需求及上级指示严格开展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指标2：购买防护及消毒用品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2021年12月底前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指标1：开展核酸检测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约需0.9万元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0.9万元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指标2：购买防护及消毒用品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约需3万元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3万元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项目效益</w:t>
            </w:r>
          </w:p>
        </w:tc>
        <w:tc>
          <w:tcPr>
            <w:tcW w:w="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指标1：开展核酸检测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对工作人员全员筛查，防止交叉感染，避免疫情扩大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指标2：购买防护及消毒用品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阻断传播途径，保证来院人群健康，防止出现疫情扩散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指标1：开展核酸检测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营造安全就诊环境，保护来院人群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指标2：购买防护及消毒用品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防止疫情传播，稳控院感，保证辖区居民健康生活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8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指标1：服务群众满意度</w:t>
            </w:r>
          </w:p>
        </w:tc>
        <w:tc>
          <w:tcPr>
            <w:tcW w:w="501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6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≥95%</w:t>
            </w:r>
          </w:p>
        </w:tc>
        <w:tc>
          <w:tcPr>
            <w:tcW w:w="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96"/>
        <w:gridCol w:w="797"/>
        <w:gridCol w:w="2748"/>
        <w:gridCol w:w="1389"/>
        <w:gridCol w:w="1380"/>
        <w:gridCol w:w="830"/>
        <w:gridCol w:w="6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项目（政策）资金绩效自评表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7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免费孕前优生检查专项经费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项目主管单位</w:t>
            </w:r>
          </w:p>
        </w:tc>
        <w:tc>
          <w:tcPr>
            <w:tcW w:w="7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项目实施单位</w:t>
            </w:r>
          </w:p>
        </w:tc>
        <w:tc>
          <w:tcPr>
            <w:tcW w:w="704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年度资金总额：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9.85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9.85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其中：上级财政资金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4.17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4.17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本级财政资金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5.68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5.68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1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52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年度设定目标</w:t>
            </w:r>
          </w:p>
        </w:tc>
        <w:tc>
          <w:tcPr>
            <w:tcW w:w="4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宣传动员、细致的各项检查、风险评估等,给予孕前指导和及时早孕随访，及时介入不良妊娠,有效的阻止继续妊娠,达到了优生优育的目的。在妊娠结局随访中,按程序及时告知有高风险因素的夫妇做相关的产前检查和产前诊断。</w:t>
            </w:r>
          </w:p>
        </w:tc>
        <w:tc>
          <w:tcPr>
            <w:tcW w:w="429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顺利完成孕前优生人数检测，加大宣传力度，做好了相关产前检查和产前诊断。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完成率（%）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项目完成</w:t>
            </w: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指标1：全年为208对城镇居民夫妇提供免费孕前优生健康检查服务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208对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214对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指标2：印刷资料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印刷孕优宣传资料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指标1：免费孕前优生检查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从源头上预防出生缺陷的发生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从源头上预防出生缺陷的发生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指标2：印刷资料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提高计划怀孕夫妇优生科学知识水平，增强孕前风险防范意识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提高计划怀孕夫妇优生科学知识水平，增强孕前风险防范意识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指标1：年度工作完成时间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2021年12月底前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指标1：每对夫妇参检结算标准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约8.47万元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8.47万元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指标2：印刷资料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约1.38万元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1.38万元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项目效益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指标1：免费孕前优生检查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国家配套经费，给予计划怀孕夫妇免费体检，减轻经济负担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国家配套经费，给予计划怀孕夫妇免费体检，减轻经济负担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指标1：群众优生优育意识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不断提高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不断提高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生态效益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指标1：出生缺陷发生风险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逐渐降低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逐渐降低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指标1：出生人口素质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不断提升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不断提升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指标1：参检群众满意度</w:t>
            </w:r>
          </w:p>
        </w:tc>
        <w:tc>
          <w:tcPr>
            <w:tcW w:w="1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1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r>
        <w:br w:type="page"/>
      </w: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"/>
        <w:gridCol w:w="828"/>
        <w:gridCol w:w="828"/>
        <w:gridCol w:w="2613"/>
        <w:gridCol w:w="1511"/>
        <w:gridCol w:w="1378"/>
        <w:gridCol w:w="804"/>
        <w:gridCol w:w="6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项目（政策）资金绩效自评表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</w:t>
            </w:r>
            <w:r>
              <w:rPr>
                <w:color w:val="000000"/>
                <w:kern w:val="0"/>
                <w:sz w:val="20"/>
                <w:szCs w:val="20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专项（项目）名称</w:t>
            </w:r>
          </w:p>
        </w:tc>
        <w:tc>
          <w:tcPr>
            <w:tcW w:w="6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免费婚前检查专项经费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项目主管单位</w:t>
            </w:r>
          </w:p>
        </w:tc>
        <w:tc>
          <w:tcPr>
            <w:tcW w:w="6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攀枝花市西区卫生健康局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项目实施单位</w:t>
            </w:r>
          </w:p>
        </w:tc>
        <w:tc>
          <w:tcPr>
            <w:tcW w:w="698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攀枝花市西区妇幼保健服务中心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2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（万元）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全年预算数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实际完成数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执行率（%）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年度资金总额：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15.58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15.58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其中：上级财政资金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10.18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10.18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本级财政资金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5.4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072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      其他资金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0.00 </w:t>
            </w:r>
          </w:p>
        </w:tc>
        <w:tc>
          <w:tcPr>
            <w:tcW w:w="14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年度设定目标</w:t>
            </w:r>
          </w:p>
        </w:tc>
        <w:tc>
          <w:tcPr>
            <w:tcW w:w="4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426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宣传动员、细致的各项检查、风险评估等,给予孕前指导和及时早孕随访，及时介入不良妊娠,有效的阻止继续妊娠,达到了优生优育的目的。在妊娠结局随访中,按程序及时告知有高风险因素的夫妇做相关的产前检查和产前诊断。</w:t>
            </w:r>
          </w:p>
        </w:tc>
        <w:tc>
          <w:tcPr>
            <w:tcW w:w="437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顺利完成2020年度的婚前检查。及时告知有高风险因素的夫妇做相关的产前检查和产前诊断。有效的阻止继续妊娠,达到了优生优育的目的。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年度指标值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实际完成数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完成率（%）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项目完成</w:t>
            </w: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指标1：全年为680对城镇居民夫妇提供免费婚前检查服务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680对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500对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指标2：印刷资料、赠送礼品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印制婚检三联单1500份，婚检登记本20本,赠送前来检查人员礼品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指标1：免费婚前检查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通过病史采集、体格检查、检验等方式判断双方能否结婚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通过病史采集、体格检查、检验等方式判断双方能否结婚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指标2：印刷资料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完成必要的留底资料，开展宣传的必要收段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完成必要的留底资料，开展宣传的必要收段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指标3：办公耗材、网络、电话费及水电费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完成归档资料，保障工作顺利开展。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完成归档资料，保障工作顺利开展。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指标1：年度工作完成时间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2021年12月底前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已完成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指标1：免费婚前检查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240元/对，约需16.32万元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12万元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指标2：印刷资料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约需1.58万元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1.58万元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指标3：办公耗材、网络、电话费及水电费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约需2万元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2万元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项目效益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指标1：免费婚前检查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国家配套经费，给予拟婚夫妇免费体检，减轻经济负担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国家配套经费，给予拟婚夫妇免费体检，减轻经济负担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指标1：免费婚前检查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有利于双方和下一代健康，有利于优生，提高民族素质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有利于双方和下一代健康，有利于优生，提高民族素质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指标2：印刷资料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有利于加大宣传力度，进一步提高婚检率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有利于加大宣传力度，进一步提高婚检率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满意度指标</w:t>
            </w:r>
          </w:p>
        </w:tc>
        <w:tc>
          <w:tcPr>
            <w:tcW w:w="2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指标1：参检群众满意度</w:t>
            </w:r>
          </w:p>
        </w:tc>
        <w:tc>
          <w:tcPr>
            <w:tcW w:w="15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1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90%</w:t>
            </w:r>
          </w:p>
        </w:tc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100%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r>
        <w:br w:type="page"/>
      </w: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25"/>
        <w:gridCol w:w="726"/>
        <w:gridCol w:w="2589"/>
        <w:gridCol w:w="1529"/>
        <w:gridCol w:w="1529"/>
        <w:gridCol w:w="833"/>
        <w:gridCol w:w="7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项目（政策）资金绩效自评表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预防艾滋病、梅毒和乙肝母婴传播项目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项目主管单位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项目实施单位</w:t>
            </w:r>
          </w:p>
        </w:tc>
        <w:tc>
          <w:tcPr>
            <w:tcW w:w="718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7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年度资金总额：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9.60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9.60 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其中：上级财政资金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9.10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9.10 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本级财政资金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0.50 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7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年度设定目标</w:t>
            </w: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0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通过传染病项目的实施，进一步预防艾滋病、梅毒和乙肝母婴的传播，把艾滋病、梅毒和乙肝母婴传播控制在尽可能低的水平，最大限度的减少艾滋病、梅毒和乙肝母婴传播对家庭和社会的影响和危害。</w:t>
            </w:r>
          </w:p>
        </w:tc>
        <w:tc>
          <w:tcPr>
            <w:tcW w:w="459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通过2021年项目的实施，艾滋病、梅毒和乙肝母婴的传播率控制为0。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完成率（%）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项目完成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指标1：孕产妇艾滋病、梅毒和乙肝检测率达100%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指标2：为采取长效避孕措施的感染育龄妇女每季度孕情监测覆盖率达100%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指标3：全市艾滋病母婴传播率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&lt;4%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指标4：梅毒感染孕产妇梅毒治疗率达90%以上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指标1：印刷资料、开展宣传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规范传染病工作，全面落实预防艾滋病、梅毒和乙肝综合干预措施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指标2：缴纳性病艾滋病防治协会会费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促进性病艾滋病防治协会工作顺利开展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指标3：办公耗材、网络、电话费及水电费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保障工作顺利开展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指标1：年度工作完成时间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2021年12月底前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指标1：印刷资料、开展宣传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约需经费1.4万元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1.4万元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指标2：缴纳性病艾滋病防治协会会费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约需经费0.2万元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0.2万元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指标3：办公耗材、网络、电话费及水电费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约需经费8万元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8万元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指标1：疾病的母婴传播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不断减少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不断减少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指标2：艾滋病、梅毒和乙肝对妇女儿童健康的影响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不断降低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不断降低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指标1：印刷资料、开展宣传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有利于社会发展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有利于社会发展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指标2：预防艾滋病、梅毒、乙肝母婴传播培训及督导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通过有针对性的改进工作，提升社会稳定性，提高群众安全感、满意度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通过有针对性的改进工作，提升社会稳定性，提高群众安全感、满意度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指标1：印刷资料，开展宣传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≥99%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5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指标2：邀请师资，开展培训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≥99%</w:t>
            </w:r>
          </w:p>
        </w:tc>
        <w:tc>
          <w:tcPr>
            <w:tcW w:w="15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r>
        <w:br w:type="page"/>
      </w: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5"/>
        <w:gridCol w:w="706"/>
        <w:gridCol w:w="2741"/>
        <w:gridCol w:w="1317"/>
        <w:gridCol w:w="1317"/>
        <w:gridCol w:w="911"/>
        <w:gridCol w:w="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项目（政策）资金绩效自评表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7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农村待孕妇女免费补服叶酸项目专项经费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项目主管单位</w:t>
            </w:r>
          </w:p>
        </w:tc>
        <w:tc>
          <w:tcPr>
            <w:tcW w:w="7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项目实施单位</w:t>
            </w:r>
          </w:p>
        </w:tc>
        <w:tc>
          <w:tcPr>
            <w:tcW w:w="722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年度资金总额：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其中：上级财政资金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本级财政资金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0.49 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83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8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年度设定目标</w:t>
            </w:r>
          </w:p>
        </w:tc>
        <w:tc>
          <w:tcPr>
            <w:tcW w:w="4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15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通过农村妇女免费补服叶酸项目的实施，有效预防新生儿神经管畸形的发生，为我区降低新生儿出生缺陷打下坚实基础。</w:t>
            </w:r>
          </w:p>
        </w:tc>
        <w:tc>
          <w:tcPr>
            <w:tcW w:w="448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顺利完成2021年度的叶酸补服项目工作。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完成率（%）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项目完成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指标1：农村妇女叶酸补服项目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约102人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134人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指标1：农村妇女叶酸补服项目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及时让辖区妇女补服叶酸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及时让辖区妇女补服叶酸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指标2：开展宣传，需场地协调、印刷宣传资料、水电费等费用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普及相关知识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普及相关知识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指标3：开展培训，需邀请师资、场地协调、培训资料印刷费、水电费等费用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学习相关知识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学习相关知识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指标1：年度工作完成时间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2021年12月底前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指标1：农村妇女叶酸补服项目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约0.2万元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0.2万元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指标2：开展宣传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约0.1万元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0.1万元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指标3：办公耗材、网络、电话费及水电费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约0.19万元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0.19万元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指标1：农村妇女叶酸补服项目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降低新生儿神经管缺陷发生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降低新生儿神经管缺陷发生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指标2：开展宣传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及时普及相关知识，增加覆盖率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及时普及相关知识，增加覆盖率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可持续影响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指标1：农村妇女叶酸补服项目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提高出生人口素质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提高出生人口素质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指标2：开展宣传，需场地协调、印刷宣传资料、水电费等费用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对社会对人民有持续影响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对社会对人民有持续影响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指标1：农村妇女叶酸补服人员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</w:t>
            </w:r>
          </w:p>
        </w:tc>
        <w:tc>
          <w:tcPr>
            <w:tcW w:w="9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r>
        <w:br w:type="page"/>
      </w: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1085"/>
        <w:gridCol w:w="1085"/>
        <w:gridCol w:w="2179"/>
        <w:gridCol w:w="1497"/>
        <w:gridCol w:w="1346"/>
        <w:gridCol w:w="810"/>
        <w:gridCol w:w="63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项目（政策）资金绩效自评表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取消药品加成医疗服务价格补偿项目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项目主管单位</w:t>
            </w:r>
          </w:p>
        </w:tc>
        <w:tc>
          <w:tcPr>
            <w:tcW w:w="6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9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项目实施单位</w:t>
            </w:r>
          </w:p>
        </w:tc>
        <w:tc>
          <w:tcPr>
            <w:tcW w:w="6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96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年度资金总额：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其中：上级财政资金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本级财政资金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0.43 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596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4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年度设定目标</w:t>
            </w:r>
          </w:p>
        </w:tc>
        <w:tc>
          <w:tcPr>
            <w:tcW w:w="4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3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按照“建机制、控费用、调结构、强监管”的原则，通过落实政府办医责任、调整医疗服务价格、改革收付费方式以及加强医院成本管理等综合措施和联动政策，破除取消“以药补医”机制，确保不增加患者医药费用负担，确保医院正常的就医秩序，确保取消“以药补医”后医院工作的顺利开展。</w:t>
            </w:r>
          </w:p>
        </w:tc>
        <w:tc>
          <w:tcPr>
            <w:tcW w:w="42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顺利完成2021年相关工作。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完成率（%）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项目完成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指标1：药品实行零差率销售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取消药品加成减少的收入，区财政承担90%，2020年药品收入预计为10.0万元。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指标1：药品实行零差率销售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确保按照药品零差价销售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指标1：年度工作完成时间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2021年12月底前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指标1：药品实行零差率销售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约需经费0.43万元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0.43万元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项目效益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指标1：药品实行零差率销售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减轻患者医药费用负担。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减轻患者医药费用负担。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指标1：药品实行零差率销售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提高医院社会效益，确保医院的公益性，使老百姓享受药品零差价的福利。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提高医院社会效益，确保医院的公益性，使老百姓享受药品零差价的福利。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指标1：药品实行零差率销售</w:t>
            </w:r>
          </w:p>
        </w:tc>
        <w:tc>
          <w:tcPr>
            <w:tcW w:w="1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≥99%</w:t>
            </w:r>
          </w:p>
        </w:tc>
        <w:tc>
          <w:tcPr>
            <w:tcW w:w="13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r>
        <w:br w:type="page"/>
      </w: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44"/>
        <w:gridCol w:w="745"/>
        <w:gridCol w:w="2156"/>
        <w:gridCol w:w="1821"/>
        <w:gridCol w:w="1821"/>
        <w:gridCol w:w="786"/>
        <w:gridCol w:w="5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项目（政策）资金绩效自评表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7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母婴安全保障经费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项目主管单位</w:t>
            </w:r>
          </w:p>
        </w:tc>
        <w:tc>
          <w:tcPr>
            <w:tcW w:w="7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项目实施单位</w:t>
            </w:r>
          </w:p>
        </w:tc>
        <w:tc>
          <w:tcPr>
            <w:tcW w:w="71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年度资金总额：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其中：上级财政资金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本级财政资金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0.47 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91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3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年度设定目标</w:t>
            </w: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36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通过对0-6岁儿童健康管理项目的培训及督导，进一步提高儿童系统管理率，促使基层医疗服务机构及时发现高危儿、体弱儿，通过逐级转诊、动态管理、有效干预，切实降低婴儿及5岁以下儿童死亡率，保障儿童健康。对孕产妇健康管理服务项目的培训、督导，切实提高基层医疗卫生服务机构孕产期保健服务能力，进一步提高孕产妇健康管理率，降低孕产妇、围产儿死亡率，保障母婴安全。</w:t>
            </w:r>
          </w:p>
        </w:tc>
        <w:tc>
          <w:tcPr>
            <w:tcW w:w="49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全区孕产妇死亡率为0，婴儿死亡率为2.06‰，5岁以下儿童死亡率为2.06‰，住院分娩率为100%，孕产妇系统管理率为97.11%，辖区医疗机构出生缺陷发生率为万分之82.64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完成率（%）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项目完成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指标1：指标1：每季度到辖区医疗卫生服务机构进行督导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对辖区</w:t>
            </w:r>
            <w:r>
              <w:rPr>
                <w:rStyle w:val="34"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家市级医院、</w:t>
            </w:r>
            <w:r>
              <w:rPr>
                <w:rStyle w:val="34"/>
                <w:sz w:val="21"/>
                <w:szCs w:val="21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家基层医疗服务机构开展督导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指标2：开展业务培训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对全区负责儿童保健的人员开展业务培训，约</w:t>
            </w:r>
            <w:r>
              <w:rPr>
                <w:rStyle w:val="34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人对全区负责孕产妇保健的人员开展业务培训，约</w:t>
            </w:r>
            <w:r>
              <w:rPr>
                <w:rStyle w:val="34"/>
                <w:sz w:val="21"/>
                <w:szCs w:val="21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人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指标3：办公耗材、网络、电话费及水电费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办公耗材、网络、电话费及水电费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指标1：指标1：每季度到辖区医疗卫生服务机构进行督导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及时掌握各基层医疗卫生机构工作开展情况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指标2：开展业务培训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传达上级的在儿童保健及孕产妇保健的新要求、新概念，同时针对督导和数据分析中发现的问题，开展业务培训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指标3：办公耗材、网络、电话费及水电费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保障必要的办公所需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指标1：年度工作完成时间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2021年12月底前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指标1：指标1：每季度到辖区医疗卫生服务机构进行督导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34"/>
                <w:sz w:val="21"/>
                <w:szCs w:val="21"/>
              </w:rPr>
              <w:t>0.2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34"/>
                <w:sz w:val="21"/>
                <w:szCs w:val="21"/>
              </w:rPr>
              <w:t>0.2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指标2：开展业务培训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34"/>
                <w:sz w:val="21"/>
                <w:szCs w:val="21"/>
              </w:rPr>
              <w:t>0.14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34"/>
                <w:sz w:val="21"/>
                <w:szCs w:val="21"/>
              </w:rPr>
              <w:t>0.14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指标3：办公耗材、网络、电话费及水电费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34"/>
                <w:sz w:val="21"/>
                <w:szCs w:val="21"/>
              </w:rPr>
              <w:t>0.13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rStyle w:val="34"/>
                <w:sz w:val="21"/>
                <w:szCs w:val="21"/>
              </w:rPr>
              <w:t>0.13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万元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项目效益</w:t>
            </w:r>
          </w:p>
        </w:tc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经济效益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指标1：开展业务培训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通过培训，提升基层医疗机构服务能力，为</w:t>
            </w:r>
            <w:r>
              <w:rPr>
                <w:rStyle w:val="34"/>
                <w:sz w:val="21"/>
                <w:szCs w:val="21"/>
              </w:rPr>
              <w:t>0-6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岁儿童及孕产妇开展保健，发现问题时能够及时给予建议，及早干预。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通过培训，提升基层医疗机构服务能力，为</w:t>
            </w:r>
            <w:r>
              <w:rPr>
                <w:rStyle w:val="34"/>
                <w:sz w:val="21"/>
                <w:szCs w:val="21"/>
              </w:rPr>
              <w:t>0-6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岁儿童及孕产妇开展保健，发现问题时能够及时给予建议，及早干预。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指标1：每季度到辖区医疗卫生服务机构进行督导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提高儿童健康管理率，达到系统管理率</w:t>
            </w:r>
            <w:r>
              <w:rPr>
                <w:rStyle w:val="34"/>
                <w:sz w:val="21"/>
                <w:szCs w:val="21"/>
              </w:rPr>
              <w:t>96%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，降低婴儿及</w:t>
            </w:r>
            <w:r>
              <w:rPr>
                <w:rStyle w:val="34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岁以下儿童死亡率。提高孕产妇健康管理率，实现早孕建卡率达到</w:t>
            </w:r>
            <w:r>
              <w:rPr>
                <w:rStyle w:val="34"/>
                <w:sz w:val="21"/>
                <w:szCs w:val="21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，进一步降低孕产妇死亡率。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提高儿童健康管理率，达到系统管理率</w:t>
            </w:r>
            <w:r>
              <w:rPr>
                <w:rStyle w:val="34"/>
                <w:sz w:val="21"/>
                <w:szCs w:val="21"/>
              </w:rPr>
              <w:t>96%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，降低婴儿及</w:t>
            </w:r>
            <w:r>
              <w:rPr>
                <w:rStyle w:val="34"/>
                <w:sz w:val="21"/>
                <w:szCs w:val="21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岁以下儿童死亡率。提高孕产妇健康管理率，实现早孕建卡率达到</w:t>
            </w:r>
            <w:r>
              <w:rPr>
                <w:rStyle w:val="34"/>
                <w:sz w:val="21"/>
                <w:szCs w:val="21"/>
              </w:rPr>
              <w:t>80%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，进一步降低孕产妇死亡率。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指标2：开展业务培训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使基层人员规范开展</w:t>
            </w:r>
            <w:r>
              <w:rPr>
                <w:rStyle w:val="34"/>
                <w:sz w:val="21"/>
                <w:szCs w:val="21"/>
              </w:rPr>
              <w:t>0-6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岁儿童健康管理，提供更优质的服务。使基层人员规范开展孕产妇健康管理，提供更优质的服务。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使基层人员规范开展</w:t>
            </w:r>
            <w:r>
              <w:rPr>
                <w:rStyle w:val="34"/>
                <w:sz w:val="21"/>
                <w:szCs w:val="21"/>
              </w:rPr>
              <w:t>0-6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岁儿童健康管理，提供更优质的服务。使基层人员规范开展孕产妇健康管理，提供更优质的服务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7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指标1：每季度到辖区医疗卫生服务机构进行督导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≥99%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99%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7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1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指标2：开展业务培训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≥99%</w:t>
            </w:r>
          </w:p>
        </w:tc>
        <w:tc>
          <w:tcPr>
            <w:tcW w:w="18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99%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</w:tbl>
    <w:p>
      <w:r>
        <w:br w:type="page"/>
      </w:r>
    </w:p>
    <w:tbl>
      <w:tblPr>
        <w:tblStyle w:val="12"/>
        <w:tblW w:w="906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82"/>
        <w:gridCol w:w="883"/>
        <w:gridCol w:w="2860"/>
        <w:gridCol w:w="1085"/>
        <w:gridCol w:w="860"/>
        <w:gridCol w:w="965"/>
        <w:gridCol w:w="10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项目（政策）资金绩效自评表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</w:t>
            </w:r>
            <w:r>
              <w:rPr>
                <w:color w:val="000000"/>
                <w:kern w:val="0"/>
                <w:szCs w:val="21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6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9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专项（项目）名称</w:t>
            </w:r>
          </w:p>
        </w:tc>
        <w:tc>
          <w:tcPr>
            <w:tcW w:w="6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财政返还医疗收入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项目主管单位</w:t>
            </w:r>
          </w:p>
        </w:tc>
        <w:tc>
          <w:tcPr>
            <w:tcW w:w="6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攀枝花市西区卫生健康局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项目实施单位</w:t>
            </w:r>
          </w:p>
        </w:tc>
        <w:tc>
          <w:tcPr>
            <w:tcW w:w="686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攀枝花市西区妇幼保健服务中心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1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项目资金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全年预算数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执行率（%）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年度资金总额：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9.13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9.13 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其中：上级财政资金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本级财政资金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9.13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9.13 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191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            其他资金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206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体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目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4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年度设定目标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46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textAlignment w:val="top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一是提升妇儿保健康服务水平。二是大力实施出生缺陷综合防治工程。三是规范实施妇幼重大公共卫生项目。</w:t>
            </w:r>
          </w:p>
        </w:tc>
        <w:tc>
          <w:tcPr>
            <w:tcW w:w="400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顺利完成2021年项目相关工作。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绩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一级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年度指标值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实际完成数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完成率（%）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未完成原因和改进措施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项目完成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指标1：确保区妇幼保健服务中心各项工作顺利进行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各项工作顺利进行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指标1：确保区妇幼保健服务中心各项工作顺利进行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各项工作顺利进行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指标1：年度工作完成时间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2021年12月底前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指标1：全年预计9.13万元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约9.13万元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9.13万元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社会效益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指标1：确保区妇幼保健服务中心各项工作顺利进行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各项工作顺利进行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已完成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满意度指标</w:t>
            </w:r>
          </w:p>
        </w:tc>
        <w:tc>
          <w:tcPr>
            <w:tcW w:w="2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指标1：服务群众满意度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≥90%</w:t>
            </w:r>
          </w:p>
        </w:tc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90%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0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Cs w:val="21"/>
              </w:rPr>
            </w:pPr>
          </w:p>
        </w:tc>
      </w:tr>
      <w:bookmarkEnd w:id="0"/>
    </w:tbl>
    <w:p>
      <w:pPr>
        <w:rPr>
          <w:rFonts w:eastAsia="仿宋"/>
        </w:rPr>
      </w:pPr>
    </w:p>
    <w:sectPr>
      <w:footerReference r:id="rId5" w:type="first"/>
      <w:headerReference r:id="rId3" w:type="default"/>
      <w:footerReference r:id="rId4" w:type="default"/>
      <w:pgSz w:w="11906" w:h="16838"/>
      <w:pgMar w:top="2098" w:right="1474" w:bottom="1984" w:left="1588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94781956"/>
    </w:sdtPr>
    <w:sdtContent>
      <w:p>
        <w:pPr>
          <w:pStyle w:val="8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7104379"/>
      <w:docPartObj>
        <w:docPartGallery w:val="AutoText"/>
      </w:docPartObj>
    </w:sdtPr>
    <w:sdtContent>
      <w:p>
        <w:pPr>
          <w:pStyle w:val="8"/>
          <w:jc w:val="center"/>
          <w:rPr>
            <w:rFonts w:hint="eastAsia"/>
          </w:rPr>
        </w:pPr>
      </w:p>
      <w:p>
        <w:pPr>
          <w:pStyle w:val="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7132420"/>
    <w:multiLevelType w:val="singleLevel"/>
    <w:tmpl w:val="0713242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272550B"/>
    <w:multiLevelType w:val="multilevel"/>
    <w:tmpl w:val="1272550B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GYwNjk1ZDEzYWQ2MzkxYWI4OTY5MGUzMWE2M2YyYjUifQ=="/>
  </w:docVars>
  <w:rsids>
    <w:rsidRoot w:val="00F1361C"/>
    <w:rsid w:val="000222C6"/>
    <w:rsid w:val="0002549F"/>
    <w:rsid w:val="000468DB"/>
    <w:rsid w:val="0006487A"/>
    <w:rsid w:val="00065F8F"/>
    <w:rsid w:val="00070A43"/>
    <w:rsid w:val="00072FB5"/>
    <w:rsid w:val="000768F2"/>
    <w:rsid w:val="0009184B"/>
    <w:rsid w:val="00094236"/>
    <w:rsid w:val="0009593C"/>
    <w:rsid w:val="00097322"/>
    <w:rsid w:val="000A6A92"/>
    <w:rsid w:val="000B047F"/>
    <w:rsid w:val="000B5923"/>
    <w:rsid w:val="000B5A48"/>
    <w:rsid w:val="000B6FF3"/>
    <w:rsid w:val="000C3467"/>
    <w:rsid w:val="000C3CA6"/>
    <w:rsid w:val="000D1267"/>
    <w:rsid w:val="000D1D50"/>
    <w:rsid w:val="000D5782"/>
    <w:rsid w:val="000E6613"/>
    <w:rsid w:val="000E7119"/>
    <w:rsid w:val="00114E9B"/>
    <w:rsid w:val="00142216"/>
    <w:rsid w:val="00144D6A"/>
    <w:rsid w:val="0014729F"/>
    <w:rsid w:val="00157BAB"/>
    <w:rsid w:val="001654D1"/>
    <w:rsid w:val="00174518"/>
    <w:rsid w:val="0018106D"/>
    <w:rsid w:val="001877A7"/>
    <w:rsid w:val="00191536"/>
    <w:rsid w:val="00196687"/>
    <w:rsid w:val="001C0962"/>
    <w:rsid w:val="001D7531"/>
    <w:rsid w:val="001E737D"/>
    <w:rsid w:val="001F0592"/>
    <w:rsid w:val="001F7506"/>
    <w:rsid w:val="002006CD"/>
    <w:rsid w:val="00202B36"/>
    <w:rsid w:val="00204B7A"/>
    <w:rsid w:val="00204CDE"/>
    <w:rsid w:val="0021101A"/>
    <w:rsid w:val="002113F6"/>
    <w:rsid w:val="00220536"/>
    <w:rsid w:val="00235629"/>
    <w:rsid w:val="00260C38"/>
    <w:rsid w:val="002616C0"/>
    <w:rsid w:val="00265372"/>
    <w:rsid w:val="002662AA"/>
    <w:rsid w:val="00280496"/>
    <w:rsid w:val="00294DC9"/>
    <w:rsid w:val="00295495"/>
    <w:rsid w:val="002A31DE"/>
    <w:rsid w:val="002B2613"/>
    <w:rsid w:val="002D6D05"/>
    <w:rsid w:val="002F1818"/>
    <w:rsid w:val="002F567B"/>
    <w:rsid w:val="003216A9"/>
    <w:rsid w:val="00335A74"/>
    <w:rsid w:val="0036561B"/>
    <w:rsid w:val="0037013F"/>
    <w:rsid w:val="00380C92"/>
    <w:rsid w:val="003A484F"/>
    <w:rsid w:val="003A4883"/>
    <w:rsid w:val="003B0BE0"/>
    <w:rsid w:val="003B0C1B"/>
    <w:rsid w:val="003B688C"/>
    <w:rsid w:val="003C0291"/>
    <w:rsid w:val="003C39AE"/>
    <w:rsid w:val="003C7B60"/>
    <w:rsid w:val="003D0C0F"/>
    <w:rsid w:val="003D1FB2"/>
    <w:rsid w:val="003D66DA"/>
    <w:rsid w:val="003E1310"/>
    <w:rsid w:val="003E6F55"/>
    <w:rsid w:val="00406254"/>
    <w:rsid w:val="004223DE"/>
    <w:rsid w:val="00434489"/>
    <w:rsid w:val="00437085"/>
    <w:rsid w:val="00443880"/>
    <w:rsid w:val="004464F4"/>
    <w:rsid w:val="00471401"/>
    <w:rsid w:val="00473F31"/>
    <w:rsid w:val="0048263A"/>
    <w:rsid w:val="00487E5D"/>
    <w:rsid w:val="004A711F"/>
    <w:rsid w:val="004B199D"/>
    <w:rsid w:val="004B4690"/>
    <w:rsid w:val="004E0A2D"/>
    <w:rsid w:val="004E206B"/>
    <w:rsid w:val="004E6DF7"/>
    <w:rsid w:val="004F0FBD"/>
    <w:rsid w:val="00505A47"/>
    <w:rsid w:val="00512FDA"/>
    <w:rsid w:val="00520DA0"/>
    <w:rsid w:val="005664BB"/>
    <w:rsid w:val="00566FFA"/>
    <w:rsid w:val="0057481D"/>
    <w:rsid w:val="0058486E"/>
    <w:rsid w:val="00585B33"/>
    <w:rsid w:val="0059014D"/>
    <w:rsid w:val="005B5C64"/>
    <w:rsid w:val="005C5337"/>
    <w:rsid w:val="005C6BD0"/>
    <w:rsid w:val="005D1C8B"/>
    <w:rsid w:val="005D468D"/>
    <w:rsid w:val="005D5CED"/>
    <w:rsid w:val="005F1A4C"/>
    <w:rsid w:val="00605688"/>
    <w:rsid w:val="006070AF"/>
    <w:rsid w:val="00607E6C"/>
    <w:rsid w:val="006101B1"/>
    <w:rsid w:val="00614E44"/>
    <w:rsid w:val="0062270A"/>
    <w:rsid w:val="00622830"/>
    <w:rsid w:val="00623DA0"/>
    <w:rsid w:val="00630AEF"/>
    <w:rsid w:val="006325F8"/>
    <w:rsid w:val="00633463"/>
    <w:rsid w:val="00634C9A"/>
    <w:rsid w:val="006440E4"/>
    <w:rsid w:val="0066343B"/>
    <w:rsid w:val="00664777"/>
    <w:rsid w:val="006748A4"/>
    <w:rsid w:val="00681A31"/>
    <w:rsid w:val="00683E73"/>
    <w:rsid w:val="006A3141"/>
    <w:rsid w:val="006A5E34"/>
    <w:rsid w:val="006B2422"/>
    <w:rsid w:val="006B2B9A"/>
    <w:rsid w:val="006C1937"/>
    <w:rsid w:val="006F020C"/>
    <w:rsid w:val="007127B7"/>
    <w:rsid w:val="0071798E"/>
    <w:rsid w:val="007416B6"/>
    <w:rsid w:val="00746F48"/>
    <w:rsid w:val="0075404D"/>
    <w:rsid w:val="0076182A"/>
    <w:rsid w:val="00767B7E"/>
    <w:rsid w:val="007770C3"/>
    <w:rsid w:val="00784D24"/>
    <w:rsid w:val="00785FBA"/>
    <w:rsid w:val="00786E4A"/>
    <w:rsid w:val="007875EB"/>
    <w:rsid w:val="0079426B"/>
    <w:rsid w:val="007D1682"/>
    <w:rsid w:val="007D312A"/>
    <w:rsid w:val="007D3F19"/>
    <w:rsid w:val="007E23B0"/>
    <w:rsid w:val="007E23E5"/>
    <w:rsid w:val="007F1991"/>
    <w:rsid w:val="007F2C2F"/>
    <w:rsid w:val="007F55FC"/>
    <w:rsid w:val="007F5665"/>
    <w:rsid w:val="00800112"/>
    <w:rsid w:val="00813348"/>
    <w:rsid w:val="008253BB"/>
    <w:rsid w:val="0083706E"/>
    <w:rsid w:val="008408F6"/>
    <w:rsid w:val="008423A5"/>
    <w:rsid w:val="00850625"/>
    <w:rsid w:val="00853718"/>
    <w:rsid w:val="00855221"/>
    <w:rsid w:val="00860645"/>
    <w:rsid w:val="00871F71"/>
    <w:rsid w:val="00872FD8"/>
    <w:rsid w:val="00885AF4"/>
    <w:rsid w:val="008939CD"/>
    <w:rsid w:val="008B768C"/>
    <w:rsid w:val="008C4DB1"/>
    <w:rsid w:val="008C4EAF"/>
    <w:rsid w:val="008C5176"/>
    <w:rsid w:val="008C7FD0"/>
    <w:rsid w:val="008E1DE7"/>
    <w:rsid w:val="008E707C"/>
    <w:rsid w:val="00900B08"/>
    <w:rsid w:val="00902155"/>
    <w:rsid w:val="00902FA3"/>
    <w:rsid w:val="00923564"/>
    <w:rsid w:val="0092392E"/>
    <w:rsid w:val="009315F9"/>
    <w:rsid w:val="00933499"/>
    <w:rsid w:val="00935C98"/>
    <w:rsid w:val="00946945"/>
    <w:rsid w:val="00951248"/>
    <w:rsid w:val="0095152F"/>
    <w:rsid w:val="00954C49"/>
    <w:rsid w:val="00955E37"/>
    <w:rsid w:val="0097099F"/>
    <w:rsid w:val="00971997"/>
    <w:rsid w:val="00971FFC"/>
    <w:rsid w:val="0098660A"/>
    <w:rsid w:val="009931C3"/>
    <w:rsid w:val="009B2C43"/>
    <w:rsid w:val="009B4EAE"/>
    <w:rsid w:val="009B7573"/>
    <w:rsid w:val="009C22F4"/>
    <w:rsid w:val="009C2A4B"/>
    <w:rsid w:val="009C2E98"/>
    <w:rsid w:val="009D3447"/>
    <w:rsid w:val="009D4711"/>
    <w:rsid w:val="009F1185"/>
    <w:rsid w:val="009F18CD"/>
    <w:rsid w:val="009F2A13"/>
    <w:rsid w:val="009F7527"/>
    <w:rsid w:val="00A04EB0"/>
    <w:rsid w:val="00A13CC1"/>
    <w:rsid w:val="00A16847"/>
    <w:rsid w:val="00A237D8"/>
    <w:rsid w:val="00A268C4"/>
    <w:rsid w:val="00A307CD"/>
    <w:rsid w:val="00A331C8"/>
    <w:rsid w:val="00A40A00"/>
    <w:rsid w:val="00A4142F"/>
    <w:rsid w:val="00A422EB"/>
    <w:rsid w:val="00A45BB7"/>
    <w:rsid w:val="00A56DF2"/>
    <w:rsid w:val="00A56E6E"/>
    <w:rsid w:val="00A67AB5"/>
    <w:rsid w:val="00A733B2"/>
    <w:rsid w:val="00A741C2"/>
    <w:rsid w:val="00A91760"/>
    <w:rsid w:val="00A93B00"/>
    <w:rsid w:val="00A93C21"/>
    <w:rsid w:val="00AB64C9"/>
    <w:rsid w:val="00AC3C6A"/>
    <w:rsid w:val="00AD5620"/>
    <w:rsid w:val="00AD656B"/>
    <w:rsid w:val="00AD7C1B"/>
    <w:rsid w:val="00AE16BA"/>
    <w:rsid w:val="00AE1EBE"/>
    <w:rsid w:val="00B03C9D"/>
    <w:rsid w:val="00B060AE"/>
    <w:rsid w:val="00B10517"/>
    <w:rsid w:val="00B14E76"/>
    <w:rsid w:val="00B161B8"/>
    <w:rsid w:val="00B2048C"/>
    <w:rsid w:val="00B310B9"/>
    <w:rsid w:val="00B35F3F"/>
    <w:rsid w:val="00B36CBB"/>
    <w:rsid w:val="00B425E0"/>
    <w:rsid w:val="00B440AA"/>
    <w:rsid w:val="00B44B70"/>
    <w:rsid w:val="00B53C56"/>
    <w:rsid w:val="00B57DAF"/>
    <w:rsid w:val="00B7740E"/>
    <w:rsid w:val="00B77EA6"/>
    <w:rsid w:val="00B81598"/>
    <w:rsid w:val="00B8327E"/>
    <w:rsid w:val="00B841F1"/>
    <w:rsid w:val="00B944D6"/>
    <w:rsid w:val="00BA60E4"/>
    <w:rsid w:val="00BB4DF0"/>
    <w:rsid w:val="00BC289F"/>
    <w:rsid w:val="00BC2D50"/>
    <w:rsid w:val="00BC5361"/>
    <w:rsid w:val="00BC5460"/>
    <w:rsid w:val="00BC6B50"/>
    <w:rsid w:val="00BD0E25"/>
    <w:rsid w:val="00BF5BD6"/>
    <w:rsid w:val="00C03E31"/>
    <w:rsid w:val="00C33E72"/>
    <w:rsid w:val="00C354B2"/>
    <w:rsid w:val="00C35554"/>
    <w:rsid w:val="00C42709"/>
    <w:rsid w:val="00C533CC"/>
    <w:rsid w:val="00C5751C"/>
    <w:rsid w:val="00C61BFC"/>
    <w:rsid w:val="00C62B85"/>
    <w:rsid w:val="00C65438"/>
    <w:rsid w:val="00C87FD8"/>
    <w:rsid w:val="00C91381"/>
    <w:rsid w:val="00C91CBB"/>
    <w:rsid w:val="00CB4E70"/>
    <w:rsid w:val="00CC09B6"/>
    <w:rsid w:val="00CC666F"/>
    <w:rsid w:val="00CD1E3F"/>
    <w:rsid w:val="00CE44F6"/>
    <w:rsid w:val="00CE49DA"/>
    <w:rsid w:val="00CE7B61"/>
    <w:rsid w:val="00D00095"/>
    <w:rsid w:val="00D114F0"/>
    <w:rsid w:val="00D20620"/>
    <w:rsid w:val="00D254F7"/>
    <w:rsid w:val="00D26091"/>
    <w:rsid w:val="00D2685C"/>
    <w:rsid w:val="00D34E7C"/>
    <w:rsid w:val="00D35489"/>
    <w:rsid w:val="00D36AFE"/>
    <w:rsid w:val="00D51276"/>
    <w:rsid w:val="00D7035F"/>
    <w:rsid w:val="00DA634F"/>
    <w:rsid w:val="00DA65AC"/>
    <w:rsid w:val="00DB1913"/>
    <w:rsid w:val="00DC410D"/>
    <w:rsid w:val="00DC5A81"/>
    <w:rsid w:val="00DC68CA"/>
    <w:rsid w:val="00DC7CBA"/>
    <w:rsid w:val="00DD73B7"/>
    <w:rsid w:val="00DF28BC"/>
    <w:rsid w:val="00DF34B9"/>
    <w:rsid w:val="00E01053"/>
    <w:rsid w:val="00E07ACF"/>
    <w:rsid w:val="00E331A1"/>
    <w:rsid w:val="00E33202"/>
    <w:rsid w:val="00E336A9"/>
    <w:rsid w:val="00E472B1"/>
    <w:rsid w:val="00E50624"/>
    <w:rsid w:val="00E568DF"/>
    <w:rsid w:val="00E64269"/>
    <w:rsid w:val="00E82267"/>
    <w:rsid w:val="00E853CE"/>
    <w:rsid w:val="00E867B6"/>
    <w:rsid w:val="00EA010F"/>
    <w:rsid w:val="00EA2658"/>
    <w:rsid w:val="00ED1B63"/>
    <w:rsid w:val="00ED3C1F"/>
    <w:rsid w:val="00ED4085"/>
    <w:rsid w:val="00ED420E"/>
    <w:rsid w:val="00ED6FBE"/>
    <w:rsid w:val="00EE2F57"/>
    <w:rsid w:val="00EF4C34"/>
    <w:rsid w:val="00EF77C6"/>
    <w:rsid w:val="00F05438"/>
    <w:rsid w:val="00F1361C"/>
    <w:rsid w:val="00F156F0"/>
    <w:rsid w:val="00F160C7"/>
    <w:rsid w:val="00F2408F"/>
    <w:rsid w:val="00F240E9"/>
    <w:rsid w:val="00F36D8F"/>
    <w:rsid w:val="00F417B1"/>
    <w:rsid w:val="00F45853"/>
    <w:rsid w:val="00F602DF"/>
    <w:rsid w:val="00F754A1"/>
    <w:rsid w:val="00F81FD9"/>
    <w:rsid w:val="00F841AA"/>
    <w:rsid w:val="00F84A94"/>
    <w:rsid w:val="00F87E96"/>
    <w:rsid w:val="00FA23E8"/>
    <w:rsid w:val="00FD3CC1"/>
    <w:rsid w:val="00FF1E02"/>
    <w:rsid w:val="00FF30B4"/>
    <w:rsid w:val="0665615E"/>
    <w:rsid w:val="066E0107"/>
    <w:rsid w:val="07996F6E"/>
    <w:rsid w:val="0A2032A3"/>
    <w:rsid w:val="101860EC"/>
    <w:rsid w:val="10C055FF"/>
    <w:rsid w:val="114F7F80"/>
    <w:rsid w:val="118107EC"/>
    <w:rsid w:val="13D50BC4"/>
    <w:rsid w:val="16BB723D"/>
    <w:rsid w:val="1BE8440E"/>
    <w:rsid w:val="1D155CEE"/>
    <w:rsid w:val="1F903B2D"/>
    <w:rsid w:val="23860B96"/>
    <w:rsid w:val="240371BF"/>
    <w:rsid w:val="29FD04D3"/>
    <w:rsid w:val="2C8A61B5"/>
    <w:rsid w:val="2DF04E50"/>
    <w:rsid w:val="304271ED"/>
    <w:rsid w:val="308F755C"/>
    <w:rsid w:val="319F7F4E"/>
    <w:rsid w:val="36AA5135"/>
    <w:rsid w:val="37E16F03"/>
    <w:rsid w:val="3D98207C"/>
    <w:rsid w:val="44E268DA"/>
    <w:rsid w:val="4A627F82"/>
    <w:rsid w:val="4B4F25DA"/>
    <w:rsid w:val="4BE068DB"/>
    <w:rsid w:val="4D577224"/>
    <w:rsid w:val="4EAB630A"/>
    <w:rsid w:val="4ECE2238"/>
    <w:rsid w:val="4F6B1D70"/>
    <w:rsid w:val="539230A2"/>
    <w:rsid w:val="5AF92295"/>
    <w:rsid w:val="5CD71FC4"/>
    <w:rsid w:val="5E493F01"/>
    <w:rsid w:val="66976D92"/>
    <w:rsid w:val="672F2624"/>
    <w:rsid w:val="6C4A05C8"/>
    <w:rsid w:val="6E7E3605"/>
    <w:rsid w:val="6FF5CC65"/>
    <w:rsid w:val="715C0E4B"/>
    <w:rsid w:val="72734D90"/>
    <w:rsid w:val="73AD73D5"/>
    <w:rsid w:val="73B6EB34"/>
    <w:rsid w:val="79EE5BA4"/>
    <w:rsid w:val="7A894339"/>
    <w:rsid w:val="7A8E036D"/>
    <w:rsid w:val="7B5D1DB2"/>
    <w:rsid w:val="7EC17893"/>
    <w:rsid w:val="7EEF11D3"/>
    <w:rsid w:val="7FA30C79"/>
    <w:rsid w:val="7FC96657"/>
    <w:rsid w:val="D8D6DB89"/>
    <w:rsid w:val="DB6F4CAB"/>
    <w:rsid w:val="DF6F97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24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link w:val="28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1"/>
    <w:qFormat/>
    <w:uiPriority w:val="99"/>
    <w:pPr>
      <w:spacing w:beforeLines="30"/>
    </w:pPr>
    <w:rPr>
      <w:rFonts w:ascii="仿宋_GB2312" w:eastAsia="仿宋_GB2312"/>
      <w:kern w:val="0"/>
      <w:sz w:val="30"/>
    </w:rPr>
  </w:style>
  <w:style w:type="paragraph" w:styleId="6">
    <w:name w:val="toc 3"/>
    <w:basedOn w:val="1"/>
    <w:next w:val="1"/>
    <w:unhideWhenUsed/>
    <w:qFormat/>
    <w:uiPriority w:val="39"/>
    <w:pPr>
      <w:tabs>
        <w:tab w:val="right" w:leader="dot" w:pos="8296"/>
      </w:tabs>
      <w:ind w:left="840" w:leftChars="400"/>
    </w:pPr>
  </w:style>
  <w:style w:type="paragraph" w:styleId="7">
    <w:name w:val="Balloon Text"/>
    <w:basedOn w:val="1"/>
    <w:link w:val="2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</w:rPr>
  </w:style>
  <w:style w:type="paragraph" w:styleId="9">
    <w:name w:val="header"/>
    <w:basedOn w:val="1"/>
    <w:link w:val="1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0">
    <w:name w:val="toc 1"/>
    <w:basedOn w:val="1"/>
    <w:next w:val="1"/>
    <w:unhideWhenUsed/>
    <w:qFormat/>
    <w:uiPriority w:val="39"/>
    <w:pPr>
      <w:tabs>
        <w:tab w:val="right" w:leader="dot" w:pos="8296"/>
      </w:tabs>
      <w:spacing w:before="93"/>
      <w:jc w:val="center"/>
    </w:pPr>
    <w:rPr>
      <w:rFonts w:ascii="仿宋" w:hAnsi="仿宋" w:eastAsia="仿宋"/>
      <w:sz w:val="28"/>
      <w:szCs w:val="28"/>
    </w:rPr>
  </w:style>
  <w:style w:type="paragraph" w:styleId="11">
    <w:name w:val="toc 2"/>
    <w:basedOn w:val="1"/>
    <w:next w:val="1"/>
    <w:unhideWhenUsed/>
    <w:qFormat/>
    <w:uiPriority w:val="39"/>
    <w:pPr>
      <w:tabs>
        <w:tab w:val="right" w:leader="dot" w:pos="8296"/>
      </w:tabs>
      <w:ind w:left="420" w:leftChars="200"/>
    </w:pPr>
  </w:style>
  <w:style w:type="character" w:styleId="14">
    <w:name w:val="Strong"/>
    <w:basedOn w:val="13"/>
    <w:qFormat/>
    <w:uiPriority w:val="99"/>
    <w:rPr>
      <w:b/>
    </w:rPr>
  </w:style>
  <w:style w:type="character" w:styleId="15">
    <w:name w:val="Hyperlink"/>
    <w:basedOn w:val="13"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Head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7">
    <w:name w:val="页眉 Char"/>
    <w:link w:val="9"/>
    <w:semiHidden/>
    <w:qFormat/>
    <w:locked/>
    <w:uiPriority w:val="99"/>
    <w:rPr>
      <w:sz w:val="18"/>
    </w:rPr>
  </w:style>
  <w:style w:type="character" w:customStyle="1" w:styleId="18">
    <w:name w:val="Footer Char"/>
    <w:basedOn w:val="13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9">
    <w:name w:val="页脚 Char"/>
    <w:link w:val="8"/>
    <w:qFormat/>
    <w:locked/>
    <w:uiPriority w:val="99"/>
    <w:rPr>
      <w:sz w:val="18"/>
    </w:rPr>
  </w:style>
  <w:style w:type="character" w:customStyle="1" w:styleId="20">
    <w:name w:val="Body Text Char"/>
    <w:basedOn w:val="13"/>
    <w:semiHidden/>
    <w:qFormat/>
    <w:uiPriority w:val="99"/>
    <w:rPr>
      <w:rFonts w:ascii="Times New Roman" w:hAnsi="Times New Roman"/>
      <w:szCs w:val="24"/>
    </w:rPr>
  </w:style>
  <w:style w:type="character" w:customStyle="1" w:styleId="21">
    <w:name w:val="正文文本 Char"/>
    <w:link w:val="2"/>
    <w:qFormat/>
    <w:locked/>
    <w:uiPriority w:val="99"/>
    <w:rPr>
      <w:rFonts w:ascii="仿宋_GB2312" w:hAnsi="Times New Roman" w:eastAsia="仿宋_GB2312"/>
      <w:sz w:val="24"/>
    </w:rPr>
  </w:style>
  <w:style w:type="paragraph" w:customStyle="1" w:styleId="2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仿宋" w:hAnsi="Calibri" w:eastAsia="仿宋" w:cs="仿宋"/>
      <w:color w:val="000000"/>
      <w:sz w:val="24"/>
      <w:szCs w:val="24"/>
      <w:lang w:val="en-US" w:eastAsia="zh-CN" w:bidi="ar-SA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标题 1 Char"/>
    <w:basedOn w:val="13"/>
    <w:link w:val="3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5">
    <w:name w:val="标题 2 Char"/>
    <w:basedOn w:val="13"/>
    <w:link w:val="4"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26">
    <w:name w:val="TOC 标题1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27">
    <w:name w:val="批注框文本 Char"/>
    <w:basedOn w:val="13"/>
    <w:link w:val="7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8">
    <w:name w:val="标题 3 Char"/>
    <w:basedOn w:val="13"/>
    <w:link w:val="5"/>
    <w:qFormat/>
    <w:uiPriority w:val="9"/>
    <w:rPr>
      <w:rFonts w:ascii="Times New Roman" w:hAnsi="Times New Roman"/>
      <w:b/>
      <w:bCs/>
      <w:kern w:val="2"/>
      <w:sz w:val="32"/>
      <w:szCs w:val="32"/>
    </w:rPr>
  </w:style>
  <w:style w:type="paragraph" w:customStyle="1" w:styleId="29">
    <w:name w:val="TOC 标题2"/>
    <w:basedOn w:val="3"/>
    <w:next w:val="1"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Theme="majorHAnsi" w:hAnsiTheme="majorHAnsi" w:eastAsiaTheme="majorEastAsia" w:cstheme="majorBidi"/>
      <w:color w:val="366091" w:themeColor="accent1" w:themeShade="BF"/>
      <w:kern w:val="0"/>
      <w:sz w:val="28"/>
      <w:szCs w:val="28"/>
    </w:rPr>
  </w:style>
  <w:style w:type="character" w:customStyle="1" w:styleId="30">
    <w:name w:val="标题 2 Char1"/>
    <w:basedOn w:val="13"/>
    <w:link w:val="4"/>
    <w:qFormat/>
    <w:locked/>
    <w:uiPriority w:val="9"/>
    <w:rPr>
      <w:rFonts w:ascii="Cambria" w:hAnsi="Cambria"/>
      <w:b/>
      <w:bCs/>
      <w:sz w:val="32"/>
      <w:szCs w:val="32"/>
    </w:rPr>
  </w:style>
  <w:style w:type="character" w:customStyle="1" w:styleId="31">
    <w:name w:val="font21"/>
    <w:basedOn w:val="1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">
    <w:name w:val="font4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33">
    <w:name w:val="font31"/>
    <w:basedOn w:val="1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34">
    <w:name w:val="font51"/>
    <w:basedOn w:val="1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3D0D1-9D0E-47DE-805B-064F317C2D9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四川省财政厅</Company>
  <Pages>24</Pages>
  <Words>8884</Words>
  <Characters>9953</Characters>
  <Lines>27</Lines>
  <Paragraphs>24</Paragraphs>
  <TotalTime>48</TotalTime>
  <ScaleCrop>false</ScaleCrop>
  <LinksUpToDate>false</LinksUpToDate>
  <CharactersWithSpaces>10343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2020-08-05T01:49:00Z</dcterms:created>
  <dc:creator>曹颖</dc:creator>
  <cp:lastModifiedBy>Administrator</cp:lastModifiedBy>
  <cp:lastPrinted>2022-08-08T09:11:00Z</cp:lastPrinted>
  <dcterms:modified xsi:type="dcterms:W3CDTF">2023-07-21T03:16:33Z</dcterms:modified>
  <dc:title>四川省***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5D72433A07274A89B7816F880ED5816D</vt:lpwstr>
  </property>
</Properties>
</file>