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475"/>
      <w:bookmarkStart w:id="4" w:name="_Toc15378441"/>
      <w:bookmarkStart w:id="5" w:name="_Toc15396597"/>
      <w:r>
        <w:rPr>
          <w:rFonts w:ascii="黑体" w:hAnsi="黑体" w:eastAsia="黑体"/>
          <w:color w:val="000000"/>
          <w:sz w:val="72"/>
          <w:szCs w:val="72"/>
        </w:rPr>
        <w:t>20</w:t>
      </w:r>
      <w:r>
        <w:rPr>
          <w:rFonts w:hint="eastAsia" w:ascii="黑体" w:hAnsi="黑体" w:eastAsia="黑体"/>
          <w:color w:val="000000"/>
          <w:sz w:val="72"/>
          <w:szCs w:val="72"/>
        </w:rPr>
        <w:t>21</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78442"/>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攀枝花市西区城市建设服务中心部门决算</w:t>
      </w:r>
      <w:bookmarkEnd w:id="6"/>
      <w:bookmarkEnd w:id="7"/>
      <w:bookmarkEnd w:id="8"/>
      <w:bookmarkEnd w:id="9"/>
      <w:bookmarkEnd w:id="10"/>
      <w:bookmarkEnd w:id="11"/>
    </w:p>
    <w:p>
      <w:pPr>
        <w:widowControl/>
        <w:jc w:val="center"/>
        <w:rPr>
          <w:rFonts w:hint="eastAsia" w:eastAsia="方正小标宋_GBK" w:cs="方正小标宋_GBK"/>
          <w:b/>
          <w:bCs/>
          <w:color w:val="000000"/>
          <w:sz w:val="48"/>
          <w:szCs w:val="48"/>
        </w:rPr>
      </w:pPr>
      <w:r>
        <w:rPr>
          <w:rFonts w:ascii="方正小标宋简体" w:hAnsi="宋体" w:eastAsia="方正小标宋简体"/>
          <w:color w:val="000000"/>
          <w:sz w:val="36"/>
          <w:szCs w:val="36"/>
        </w:rPr>
        <w:br w:type="page"/>
      </w:r>
      <w:r>
        <w:rPr>
          <w:rFonts w:hint="eastAsia" w:ascii="仿宋_GB2312" w:hAnsi="仿宋_GB2312" w:eastAsia="仿宋_GB2312" w:cs="仿宋_GB2312"/>
          <w:b/>
          <w:bCs/>
          <w:color w:val="000000"/>
          <w:sz w:val="48"/>
          <w:szCs w:val="48"/>
        </w:rPr>
        <w:t>目录</w:t>
      </w:r>
    </w:p>
    <w:p>
      <w:pPr>
        <w:widowControl/>
        <w:jc w:val="center"/>
        <w:rPr>
          <w:rFonts w:ascii="黑体" w:hAnsi="黑体" w:eastAsia="黑体" w:cstheme="minorBidi"/>
          <w:sz w:val="28"/>
          <w:szCs w:val="28"/>
        </w:rPr>
      </w:pPr>
    </w:p>
    <w:p>
      <w:pPr>
        <w:pStyle w:val="10"/>
        <w:rPr>
          <w:rFonts w:hint="eastAsia" w:ascii="Times New Roman" w:hAnsi="Times New Roman" w:eastAsia="方正仿宋_GBK" w:cs="方正仿宋_GBK"/>
        </w:rPr>
      </w:pPr>
      <w:r>
        <w:rPr>
          <w:rFonts w:hint="eastAsia" w:ascii="仿宋_GB2312" w:hAnsi="仿宋_GB2312" w:eastAsia="仿宋_GB2312" w:cs="仿宋_GB2312"/>
        </w:rPr>
        <w:t>公开时间：2022年10月8日</w:t>
      </w:r>
    </w:p>
    <w:p>
      <w:pPr>
        <w:ind w:firstLine="420" w:firstLineChars="200"/>
        <w:rPr>
          <w:rFonts w:ascii="宋体" w:hAnsi="宋体"/>
        </w:rPr>
      </w:pPr>
    </w:p>
    <w:p>
      <w:pPr>
        <w:pStyle w:val="10"/>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eastAsia" w:ascii="Times New Roman" w:hAnsi="Times New Roman" w:eastAsia="方正仿宋_GBK" w:cs="Times New Roman"/>
          <w:sz w:val="24"/>
          <w:szCs w:val="24"/>
          <w:lang w:eastAsia="zh-CN"/>
        </w:rPr>
      </w:pPr>
      <w:r>
        <w:rPr>
          <w:rFonts w:hint="eastAsia" w:ascii="仿宋_GB2312" w:hAnsi="仿宋_GB2312" w:eastAsia="仿宋_GB2312" w:cs="仿宋_GB2312"/>
          <w:sz w:val="24"/>
          <w:szCs w:val="24"/>
        </w:rPr>
        <w:t>第一部分  部门概况</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4</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一、基本职能及主要工作</w:t>
      </w:r>
      <w:r>
        <w:rPr>
          <w:rFonts w:eastAsia="方正仿宋_GBK"/>
          <w:sz w:val="24"/>
          <w:szCs w:val="24"/>
        </w:rPr>
        <w:t>…………………………………………………</w:t>
      </w:r>
      <w:r>
        <w:rPr>
          <w:rFonts w:hint="eastAsia" w:eastAsia="方正仿宋_GBK"/>
          <w:sz w:val="24"/>
          <w:szCs w:val="24"/>
          <w:lang w:val="en-US" w:eastAsia="zh-CN"/>
        </w:rPr>
        <w:t xml:space="preserve"> </w:t>
      </w:r>
      <w:r>
        <w:rPr>
          <w:rFonts w:eastAsia="方正仿宋_GBK"/>
          <w:sz w:val="24"/>
          <w:szCs w:val="24"/>
        </w:rPr>
        <w:t>…..</w:t>
      </w:r>
      <w:r>
        <w:rPr>
          <w:rFonts w:hint="eastAsia" w:eastAsia="方正仿宋_GBK"/>
          <w:sz w:val="24"/>
          <w:szCs w:val="24"/>
          <w:lang w:val="en-US" w:eastAsia="zh-CN"/>
        </w:rPr>
        <w:t>4</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二、机构设置</w:t>
      </w:r>
      <w:r>
        <w:rPr>
          <w:rFonts w:eastAsia="方正仿宋_GBK"/>
          <w:sz w:val="24"/>
          <w:szCs w:val="24"/>
        </w:rPr>
        <w:t>………………………………………………………..………</w:t>
      </w:r>
      <w:r>
        <w:rPr>
          <w:rFonts w:hint="eastAsia" w:eastAsia="方正仿宋_GBK"/>
          <w:sz w:val="24"/>
          <w:szCs w:val="24"/>
          <w:lang w:val="en-US" w:eastAsia="zh-CN"/>
        </w:rPr>
        <w:t xml:space="preserve"> </w:t>
      </w:r>
      <w:r>
        <w:rPr>
          <w:rFonts w:eastAsia="方正仿宋_GBK"/>
          <w:sz w:val="24"/>
          <w:szCs w:val="24"/>
        </w:rPr>
        <w:t>…</w:t>
      </w:r>
      <w:r>
        <w:rPr>
          <w:rFonts w:hint="eastAsia" w:eastAsia="方正仿宋_GBK"/>
          <w:sz w:val="24"/>
          <w:szCs w:val="24"/>
          <w:lang w:val="en-US" w:eastAsia="zh-CN"/>
        </w:rPr>
        <w:t>5</w:t>
      </w:r>
    </w:p>
    <w:p>
      <w:pPr>
        <w:pStyle w:val="10"/>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eastAsia" w:ascii="Times New Roman" w:hAnsi="Times New Roman" w:eastAsia="方正仿宋_GBK" w:cs="Times New Roman"/>
          <w:sz w:val="24"/>
          <w:szCs w:val="24"/>
          <w:lang w:eastAsia="zh-CN"/>
        </w:rPr>
      </w:pPr>
      <w:r>
        <w:rPr>
          <w:rFonts w:hint="eastAsia" w:ascii="仿宋_GB2312" w:hAnsi="仿宋_GB2312" w:eastAsia="仿宋_GB2312" w:cs="仿宋_GB2312"/>
          <w:sz w:val="24"/>
          <w:szCs w:val="24"/>
        </w:rPr>
        <w:t>第二部分　2021年度部门决算情况说明</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 xml:space="preserve"> 5</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一、收入支出决算总体情况说明</w:t>
      </w:r>
      <w:r>
        <w:rPr>
          <w:rFonts w:eastAsia="方正仿宋_GBK"/>
          <w:sz w:val="24"/>
          <w:szCs w:val="24"/>
        </w:rPr>
        <w:t>……………………………………..……</w:t>
      </w:r>
      <w:r>
        <w:rPr>
          <w:rFonts w:hint="eastAsia" w:eastAsia="方正仿宋_GBK"/>
          <w:sz w:val="24"/>
          <w:szCs w:val="24"/>
          <w:lang w:val="en-US" w:eastAsia="zh-CN"/>
        </w:rPr>
        <w:t xml:space="preserve"> </w:t>
      </w:r>
      <w:r>
        <w:rPr>
          <w:rFonts w:eastAsia="方正仿宋_GBK"/>
          <w:sz w:val="24"/>
          <w:szCs w:val="24"/>
        </w:rPr>
        <w:t>…</w:t>
      </w:r>
      <w:r>
        <w:rPr>
          <w:rFonts w:hint="eastAsia" w:eastAsia="方正仿宋_GBK"/>
          <w:sz w:val="24"/>
          <w:szCs w:val="24"/>
          <w:lang w:val="en-US" w:eastAsia="zh-CN"/>
        </w:rPr>
        <w:t>5</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二、收入决算情况说明</w:t>
      </w:r>
      <w:r>
        <w:rPr>
          <w:rFonts w:eastAsia="方正仿宋_GBK"/>
          <w:sz w:val="24"/>
          <w:szCs w:val="24"/>
        </w:rPr>
        <w:t>………………………………………………..……</w:t>
      </w:r>
      <w:r>
        <w:rPr>
          <w:rFonts w:hint="eastAsia" w:eastAsia="方正仿宋_GBK"/>
          <w:sz w:val="24"/>
          <w:szCs w:val="24"/>
          <w:lang w:val="en-US" w:eastAsia="zh-CN"/>
        </w:rPr>
        <w:t xml:space="preserve"> </w:t>
      </w:r>
      <w:r>
        <w:rPr>
          <w:rFonts w:eastAsia="方正仿宋_GBK"/>
          <w:sz w:val="24"/>
          <w:szCs w:val="24"/>
        </w:rPr>
        <w:t>…</w:t>
      </w:r>
      <w:r>
        <w:rPr>
          <w:rFonts w:hint="eastAsia" w:eastAsia="方正仿宋_GBK"/>
          <w:sz w:val="24"/>
          <w:szCs w:val="24"/>
          <w:lang w:val="en-US" w:eastAsia="zh-CN"/>
        </w:rPr>
        <w:t>6</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三、支出决算情况说明</w:t>
      </w:r>
      <w:r>
        <w:rPr>
          <w:rFonts w:eastAsia="方正仿宋_GBK"/>
          <w:sz w:val="24"/>
          <w:szCs w:val="24"/>
        </w:rPr>
        <w:t>…………………………………………………..…</w:t>
      </w:r>
      <w:r>
        <w:rPr>
          <w:rFonts w:hint="eastAsia" w:eastAsia="方正仿宋_GBK"/>
          <w:sz w:val="24"/>
          <w:szCs w:val="24"/>
          <w:lang w:val="en-US" w:eastAsia="zh-CN"/>
        </w:rPr>
        <w:t xml:space="preserve"> </w:t>
      </w:r>
      <w:r>
        <w:rPr>
          <w:rFonts w:eastAsia="方正仿宋_GBK"/>
          <w:sz w:val="24"/>
          <w:szCs w:val="24"/>
        </w:rPr>
        <w:t>…</w:t>
      </w:r>
      <w:r>
        <w:rPr>
          <w:rFonts w:hint="eastAsia" w:eastAsia="方正仿宋_GBK"/>
          <w:sz w:val="24"/>
          <w:szCs w:val="24"/>
          <w:lang w:val="en-US" w:eastAsia="zh-CN"/>
        </w:rPr>
        <w:t>7</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四、财政拨款收入支出决算总体情况说明</w:t>
      </w:r>
      <w:r>
        <w:rPr>
          <w:rFonts w:eastAsia="方正仿宋_GBK"/>
          <w:sz w:val="24"/>
          <w:szCs w:val="24"/>
        </w:rPr>
        <w:t>……………………………..</w:t>
      </w:r>
      <w:r>
        <w:rPr>
          <w:rFonts w:hint="eastAsia" w:eastAsia="方正仿宋_GBK"/>
          <w:sz w:val="24"/>
          <w:szCs w:val="24"/>
          <w:lang w:val="en-US" w:eastAsia="zh-CN"/>
        </w:rPr>
        <w:t xml:space="preserve"> </w:t>
      </w:r>
      <w:r>
        <w:rPr>
          <w:rFonts w:eastAsia="方正仿宋_GBK"/>
          <w:sz w:val="24"/>
          <w:szCs w:val="24"/>
        </w:rPr>
        <w:t>……</w:t>
      </w:r>
      <w:r>
        <w:rPr>
          <w:rFonts w:hint="eastAsia" w:eastAsia="方正仿宋_GBK"/>
          <w:sz w:val="24"/>
          <w:szCs w:val="24"/>
          <w:lang w:val="en-US" w:eastAsia="zh-CN"/>
        </w:rPr>
        <w:t>7</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五、一般公共预算财政拨款支出决算情况说明</w:t>
      </w:r>
      <w:r>
        <w:rPr>
          <w:rFonts w:eastAsia="方正仿宋_GBK"/>
          <w:sz w:val="24"/>
          <w:szCs w:val="24"/>
        </w:rPr>
        <w:t>………………………..…</w:t>
      </w:r>
      <w:r>
        <w:rPr>
          <w:rFonts w:hint="eastAsia" w:eastAsia="方正仿宋_GBK"/>
          <w:sz w:val="24"/>
          <w:szCs w:val="24"/>
          <w:lang w:val="en-US" w:eastAsia="zh-CN"/>
        </w:rPr>
        <w:t xml:space="preserve"> </w:t>
      </w:r>
      <w:r>
        <w:rPr>
          <w:rFonts w:eastAsia="方正仿宋_GBK"/>
          <w:sz w:val="24"/>
          <w:szCs w:val="24"/>
        </w:rPr>
        <w:t>…</w:t>
      </w:r>
      <w:r>
        <w:rPr>
          <w:rFonts w:hint="eastAsia" w:eastAsia="方正仿宋_GBK"/>
          <w:sz w:val="24"/>
          <w:szCs w:val="24"/>
          <w:lang w:val="en-US" w:eastAsia="zh-CN"/>
        </w:rPr>
        <w:t>8</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default" w:eastAsia="方正仿宋_GBK"/>
          <w:sz w:val="24"/>
          <w:szCs w:val="24"/>
          <w:lang w:val="en-US" w:eastAsia="zh-CN"/>
        </w:rPr>
      </w:pPr>
      <w:r>
        <w:rPr>
          <w:rFonts w:hint="eastAsia" w:ascii="仿宋_GB2312" w:hAnsi="仿宋_GB2312" w:eastAsia="仿宋_GB2312" w:cs="仿宋_GB2312"/>
          <w:kern w:val="2"/>
          <w:sz w:val="24"/>
          <w:szCs w:val="24"/>
          <w:lang w:val="en-US" w:eastAsia="zh-CN" w:bidi="ar-SA"/>
        </w:rPr>
        <w:t>六、一般公共预算财政拨款基本支出决算情况说明</w:t>
      </w:r>
      <w:r>
        <w:rPr>
          <w:rFonts w:eastAsia="方正仿宋_GBK"/>
          <w:sz w:val="24"/>
          <w:szCs w:val="24"/>
        </w:rPr>
        <w:t>…………………..……</w:t>
      </w:r>
      <w:r>
        <w:rPr>
          <w:rFonts w:hint="eastAsia" w:eastAsia="方正仿宋_GBK"/>
          <w:sz w:val="24"/>
          <w:szCs w:val="24"/>
          <w:lang w:val="en-US" w:eastAsia="zh-CN"/>
        </w:rPr>
        <w:t>10</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七、“三公”经费财政拨款支出决算情况说明</w:t>
      </w:r>
      <w:r>
        <w:rPr>
          <w:rFonts w:eastAsia="方正仿宋_GBK"/>
          <w:sz w:val="24"/>
          <w:szCs w:val="24"/>
        </w:rPr>
        <w:t>……………………………..…1</w:t>
      </w:r>
      <w:r>
        <w:rPr>
          <w:rFonts w:hint="eastAsia" w:eastAsia="方正仿宋_GBK"/>
          <w:sz w:val="24"/>
          <w:szCs w:val="24"/>
          <w:lang w:val="en-US" w:eastAsia="zh-CN"/>
        </w:rPr>
        <w:t>1</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八、政府性基金预算支出决算情况说明</w:t>
      </w:r>
      <w:r>
        <w:rPr>
          <w:rFonts w:eastAsia="方正仿宋_GBK"/>
          <w:sz w:val="24"/>
          <w:szCs w:val="24"/>
        </w:rPr>
        <w:t>……………………………..………1</w:t>
      </w:r>
      <w:r>
        <w:rPr>
          <w:rFonts w:hint="eastAsia" w:eastAsia="方正仿宋_GBK"/>
          <w:sz w:val="24"/>
          <w:szCs w:val="24"/>
          <w:lang w:val="en-US" w:eastAsia="zh-CN"/>
        </w:rPr>
        <w:t>1</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九、国有资本经营预算支出决算情况说明</w:t>
      </w:r>
      <w:r>
        <w:rPr>
          <w:rFonts w:eastAsia="方正仿宋_GBK"/>
          <w:sz w:val="24"/>
          <w:szCs w:val="24"/>
        </w:rPr>
        <w:t>…………………………………..1</w:t>
      </w:r>
      <w:r>
        <w:rPr>
          <w:rFonts w:hint="eastAsia" w:eastAsia="方正仿宋_GBK"/>
          <w:sz w:val="24"/>
          <w:szCs w:val="24"/>
          <w:lang w:val="en-US" w:eastAsia="zh-CN"/>
        </w:rPr>
        <w:t>1</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十、其他重要事项的情况说明</w:t>
      </w:r>
      <w:r>
        <w:rPr>
          <w:rFonts w:eastAsia="方正仿宋_GBK"/>
          <w:sz w:val="24"/>
          <w:szCs w:val="24"/>
        </w:rPr>
        <w:t>…………………………………………</w:t>
      </w:r>
      <w:r>
        <w:rPr>
          <w:rFonts w:hint="eastAsia" w:eastAsia="方正仿宋_GBK"/>
          <w:sz w:val="24"/>
          <w:szCs w:val="24"/>
          <w:lang w:val="en-US" w:eastAsia="zh-CN"/>
        </w:rPr>
        <w:t xml:space="preserve"> </w:t>
      </w:r>
      <w:bookmarkStart w:id="73" w:name="_GoBack"/>
      <w:bookmarkEnd w:id="73"/>
      <w:r>
        <w:rPr>
          <w:rFonts w:eastAsia="方正仿宋_GBK"/>
          <w:sz w:val="24"/>
          <w:szCs w:val="24"/>
        </w:rPr>
        <w:t>….…1</w:t>
      </w:r>
      <w:r>
        <w:rPr>
          <w:rFonts w:hint="eastAsia" w:eastAsia="方正仿宋_GBK"/>
          <w:sz w:val="24"/>
          <w:szCs w:val="24"/>
          <w:lang w:val="en-US" w:eastAsia="zh-CN"/>
        </w:rPr>
        <w:t>2</w:t>
      </w:r>
    </w:p>
    <w:p>
      <w:pPr>
        <w:pStyle w:val="10"/>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仿宋_GBK" w:cs="Times New Roman"/>
          <w:sz w:val="24"/>
          <w:szCs w:val="24"/>
          <w:lang w:val="en-US" w:eastAsia="zh-CN"/>
        </w:rPr>
      </w:pPr>
      <w:r>
        <w:rPr>
          <w:rFonts w:hint="eastAsia" w:ascii="仿宋_GB2312" w:hAnsi="仿宋_GB2312" w:eastAsia="仿宋_GB2312" w:cs="仿宋_GB2312"/>
          <w:sz w:val="24"/>
          <w:szCs w:val="24"/>
        </w:rPr>
        <w:t>第三部分　名词解释</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13</w:t>
      </w:r>
    </w:p>
    <w:p>
      <w:pPr>
        <w:pStyle w:val="10"/>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仿宋_GBK" w:cs="Times New Roman"/>
          <w:sz w:val="24"/>
          <w:szCs w:val="24"/>
          <w:lang w:val="en-US" w:eastAsia="zh-CN"/>
        </w:rPr>
      </w:pPr>
      <w:r>
        <w:rPr>
          <w:rFonts w:hint="eastAsia" w:ascii="仿宋_GB2312" w:hAnsi="仿宋_GB2312" w:eastAsia="仿宋_GB2312" w:cs="仿宋_GB2312"/>
          <w:sz w:val="24"/>
          <w:szCs w:val="24"/>
        </w:rPr>
        <w:t>第四部分　附件</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default" w:eastAsia="方正仿宋_GBK"/>
          <w:sz w:val="24"/>
          <w:szCs w:val="24"/>
          <w:lang w:val="en-US" w:eastAsia="zh-CN"/>
        </w:rPr>
      </w:pPr>
      <w:r>
        <w:rPr>
          <w:rFonts w:hint="eastAsia" w:ascii="仿宋_GB2312" w:hAnsi="仿宋_GB2312" w:eastAsia="仿宋_GB2312" w:cs="仿宋_GB2312"/>
          <w:sz w:val="24"/>
          <w:szCs w:val="24"/>
        </w:rPr>
        <w:t>附件1</w:t>
      </w:r>
      <w:r>
        <w:rPr>
          <w:rFonts w:eastAsia="方正仿宋_GBK"/>
          <w:sz w:val="24"/>
          <w:szCs w:val="24"/>
        </w:rPr>
        <w:t>…………………………………………………………………………...</w:t>
      </w:r>
      <w:r>
        <w:rPr>
          <w:rFonts w:hint="eastAsia" w:eastAsia="方正仿宋_GBK"/>
          <w:sz w:val="24"/>
          <w:szCs w:val="24"/>
          <w:lang w:val="en-US" w:eastAsia="zh-CN"/>
        </w:rPr>
        <w:t>15</w:t>
      </w:r>
    </w:p>
    <w:p>
      <w:pPr>
        <w:pStyle w:val="10"/>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仿宋_GBK" w:cs="Times New Roman"/>
          <w:sz w:val="24"/>
          <w:szCs w:val="24"/>
          <w:lang w:val="en-US" w:eastAsia="zh-CN"/>
        </w:rPr>
      </w:pPr>
      <w:r>
        <w:rPr>
          <w:rFonts w:hint="eastAsia" w:ascii="仿宋_GB2312" w:hAnsi="仿宋_GB2312" w:eastAsia="仿宋_GB2312" w:cs="仿宋_GB2312"/>
          <w:sz w:val="24"/>
          <w:szCs w:val="24"/>
        </w:rPr>
        <w:t>第五部分　附表</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18</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一、收入支出决算总表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二、收入决算表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三、支出决算表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四、财政拨款收入支出决算总表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六、一般公共预算财政拨款支出决算表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七、一般公共预算财政拨款支出决算明细表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八、一般公共预算财政拨款基本支出决算表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九、一般公共预算财政拨款项目支出决算表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十、一般公共预算财政拨款“三公”经费支出决算表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十一、政府性基金预算财政拨款收入支出决算表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十二、政府性基金预算财政拨款“三公”经费支出决算表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十三、国有资本经营预算财政拨款收入支出决算表</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eastAsia="方正仿宋_GBK"/>
        </w:rPr>
      </w:pPr>
      <w:r>
        <w:rPr>
          <w:rFonts w:hint="eastAsia" w:ascii="仿宋_GB2312" w:hAnsi="仿宋_GB2312" w:eastAsia="仿宋_GB2312" w:cs="仿宋_GB2312"/>
          <w:sz w:val="24"/>
          <w:szCs w:val="24"/>
        </w:rPr>
        <w:t>十四、国有资本经营预算财政拨款支出决算表</w:t>
      </w:r>
    </w:p>
    <w:p/>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pageBreakBefore w:val="0"/>
        <w:widowControl w:val="0"/>
        <w:kinsoku/>
        <w:wordWrap/>
        <w:overflowPunct/>
        <w:topLinePunct w:val="0"/>
        <w:autoSpaceDE/>
        <w:autoSpaceDN/>
        <w:bidi w:val="0"/>
        <w:spacing w:before="0" w:after="0" w:line="560" w:lineRule="exact"/>
        <w:ind w:firstLine="640" w:firstLineChars="200"/>
        <w:textAlignment w:val="auto"/>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outlineLvl w:val="2"/>
        <w:rPr>
          <w:rFonts w:ascii="仿宋" w:hAnsi="仿宋" w:eastAsia="仿宋"/>
          <w:bCs/>
          <w:color w:val="FF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bookmarkStart w:id="18" w:name="_Toc15378446"/>
      <w:bookmarkStart w:id="19" w:name="_Toc15377199"/>
      <w:r>
        <w:rPr>
          <w:rFonts w:hint="eastAsia" w:ascii="仿宋_GB2312" w:hAnsi="仿宋" w:eastAsia="仿宋_GB2312"/>
          <w:sz w:val="32"/>
          <w:szCs w:val="32"/>
        </w:rPr>
        <w:t>（1）宣传国家、省、市有关城市开发建设的相关政策。</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（2）按照城市规划编制西区新区开发和旧城改造计划，经批准后抓好相关工作的落实。</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（3）承担西区城市开发建设项目涉及的规划、建设等相关手续的协调办理和服务工作。</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（4）协助开展规划编制的相关工作，参与西区城市开发项目前期论证、研究、项目包装、推介等工作。</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（5）具体负责西区政府投资项目的工程建设管理，组织实施西区国有土地上房屋征收补偿以及城市土地开发整理、基础设施建设等工作。</w:t>
      </w:r>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21年重点工作完成情况。</w:t>
      </w:r>
      <w:bookmarkEnd w:id="18"/>
      <w:bookmarkEnd w:id="19"/>
    </w:p>
    <w:p>
      <w:pPr>
        <w:pageBreakBefore w:val="0"/>
        <w:widowControl w:val="0"/>
        <w:kinsoku/>
        <w:wordWrap/>
        <w:overflowPunct/>
        <w:topLinePunct w:val="0"/>
        <w:autoSpaceDE/>
        <w:autoSpaceDN/>
        <w:bidi w:val="0"/>
        <w:spacing w:line="560" w:lineRule="exact"/>
        <w:ind w:firstLine="600"/>
        <w:textAlignment w:val="auto"/>
        <w:rPr>
          <w:rFonts w:ascii="仿宋_GB2312" w:hAnsi="仿宋" w:eastAsia="仿宋_GB2312" w:cs="Arial"/>
          <w:sz w:val="32"/>
          <w:szCs w:val="32"/>
        </w:rPr>
      </w:pPr>
      <w:r>
        <w:rPr>
          <w:rFonts w:hint="eastAsia" w:ascii="仿宋_GB2312" w:hAnsi="仿宋" w:eastAsia="仿宋_GB2312" w:cs="Arial"/>
          <w:sz w:val="32"/>
          <w:szCs w:val="32"/>
          <w:lang w:eastAsia="zh-CN"/>
        </w:rPr>
        <w:t>（</w:t>
      </w:r>
      <w:r>
        <w:rPr>
          <w:rFonts w:hint="eastAsia" w:ascii="仿宋_GB2312" w:hAnsi="仿宋" w:eastAsia="仿宋_GB2312" w:cs="Arial"/>
          <w:sz w:val="32"/>
          <w:szCs w:val="32"/>
          <w:lang w:val="en-US" w:eastAsia="zh-CN"/>
        </w:rPr>
        <w:t>1</w:t>
      </w:r>
      <w:r>
        <w:rPr>
          <w:rFonts w:hint="eastAsia" w:ascii="仿宋_GB2312" w:hAnsi="仿宋" w:eastAsia="仿宋_GB2312" w:cs="Arial"/>
          <w:sz w:val="32"/>
          <w:szCs w:val="32"/>
          <w:lang w:eastAsia="zh-CN"/>
        </w:rPr>
        <w:t>）</w:t>
      </w:r>
      <w:r>
        <w:rPr>
          <w:rFonts w:hint="eastAsia" w:ascii="仿宋_GB2312" w:hAnsi="仿宋" w:eastAsia="仿宋_GB2312" w:cs="Arial"/>
          <w:sz w:val="32"/>
          <w:szCs w:val="32"/>
        </w:rPr>
        <w:t>加快推进房地产业建设。加快推进良泓西郡、新都汇项目、兴想江山名筑、华恒中央公园4个在建商品房项目建设。</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Arial"/>
          <w:sz w:val="32"/>
          <w:szCs w:val="32"/>
        </w:rPr>
      </w:pPr>
      <w:r>
        <w:rPr>
          <w:rFonts w:hint="eastAsia" w:ascii="仿宋_GB2312" w:hAnsi="仿宋" w:eastAsia="仿宋_GB2312" w:cs="Arial"/>
          <w:sz w:val="32"/>
          <w:szCs w:val="32"/>
          <w:lang w:eastAsia="zh-CN"/>
        </w:rPr>
        <w:t>（</w:t>
      </w:r>
      <w:r>
        <w:rPr>
          <w:rFonts w:hint="eastAsia" w:ascii="仿宋_GB2312" w:hAnsi="仿宋" w:eastAsia="仿宋_GB2312" w:cs="Arial"/>
          <w:sz w:val="32"/>
          <w:szCs w:val="32"/>
          <w:lang w:val="en-US" w:eastAsia="zh-CN"/>
        </w:rPr>
        <w:t>2</w:t>
      </w:r>
      <w:r>
        <w:rPr>
          <w:rFonts w:hint="eastAsia" w:ascii="仿宋_GB2312" w:hAnsi="仿宋" w:eastAsia="仿宋_GB2312" w:cs="Arial"/>
          <w:sz w:val="32"/>
          <w:szCs w:val="32"/>
          <w:lang w:eastAsia="zh-CN"/>
        </w:rPr>
        <w:t>）</w:t>
      </w:r>
      <w:r>
        <w:rPr>
          <w:rFonts w:hint="eastAsia" w:ascii="仿宋_GB2312" w:hAnsi="仿宋" w:eastAsia="仿宋_GB2312" w:cs="Arial"/>
          <w:sz w:val="32"/>
          <w:szCs w:val="32"/>
        </w:rPr>
        <w:t>城市基础设施逐步完善。攀枝花市老工业区西城区公共服务基础设施建设项目（创智中心项目）目前正在有序推进建设；新建十中宿舍楼正在有序推进建设；宝鼎金沙小区配套道路正在有序推进建设；大水井新区开发建设正在有序推进建设。</w:t>
      </w:r>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bCs/>
          <w:color w:val="000000"/>
          <w:sz w:val="32"/>
          <w:szCs w:val="32"/>
        </w:rPr>
      </w:pPr>
      <w:r>
        <w:rPr>
          <w:rFonts w:hint="eastAsia" w:ascii="仿宋_GB2312" w:hAnsi="仿宋" w:eastAsia="仿宋_GB2312" w:cs="Arial"/>
          <w:sz w:val="32"/>
          <w:szCs w:val="32"/>
          <w:lang w:eastAsia="zh-CN"/>
        </w:rPr>
        <w:t>（</w:t>
      </w:r>
      <w:r>
        <w:rPr>
          <w:rFonts w:hint="eastAsia" w:ascii="仿宋_GB2312" w:hAnsi="仿宋" w:eastAsia="仿宋_GB2312" w:cs="Arial"/>
          <w:sz w:val="32"/>
          <w:szCs w:val="32"/>
          <w:lang w:val="en-US" w:eastAsia="zh-CN"/>
        </w:rPr>
        <w:t>3</w:t>
      </w:r>
      <w:r>
        <w:rPr>
          <w:rFonts w:hint="eastAsia" w:ascii="仿宋_GB2312" w:hAnsi="仿宋" w:eastAsia="仿宋_GB2312" w:cs="Arial"/>
          <w:sz w:val="32"/>
          <w:szCs w:val="32"/>
          <w:lang w:eastAsia="zh-CN"/>
        </w:rPr>
        <w:t>）</w:t>
      </w:r>
      <w:r>
        <w:rPr>
          <w:rFonts w:hint="eastAsia" w:ascii="仿宋_GB2312" w:hAnsi="仿宋" w:eastAsia="仿宋_GB2312" w:cs="Arial"/>
          <w:sz w:val="32"/>
          <w:szCs w:val="32"/>
        </w:rPr>
        <w:t>强化建筑施工安全管理。一是加强省、市、区安全生产文件宣贯工作。每季度召开建筑施工安全生产例会，传达上级部门安全生产文件精神，部署安全生产工作，强化企业安全主体责任落实，提高企业安全管理人员安全意识，与在建项目建设、施工、监理单位签订安全生产目标责任书。二是严把复工复产安全生产工作。在抓好疫情期间复工复产工作的同时，严把节后复工安全申报、自查，复查关口，督促在建项目参建单位做好返岗作业人员安全教育、临时用电的检修，机械设备的调试运行等项工作。</w:t>
      </w:r>
    </w:p>
    <w:p>
      <w:pPr>
        <w:pStyle w:val="3"/>
        <w:pageBreakBefore w:val="0"/>
        <w:widowControl w:val="0"/>
        <w:kinsoku/>
        <w:wordWrap/>
        <w:overflowPunct/>
        <w:topLinePunct w:val="0"/>
        <w:autoSpaceDE/>
        <w:autoSpaceDN/>
        <w:bidi w:val="0"/>
        <w:spacing w:before="0" w:after="0" w:line="560" w:lineRule="exact"/>
        <w:ind w:firstLine="640" w:firstLineChars="200"/>
        <w:textAlignment w:val="auto"/>
        <w:rPr>
          <w:rStyle w:val="26"/>
          <w:rFonts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3"/>
        <w:pageBreakBefore w:val="0"/>
        <w:widowControl w:val="0"/>
        <w:kinsoku/>
        <w:wordWrap/>
        <w:overflowPunct/>
        <w:topLinePunct w:val="0"/>
        <w:autoSpaceDE/>
        <w:autoSpaceDN/>
        <w:bidi w:val="0"/>
        <w:spacing w:before="0" w:after="0" w:line="560" w:lineRule="exact"/>
        <w:textAlignment w:val="auto"/>
        <w:rPr>
          <w:rFonts w:ascii="仿宋" w:hAnsi="仿宋" w:eastAsia="仿宋"/>
        </w:rPr>
      </w:pPr>
      <w:r>
        <w:rPr>
          <w:rFonts w:hint="eastAsia" w:ascii="仿宋_GB2312" w:hAnsi="仿宋" w:eastAsia="仿宋_GB2312" w:cs="Arial"/>
          <w:b w:val="0"/>
          <w:bCs w:val="0"/>
        </w:rPr>
        <w:t xml:space="preserve">    西区城市建设服务中心下属二级单位0个，其中行政单位0个，参照公务员法管理的事业单位0个，其他事业单位0个。</w:t>
      </w:r>
    </w:p>
    <w:p>
      <w:pPr>
        <w:pStyle w:val="5"/>
        <w:adjustRightInd w:val="0"/>
        <w:snapToGrid w:val="0"/>
        <w:spacing w:before="93" w:line="600" w:lineRule="exact"/>
        <w:ind w:firstLine="640" w:firstLineChars="200"/>
        <w:rPr>
          <w:rFonts w:hint="eastAsia" w:ascii="仿宋" w:hAnsi="仿宋" w:eastAsia="仿宋"/>
          <w:color w:val="000000"/>
          <w:sz w:val="32"/>
          <w:szCs w:val="32"/>
          <w:lang w:eastAsia="zh-CN"/>
        </w:rPr>
      </w:pPr>
      <w:r>
        <w:rPr>
          <w:rFonts w:hint="eastAsia" w:ascii="仿宋_GB2312" w:hAnsi="仿宋" w:eastAsia="仿宋_GB2312" w:cs="Arial"/>
          <w:kern w:val="2"/>
          <w:sz w:val="32"/>
          <w:szCs w:val="32"/>
          <w:lang w:val="en-US" w:eastAsia="zh-CN" w:bidi="ar-SA"/>
        </w:rPr>
        <w:t>纳入西区城市建设服务中心2021年度部门决算编制范围的二级预算单位：无。</w:t>
      </w:r>
    </w:p>
    <w:p>
      <w:pPr>
        <w:pStyle w:val="5"/>
        <w:adjustRightInd w:val="0"/>
        <w:snapToGrid w:val="0"/>
        <w:spacing w:before="93" w:line="600" w:lineRule="exact"/>
        <w:ind w:firstLine="640" w:firstLineChars="200"/>
        <w:rPr>
          <w:rFonts w:hint="eastAsia" w:ascii="仿宋" w:hAnsi="仿宋" w:eastAsia="仿宋"/>
          <w:color w:val="000000"/>
          <w:sz w:val="32"/>
          <w:szCs w:val="32"/>
          <w:lang w:eastAsia="zh-CN"/>
        </w:rPr>
      </w:pPr>
    </w:p>
    <w:p>
      <w:pPr>
        <w:pStyle w:val="2"/>
        <w:ind w:right="440"/>
        <w:jc w:val="right"/>
      </w:pPr>
      <w:bookmarkStart w:id="22" w:name="_Toc15396602"/>
      <w:bookmarkStart w:id="23" w:name="_Toc15377204"/>
      <w:r>
        <w:rPr>
          <w:rFonts w:hint="eastAsia" w:ascii="黑体" w:hAnsi="黑体" w:eastAsia="黑体"/>
          <w:b w:val="0"/>
          <w:color w:val="000000"/>
        </w:rPr>
        <w:t>第二部分</w:t>
      </w:r>
      <w:r>
        <w:rPr>
          <w:rStyle w:val="25"/>
          <w:rFonts w:hint="eastAsia" w:ascii="黑体" w:hAnsi="黑体" w:eastAsia="黑体"/>
          <w:b w:val="0"/>
          <w:bCs w:val="0"/>
        </w:rPr>
        <w:t>2021年度部门决算情况说明</w:t>
      </w:r>
      <w:bookmarkEnd w:id="22"/>
      <w:bookmarkEnd w:id="23"/>
    </w:p>
    <w:p>
      <w:pPr>
        <w:pStyle w:val="24"/>
        <w:numPr>
          <w:ilvl w:val="0"/>
          <w:numId w:val="0"/>
        </w:numPr>
        <w:spacing w:line="600" w:lineRule="exact"/>
        <w:ind w:left="640" w:left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2021年度收、支总计228.34万元。与2020年相比，收支总计各减少6.66万元，下降2.83</w:t>
      </w:r>
      <w:r>
        <w:rPr>
          <w:rFonts w:ascii="仿宋" w:hAnsi="仿宋" w:eastAsia="仿宋"/>
          <w:color w:val="000000"/>
          <w:sz w:val="32"/>
          <w:szCs w:val="32"/>
        </w:rPr>
        <w:t>%</w:t>
      </w:r>
      <w:r>
        <w:rPr>
          <w:rFonts w:hint="eastAsia" w:ascii="仿宋" w:hAnsi="仿宋" w:eastAsia="仿宋"/>
          <w:color w:val="000000"/>
          <w:sz w:val="32"/>
          <w:szCs w:val="32"/>
        </w:rPr>
        <w:t>。主要变动原因是人员减少，公用经费减少。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widowControl/>
        <w:jc w:val="left"/>
      </w:pPr>
      <w:r>
        <w:rPr>
          <w:rFonts w:ascii="宋体" w:hAnsi="宋体" w:cs="宋体"/>
          <w:kern w:val="0"/>
          <w:sz w:val="24"/>
        </w:rPr>
        <w:drawing>
          <wp:inline distT="0" distB="0" distL="114300" distR="114300">
            <wp:extent cx="5104130" cy="3124200"/>
            <wp:effectExtent l="0" t="0" r="127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rcRect l="2093" t="3931" r="1203" b="3081"/>
                    <a:stretch>
                      <a:fillRect/>
                    </a:stretch>
                  </pic:blipFill>
                  <pic:spPr>
                    <a:xfrm>
                      <a:off x="0" y="0"/>
                      <a:ext cx="5104130" cy="3124200"/>
                    </a:xfrm>
                    <a:prstGeom prst="rect">
                      <a:avLst/>
                    </a:prstGeom>
                    <a:noFill/>
                    <a:ln w="9525">
                      <a:noFill/>
                    </a:ln>
                  </pic:spPr>
                </pic:pic>
              </a:graphicData>
            </a:graphic>
          </wp:inline>
        </w:drawing>
      </w:r>
    </w:p>
    <w:p>
      <w:pPr>
        <w:pStyle w:val="24"/>
        <w:spacing w:line="600" w:lineRule="exact"/>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二、收</w:t>
      </w:r>
      <w:r>
        <w:rPr>
          <w:rStyle w:val="26"/>
          <w:rFonts w:hint="eastAsia" w:ascii="黑体" w:hAnsi="黑体" w:eastAsia="黑体"/>
          <w:b w:val="0"/>
        </w:rPr>
        <w:t>入决算情况说明</w:t>
      </w:r>
      <w:bookmarkEnd w:id="26"/>
      <w:bookmarkEnd w:id="27"/>
    </w:p>
    <w:p>
      <w:pPr>
        <w:spacing w:line="600" w:lineRule="exact"/>
        <w:ind w:firstLine="640" w:firstLineChars="200"/>
        <w:jc w:val="both"/>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21年本年收入合计228.34万元，其中：一般公共预算财政拨款收入228.32万元，占99.99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；其他收入0.02万元，占0.01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（图2：收入决算结构图）（饼状图）</w:t>
      </w: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630" w:firstLineChars="300"/>
        <w:rPr>
          <w:rStyle w:val="26"/>
          <w:rFonts w:ascii="黑体" w:hAnsi="黑体" w:eastAsia="黑体"/>
          <w:b w:val="0"/>
        </w:rPr>
      </w:pPr>
      <w:r>
        <w:drawing>
          <wp:anchor distT="0" distB="0" distL="114300" distR="114300" simplePos="0" relativeHeight="251659264" behindDoc="0" locked="0" layoutInCell="1" allowOverlap="1">
            <wp:simplePos x="0" y="0"/>
            <wp:positionH relativeFrom="column">
              <wp:posOffset>254000</wp:posOffset>
            </wp:positionH>
            <wp:positionV relativeFrom="paragraph">
              <wp:posOffset>-542290</wp:posOffset>
            </wp:positionV>
            <wp:extent cx="4572000" cy="2743200"/>
            <wp:effectExtent l="4445" t="4445" r="10795" b="10795"/>
            <wp:wrapTopAndBottom/>
            <wp:docPr id="12" name="图表 4"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8" w:name="_Toc15396605"/>
      <w:bookmarkStart w:id="29" w:name="_Toc15377207"/>
      <w:r>
        <w:rPr>
          <w:rFonts w:hint="eastAsia" w:ascii="黑体" w:hAnsi="黑体" w:eastAsia="黑体"/>
          <w:color w:val="000000"/>
          <w:sz w:val="32"/>
          <w:szCs w:val="32"/>
        </w:rPr>
        <w:t>三、支</w:t>
      </w:r>
      <w:r>
        <w:rPr>
          <w:rStyle w:val="26"/>
          <w:rFonts w:hint="eastAsia" w:ascii="黑体" w:hAnsi="黑体" w:eastAsia="黑体"/>
          <w:b w:val="0"/>
        </w:rPr>
        <w:t>出决算情况说明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21年本年支出合计228.34万元，其中：基本支出228.34万元，占100</w:t>
      </w:r>
      <w:r>
        <w:rPr>
          <w:rFonts w:ascii="仿宋" w:hAnsi="仿宋" w:eastAsia="仿宋"/>
          <w:color w:val="000000"/>
          <w:sz w:val="32"/>
          <w:szCs w:val="32"/>
        </w:rPr>
        <w:t>%</w:t>
      </w:r>
      <w:r>
        <w:rPr>
          <w:rFonts w:hint="eastAsia" w:ascii="仿宋" w:hAnsi="仿宋" w:eastAsia="仿宋"/>
          <w:color w:val="000000"/>
          <w:sz w:val="32"/>
          <w:szCs w:val="32"/>
        </w:rPr>
        <w:t>；项目支出0万元，占0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themeColor="text1"/>
          <w:sz w:val="32"/>
          <w:szCs w:val="32"/>
        </w:rPr>
      </w:pPr>
      <w:r>
        <w:drawing>
          <wp:anchor distT="0" distB="0" distL="114300" distR="114300" simplePos="0" relativeHeight="251660288" behindDoc="0" locked="0" layoutInCell="1" allowOverlap="1">
            <wp:simplePos x="0" y="0"/>
            <wp:positionH relativeFrom="column">
              <wp:posOffset>181610</wp:posOffset>
            </wp:positionH>
            <wp:positionV relativeFrom="paragraph">
              <wp:posOffset>536575</wp:posOffset>
            </wp:positionV>
            <wp:extent cx="5074285" cy="3405505"/>
            <wp:effectExtent l="4445" t="4445" r="11430" b="19050"/>
            <wp:wrapTopAndBottom/>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21年财政拨款收入、支出总计228.32万元。与</w:t>
      </w:r>
      <w:r>
        <w:rPr>
          <w:rFonts w:ascii="仿宋" w:hAnsi="仿宋" w:eastAsia="仿宋"/>
          <w:color w:val="000000"/>
          <w:sz w:val="32"/>
          <w:szCs w:val="32"/>
        </w:rPr>
        <w:t>20</w:t>
      </w:r>
      <w:r>
        <w:rPr>
          <w:rFonts w:hint="eastAsia" w:ascii="仿宋" w:hAnsi="仿宋" w:eastAsia="仿宋"/>
          <w:color w:val="000000"/>
          <w:sz w:val="32"/>
          <w:szCs w:val="32"/>
        </w:rPr>
        <w:t>20年相比，财政拨款收入、支出总计各减少6.59万元，下降2.89</w:t>
      </w:r>
      <w:r>
        <w:rPr>
          <w:rFonts w:ascii="仿宋" w:hAnsi="仿宋" w:eastAsia="仿宋"/>
          <w:color w:val="000000"/>
          <w:sz w:val="32"/>
          <w:szCs w:val="32"/>
        </w:rPr>
        <w:t>%</w:t>
      </w:r>
      <w:r>
        <w:rPr>
          <w:rFonts w:hint="eastAsia" w:ascii="仿宋" w:hAnsi="仿宋" w:eastAsia="仿宋"/>
          <w:color w:val="000000"/>
          <w:sz w:val="32"/>
          <w:szCs w:val="32"/>
        </w:rPr>
        <w:t>。主要变动原因是人员减少，公用经费减少。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Style w:val="26"/>
          <w:rFonts w:ascii="黑体" w:hAnsi="黑体" w:eastAsia="黑体"/>
          <w:b w:val="0"/>
        </w:rPr>
      </w:pPr>
      <w:r>
        <w:drawing>
          <wp:anchor distT="0" distB="0" distL="114300" distR="114300" simplePos="0" relativeHeight="251661312" behindDoc="0" locked="0" layoutInCell="1" allowOverlap="1">
            <wp:simplePos x="0" y="0"/>
            <wp:positionH relativeFrom="column">
              <wp:posOffset>147320</wp:posOffset>
            </wp:positionH>
            <wp:positionV relativeFrom="paragraph">
              <wp:posOffset>114935</wp:posOffset>
            </wp:positionV>
            <wp:extent cx="5020945" cy="3146425"/>
            <wp:effectExtent l="4445" t="4445" r="19050" b="1905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21年一般公共预算财政拨款支出228.32万元，占本年支出合计的99.99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20年相比，一般公共预算财政拨款减少5.59万元，下降2.38</w:t>
      </w:r>
      <w:r>
        <w:rPr>
          <w:rFonts w:ascii="仿宋" w:hAnsi="仿宋" w:eastAsia="仿宋"/>
          <w:color w:val="000000"/>
          <w:sz w:val="32"/>
          <w:szCs w:val="32"/>
        </w:rPr>
        <w:t>%</w:t>
      </w:r>
      <w:r>
        <w:rPr>
          <w:rFonts w:hint="eastAsia" w:ascii="仿宋" w:hAnsi="仿宋" w:eastAsia="仿宋"/>
          <w:color w:val="000000"/>
          <w:sz w:val="32"/>
          <w:szCs w:val="32"/>
        </w:rPr>
        <w:t>。主要变动原因是人员减少，公用经费减少。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420" w:firstLineChars="200"/>
        <w:rPr>
          <w:rFonts w:ascii="仿宋" w:hAnsi="仿宋" w:eastAsia="仿宋"/>
          <w:b/>
          <w:color w:val="000000"/>
          <w:sz w:val="32"/>
          <w:szCs w:val="32"/>
        </w:rPr>
      </w:pPr>
      <w:r>
        <w:drawing>
          <wp:anchor distT="0" distB="0" distL="114300" distR="114300" simplePos="0" relativeHeight="251662336" behindDoc="0" locked="0" layoutInCell="1" allowOverlap="1">
            <wp:simplePos x="0" y="0"/>
            <wp:positionH relativeFrom="column">
              <wp:posOffset>333375</wp:posOffset>
            </wp:positionH>
            <wp:positionV relativeFrom="paragraph">
              <wp:posOffset>-626110</wp:posOffset>
            </wp:positionV>
            <wp:extent cx="4572000" cy="2743200"/>
            <wp:effectExtent l="4445" t="4445" r="10795" b="1079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228.32</w:t>
      </w:r>
      <w:r>
        <w:rPr>
          <w:rFonts w:hint="eastAsia" w:ascii="仿宋" w:hAnsi="仿宋" w:eastAsia="仿宋"/>
          <w:color w:val="000000" w:themeColor="text1"/>
          <w:sz w:val="32"/>
          <w:szCs w:val="32"/>
        </w:rPr>
        <w:t>万元，</w:t>
      </w:r>
      <w:r>
        <w:rPr>
          <w:rFonts w:hint="eastAsia" w:ascii="仿宋" w:hAnsi="仿宋" w:eastAsia="仿宋"/>
          <w:color w:val="000000"/>
          <w:sz w:val="32"/>
          <w:szCs w:val="32"/>
        </w:rPr>
        <w:t>主要用于以下方面</w:t>
      </w:r>
      <w:r>
        <w:rPr>
          <w:rFonts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rPr>
        <w:t>支出21.28万元，</w:t>
      </w:r>
      <w:r>
        <w:rPr>
          <w:rFonts w:hint="eastAsia" w:ascii="仿宋" w:hAnsi="仿宋" w:eastAsia="仿宋"/>
          <w:color w:val="000000" w:themeColor="text1"/>
          <w:sz w:val="32"/>
          <w:szCs w:val="32"/>
        </w:rPr>
        <w:t>占9.32</w:t>
      </w:r>
      <w:r>
        <w:rPr>
          <w:rFonts w:ascii="仿宋" w:hAnsi="仿宋" w:eastAsia="仿宋"/>
          <w:color w:val="000000" w:themeColor="text1"/>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卫生健康支出（类）</w:t>
      </w:r>
      <w:r>
        <w:rPr>
          <w:rFonts w:hint="eastAsia" w:ascii="仿宋" w:hAnsi="仿宋" w:eastAsia="仿宋"/>
          <w:color w:val="000000"/>
          <w:sz w:val="32"/>
          <w:szCs w:val="32"/>
        </w:rPr>
        <w:t>14.11万元，</w:t>
      </w:r>
      <w:r>
        <w:rPr>
          <w:rFonts w:hint="eastAsia" w:ascii="仿宋" w:hAnsi="仿宋" w:eastAsia="仿宋"/>
          <w:color w:val="000000" w:themeColor="text1"/>
          <w:sz w:val="32"/>
          <w:szCs w:val="32"/>
        </w:rPr>
        <w:t>占6.18</w:t>
      </w:r>
      <w:r>
        <w:rPr>
          <w:rFonts w:ascii="仿宋" w:hAnsi="仿宋" w:eastAsia="仿宋"/>
          <w:color w:val="000000" w:themeColor="text1"/>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城乡社区支出（类）</w:t>
      </w:r>
      <w:r>
        <w:rPr>
          <w:rFonts w:hint="eastAsia" w:ascii="仿宋" w:hAnsi="仿宋" w:eastAsia="仿宋"/>
          <w:color w:val="000000"/>
          <w:sz w:val="32"/>
          <w:szCs w:val="32"/>
        </w:rPr>
        <w:t>支出172.60万元，占75.6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住房保障支出（类）</w:t>
      </w:r>
      <w:r>
        <w:rPr>
          <w:rFonts w:hint="eastAsia" w:ascii="仿宋" w:hAnsi="仿宋" w:eastAsia="仿宋"/>
          <w:color w:val="000000"/>
          <w:sz w:val="32"/>
          <w:szCs w:val="32"/>
        </w:rPr>
        <w:t>支出20.33万元，占8.9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86995</wp:posOffset>
            </wp:positionH>
            <wp:positionV relativeFrom="paragraph">
              <wp:posOffset>475615</wp:posOffset>
            </wp:positionV>
            <wp:extent cx="5074285" cy="3405505"/>
            <wp:effectExtent l="4445" t="4445" r="11430" b="19050"/>
            <wp:wrapTopAndBottom/>
            <wp:docPr id="5"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2021年一般公共预算支出决算数为228.32</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社会保障和就业支出（类）行政事业单位离退休（款）  机关事业单位基本养老保险缴费支出（项）2080505</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支出决算为21.28万元，完成预算100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卫生健康支出（类）行政事业单位医疗（款）事业单位医疗（项）2101102</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rPr>
        <w:t>12.86</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医疗卫生与计划生育支出（类）行政事业单位医疗（款）公务员医疗补助（项）2101103</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rPr>
        <w:t>1.25</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城乡社区支出（类）城乡社区管理事务（款） 其他城乡社区管理事务支出（项）2120199</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支出决算为172.6万元，完成预算100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住房保障支出（类）住房改革支出（款） 住房公积金（项）2210201</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rPr>
        <w:t>20.33</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21年一般公共预算财政拨款基本支出228.32万元，其中：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212.78万元，主要包括：基本工资、津贴补贴、绩效工资、职业年金缴费、机关事业单位基本养老保险缴费、其他社会保障缴费、职工基本医疗保险缴费、公务员医疗补助缴费、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日常公用经费15.54万元，主要包括：办公费、水电费、邮电费、差旅费、培训费、工会经费、福利费。</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21年“三公”经费财政拨款支出决算为0万元。</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numPr>
          <w:ilvl w:val="0"/>
          <w:numId w:val="0"/>
        </w:numPr>
        <w:spacing w:line="600" w:lineRule="exact"/>
        <w:ind w:firstLine="643" w:firstLineChars="200"/>
        <w:rPr>
          <w:rFonts w:ascii="黑体" w:eastAsia="黑体"/>
          <w:color w:val="000000"/>
          <w:sz w:val="32"/>
          <w:szCs w:val="32"/>
        </w:rPr>
      </w:pPr>
      <w:r>
        <w:rPr>
          <w:rFonts w:hint="eastAsia" w:ascii="仿宋_GB2312" w:eastAsia="仿宋_GB2312"/>
          <w:b/>
          <w:color w:val="000000"/>
          <w:sz w:val="32"/>
          <w:szCs w:val="32"/>
          <w:lang w:val="en-US" w:eastAsia="zh-CN"/>
        </w:rPr>
        <w:t>3</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bookmarkStart w:id="46" w:name="_Toc15396610"/>
      <w:bookmarkStart w:id="47"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21年政府性基金预算拨款支出0万元。</w:t>
      </w:r>
    </w:p>
    <w:p>
      <w:pPr>
        <w:numPr>
          <w:ilvl w:val="0"/>
          <w:numId w:val="1"/>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21年国有资本经营预算拨款支出0万元。</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21年，西区城市建设建设服务中心机关运行经费支出0万元。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21年，西区城市建设服务中心政府采购支出总额0万元，其中：政府采购货物支出0万元、政府采购工程支出0万元、政府采购服务支出0万元。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日，西区城市建设服务中心共有车辆0辆，其中：主要领导干部用车0辆、机要通信用车0辆、应急保障用车0辆、其他用车0辆。</w:t>
      </w:r>
    </w:p>
    <w:p>
      <w:pPr>
        <w:numPr>
          <w:ilvl w:val="0"/>
          <w:numId w:val="0"/>
        </w:num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eastAsia="zh-CN"/>
        </w:rPr>
        <w:t>四</w:t>
      </w:r>
      <w:r>
        <w:rPr>
          <w:rFonts w:hint="eastAsia" w:ascii="仿宋" w:hAnsi="仿宋" w:eastAsia="仿宋"/>
          <w:b/>
          <w:color w:val="000000"/>
          <w:sz w:val="32"/>
          <w:szCs w:val="32"/>
        </w:rPr>
        <w:t>）预算绩效管理情况。</w:t>
      </w: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无</w:t>
      </w: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p>
    <w:p>
      <w:pPr>
        <w:numPr>
          <w:ilvl w:val="0"/>
          <w:numId w:val="2"/>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其他收入：指单位取得的除上述收入以外的各项收入。主要是银行利息收入。</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.社会保障和就业（类）行政事业单位离退休（款）机关事业单位基本养老保险缴费支出（项）2080505：指指反映机关事业单位实施养老保险制度由单位缴纳的基本养老保险费支出。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卫生健康</w:t>
      </w:r>
      <w:r>
        <w:rPr>
          <w:rFonts w:hint="eastAsia" w:ascii="仿宋_GB2312" w:eastAsia="仿宋_GB2312"/>
          <w:color w:val="000000"/>
          <w:sz w:val="32"/>
          <w:szCs w:val="32"/>
        </w:rPr>
        <w:t>（类）行政事业单位医疗（款）事业单位医疗（项）2101102：反映财政部门集中安排的事业单位基本医疗保险缴费经费，未参加医疗保险的事业单位的公费医疗经费，按国家规定享受离休人员待遇的医疗经费。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卫生健康</w:t>
      </w:r>
      <w:r>
        <w:rPr>
          <w:rFonts w:hint="eastAsia" w:ascii="仿宋_GB2312" w:eastAsia="仿宋_GB2312"/>
          <w:color w:val="000000"/>
          <w:sz w:val="32"/>
          <w:szCs w:val="32"/>
        </w:rPr>
        <w:t>（类）行政事业单位医疗（款）公务员医疗补助（项）2101103：指反映财政部门安排的公务员医疗补助经费。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.住房保障（类）住房改革支出（款） 住房公积金（项）2210201：指放映行政事业单位按人力资源和社会保障部、财政部规定的基本工资和津贴补贴以及规定比例为职工缴纳的住房公积金。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西区城市建设服务中心</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21</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西区城市建设服务中心</w:t>
      </w:r>
      <w:r>
        <w:rPr>
          <w:rFonts w:ascii="仿宋_GB2312" w:hAnsi="宋体" w:eastAsia="仿宋_GB2312" w:cs="宋体"/>
          <w:color w:val="000000"/>
          <w:kern w:val="0"/>
          <w:sz w:val="32"/>
          <w:szCs w:val="32"/>
          <w:shd w:val="clear" w:color="auto" w:fill="FFFFFF"/>
        </w:rPr>
        <w:t>事业编制为 20 名，其中：主任 1 名（按正科级领导干部管理），副主任 2 名（按副科级领导干部管理）。</w:t>
      </w:r>
    </w:p>
    <w:p>
      <w:pPr>
        <w:widowControl/>
        <w:numPr>
          <w:ilvl w:val="0"/>
          <w:numId w:val="0"/>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_GB2312" w:hAnsi="宋体" w:eastAsia="仿宋_GB2312" w:cs="宋体"/>
          <w:color w:val="000000"/>
          <w:kern w:val="0"/>
          <w:sz w:val="32"/>
          <w:szCs w:val="32"/>
          <w:shd w:val="clear" w:color="auto" w:fill="FFFFFF"/>
        </w:rPr>
        <w:t xml:space="preserve">主要职责为：负责区本级市政基础设施项目策 划、储备、建设模式选择等前期工作和建设及具体实施的事务性、技术性、辅助性工作。负责全区保障性安居工程建设的具体事务性、技术性、辅助性工作。建设完善住房保障系统，负责全区住房保障相关数据的收集、整理、统计、上报工作，负责全区城市低收入家庭住房档案的建设和完善工作，负责住房保障申请对象的受理、公示和认定工作。 </w:t>
      </w:r>
    </w:p>
    <w:p>
      <w:pPr>
        <w:widowControl/>
        <w:numPr>
          <w:ilvl w:val="0"/>
          <w:numId w:val="0"/>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bCs/>
          <w:color w:val="000000"/>
          <w:kern w:val="0"/>
          <w:sz w:val="32"/>
          <w:szCs w:val="32"/>
        </w:rPr>
        <w:t>西区城市建设服务中心核定编制人数20人，截止2021年12月31日，在职人员14人。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bCs/>
          <w:color w:val="000000"/>
          <w:kern w:val="0"/>
          <w:sz w:val="32"/>
          <w:szCs w:val="32"/>
        </w:rPr>
        <w:t>西区城市建设服务中心2021年总收入228.34万元，其中财政拨款收入228.32万元。</w:t>
      </w:r>
    </w:p>
    <w:p>
      <w:pPr>
        <w:widowControl/>
        <w:numPr>
          <w:ilvl w:val="0"/>
          <w:numId w:val="0"/>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bCs/>
          <w:color w:val="000000"/>
          <w:kern w:val="0"/>
          <w:sz w:val="32"/>
          <w:szCs w:val="32"/>
        </w:rPr>
        <w:t>2021年支出228.34万元，其中：基本支出228.34万元，项目支出0万元。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2021年预算安排支出228.32万元，主要用于保障正常运转、完成日常工作任务。</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基本支出228.32万元，是用于西区城市建设服务中心正常运转的日常支出，包括基本工资、津贴补贴、住房公积金和日常公用经费等。</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bCs/>
          <w:color w:val="000000"/>
          <w:kern w:val="0"/>
          <w:sz w:val="32"/>
          <w:szCs w:val="32"/>
        </w:rPr>
        <w:t>西区城市建设服务中心预算安排支出228.32万元，主要用于保障正常运转、完成日常工作任务，2021年完成率100%。</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bCs/>
          <w:color w:val="000000"/>
          <w:kern w:val="0"/>
          <w:sz w:val="32"/>
          <w:szCs w:val="32"/>
        </w:rPr>
        <w:t>西区城市建设服务中心预算安排支出228.32万元，主要用于保障正常运转、完成日常工作任务，提高工作效率，提升工作实效，2021年完成率100%。</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Fonts w:ascii="黑体" w:hAnsi="黑体" w:eastAsia="黑体"/>
          <w:color w:val="000000"/>
          <w:sz w:val="44"/>
          <w:szCs w:val="44"/>
        </w:rPr>
      </w:pPr>
      <w:bookmarkStart w:id="59"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Style w:val="26"/>
          <w:rFonts w:ascii="仿宋" w:hAnsi="仿宋" w:eastAsia="仿宋"/>
          <w:b w:val="0"/>
          <w:bCs w:val="0"/>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有资本经营预算收入支出决算表</w:t>
      </w:r>
      <w:bookmarkEnd w:id="72"/>
    </w:p>
    <w:p>
      <w:pPr>
        <w:pStyle w:val="3"/>
        <w:rPr>
          <w:rStyle w:val="26"/>
          <w:rFonts w:ascii="仿宋" w:hAnsi="仿宋" w:eastAsia="仿宋"/>
          <w:b w:val="0"/>
          <w:bCs w:val="0"/>
        </w:rPr>
      </w:pPr>
      <w:r>
        <w:rPr>
          <w:rStyle w:val="26"/>
          <w:rFonts w:hint="eastAsia" w:ascii="仿宋" w:hAnsi="仿宋" w:eastAsia="仿宋"/>
          <w:b w:val="0"/>
          <w:bCs w:val="0"/>
        </w:rPr>
        <w:t>十四、</w:t>
      </w:r>
      <w:r>
        <w:rPr>
          <w:rFonts w:hint="eastAsia" w:ascii="仿宋" w:hAnsi="仿宋" w:eastAsia="仿宋"/>
          <w:b w:val="0"/>
          <w:color w:val="000000"/>
        </w:rPr>
        <w:t>国</w:t>
      </w:r>
      <w:r>
        <w:rPr>
          <w:rStyle w:val="26"/>
          <w:rFonts w:hint="eastAsia" w:ascii="仿宋" w:hAnsi="仿宋" w:eastAsia="仿宋"/>
          <w:b w:val="0"/>
          <w:bCs w:val="0"/>
        </w:rPr>
        <w:t>有资本经营预算支出决算表</w:t>
      </w:r>
    </w:p>
    <w:p>
      <w:pPr>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Shruti"/>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080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YwNjk1ZDEzYWQ2MzkxYWI4OTY5MGUzMWE2M2YyYjUifQ=="/>
  </w:docVars>
  <w:rsids>
    <w:rsidRoot w:val="00F1361C"/>
    <w:rsid w:val="00001672"/>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1410"/>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2AD2"/>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20B7"/>
    <w:rsid w:val="005664BB"/>
    <w:rsid w:val="00566FFA"/>
    <w:rsid w:val="0057481D"/>
    <w:rsid w:val="00575F0B"/>
    <w:rsid w:val="0058486E"/>
    <w:rsid w:val="00585B33"/>
    <w:rsid w:val="0059014D"/>
    <w:rsid w:val="005A1627"/>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227"/>
    <w:rsid w:val="006325F8"/>
    <w:rsid w:val="00633463"/>
    <w:rsid w:val="00634C9A"/>
    <w:rsid w:val="006440E4"/>
    <w:rsid w:val="0066343B"/>
    <w:rsid w:val="00664777"/>
    <w:rsid w:val="006748A4"/>
    <w:rsid w:val="00681A31"/>
    <w:rsid w:val="00683E73"/>
    <w:rsid w:val="006A3141"/>
    <w:rsid w:val="006A5E34"/>
    <w:rsid w:val="006B2422"/>
    <w:rsid w:val="006B2792"/>
    <w:rsid w:val="006B2B9A"/>
    <w:rsid w:val="006C1937"/>
    <w:rsid w:val="006D05FB"/>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B66D5"/>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39D9"/>
    <w:rsid w:val="00885AF4"/>
    <w:rsid w:val="008939CD"/>
    <w:rsid w:val="008B768C"/>
    <w:rsid w:val="008C4DB1"/>
    <w:rsid w:val="008C4EAF"/>
    <w:rsid w:val="008C5176"/>
    <w:rsid w:val="008C7FD0"/>
    <w:rsid w:val="008E1DE7"/>
    <w:rsid w:val="008E42A5"/>
    <w:rsid w:val="008E707C"/>
    <w:rsid w:val="00900B08"/>
    <w:rsid w:val="00902155"/>
    <w:rsid w:val="00902FA3"/>
    <w:rsid w:val="00923564"/>
    <w:rsid w:val="0092392E"/>
    <w:rsid w:val="009315F9"/>
    <w:rsid w:val="00933499"/>
    <w:rsid w:val="00935C98"/>
    <w:rsid w:val="00946945"/>
    <w:rsid w:val="00951248"/>
    <w:rsid w:val="0095152F"/>
    <w:rsid w:val="00953DD2"/>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0B16"/>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57FEB"/>
    <w:rsid w:val="00C61BFC"/>
    <w:rsid w:val="00C62B85"/>
    <w:rsid w:val="00C65438"/>
    <w:rsid w:val="00C91CBB"/>
    <w:rsid w:val="00CA669F"/>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1D3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2BA6"/>
    <w:rsid w:val="00E853CE"/>
    <w:rsid w:val="00E867B6"/>
    <w:rsid w:val="00E87F08"/>
    <w:rsid w:val="00EA010F"/>
    <w:rsid w:val="00EC61C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96E7E"/>
    <w:rsid w:val="01402ED0"/>
    <w:rsid w:val="015F3E46"/>
    <w:rsid w:val="01913160"/>
    <w:rsid w:val="01CA3F1A"/>
    <w:rsid w:val="01CE2C89"/>
    <w:rsid w:val="01FF1CA3"/>
    <w:rsid w:val="0216015A"/>
    <w:rsid w:val="02924A85"/>
    <w:rsid w:val="02DA159B"/>
    <w:rsid w:val="030807B0"/>
    <w:rsid w:val="0314369E"/>
    <w:rsid w:val="038E6F23"/>
    <w:rsid w:val="039225C0"/>
    <w:rsid w:val="03FB7263"/>
    <w:rsid w:val="0462271F"/>
    <w:rsid w:val="04E270A2"/>
    <w:rsid w:val="04EE7F1F"/>
    <w:rsid w:val="0558020F"/>
    <w:rsid w:val="05D568B9"/>
    <w:rsid w:val="05DC2969"/>
    <w:rsid w:val="06634C85"/>
    <w:rsid w:val="06AA5418"/>
    <w:rsid w:val="07611403"/>
    <w:rsid w:val="079B7DCD"/>
    <w:rsid w:val="07AA1437"/>
    <w:rsid w:val="082A4357"/>
    <w:rsid w:val="083B0515"/>
    <w:rsid w:val="083E06F3"/>
    <w:rsid w:val="089331F9"/>
    <w:rsid w:val="08A9178E"/>
    <w:rsid w:val="08E537CF"/>
    <w:rsid w:val="08E7646F"/>
    <w:rsid w:val="09016F33"/>
    <w:rsid w:val="09074D82"/>
    <w:rsid w:val="095E1D3D"/>
    <w:rsid w:val="099805B5"/>
    <w:rsid w:val="0A1073E6"/>
    <w:rsid w:val="0A441763"/>
    <w:rsid w:val="0A784165"/>
    <w:rsid w:val="0A973C93"/>
    <w:rsid w:val="0AF642B4"/>
    <w:rsid w:val="0AFC724D"/>
    <w:rsid w:val="0B0A4727"/>
    <w:rsid w:val="0B0B2FE0"/>
    <w:rsid w:val="0B2277C8"/>
    <w:rsid w:val="0B495591"/>
    <w:rsid w:val="0B537BB6"/>
    <w:rsid w:val="0B982A57"/>
    <w:rsid w:val="0BB31756"/>
    <w:rsid w:val="0BD0559E"/>
    <w:rsid w:val="0C23794B"/>
    <w:rsid w:val="0C497BC6"/>
    <w:rsid w:val="0C7E0478"/>
    <w:rsid w:val="0C885C18"/>
    <w:rsid w:val="0D1A2088"/>
    <w:rsid w:val="0D3D1872"/>
    <w:rsid w:val="0D867C86"/>
    <w:rsid w:val="0DDA45B0"/>
    <w:rsid w:val="0DEB2B57"/>
    <w:rsid w:val="0DF51FF5"/>
    <w:rsid w:val="0E08346D"/>
    <w:rsid w:val="0E2E336F"/>
    <w:rsid w:val="0E3306B1"/>
    <w:rsid w:val="0ED92B8F"/>
    <w:rsid w:val="0F7C4174"/>
    <w:rsid w:val="0FB00B75"/>
    <w:rsid w:val="10327E8F"/>
    <w:rsid w:val="10677BC5"/>
    <w:rsid w:val="10832F21"/>
    <w:rsid w:val="10C055FF"/>
    <w:rsid w:val="112565BD"/>
    <w:rsid w:val="1152015E"/>
    <w:rsid w:val="11BE3D8D"/>
    <w:rsid w:val="11D10C99"/>
    <w:rsid w:val="11D75364"/>
    <w:rsid w:val="11DB1AFA"/>
    <w:rsid w:val="124118EA"/>
    <w:rsid w:val="124E6CFE"/>
    <w:rsid w:val="1264750E"/>
    <w:rsid w:val="13782348"/>
    <w:rsid w:val="138D3AE4"/>
    <w:rsid w:val="138D70C8"/>
    <w:rsid w:val="139E1E38"/>
    <w:rsid w:val="13BE7093"/>
    <w:rsid w:val="144E1F2E"/>
    <w:rsid w:val="146E686C"/>
    <w:rsid w:val="147246C9"/>
    <w:rsid w:val="14A447B3"/>
    <w:rsid w:val="14AE5A27"/>
    <w:rsid w:val="14C0535F"/>
    <w:rsid w:val="14C63C13"/>
    <w:rsid w:val="157F0CD9"/>
    <w:rsid w:val="158935F0"/>
    <w:rsid w:val="1649352A"/>
    <w:rsid w:val="166746BF"/>
    <w:rsid w:val="16696EB3"/>
    <w:rsid w:val="16BB2E85"/>
    <w:rsid w:val="16BB723D"/>
    <w:rsid w:val="16D451C7"/>
    <w:rsid w:val="16F1753B"/>
    <w:rsid w:val="171757D0"/>
    <w:rsid w:val="171A0C68"/>
    <w:rsid w:val="178676C0"/>
    <w:rsid w:val="17956439"/>
    <w:rsid w:val="17AE41F2"/>
    <w:rsid w:val="17B52C40"/>
    <w:rsid w:val="17E563D6"/>
    <w:rsid w:val="17ED7F33"/>
    <w:rsid w:val="185A3F14"/>
    <w:rsid w:val="18885AB4"/>
    <w:rsid w:val="188D2B53"/>
    <w:rsid w:val="18977939"/>
    <w:rsid w:val="18D94BD2"/>
    <w:rsid w:val="19051383"/>
    <w:rsid w:val="196149A2"/>
    <w:rsid w:val="199C7F9A"/>
    <w:rsid w:val="19AA123A"/>
    <w:rsid w:val="1A07140F"/>
    <w:rsid w:val="1A1E4A71"/>
    <w:rsid w:val="1A30155B"/>
    <w:rsid w:val="1A474A76"/>
    <w:rsid w:val="1AA913EB"/>
    <w:rsid w:val="1AB67F03"/>
    <w:rsid w:val="1AC065C8"/>
    <w:rsid w:val="1B0D5259"/>
    <w:rsid w:val="1B6149B4"/>
    <w:rsid w:val="1BDA0472"/>
    <w:rsid w:val="1BEE01A5"/>
    <w:rsid w:val="1BF255E0"/>
    <w:rsid w:val="1CDB16AF"/>
    <w:rsid w:val="1CEB040F"/>
    <w:rsid w:val="1D2764E8"/>
    <w:rsid w:val="1D732AA4"/>
    <w:rsid w:val="1D8B50AC"/>
    <w:rsid w:val="1DCF5AF0"/>
    <w:rsid w:val="1E493009"/>
    <w:rsid w:val="1E4D723D"/>
    <w:rsid w:val="1E4F682D"/>
    <w:rsid w:val="1EA2369D"/>
    <w:rsid w:val="1EA33D8E"/>
    <w:rsid w:val="1F105E90"/>
    <w:rsid w:val="1F160A79"/>
    <w:rsid w:val="1F5D05E2"/>
    <w:rsid w:val="1F5F0294"/>
    <w:rsid w:val="1FE16996"/>
    <w:rsid w:val="2036534E"/>
    <w:rsid w:val="20591AFB"/>
    <w:rsid w:val="21366AF4"/>
    <w:rsid w:val="21536847"/>
    <w:rsid w:val="217A62EB"/>
    <w:rsid w:val="21933ED0"/>
    <w:rsid w:val="21E43EF0"/>
    <w:rsid w:val="21E64183"/>
    <w:rsid w:val="229A0F15"/>
    <w:rsid w:val="22BF1C8A"/>
    <w:rsid w:val="230D642E"/>
    <w:rsid w:val="23374681"/>
    <w:rsid w:val="23446AE1"/>
    <w:rsid w:val="23552F6D"/>
    <w:rsid w:val="236A2D94"/>
    <w:rsid w:val="23966F54"/>
    <w:rsid w:val="240371BF"/>
    <w:rsid w:val="247837C5"/>
    <w:rsid w:val="247A75D4"/>
    <w:rsid w:val="24A5317D"/>
    <w:rsid w:val="24CC3889"/>
    <w:rsid w:val="24D65F80"/>
    <w:rsid w:val="24EB470E"/>
    <w:rsid w:val="24FB58FA"/>
    <w:rsid w:val="250F56F3"/>
    <w:rsid w:val="25391FBC"/>
    <w:rsid w:val="256056DD"/>
    <w:rsid w:val="256928DA"/>
    <w:rsid w:val="25710F50"/>
    <w:rsid w:val="257B2511"/>
    <w:rsid w:val="25A31419"/>
    <w:rsid w:val="25CE3143"/>
    <w:rsid w:val="25F30975"/>
    <w:rsid w:val="25F9168C"/>
    <w:rsid w:val="25FB33A5"/>
    <w:rsid w:val="2667039A"/>
    <w:rsid w:val="26793DC6"/>
    <w:rsid w:val="26C947AF"/>
    <w:rsid w:val="270D3B4C"/>
    <w:rsid w:val="273B2E70"/>
    <w:rsid w:val="278830DC"/>
    <w:rsid w:val="27BC5F2F"/>
    <w:rsid w:val="27DE42F3"/>
    <w:rsid w:val="28133635"/>
    <w:rsid w:val="283D7716"/>
    <w:rsid w:val="28547139"/>
    <w:rsid w:val="289E42DE"/>
    <w:rsid w:val="28A27C17"/>
    <w:rsid w:val="28FD1682"/>
    <w:rsid w:val="29096490"/>
    <w:rsid w:val="292E263D"/>
    <w:rsid w:val="29C60E93"/>
    <w:rsid w:val="29D454B4"/>
    <w:rsid w:val="29E4499A"/>
    <w:rsid w:val="29EE0561"/>
    <w:rsid w:val="29FD04D3"/>
    <w:rsid w:val="2A810760"/>
    <w:rsid w:val="2A8E27AD"/>
    <w:rsid w:val="2AEC6E67"/>
    <w:rsid w:val="2B9430F1"/>
    <w:rsid w:val="2B980A3C"/>
    <w:rsid w:val="2B9D6423"/>
    <w:rsid w:val="2BC42FF5"/>
    <w:rsid w:val="2CC97FC5"/>
    <w:rsid w:val="2CD52789"/>
    <w:rsid w:val="2CDB1841"/>
    <w:rsid w:val="2D9D2935"/>
    <w:rsid w:val="2DAB2DF6"/>
    <w:rsid w:val="2DC8124E"/>
    <w:rsid w:val="2E0053AF"/>
    <w:rsid w:val="2E240468"/>
    <w:rsid w:val="2E4F4AAC"/>
    <w:rsid w:val="2F5A5B73"/>
    <w:rsid w:val="2FB814AC"/>
    <w:rsid w:val="2FF16C9C"/>
    <w:rsid w:val="2FFD52E9"/>
    <w:rsid w:val="301311CA"/>
    <w:rsid w:val="30346C49"/>
    <w:rsid w:val="303E69E9"/>
    <w:rsid w:val="304D650F"/>
    <w:rsid w:val="305F214C"/>
    <w:rsid w:val="308720EF"/>
    <w:rsid w:val="30A34669"/>
    <w:rsid w:val="30B32C7B"/>
    <w:rsid w:val="30BF284A"/>
    <w:rsid w:val="30C94832"/>
    <w:rsid w:val="30F31E05"/>
    <w:rsid w:val="31280757"/>
    <w:rsid w:val="312E0544"/>
    <w:rsid w:val="318F4C59"/>
    <w:rsid w:val="31921229"/>
    <w:rsid w:val="319F7F4E"/>
    <w:rsid w:val="31E4478D"/>
    <w:rsid w:val="320E7D39"/>
    <w:rsid w:val="32E5051C"/>
    <w:rsid w:val="33014BC1"/>
    <w:rsid w:val="330765CC"/>
    <w:rsid w:val="333E6D30"/>
    <w:rsid w:val="33510C29"/>
    <w:rsid w:val="33587B47"/>
    <w:rsid w:val="335F5F5B"/>
    <w:rsid w:val="33C52BAB"/>
    <w:rsid w:val="33F57295"/>
    <w:rsid w:val="33FA3190"/>
    <w:rsid w:val="34127D09"/>
    <w:rsid w:val="34563E69"/>
    <w:rsid w:val="3469061B"/>
    <w:rsid w:val="34B44A8C"/>
    <w:rsid w:val="35BF75F2"/>
    <w:rsid w:val="35F241B4"/>
    <w:rsid w:val="36295104"/>
    <w:rsid w:val="36FC58FA"/>
    <w:rsid w:val="376360F0"/>
    <w:rsid w:val="37BC68D9"/>
    <w:rsid w:val="385E093C"/>
    <w:rsid w:val="38785AB2"/>
    <w:rsid w:val="38932187"/>
    <w:rsid w:val="38AC2F6D"/>
    <w:rsid w:val="38BA3513"/>
    <w:rsid w:val="38F46D88"/>
    <w:rsid w:val="395F7B71"/>
    <w:rsid w:val="398914A7"/>
    <w:rsid w:val="39B16556"/>
    <w:rsid w:val="39ED76ED"/>
    <w:rsid w:val="3A267FFD"/>
    <w:rsid w:val="3A91119E"/>
    <w:rsid w:val="3B7875EA"/>
    <w:rsid w:val="3B9B0261"/>
    <w:rsid w:val="3BB24D3A"/>
    <w:rsid w:val="3BC240D0"/>
    <w:rsid w:val="3BD45C27"/>
    <w:rsid w:val="3BE07F12"/>
    <w:rsid w:val="3C1B2569"/>
    <w:rsid w:val="3C5F37C5"/>
    <w:rsid w:val="3C9461A2"/>
    <w:rsid w:val="3CD915F8"/>
    <w:rsid w:val="3D61655C"/>
    <w:rsid w:val="3D7401AE"/>
    <w:rsid w:val="3DB66591"/>
    <w:rsid w:val="3E3B0E77"/>
    <w:rsid w:val="3E40076A"/>
    <w:rsid w:val="3E4557E7"/>
    <w:rsid w:val="3E58399F"/>
    <w:rsid w:val="3ED25C30"/>
    <w:rsid w:val="3EF41C1D"/>
    <w:rsid w:val="3FEF260F"/>
    <w:rsid w:val="40603E52"/>
    <w:rsid w:val="41693690"/>
    <w:rsid w:val="41735102"/>
    <w:rsid w:val="41825658"/>
    <w:rsid w:val="419040BC"/>
    <w:rsid w:val="41A07DCC"/>
    <w:rsid w:val="41C45EB4"/>
    <w:rsid w:val="41CE198E"/>
    <w:rsid w:val="41ED677E"/>
    <w:rsid w:val="423C2C20"/>
    <w:rsid w:val="42410461"/>
    <w:rsid w:val="42566DAF"/>
    <w:rsid w:val="42D262C7"/>
    <w:rsid w:val="434309DB"/>
    <w:rsid w:val="435C4A7D"/>
    <w:rsid w:val="4391146F"/>
    <w:rsid w:val="43A41C0D"/>
    <w:rsid w:val="4402690D"/>
    <w:rsid w:val="44150499"/>
    <w:rsid w:val="44381047"/>
    <w:rsid w:val="446B1FC7"/>
    <w:rsid w:val="4473628C"/>
    <w:rsid w:val="44835DB9"/>
    <w:rsid w:val="44F14DA5"/>
    <w:rsid w:val="45406F85"/>
    <w:rsid w:val="456F36FD"/>
    <w:rsid w:val="45C139FB"/>
    <w:rsid w:val="45CB468B"/>
    <w:rsid w:val="45EE3394"/>
    <w:rsid w:val="462274D2"/>
    <w:rsid w:val="462E660D"/>
    <w:rsid w:val="464F26EE"/>
    <w:rsid w:val="46AB6B8E"/>
    <w:rsid w:val="46F31D0C"/>
    <w:rsid w:val="470152B5"/>
    <w:rsid w:val="472C33F0"/>
    <w:rsid w:val="47943C25"/>
    <w:rsid w:val="47C8251F"/>
    <w:rsid w:val="47E0687C"/>
    <w:rsid w:val="48057158"/>
    <w:rsid w:val="487266A3"/>
    <w:rsid w:val="48811351"/>
    <w:rsid w:val="48D859B9"/>
    <w:rsid w:val="49B4040B"/>
    <w:rsid w:val="49FD0F93"/>
    <w:rsid w:val="4A5449BD"/>
    <w:rsid w:val="4AAD35B4"/>
    <w:rsid w:val="4AC20C3B"/>
    <w:rsid w:val="4B003F94"/>
    <w:rsid w:val="4B0A2804"/>
    <w:rsid w:val="4BAF1318"/>
    <w:rsid w:val="4BB0285D"/>
    <w:rsid w:val="4BB672A9"/>
    <w:rsid w:val="4BCE4147"/>
    <w:rsid w:val="4C021B60"/>
    <w:rsid w:val="4C7C7635"/>
    <w:rsid w:val="4C86158A"/>
    <w:rsid w:val="4CC75025"/>
    <w:rsid w:val="4CCD0362"/>
    <w:rsid w:val="4CF12529"/>
    <w:rsid w:val="4D2A186B"/>
    <w:rsid w:val="4D501231"/>
    <w:rsid w:val="4D773A7D"/>
    <w:rsid w:val="4D7F26FB"/>
    <w:rsid w:val="4D995DD0"/>
    <w:rsid w:val="4DAF59D1"/>
    <w:rsid w:val="4DB67745"/>
    <w:rsid w:val="4DB97339"/>
    <w:rsid w:val="4DBA25CD"/>
    <w:rsid w:val="4DDC4EF5"/>
    <w:rsid w:val="4DDD6182"/>
    <w:rsid w:val="4DF45026"/>
    <w:rsid w:val="4E547557"/>
    <w:rsid w:val="4E6D4535"/>
    <w:rsid w:val="4EAA6D80"/>
    <w:rsid w:val="4EAF3A6E"/>
    <w:rsid w:val="4EB3329B"/>
    <w:rsid w:val="4EC27B27"/>
    <w:rsid w:val="4ECE2238"/>
    <w:rsid w:val="4F7B6FD8"/>
    <w:rsid w:val="4F870E9A"/>
    <w:rsid w:val="4F9A7797"/>
    <w:rsid w:val="502B4D67"/>
    <w:rsid w:val="50766D50"/>
    <w:rsid w:val="50916976"/>
    <w:rsid w:val="50CA2901"/>
    <w:rsid w:val="50FC6CC0"/>
    <w:rsid w:val="50FF0E0B"/>
    <w:rsid w:val="51967931"/>
    <w:rsid w:val="51994C3B"/>
    <w:rsid w:val="51E507BD"/>
    <w:rsid w:val="51E827D8"/>
    <w:rsid w:val="523E6F37"/>
    <w:rsid w:val="525C7C3E"/>
    <w:rsid w:val="529A5706"/>
    <w:rsid w:val="52A97112"/>
    <w:rsid w:val="52C1419E"/>
    <w:rsid w:val="52C96B29"/>
    <w:rsid w:val="5303342F"/>
    <w:rsid w:val="531F32AE"/>
    <w:rsid w:val="536D5DD1"/>
    <w:rsid w:val="53A435A3"/>
    <w:rsid w:val="53E8138D"/>
    <w:rsid w:val="5406483A"/>
    <w:rsid w:val="54AF3F76"/>
    <w:rsid w:val="54AF7CB6"/>
    <w:rsid w:val="55835832"/>
    <w:rsid w:val="55961352"/>
    <w:rsid w:val="559E2BDF"/>
    <w:rsid w:val="55F83C9A"/>
    <w:rsid w:val="56110F4F"/>
    <w:rsid w:val="564C469E"/>
    <w:rsid w:val="56B35373"/>
    <w:rsid w:val="570C3488"/>
    <w:rsid w:val="5721787B"/>
    <w:rsid w:val="57393579"/>
    <w:rsid w:val="578F61AA"/>
    <w:rsid w:val="57D6327F"/>
    <w:rsid w:val="57EC2E7A"/>
    <w:rsid w:val="58290D79"/>
    <w:rsid w:val="5856799B"/>
    <w:rsid w:val="58796AB8"/>
    <w:rsid w:val="588A71D3"/>
    <w:rsid w:val="58BE3D2B"/>
    <w:rsid w:val="58FA6A00"/>
    <w:rsid w:val="590006E9"/>
    <w:rsid w:val="5904577A"/>
    <w:rsid w:val="59166A24"/>
    <w:rsid w:val="59542992"/>
    <w:rsid w:val="598A3772"/>
    <w:rsid w:val="59A565D6"/>
    <w:rsid w:val="59C043A7"/>
    <w:rsid w:val="59D642B7"/>
    <w:rsid w:val="5A0F3B1C"/>
    <w:rsid w:val="5A1A20D1"/>
    <w:rsid w:val="5AD7214E"/>
    <w:rsid w:val="5AD8396F"/>
    <w:rsid w:val="5AE0103E"/>
    <w:rsid w:val="5AFA71B8"/>
    <w:rsid w:val="5C2871B2"/>
    <w:rsid w:val="5C2F7DAD"/>
    <w:rsid w:val="5C702C34"/>
    <w:rsid w:val="5CD92D66"/>
    <w:rsid w:val="5CDD2A9A"/>
    <w:rsid w:val="5D01359B"/>
    <w:rsid w:val="5D1801C0"/>
    <w:rsid w:val="5D8F6B76"/>
    <w:rsid w:val="5DBB5AED"/>
    <w:rsid w:val="5E1E642F"/>
    <w:rsid w:val="5E535106"/>
    <w:rsid w:val="5E5B5D78"/>
    <w:rsid w:val="5E830B9D"/>
    <w:rsid w:val="5EAF43FE"/>
    <w:rsid w:val="5EC5233C"/>
    <w:rsid w:val="5EE73FED"/>
    <w:rsid w:val="5F6A649A"/>
    <w:rsid w:val="5F772B00"/>
    <w:rsid w:val="5F8275D6"/>
    <w:rsid w:val="5F924DC4"/>
    <w:rsid w:val="5FBD5805"/>
    <w:rsid w:val="60286C8A"/>
    <w:rsid w:val="604B664F"/>
    <w:rsid w:val="60572CE9"/>
    <w:rsid w:val="60860929"/>
    <w:rsid w:val="60924DD9"/>
    <w:rsid w:val="60A308BE"/>
    <w:rsid w:val="60E323CB"/>
    <w:rsid w:val="6104449F"/>
    <w:rsid w:val="616B3408"/>
    <w:rsid w:val="61DD6BE6"/>
    <w:rsid w:val="61E03A70"/>
    <w:rsid w:val="61FA7699"/>
    <w:rsid w:val="62152B47"/>
    <w:rsid w:val="62725AF1"/>
    <w:rsid w:val="62C46229"/>
    <w:rsid w:val="62E55D39"/>
    <w:rsid w:val="634A1CE2"/>
    <w:rsid w:val="637E3FAF"/>
    <w:rsid w:val="63836682"/>
    <w:rsid w:val="63A21AE5"/>
    <w:rsid w:val="63F0599C"/>
    <w:rsid w:val="643B2C3F"/>
    <w:rsid w:val="645755AD"/>
    <w:rsid w:val="649A7D70"/>
    <w:rsid w:val="64A76CC2"/>
    <w:rsid w:val="64F77796"/>
    <w:rsid w:val="65263CC1"/>
    <w:rsid w:val="65516BCE"/>
    <w:rsid w:val="65C31BDF"/>
    <w:rsid w:val="66325421"/>
    <w:rsid w:val="66362C91"/>
    <w:rsid w:val="664842C2"/>
    <w:rsid w:val="664B47D4"/>
    <w:rsid w:val="666C434C"/>
    <w:rsid w:val="66755C30"/>
    <w:rsid w:val="669B4A21"/>
    <w:rsid w:val="66D61AB2"/>
    <w:rsid w:val="66E90A8D"/>
    <w:rsid w:val="67541A11"/>
    <w:rsid w:val="67545045"/>
    <w:rsid w:val="67961ADE"/>
    <w:rsid w:val="67EB0A1B"/>
    <w:rsid w:val="67FC2E55"/>
    <w:rsid w:val="68066624"/>
    <w:rsid w:val="68711CEE"/>
    <w:rsid w:val="68C304D9"/>
    <w:rsid w:val="68E541DF"/>
    <w:rsid w:val="69344C1E"/>
    <w:rsid w:val="69461FBF"/>
    <w:rsid w:val="6984549C"/>
    <w:rsid w:val="6A125746"/>
    <w:rsid w:val="6A523640"/>
    <w:rsid w:val="6ABE7CB7"/>
    <w:rsid w:val="6AF853AE"/>
    <w:rsid w:val="6B2819A3"/>
    <w:rsid w:val="6B38507E"/>
    <w:rsid w:val="6BB2682E"/>
    <w:rsid w:val="6BC82718"/>
    <w:rsid w:val="6BFA0592"/>
    <w:rsid w:val="6C1D17D4"/>
    <w:rsid w:val="6C2439CA"/>
    <w:rsid w:val="6C383853"/>
    <w:rsid w:val="6C4061A7"/>
    <w:rsid w:val="6C4172FF"/>
    <w:rsid w:val="6C4E74A9"/>
    <w:rsid w:val="6C671CD5"/>
    <w:rsid w:val="6CC85CA4"/>
    <w:rsid w:val="6CD709E0"/>
    <w:rsid w:val="6CF4577D"/>
    <w:rsid w:val="6D08746E"/>
    <w:rsid w:val="6D155B57"/>
    <w:rsid w:val="6D166B3B"/>
    <w:rsid w:val="6D455D25"/>
    <w:rsid w:val="6D58002D"/>
    <w:rsid w:val="6D9C5ED4"/>
    <w:rsid w:val="6DC060A8"/>
    <w:rsid w:val="6DD90373"/>
    <w:rsid w:val="6E505CD8"/>
    <w:rsid w:val="6E662B56"/>
    <w:rsid w:val="6E6D1761"/>
    <w:rsid w:val="6E8363EC"/>
    <w:rsid w:val="6E99148F"/>
    <w:rsid w:val="6EA8155C"/>
    <w:rsid w:val="6EB07392"/>
    <w:rsid w:val="6EB85894"/>
    <w:rsid w:val="6EE03D12"/>
    <w:rsid w:val="6F2B25B0"/>
    <w:rsid w:val="6F79700F"/>
    <w:rsid w:val="6FB00664"/>
    <w:rsid w:val="6FD131C7"/>
    <w:rsid w:val="700C2A7D"/>
    <w:rsid w:val="702411DC"/>
    <w:rsid w:val="707808FD"/>
    <w:rsid w:val="70822EAB"/>
    <w:rsid w:val="70E504E3"/>
    <w:rsid w:val="70E84D2B"/>
    <w:rsid w:val="71434341"/>
    <w:rsid w:val="7159320B"/>
    <w:rsid w:val="71A865A5"/>
    <w:rsid w:val="71CB4727"/>
    <w:rsid w:val="71CD2339"/>
    <w:rsid w:val="71EC6980"/>
    <w:rsid w:val="72094904"/>
    <w:rsid w:val="72346D68"/>
    <w:rsid w:val="72443168"/>
    <w:rsid w:val="725109BF"/>
    <w:rsid w:val="72620A64"/>
    <w:rsid w:val="72734D90"/>
    <w:rsid w:val="72EE18CA"/>
    <w:rsid w:val="73163CD5"/>
    <w:rsid w:val="736F0F03"/>
    <w:rsid w:val="738D3DB4"/>
    <w:rsid w:val="740B2A1F"/>
    <w:rsid w:val="742B705B"/>
    <w:rsid w:val="74465290"/>
    <w:rsid w:val="747406FA"/>
    <w:rsid w:val="749E3893"/>
    <w:rsid w:val="74A162CF"/>
    <w:rsid w:val="74A36237"/>
    <w:rsid w:val="74DD5C38"/>
    <w:rsid w:val="7506699D"/>
    <w:rsid w:val="755B3DFC"/>
    <w:rsid w:val="75CB3171"/>
    <w:rsid w:val="75FA20FB"/>
    <w:rsid w:val="75FD74C4"/>
    <w:rsid w:val="76055F18"/>
    <w:rsid w:val="7619293F"/>
    <w:rsid w:val="762105DB"/>
    <w:rsid w:val="76303B9C"/>
    <w:rsid w:val="765204EB"/>
    <w:rsid w:val="76536DB1"/>
    <w:rsid w:val="76805CBE"/>
    <w:rsid w:val="76C804C0"/>
    <w:rsid w:val="779B6280"/>
    <w:rsid w:val="77A428F6"/>
    <w:rsid w:val="77C61354"/>
    <w:rsid w:val="7805423A"/>
    <w:rsid w:val="78314992"/>
    <w:rsid w:val="784A73C9"/>
    <w:rsid w:val="78B2017F"/>
    <w:rsid w:val="78E02332"/>
    <w:rsid w:val="78F13E85"/>
    <w:rsid w:val="790E77FA"/>
    <w:rsid w:val="791340DD"/>
    <w:rsid w:val="79330FDA"/>
    <w:rsid w:val="798D58C1"/>
    <w:rsid w:val="79C22D3E"/>
    <w:rsid w:val="79DB2609"/>
    <w:rsid w:val="79E5159F"/>
    <w:rsid w:val="7A406F3A"/>
    <w:rsid w:val="7A7B6932"/>
    <w:rsid w:val="7A8D4360"/>
    <w:rsid w:val="7A984E05"/>
    <w:rsid w:val="7A9F2B32"/>
    <w:rsid w:val="7ACA73C3"/>
    <w:rsid w:val="7AFF49B1"/>
    <w:rsid w:val="7B24533E"/>
    <w:rsid w:val="7BA42622"/>
    <w:rsid w:val="7BBE15DF"/>
    <w:rsid w:val="7BCF25FD"/>
    <w:rsid w:val="7C016902"/>
    <w:rsid w:val="7C474F0C"/>
    <w:rsid w:val="7C6F5CB1"/>
    <w:rsid w:val="7C9B0DD7"/>
    <w:rsid w:val="7CA11B5A"/>
    <w:rsid w:val="7CB27968"/>
    <w:rsid w:val="7CDD332B"/>
    <w:rsid w:val="7D102A20"/>
    <w:rsid w:val="7D131452"/>
    <w:rsid w:val="7D451939"/>
    <w:rsid w:val="7D4662C8"/>
    <w:rsid w:val="7D4F058C"/>
    <w:rsid w:val="7D624FAC"/>
    <w:rsid w:val="7DF47711"/>
    <w:rsid w:val="7E825D8D"/>
    <w:rsid w:val="7F223ACB"/>
    <w:rsid w:val="7F44257C"/>
    <w:rsid w:val="7F6665D7"/>
    <w:rsid w:val="7F7E202A"/>
    <w:rsid w:val="7FBB69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font71"/>
    <w:basedOn w:val="14"/>
    <w:qFormat/>
    <w:uiPriority w:val="0"/>
    <w:rPr>
      <w:rFonts w:hint="eastAsia" w:ascii="Times New Roman" w:eastAsia="楷体_GB2312" w:cs="楷体_GB231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sus\Desktop\&#39292;&#29366;&#22270;&#12289;&#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sus\Desktop\&#39292;&#29366;&#22270;&#12289;&#26609;&#29366;&#2227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sus\Desktop\&#39292;&#29366;&#22270;&#12289;&#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sus\Desktop\&#39292;&#29366;&#22270;&#12289;&#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sus\Desktop\&#39292;&#29366;&#22270;&#1228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a:effectLst/>
          </c:spPr>
          <c:explosion val="4"/>
          <c:dPt>
            <c:idx val="0"/>
            <c:bubble3D val="0"/>
            <c:explosion val="0"/>
            <c:spPr>
              <a:solidFill>
                <a:schemeClr val="accent1">
                  <a:shade val="50000"/>
                </a:schemeClr>
              </a:solidFill>
              <a:ln w="19050">
                <a:solidFill>
                  <a:schemeClr val="lt1"/>
                </a:solidFill>
              </a:ln>
              <a:effectLst/>
            </c:spPr>
          </c:dPt>
          <c:dPt>
            <c:idx val="1"/>
            <c:bubble3D val="0"/>
            <c:explosion val="0"/>
            <c:spPr>
              <a:solidFill>
                <a:schemeClr val="accent1">
                  <a:shade val="70000"/>
                </a:schemeClr>
              </a:solidFill>
              <a:ln w="19050">
                <a:solidFill>
                  <a:schemeClr val="lt1"/>
                </a:solidFill>
              </a:ln>
              <a:effectLst/>
            </c:spPr>
          </c:dPt>
          <c:dPt>
            <c:idx val="2"/>
            <c:bubble3D val="0"/>
            <c:explosion val="0"/>
            <c:spPr>
              <a:solidFill>
                <a:schemeClr val="accent1">
                  <a:shade val="90000"/>
                </a:schemeClr>
              </a:solidFill>
              <a:ln w="19050">
                <a:solidFill>
                  <a:schemeClr val="lt1"/>
                </a:solidFill>
              </a:ln>
              <a:effectLst/>
            </c:spPr>
          </c:dPt>
          <c:dPt>
            <c:idx val="3"/>
            <c:bubble3D val="0"/>
            <c:explosion val="0"/>
            <c:spPr>
              <a:solidFill>
                <a:schemeClr val="accent1">
                  <a:tint val="90000"/>
                </a:schemeClr>
              </a:solidFill>
              <a:ln w="19050">
                <a:solidFill>
                  <a:schemeClr val="lt1"/>
                </a:solidFill>
              </a:ln>
              <a:effectLst/>
            </c:spPr>
          </c:dPt>
          <c:dPt>
            <c:idx val="4"/>
            <c:bubble3D val="0"/>
            <c:explosion val="0"/>
            <c:spPr>
              <a:solidFill>
                <a:schemeClr val="accent1">
                  <a:tint val="70000"/>
                </a:schemeClr>
              </a:solidFill>
              <a:ln w="19050">
                <a:solidFill>
                  <a:schemeClr val="lt1"/>
                </a:solidFill>
              </a:ln>
              <a:effectLst/>
            </c:spPr>
          </c:dPt>
          <c:dPt>
            <c:idx val="5"/>
            <c:bubble3D val="0"/>
            <c:spPr>
              <a:solidFill>
                <a:schemeClr val="accent1">
                  <a:tint val="5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[饼状图、柱状图.xlsx]Sheet1!$O$20:$O$25</c:f>
              <c:strCache>
                <c:ptCount val="6"/>
                <c:pt idx="0">
                  <c:v>一般公共预算财政拨款收入</c:v>
                </c:pt>
                <c:pt idx="1">
                  <c:v>政府性基金预算财政拨款收入</c:v>
                </c:pt>
                <c:pt idx="2">
                  <c:v>上级补助收入</c:v>
                </c:pt>
                <c:pt idx="3">
                  <c:v>经营收入</c:v>
                </c:pt>
                <c:pt idx="4">
                  <c:v>附属单位上缴收入</c:v>
                </c:pt>
                <c:pt idx="5">
                  <c:v>其他收入</c:v>
                </c:pt>
              </c:strCache>
            </c:strRef>
          </c:cat>
          <c:val>
            <c:numRef>
              <c:f>[饼状图、柱状图.xlsx]Sheet1!$P$20:$P$25</c:f>
              <c:numCache>
                <c:formatCode>General</c:formatCode>
                <c:ptCount val="6"/>
                <c:pt idx="0">
                  <c:v>228.32</c:v>
                </c:pt>
                <c:pt idx="5">
                  <c:v>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altLang="en-US"/>
              <a:t>支出决算结构图</a:t>
            </a:r>
            <a:endParaRPr lang="en-US" altLang="zh-CN"/>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基本支出</c:v>
                </c:pt>
                <c:pt idx="1">
                  <c:v>项目支出</c:v>
                </c:pt>
                <c:pt idx="2">
                  <c:v>上缴上级支出</c:v>
                </c:pt>
                <c:pt idx="3">
                  <c:v>经营支出</c:v>
                </c:pt>
                <c:pt idx="4">
                  <c:v>对附属单位补助支出</c:v>
                </c:pt>
              </c:strCache>
            </c:strRef>
          </c:cat>
          <c:val>
            <c:numRef>
              <c:f>[饼状图、柱状图.xlsx]Sheet1!$B$8:$B$14</c:f>
              <c:numCache>
                <c:formatCode>General</c:formatCode>
                <c:ptCount val="7"/>
                <c:pt idx="0">
                  <c:v>228.34</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129176678892121"/>
          <c:y val="0.151362260343088"/>
          <c:w val="0.842999873529784"/>
          <c:h val="0.641493440968718"/>
        </c:manualLayout>
      </c:layout>
      <c:barChart>
        <c:barDir val="col"/>
        <c:grouping val="stacked"/>
        <c:varyColors val="0"/>
        <c:ser>
          <c:idx val="0"/>
          <c:order val="0"/>
          <c:spPr>
            <a:solidFill>
              <a:srgbClr val="019199"/>
            </a:solidFill>
            <a:ln w="25400">
              <a:solidFill>
                <a:schemeClr val="bg1"/>
              </a:solidFill>
            </a:ln>
            <a:effectLst/>
          </c:spPr>
          <c:invertIfNegative val="0"/>
          <c:dLbls>
            <c:delete val="1"/>
          </c:dLbls>
          <c:cat>
            <c:strRef>
              <c:f>[饼状图、柱状图.xlsx]Sheet1!$A$29:$A$32</c:f>
              <c:strCache>
                <c:ptCount val="4"/>
                <c:pt idx="0">
                  <c:v>2021年财政拨款收入</c:v>
                </c:pt>
                <c:pt idx="1">
                  <c:v>2020年财政拨款收入</c:v>
                </c:pt>
                <c:pt idx="2">
                  <c:v>2021年财政拨款支出</c:v>
                </c:pt>
                <c:pt idx="3">
                  <c:v>2020年财政拨款支出</c:v>
                </c:pt>
              </c:strCache>
            </c:strRef>
          </c:cat>
          <c:val>
            <c:numRef>
              <c:f>[饼状图、柱状图.xlsx]Sheet1!$B$29:$B$32</c:f>
              <c:numCache>
                <c:formatCode>General</c:formatCode>
                <c:ptCount val="4"/>
                <c:pt idx="0">
                  <c:v>228.32</c:v>
                </c:pt>
                <c:pt idx="1">
                  <c:v>234.91</c:v>
                </c:pt>
                <c:pt idx="2">
                  <c:v>228.32</c:v>
                </c:pt>
                <c:pt idx="3">
                  <c:v>234.91</c:v>
                </c:pt>
              </c:numCache>
            </c:numRef>
          </c:val>
        </c:ser>
        <c:dLbls>
          <c:showLegendKey val="0"/>
          <c:showVal val="1"/>
          <c:showCatName val="0"/>
          <c:showSerName val="0"/>
          <c:showPercent val="0"/>
          <c:showBubbleSize val="0"/>
        </c:dLbls>
        <c:gapWidth val="95"/>
        <c:overlap val="100"/>
        <c:axId val="84662912"/>
        <c:axId val="84676992"/>
      </c:barChart>
      <c:catAx>
        <c:axId val="84662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84676992"/>
        <c:crosses val="autoZero"/>
        <c:auto val="1"/>
        <c:lblAlgn val="ctr"/>
        <c:lblOffset val="100"/>
        <c:noMultiLvlLbl val="0"/>
      </c:catAx>
      <c:valAx>
        <c:axId val="84676992"/>
        <c:scaling>
          <c:orientation val="minMax"/>
        </c:scaling>
        <c:delete val="0"/>
        <c:axPos val="l"/>
        <c:majorGridlines>
          <c:spPr>
            <a:ln w="9525" cap="flat" cmpd="sng" algn="ctr">
              <a:solidFill>
                <a:sysClr val="windowText" lastClr="000000">
                  <a:lumMod val="25000"/>
                  <a:lumOff val="75000"/>
                  <a:alpha val="30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846629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c:rich>
      </c:tx>
      <c:layout>
        <c:manualLayout>
          <c:xMode val="edge"/>
          <c:yMode val="edge"/>
          <c:x val="0.139444444444444"/>
          <c:y val="0.0361111111111111"/>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2021年一般公共预算财政拨款支出</c:v>
                </c:pt>
                <c:pt idx="1">
                  <c:v>2020年一般公共预算财政拨款支出</c:v>
                </c:pt>
              </c:strCache>
            </c:strRef>
          </c:cat>
          <c:val>
            <c:numRef>
              <c:f>[饼状图、柱状图.xlsx]Sheet1!$R$7:$R$8</c:f>
              <c:numCache>
                <c:formatCode>General</c:formatCode>
                <c:ptCount val="2"/>
                <c:pt idx="0">
                  <c:v>228.32</c:v>
                </c:pt>
                <c:pt idx="1">
                  <c:v>233.91</c:v>
                </c:pt>
              </c:numCache>
            </c:numRef>
          </c:val>
        </c:ser>
        <c:dLbls>
          <c:showLegendKey val="0"/>
          <c:showVal val="1"/>
          <c:showCatName val="0"/>
          <c:showSerName val="0"/>
          <c:showPercent val="0"/>
          <c:showBubbleSize val="0"/>
        </c:dLbls>
        <c:gapWidth val="150"/>
        <c:overlap val="100"/>
        <c:axId val="84699008"/>
        <c:axId val="84700544"/>
      </c:barChart>
      <c:catAx>
        <c:axId val="8469900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700544"/>
        <c:crosses val="autoZero"/>
        <c:auto val="1"/>
        <c:lblAlgn val="ctr"/>
        <c:lblOffset val="100"/>
        <c:noMultiLvlLbl val="0"/>
      </c:catAx>
      <c:valAx>
        <c:axId val="8470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699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altLang="en-US"/>
              <a:t>一般公共预算财政拨款支出决算图</a:t>
            </a:r>
            <a:endParaRPr lang="en-US" altLang="zh-CN"/>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社会保障和就业支出</c:v>
                </c:pt>
                <c:pt idx="1">
                  <c:v>卫生健康支出</c:v>
                </c:pt>
                <c:pt idx="2">
                  <c:v>城乡社区支出</c:v>
                </c:pt>
                <c:pt idx="3">
                  <c:v>住房保障支出</c:v>
                </c:pt>
              </c:strCache>
            </c:strRef>
          </c:cat>
          <c:val>
            <c:numRef>
              <c:f>[饼状图、柱状图.xlsx]Sheet1!$B$8:$B$14</c:f>
              <c:numCache>
                <c:formatCode>General</c:formatCode>
                <c:ptCount val="7"/>
                <c:pt idx="0">
                  <c:v>21.28</c:v>
                </c:pt>
                <c:pt idx="1">
                  <c:v>14.11</c:v>
                </c:pt>
                <c:pt idx="2">
                  <c:v>172.6</c:v>
                </c:pt>
                <c:pt idx="3">
                  <c:v>20.33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4"/>
        <c:delete val="1"/>
      </c:legendEntry>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5152</Words>
  <Characters>5599</Characters>
  <Lines>5</Lines>
  <Paragraphs>11</Paragraphs>
  <TotalTime>5</TotalTime>
  <ScaleCrop>false</ScaleCrop>
  <LinksUpToDate>false</LinksUpToDate>
  <CharactersWithSpaces>5640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^凜^</cp:lastModifiedBy>
  <cp:lastPrinted>2020-07-23T02:58:00Z</cp:lastPrinted>
  <dcterms:modified xsi:type="dcterms:W3CDTF">2023-07-21T00:27:28Z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F9B23CEDFD1242CEA53E7E7D93A9267A</vt:lpwstr>
  </property>
  <property fmtid="{D5CDD505-2E9C-101B-9397-08002B2CF9AE}" pid="4" name="KSOSaveFontToCloudKey">
    <vt:lpwstr>698206724_btnclosed</vt:lpwstr>
  </property>
</Properties>
</file>