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425"/>
      <w:bookmarkStart w:id="3" w:name="_Toc15396597"/>
      <w:bookmarkStart w:id="4" w:name="_Toc15377193"/>
      <w:bookmarkStart w:id="5" w:name="_Toc1539647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598"/>
      <w:bookmarkStart w:id="8" w:name="_Toc15377426"/>
      <w:bookmarkStart w:id="9" w:name="_Toc15378442"/>
      <w:bookmarkStart w:id="10" w:name="_Toc1539647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攀枝花市西区农业农村和交通运输局(本级)</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hint="eastAsia" w:ascii="仿宋_GB2312" w:hAnsi="仿宋_GB2312" w:eastAsia="仿宋_GB2312" w:cs="仿宋_GB2312"/>
          <w:sz w:val="32"/>
          <w:szCs w:val="32"/>
        </w:rPr>
      </w:pPr>
      <w:r>
        <w:rPr>
          <w:rFonts w:ascii="方正小标宋简体" w:hAnsi="宋体" w:eastAsia="方正小标宋简体"/>
          <w:sz w:val="36"/>
          <w:szCs w:val="36"/>
        </w:rPr>
        <w:br w:type="page"/>
      </w:r>
      <w:bookmarkStart w:id="67" w:name="_GoBack"/>
      <w:r>
        <w:rPr>
          <w:rFonts w:hint="eastAsia" w:ascii="仿宋_GB2312" w:hAnsi="仿宋_GB2312" w:eastAsia="仿宋_GB2312" w:cs="仿宋_GB2312"/>
          <w:sz w:val="32"/>
          <w:szCs w:val="32"/>
        </w:rPr>
        <w:t>目录</w:t>
      </w:r>
    </w:p>
    <w:p>
      <w:pPr>
        <w:widowControl/>
        <w:jc w:val="center"/>
        <w:rPr>
          <w:rFonts w:hint="eastAsia" w:ascii="仿宋_GB2312" w:hAnsi="仿宋_GB2312" w:eastAsia="仿宋_GB2312" w:cs="仿宋_GB2312"/>
          <w:sz w:val="32"/>
          <w:szCs w:val="32"/>
        </w:rPr>
      </w:pPr>
    </w:p>
    <w:p>
      <w:pPr>
        <w:pStyle w:val="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公开时间：2022年10月9日</w:t>
      </w:r>
    </w:p>
    <w:p>
      <w:pPr>
        <w:rPr>
          <w:rFonts w:hint="eastAsia" w:ascii="仿宋_GB2312" w:hAnsi="仿宋_GB2312" w:eastAsia="仿宋_GB2312" w:cs="仿宋_GB2312"/>
          <w:sz w:val="32"/>
          <w:szCs w:val="32"/>
        </w:rPr>
      </w:pPr>
    </w:p>
    <w:p>
      <w:pPr>
        <w:pStyle w:val="11"/>
        <w:adjustRightInd w:val="0"/>
        <w:snapToGrid w:val="0"/>
        <w:spacing w:before="0"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第一部分单位概况</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一、职能简介…………………………………………………………………4-7</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二、2021年重点工作完成情况………………………………………………7-14</w:t>
      </w:r>
    </w:p>
    <w:p>
      <w:pPr>
        <w:pStyle w:val="11"/>
        <w:adjustRightInd w:val="0"/>
        <w:snapToGrid w:val="0"/>
        <w:spacing w:before="0"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2021年度单位决算情况说明</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一、收入支出决算总体情况说明……………………………………………14</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二、收入决算情况说明………………………………………………………14-15</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三、支出决算情况说明……………………………………………………15</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四、财政拨款收入支出决算总体情况说明…………………………………15-16</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五、一般公共预算财政拨款支出决算情况说明……………………………16-18</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六、一般公共预算财政拨款基本支出决算情况说明………………………18-19</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七、“三公”经费财政拨款支出决算情况说明………………………………19-21</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八、政府性基金预算支出决算情况说明…………………………………21</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九、国有资本经营预算支出决算情况说明…………………………………21</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十、其他重要事项的情况说明………………………………………………21-22</w:t>
      </w:r>
    </w:p>
    <w:p>
      <w:pPr>
        <w:pStyle w:val="11"/>
        <w:adjustRightInd w:val="0"/>
        <w:snapToGrid w:val="0"/>
        <w:spacing w:before="0"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第三部分名词解释</w:t>
      </w:r>
    </w:p>
    <w:p>
      <w:pPr>
        <w:pStyle w:val="11"/>
        <w:adjustRightInd w:val="0"/>
        <w:snapToGrid w:val="0"/>
        <w:spacing w:before="0"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第四部分附件</w:t>
      </w:r>
    </w:p>
    <w:p>
      <w:pPr>
        <w:pStyle w:val="11"/>
        <w:adjustRightInd w:val="0"/>
        <w:snapToGrid w:val="0"/>
        <w:spacing w:before="0"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第五部分附表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十二、政府性基金预算财政拨款“三公”经费支出决算表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十三、国有资本经营预算财政拨款收入支出决算表</w:t>
      </w:r>
    </w:p>
    <w:p>
      <w:pPr>
        <w:pStyle w:val="12"/>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十四、国有资本经营预算财政拨款支出决算表</w:t>
      </w:r>
    </w:p>
    <w:bookmarkEnd w:id="67"/>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6"/>
          <w:rFonts w:ascii="黑体" w:hAnsi="黑体" w:eastAsia="黑体"/>
          <w:b w:val="0"/>
          <w:bCs w:val="0"/>
        </w:rPr>
      </w:pPr>
      <w:bookmarkStart w:id="14" w:name="_Toc15396600"/>
      <w:bookmarkStart w:id="15" w:name="_Toc15377197"/>
      <w:r>
        <w:rPr>
          <w:rStyle w:val="26"/>
          <w:rFonts w:hint="eastAsia" w:ascii="黑体" w:hAnsi="黑体" w:eastAsia="黑体"/>
          <w:b w:val="0"/>
          <w:bCs w:val="0"/>
        </w:rPr>
        <w:t>职能简介</w:t>
      </w:r>
    </w:p>
    <w:p>
      <w:pPr>
        <w:pStyle w:val="24"/>
        <w:spacing w:line="560" w:lineRule="exact"/>
        <w:ind w:left="660" w:firstLine="0" w:firstLineChars="0"/>
        <w:rPr>
          <w:rFonts w:ascii="仿宋_GB2312" w:hAnsi="仿宋" w:eastAsia="仿宋_GB2312"/>
          <w:spacing w:val="-4"/>
          <w:sz w:val="32"/>
          <w:szCs w:val="32"/>
        </w:rPr>
      </w:pPr>
      <w:r>
        <w:rPr>
          <w:rFonts w:hint="eastAsia" w:ascii="仿宋_GB2312" w:hAnsi="仿宋" w:eastAsia="仿宋_GB2312"/>
          <w:spacing w:val="-4"/>
          <w:sz w:val="32"/>
          <w:szCs w:val="32"/>
        </w:rPr>
        <w:t xml:space="preserve">（1）贯彻执行国家有关种植业、畜牧业、渔业、农业机械化、农垦等农业领域工作的法律、法规、政策以及区委、区政府关于“三农”方面的决策部署，组织拟订全区“三农”有关政策。    </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（2）统筹实施乡村振兴战略，牵头组织改善全区农村人居环境。</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（3）负责农民承包地管理和改革有关工作。负责农村集体产权制度改革。</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（4）指导全区乡村特色产业、农产品加工业（产地初加工）、休闲农业和乡村企业发展工作。负责农业信息体系建设，推动数字农业发展。</w:t>
      </w:r>
    </w:p>
    <w:p>
      <w:pPr>
        <w:spacing w:line="560" w:lineRule="exact"/>
        <w:ind w:left="143" w:leftChars="68" w:firstLine="468" w:firstLineChars="150"/>
        <w:rPr>
          <w:rFonts w:ascii="仿宋_GB2312" w:hAnsi="仿宋" w:eastAsia="仿宋_GB2312"/>
          <w:spacing w:val="-4"/>
          <w:sz w:val="32"/>
          <w:szCs w:val="32"/>
        </w:rPr>
      </w:pPr>
      <w:r>
        <w:rPr>
          <w:rFonts w:hint="eastAsia" w:ascii="仿宋_GB2312" w:hAnsi="仿宋" w:eastAsia="仿宋_GB2312"/>
          <w:spacing w:val="-4"/>
          <w:sz w:val="32"/>
          <w:szCs w:val="32"/>
        </w:rPr>
        <w:t>（5）负责全区种植业、畜牧业（草原牧业）、渔业、农垦、农业机械化等农业各产业的监督管理。</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（6）负责制定全区农业全产业机械化、智能化、数字化发展规划并组织实施。指导设施农业、农机库棚、机电提灌、机耕道等基础设施建设。</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(7)负责全区农产品质量安全监督管理。依法组织实施符合安全标准的农产品生产基地认定、产品认证、农产品地理标志登记保护和监督管理。</w:t>
      </w:r>
    </w:p>
    <w:p>
      <w:pPr>
        <w:spacing w:line="560" w:lineRule="exact"/>
        <w:ind w:left="143" w:leftChars="68"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(8)组织开展全区农业资源区划和资源保护工作。</w:t>
      </w:r>
    </w:p>
    <w:p>
      <w:pPr>
        <w:pStyle w:val="24"/>
        <w:spacing w:line="560" w:lineRule="exact"/>
        <w:ind w:left="802" w:firstLine="0" w:firstLineChars="0"/>
        <w:rPr>
          <w:rFonts w:ascii="仿宋_GB2312" w:hAnsi="仿宋" w:eastAsia="仿宋_GB2312"/>
          <w:spacing w:val="-4"/>
          <w:sz w:val="32"/>
          <w:szCs w:val="32"/>
        </w:rPr>
      </w:pPr>
      <w:r>
        <w:rPr>
          <w:rFonts w:hint="eastAsia" w:ascii="仿宋_GB2312" w:hAnsi="仿宋" w:eastAsia="仿宋_GB2312"/>
          <w:spacing w:val="-4"/>
          <w:sz w:val="32"/>
          <w:szCs w:val="32"/>
        </w:rPr>
        <w:t>(9)负责全区有关农业生产资料和农业投入品的监督管理。组织兽医医政、兽药（鱼药）药政药检工作，负责执业兽医和兽禽屠宰行业管理。</w:t>
      </w:r>
    </w:p>
    <w:p>
      <w:pPr>
        <w:pStyle w:val="24"/>
        <w:spacing w:line="560" w:lineRule="exact"/>
        <w:ind w:left="802" w:firstLine="0" w:firstLineChars="0"/>
        <w:rPr>
          <w:rFonts w:ascii="仿宋_GB2312" w:hAnsi="仿宋" w:eastAsia="仿宋_GB2312"/>
          <w:spacing w:val="-4"/>
          <w:sz w:val="32"/>
          <w:szCs w:val="32"/>
        </w:rPr>
      </w:pPr>
      <w:r>
        <w:rPr>
          <w:rFonts w:hint="eastAsia" w:ascii="仿宋_GB2312" w:hAnsi="仿宋" w:eastAsia="仿宋_GB2312"/>
          <w:spacing w:val="-4"/>
          <w:sz w:val="32"/>
          <w:szCs w:val="32"/>
        </w:rPr>
        <w:t>(10)负责全区农业防灾减灾、农作物重大病虫害防治工作。指导动植物防疫检疫体系建设，组织监督管理全区动植物防疫检疫工作，发布疫情并组织扑灭。组织植物检疫性有害生物普查。</w:t>
      </w:r>
    </w:p>
    <w:p>
      <w:pPr>
        <w:spacing w:line="560" w:lineRule="exact"/>
        <w:ind w:left="143" w:leftChars="68"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(11)负责全区农业投资管理。按规定权限审批农业投资项目，负责农业投资项目资金安排和监督管理。负责农业综合开发项目工作。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（12）负责全区农田建设管理、高标准农田建设和耕地质量管理。</w:t>
      </w:r>
    </w:p>
    <w:p>
      <w:pPr>
        <w:pStyle w:val="24"/>
        <w:spacing w:line="560" w:lineRule="exact"/>
        <w:ind w:firstLine="624"/>
        <w:rPr>
          <w:rFonts w:ascii="仿宋_GB2312" w:hAnsi="仿宋" w:eastAsia="仿宋_GB2312"/>
          <w:spacing w:val="-4"/>
          <w:sz w:val="32"/>
          <w:szCs w:val="32"/>
        </w:rPr>
      </w:pPr>
      <w:r>
        <w:rPr>
          <w:rFonts w:hint="eastAsia" w:ascii="仿宋_GB2312" w:hAnsi="仿宋" w:eastAsia="仿宋_GB2312"/>
          <w:spacing w:val="-4"/>
          <w:sz w:val="32"/>
          <w:szCs w:val="32"/>
        </w:rPr>
        <w:t>（13）拟订全区农业科研、农技推广的规划、计划和有关政策并组织实施，牵头推动农业科技体制改革和农业科技创新体系建设。指导农业产业技术体系和农技推广体系建设，组织农作物、家禽、水产养殖等新品种育种公关和农业先进技术引进、实验、转化、示范、推广。</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spacing w:val="-4"/>
          <w:sz w:val="32"/>
          <w:szCs w:val="32"/>
        </w:rPr>
        <w:t>（14）指导全区农业农村人才工作。拟订农业农村人才队伍建设规划并组织实施，指导农业教育和农业职业技能开发，指导新型职业农民培育、农业科技人才培养和农村实用人才培训工作。</w:t>
      </w:r>
    </w:p>
    <w:p>
      <w:pPr>
        <w:spacing w:line="560" w:lineRule="exact"/>
        <w:ind w:left="143" w:leftChars="68" w:firstLine="312" w:firstLineChars="100"/>
        <w:rPr>
          <w:rFonts w:ascii="仿宋_GB2312" w:hAnsi="仿宋" w:eastAsia="仿宋_GB2312"/>
          <w:spacing w:val="-4"/>
          <w:sz w:val="32"/>
          <w:szCs w:val="32"/>
        </w:rPr>
      </w:pPr>
      <w:r>
        <w:rPr>
          <w:rFonts w:hint="eastAsia" w:ascii="仿宋_GB2312" w:hAnsi="仿宋" w:eastAsia="仿宋_GB2312"/>
          <w:spacing w:val="-4"/>
          <w:sz w:val="32"/>
          <w:szCs w:val="32"/>
        </w:rPr>
        <w:t>（15）牵头开展全区农业对外合作工作。组织开展农业贸易促进和交流合作。</w:t>
      </w:r>
    </w:p>
    <w:p>
      <w:pPr>
        <w:pStyle w:val="24"/>
        <w:spacing w:line="560" w:lineRule="exact"/>
        <w:ind w:left="802" w:firstLine="0" w:firstLineChars="0"/>
        <w:rPr>
          <w:rFonts w:ascii="仿宋_GB2312" w:hAnsi="仿宋" w:eastAsia="仿宋_GB2312"/>
          <w:spacing w:val="-4"/>
          <w:sz w:val="32"/>
          <w:szCs w:val="32"/>
        </w:rPr>
      </w:pPr>
      <w:r>
        <w:rPr>
          <w:rFonts w:hint="eastAsia" w:ascii="仿宋_GB2312" w:hAnsi="仿宋" w:eastAsia="仿宋_GB2312"/>
          <w:spacing w:val="-4"/>
          <w:sz w:val="32"/>
          <w:szCs w:val="32"/>
        </w:rPr>
        <w:t>（16）负责全区农业领域行政执法工作。负责区本级涉农违法案件的办理。推进农业依法行政。</w:t>
      </w:r>
    </w:p>
    <w:p>
      <w:pPr>
        <w:pStyle w:val="24"/>
        <w:spacing w:line="560" w:lineRule="exact"/>
        <w:ind w:left="802" w:firstLine="0" w:firstLineChars="0"/>
        <w:rPr>
          <w:rFonts w:ascii="仿宋_GB2312" w:hAnsi="仿宋" w:eastAsia="仿宋_GB2312"/>
          <w:spacing w:val="-4"/>
          <w:sz w:val="32"/>
          <w:szCs w:val="32"/>
        </w:rPr>
      </w:pPr>
      <w:r>
        <w:rPr>
          <w:rFonts w:hint="eastAsia" w:ascii="仿宋_GB2312" w:hAnsi="仿宋" w:eastAsia="仿宋_GB2312"/>
          <w:spacing w:val="-4"/>
          <w:sz w:val="32"/>
          <w:szCs w:val="32"/>
        </w:rPr>
        <w:t>（17）依法依规负责农业安全生产和职业健康监督管理工作。</w:t>
      </w:r>
    </w:p>
    <w:p>
      <w:pPr>
        <w:pStyle w:val="24"/>
        <w:spacing w:line="560" w:lineRule="exact"/>
        <w:ind w:left="802" w:firstLine="0" w:firstLineChars="0"/>
        <w:rPr>
          <w:rFonts w:ascii="仿宋_GB2312" w:hAnsi="仿宋" w:eastAsia="仿宋_GB2312"/>
          <w:spacing w:val="-4"/>
          <w:sz w:val="32"/>
          <w:szCs w:val="32"/>
        </w:rPr>
      </w:pPr>
      <w:r>
        <w:rPr>
          <w:rFonts w:hint="eastAsia" w:ascii="仿宋_GB2312" w:hAnsi="仿宋" w:eastAsia="仿宋_GB2312"/>
          <w:spacing w:val="-4"/>
          <w:sz w:val="32"/>
          <w:szCs w:val="32"/>
        </w:rPr>
        <w:t>（18）组织拟订并监督实施公路、水路等行业发展战略、政策，会同有关部门组织编制综合运输体系规划。</w:t>
      </w:r>
    </w:p>
    <w:p>
      <w:pPr>
        <w:pStyle w:val="24"/>
        <w:spacing w:line="560" w:lineRule="exact"/>
        <w:ind w:left="802" w:firstLine="0" w:firstLineChars="0"/>
        <w:rPr>
          <w:rFonts w:ascii="仿宋_GB2312" w:hAnsi="仿宋" w:eastAsia="仿宋_GB2312"/>
          <w:spacing w:val="-4"/>
          <w:sz w:val="32"/>
          <w:szCs w:val="32"/>
        </w:rPr>
      </w:pPr>
      <w:r>
        <w:rPr>
          <w:rFonts w:hint="eastAsia" w:ascii="仿宋_GB2312" w:hAnsi="仿宋" w:eastAsia="仿宋_GB2312"/>
          <w:spacing w:val="-4"/>
          <w:sz w:val="32"/>
          <w:szCs w:val="32"/>
        </w:rPr>
        <w:t>（19）负责本系统、本部门依法行政工作；指导公路、水路行业有关体制改革和机制转换工作；参与拟订物流业发展战略和规划。</w:t>
      </w:r>
    </w:p>
    <w:p>
      <w:pPr>
        <w:pStyle w:val="24"/>
        <w:spacing w:line="560" w:lineRule="exact"/>
        <w:ind w:left="802" w:firstLine="0" w:firstLineChars="0"/>
        <w:rPr>
          <w:rFonts w:ascii="仿宋_GB2312" w:hAnsi="仿宋" w:eastAsia="仿宋_GB2312"/>
          <w:spacing w:val="-4"/>
          <w:sz w:val="32"/>
          <w:szCs w:val="32"/>
        </w:rPr>
      </w:pPr>
      <w:r>
        <w:rPr>
          <w:rFonts w:hint="eastAsia" w:ascii="仿宋_GB2312" w:hAnsi="仿宋" w:eastAsia="仿宋_GB2312"/>
          <w:spacing w:val="-4"/>
          <w:sz w:val="32"/>
          <w:szCs w:val="32"/>
        </w:rPr>
        <w:t>（20）指导城乡客运管理工作，指导出租车行业管理工作；会同有关部门制定运输价格。</w:t>
      </w:r>
    </w:p>
    <w:p>
      <w:pPr>
        <w:pStyle w:val="24"/>
        <w:spacing w:line="560" w:lineRule="exact"/>
        <w:ind w:left="802" w:firstLine="0" w:firstLineChars="0"/>
        <w:rPr>
          <w:rFonts w:ascii="仿宋_GB2312" w:hAnsi="仿宋" w:eastAsia="仿宋_GB2312"/>
          <w:spacing w:val="-4"/>
          <w:sz w:val="32"/>
          <w:szCs w:val="32"/>
        </w:rPr>
      </w:pPr>
      <w:r>
        <w:rPr>
          <w:rFonts w:hint="eastAsia" w:ascii="仿宋_GB2312" w:hAnsi="仿宋" w:eastAsia="仿宋_GB2312"/>
          <w:spacing w:val="-4"/>
          <w:sz w:val="32"/>
          <w:szCs w:val="32"/>
        </w:rPr>
        <w:t>（21）承担水上交通安全监管责任。配合协调水上交通管制、运输船舶及相关水上设施检验、登记和防治污染、救助打捞、通讯导航、危险品运输工作；指导水上交通安全事故、船舶及相关水上设施污染事故的应急处置，参与事故调查处理工作。</w:t>
      </w:r>
    </w:p>
    <w:p>
      <w:pPr>
        <w:pStyle w:val="24"/>
        <w:spacing w:line="560" w:lineRule="exact"/>
        <w:ind w:left="802" w:firstLine="0" w:firstLineChars="0"/>
        <w:rPr>
          <w:rFonts w:ascii="仿宋_GB2312" w:hAnsi="仿宋" w:eastAsia="仿宋_GB2312"/>
          <w:spacing w:val="-4"/>
          <w:sz w:val="32"/>
          <w:szCs w:val="32"/>
        </w:rPr>
      </w:pPr>
      <w:r>
        <w:rPr>
          <w:rFonts w:hint="eastAsia" w:ascii="仿宋_GB2312" w:hAnsi="仿宋" w:eastAsia="仿宋_GB2312"/>
          <w:spacing w:val="-4"/>
          <w:sz w:val="32"/>
          <w:szCs w:val="32"/>
        </w:rPr>
        <w:t>（22）负责提出公路、水路固定资产投资规模、方向和区财政资金安排建议，按照程序报批国家、省、市、区规划内和年度计划规模内固定资产投资项目。</w:t>
      </w:r>
    </w:p>
    <w:p>
      <w:pPr>
        <w:pStyle w:val="24"/>
        <w:spacing w:line="560" w:lineRule="exact"/>
        <w:ind w:left="802" w:firstLine="0" w:firstLineChars="0"/>
        <w:rPr>
          <w:rFonts w:ascii="仿宋_GB2312" w:hAnsi="仿宋" w:eastAsia="仿宋_GB2312"/>
          <w:spacing w:val="-4"/>
          <w:sz w:val="32"/>
          <w:szCs w:val="32"/>
        </w:rPr>
      </w:pPr>
      <w:r>
        <w:rPr>
          <w:rFonts w:hint="eastAsia" w:ascii="仿宋_GB2312" w:hAnsi="仿宋" w:eastAsia="仿宋_GB2312"/>
          <w:spacing w:val="-4"/>
          <w:sz w:val="32"/>
          <w:szCs w:val="32"/>
        </w:rPr>
        <w:t>（23）承担公路、水路建设市场监管责任。组织协调公路、水路有关重点工程建设，负责工程质量、安全生产监督管理工作；负责对交通行业和产业项目的招投标活动进行监督、指导；指导交通运输基础设施管理和维护，承担有关重要设施的管理和维护。</w:t>
      </w:r>
    </w:p>
    <w:p>
      <w:pPr>
        <w:pStyle w:val="24"/>
        <w:spacing w:line="560" w:lineRule="exact"/>
        <w:ind w:left="802" w:firstLine="0" w:firstLineChars="0"/>
        <w:rPr>
          <w:rFonts w:ascii="仿宋_GB2312" w:hAnsi="仿宋" w:eastAsia="仿宋_GB2312"/>
          <w:spacing w:val="-4"/>
          <w:sz w:val="32"/>
          <w:szCs w:val="32"/>
        </w:rPr>
      </w:pPr>
      <w:r>
        <w:rPr>
          <w:rFonts w:hint="eastAsia" w:ascii="仿宋_GB2312" w:hAnsi="仿宋" w:eastAsia="仿宋_GB2312"/>
          <w:spacing w:val="-4"/>
          <w:sz w:val="32"/>
          <w:szCs w:val="32"/>
        </w:rPr>
        <w:t>（24）指导农村公路养管理、交通工程建设、农村客运、水上交通灯方面安全生产和应急管理工作。负责全区干线路网运行监测和协调；组织协调地方交通战备工作，承担国防动员有关工作。</w:t>
      </w:r>
    </w:p>
    <w:p>
      <w:pPr>
        <w:pStyle w:val="24"/>
        <w:spacing w:line="560" w:lineRule="exact"/>
        <w:ind w:left="802" w:firstLine="0" w:firstLineChars="0"/>
        <w:rPr>
          <w:rFonts w:ascii="仿宋_GB2312" w:hAnsi="仿宋" w:eastAsia="仿宋_GB2312"/>
          <w:spacing w:val="-4"/>
          <w:sz w:val="32"/>
          <w:szCs w:val="32"/>
        </w:rPr>
      </w:pPr>
      <w:r>
        <w:rPr>
          <w:rFonts w:hint="eastAsia" w:ascii="仿宋_GB2312" w:hAnsi="仿宋" w:eastAsia="仿宋_GB2312"/>
          <w:spacing w:val="-4"/>
          <w:sz w:val="32"/>
          <w:szCs w:val="32"/>
        </w:rPr>
        <w:t>（25）承担交通运输科技项目开发和研究的组织实施工作，负责交通运输科研成果的推广、应用工作。指导全区交通运输信息化建设，监测分析运行情况，开展相关统计工作，发布有关信息。</w:t>
      </w:r>
    </w:p>
    <w:p>
      <w:pPr>
        <w:pStyle w:val="24"/>
        <w:spacing w:line="560" w:lineRule="exact"/>
        <w:ind w:left="802" w:firstLine="0" w:firstLineChars="0"/>
        <w:rPr>
          <w:rFonts w:ascii="仿宋_GB2312" w:hAnsi="仿宋" w:eastAsia="仿宋_GB2312"/>
          <w:spacing w:val="-4"/>
          <w:sz w:val="32"/>
          <w:szCs w:val="32"/>
        </w:rPr>
      </w:pPr>
      <w:r>
        <w:rPr>
          <w:rFonts w:hint="eastAsia" w:ascii="仿宋_GB2312" w:hAnsi="仿宋" w:eastAsia="仿宋_GB2312"/>
          <w:spacing w:val="-4"/>
          <w:sz w:val="32"/>
          <w:szCs w:val="32"/>
        </w:rPr>
        <w:t>（26）负责职责范围内的安全生产、职业健康、生态环境保护、审批服务便民化等工作。</w:t>
      </w:r>
    </w:p>
    <w:p>
      <w:pPr>
        <w:pStyle w:val="24"/>
        <w:spacing w:line="560" w:lineRule="exact"/>
        <w:ind w:left="802" w:firstLine="0" w:firstLineChars="0"/>
        <w:rPr>
          <w:rFonts w:ascii="仿宋_GB2312" w:hAnsi="仿宋" w:eastAsia="仿宋_GB2312"/>
          <w:spacing w:val="-4"/>
          <w:sz w:val="32"/>
          <w:szCs w:val="32"/>
        </w:rPr>
      </w:pPr>
      <w:r>
        <w:rPr>
          <w:rFonts w:hint="eastAsia" w:ascii="仿宋_GB2312" w:hAnsi="仿宋" w:eastAsia="仿宋_GB2312"/>
          <w:spacing w:val="-4"/>
          <w:sz w:val="32"/>
          <w:szCs w:val="32"/>
        </w:rPr>
        <w:t>（27）完成区委、区政府交办的其他任务。</w:t>
      </w:r>
    </w:p>
    <w:p>
      <w:pPr>
        <w:pStyle w:val="4"/>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pPr>
        <w:spacing w:line="540" w:lineRule="exact"/>
        <w:ind w:firstLine="663" w:firstLineChars="200"/>
        <w:rPr>
          <w:rStyle w:val="31"/>
          <w:rFonts w:eastAsia="方正仿宋_GBK"/>
          <w:kern w:val="0"/>
          <w:sz w:val="33"/>
          <w:szCs w:val="33"/>
        </w:rPr>
      </w:pPr>
      <w:r>
        <w:rPr>
          <w:rStyle w:val="31"/>
          <w:rFonts w:hint="eastAsia" w:eastAsia="方正仿宋_GBK"/>
          <w:b/>
          <w:sz w:val="33"/>
          <w:szCs w:val="33"/>
        </w:rPr>
        <w:t>1.</w:t>
      </w:r>
      <w:r>
        <w:rPr>
          <w:rStyle w:val="31"/>
          <w:rFonts w:eastAsia="方正仿宋_GBK"/>
          <w:b/>
          <w:sz w:val="33"/>
          <w:szCs w:val="33"/>
        </w:rPr>
        <w:t>完成农业增加值指标。</w:t>
      </w:r>
      <w:r>
        <w:rPr>
          <w:rStyle w:val="31"/>
          <w:rFonts w:eastAsia="方正仿宋_GBK"/>
          <w:kern w:val="0"/>
          <w:sz w:val="33"/>
          <w:szCs w:val="33"/>
        </w:rPr>
        <w:t>前三季度，西区完成农林牧渔业总产值27955万元，同比增长8.5%，预计全年完成农林牧渔业总产值49510万元；农林牧渔业增加值17260万元，同比增长7.1%，预计全年完成农林牧渔业增加值28756万元，同比增长7.0%以上，能够较好地完成全年任务；完成粮食生产2157吨（其中小春7吨、大春约2150吨），完成全年粮食生产任务；出栏生猪11507头，同比增加24.39%，存栏  10322头，同比增加30.5%，出栏家禽17.76万只，同比增加4.3%。</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2.</w:t>
      </w:r>
      <w:r>
        <w:rPr>
          <w:rStyle w:val="31"/>
          <w:rFonts w:ascii="Times New Roman" w:hAnsi="Times New Roman" w:eastAsia="方正仿宋_GBK"/>
          <w:b/>
          <w:sz w:val="33"/>
          <w:szCs w:val="33"/>
        </w:rPr>
        <w:t>开展农业技术攀培训工作。</w:t>
      </w:r>
      <w:r>
        <w:rPr>
          <w:rStyle w:val="31"/>
          <w:rFonts w:ascii="Times New Roman" w:hAnsi="Times New Roman" w:eastAsia="方正仿宋_GBK"/>
          <w:sz w:val="33"/>
          <w:szCs w:val="33"/>
        </w:rPr>
        <w:t>重点围绕农产品质量安全、标准化生产、病虫害综合防治、畜禽养殖等组织多种形式的农民培训。一是以提高村民芒果种植技术为目标，在庄上、经堂、滥坝等芒果种植集中地区，邀请专家深入田间地头开展芒果种植管理技术培训3期，培训村民150余人次。二是开展农药化肥减量培训1次，培训新型农业经营主体30人次。三是开展红火蚁防治培训2次，培训村民54人次.四是开展高素质农民培训，今年共计培训52名，其中农业经理人6人，高素质农46人。</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3.</w:t>
      </w:r>
      <w:r>
        <w:rPr>
          <w:rStyle w:val="31"/>
          <w:rFonts w:ascii="Times New Roman" w:hAnsi="Times New Roman" w:eastAsia="方正仿宋_GBK"/>
          <w:b/>
          <w:sz w:val="33"/>
          <w:szCs w:val="33"/>
        </w:rPr>
        <w:t>强农惠农政策全面落实。</w:t>
      </w:r>
      <w:r>
        <w:rPr>
          <w:rStyle w:val="31"/>
          <w:rFonts w:ascii="Times New Roman" w:hAnsi="Times New Roman" w:eastAsia="方正仿宋_GBK"/>
          <w:sz w:val="33"/>
          <w:szCs w:val="33"/>
        </w:rPr>
        <w:t>一是落实耕地地力保护补贴，全年及时发放支持耕地地力保护补贴127万元。惠及3315户。二是兑现稻谷补贴4230元元，涉及101户。三是兑现一次性种粮补贴7.6万元，涉及农户1771户，四是继续开展政策性保险和特色农业保险，开展了 2150亩政策性芒果价格保险和芒果特色农业保险，3500亩玉米保险。</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4.</w:t>
      </w:r>
      <w:r>
        <w:rPr>
          <w:rStyle w:val="31"/>
          <w:rFonts w:ascii="Times New Roman" w:hAnsi="Times New Roman" w:eastAsia="方正仿宋_GBK"/>
          <w:b/>
          <w:sz w:val="33"/>
          <w:szCs w:val="33"/>
        </w:rPr>
        <w:t>积极开展新冠肺炎防疫工作。</w:t>
      </w:r>
      <w:r>
        <w:rPr>
          <w:rStyle w:val="31"/>
          <w:rFonts w:ascii="Times New Roman" w:hAnsi="Times New Roman" w:eastAsia="方正仿宋_GBK"/>
          <w:sz w:val="33"/>
          <w:szCs w:val="33"/>
        </w:rPr>
        <w:t>贯彻落实相关会议精神，紧绷疫情防控这根弦，做好近期最新的疫情防控工作。一是持续开展农村客运、冷链运输、寄递物流企业的监管与管控。二是加强局机关、各股室、农村客运工作人员、寄递物流企业等一线从业人员防护，在完成接种前两针疫苗情况下，督促一线从业人员及时做好第三剂次接种工作。三是做好疫情防控服务站工作。牵头联合市公安局西区分局、区卫健局、区发改局、格里坪镇、陶家渡街道等相关部门成立工作专班，于8月6日分别于丽攀高速公路新庄出口、丽攀高速公路陶家渡出口、丽攀高速公路庄上出口设置3处防疫服务站，对来（返）攀人员严格落实疫情防控措施，做到逢车必检、逢人必查，做好扫码验码、测温等措施，按照“红码禁止、黄码限制、绿码通行”的原则实行管理。</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5.</w:t>
      </w:r>
      <w:r>
        <w:rPr>
          <w:rStyle w:val="31"/>
          <w:rFonts w:ascii="Times New Roman" w:hAnsi="Times New Roman" w:eastAsia="方正仿宋_GBK"/>
          <w:b/>
          <w:sz w:val="33"/>
          <w:szCs w:val="33"/>
        </w:rPr>
        <w:t>持好做好交通环境保护工作。</w:t>
      </w:r>
      <w:r>
        <w:rPr>
          <w:rStyle w:val="31"/>
          <w:rFonts w:ascii="Times New Roman" w:hAnsi="Times New Roman" w:eastAsia="方正仿宋_GBK"/>
          <w:sz w:val="33"/>
          <w:szCs w:val="33"/>
        </w:rPr>
        <w:t>一是做好道路扬尘治理工作。配合市行政综合执法三大队开展扬尘治理工作。在五摩路、法巴路设立2个人工入城货车冲洗点，在格里坪攀青路口设立货车入城自动冲洗点，今年以来，共出动洒水车298台次，洒水967车1万余吨（12吨水/车），对陶家渡空气质量测点周边的五摩路、陶垭路等重点路段（约15公里）每天洒水降尘7次以上（雨季期间根据实际情况合理安排），截至目前共计今年脏车检查11490辆，冲洗4650辆。二是开展汽车维修企业环境保护督导工作。根据2017年环保督察反馈西区存在环境问题企业以及省环保督察组发现的问题，我局牵头组织相关部门对辖区维修企业开展环境整治选项检查。2021年，我局组织区市交通运输综合行政执法支队等单位对辖区维修企业开展了12次集中联合检查，检查企业90余家次。三是开展“双超”专项治理工作。根据《攀枝花市西区道路运输企业超限超载治理工作实施方案》，积极协调市综合执法支队三、四大队等执法部门在乌龟井转盘、格里坪等重点路段开展联合执法12次，查获超限运输车辆52台，行政处罚超限55件，移交交警43件，处罚篷布遮盖不规范行为38件，脏车劝返、整改1431台次。</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6.</w:t>
      </w:r>
      <w:r>
        <w:rPr>
          <w:rStyle w:val="31"/>
          <w:rFonts w:ascii="Times New Roman" w:hAnsi="Times New Roman" w:eastAsia="方正仿宋_GBK"/>
          <w:b/>
          <w:sz w:val="33"/>
          <w:szCs w:val="33"/>
        </w:rPr>
        <w:t>加强安全生产监管。</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（1）</w:t>
      </w:r>
      <w:r>
        <w:rPr>
          <w:rStyle w:val="31"/>
          <w:rFonts w:ascii="Times New Roman" w:hAnsi="Times New Roman" w:eastAsia="方正仿宋_GBK"/>
          <w:b/>
          <w:sz w:val="33"/>
          <w:szCs w:val="33"/>
        </w:rPr>
        <w:t>全力夯实交通安全监督。</w:t>
      </w:r>
      <w:r>
        <w:rPr>
          <w:rStyle w:val="31"/>
          <w:rFonts w:ascii="Times New Roman" w:hAnsi="Times New Roman" w:eastAsia="方正仿宋_GBK"/>
          <w:sz w:val="33"/>
          <w:szCs w:val="33"/>
        </w:rPr>
        <w:t>深入道路运输企业、农村客运企业、工程施工现场等一线重点区域或环节，对检查中发现的问题及时研究整改措施，立行立改，短期内难以解决的限期整改。2021年检查农村客运企业20次、危化品运输企业16次。在“元旦”、“ 春运”、“ 五一”、“ 汛期”等事故多发期之前，开展不同形式的安全检查50余次，指导格里坪船管站加强乡镇船舶和渡口管理6次，开展及参加各类安全知识宣传教育活动2次。确保了道路运输总体安全。开展应急救援演练1次。为促进交通运输系统防灾减灾能力的提高，结合辖区交通运输实际，于2021年4月14日在五摩路摩梭河桥旁举行了2021年交通运输系统防汛减灾应急演练，相关部门及道路养护企业共计50余人参加。</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（2）</w:t>
      </w:r>
      <w:r>
        <w:rPr>
          <w:rStyle w:val="31"/>
          <w:rFonts w:ascii="Times New Roman" w:hAnsi="Times New Roman" w:eastAsia="方正仿宋_GBK"/>
          <w:b/>
          <w:sz w:val="33"/>
          <w:szCs w:val="33"/>
        </w:rPr>
        <w:t>农产品质量安全监管严格落实。</w:t>
      </w:r>
      <w:r>
        <w:rPr>
          <w:rStyle w:val="31"/>
          <w:rFonts w:ascii="Times New Roman" w:hAnsi="Times New Roman" w:eastAsia="方正仿宋_GBK"/>
          <w:sz w:val="33"/>
          <w:szCs w:val="33"/>
        </w:rPr>
        <w:t>加强对农药经营单位的日常检查。2021年对辖区内20家农资经营主体进行农资行业安全生产检查15次，出动人数35人，未发现违规违法现象。大力实施农产品合格证制度，截至目前，指导各农业生产经营主体开具食用农产品合格证28806份，组织开展农产品追溯平台运用培训3期，指导27家新型经营主体在追溯系统内录入产品300余批次。开展合作风险监测情况，2021年开展农产品抽样172个，其中，省级抽样3次，35个样；市级抽样3次，80个样，区级抽样6次，57个样，抽检合格率达99.3%。</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（3）</w:t>
      </w:r>
      <w:r>
        <w:rPr>
          <w:rStyle w:val="31"/>
          <w:rFonts w:ascii="Times New Roman" w:hAnsi="Times New Roman" w:eastAsia="方正仿宋_GBK"/>
          <w:b/>
          <w:sz w:val="33"/>
          <w:szCs w:val="33"/>
        </w:rPr>
        <w:t>加强农机安全生产监管检查。</w:t>
      </w:r>
      <w:r>
        <w:rPr>
          <w:rStyle w:val="31"/>
          <w:rFonts w:ascii="Times New Roman" w:hAnsi="Times New Roman" w:eastAsia="方正仿宋_GBK"/>
          <w:sz w:val="33"/>
          <w:szCs w:val="33"/>
        </w:rPr>
        <w:t>全年开展农机安全生产检查3次，同时联合西区公安交警部门在辖区范围内开展了变型拖拉机安全大检查。根据省市要求，对变形拖拉机进行了报废处理，2021年西区报废运输型拖拉机9台，目前在册拖拉机只有3台。二是加强农药安全监管，办理农药经营许可证3张。</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（4）</w:t>
      </w:r>
      <w:r>
        <w:rPr>
          <w:rStyle w:val="31"/>
          <w:rFonts w:ascii="Times New Roman" w:hAnsi="Times New Roman" w:eastAsia="方正仿宋_GBK"/>
          <w:b/>
          <w:sz w:val="33"/>
          <w:szCs w:val="33"/>
        </w:rPr>
        <w:t>全力保障粮食安全。</w:t>
      </w:r>
      <w:r>
        <w:rPr>
          <w:rStyle w:val="31"/>
          <w:rFonts w:ascii="Times New Roman" w:hAnsi="Times New Roman" w:eastAsia="方正仿宋_GBK"/>
          <w:sz w:val="33"/>
          <w:szCs w:val="33"/>
        </w:rPr>
        <w:t>按照落实“藏粮于地”要求，兑现耕地地力保护补贴100余万元，全区粮食生产总体稳定。全区小春粮食播种面积75亩，其中豆类30亩、薯类45亩，产量7吨，面积、产量基本持平，粮食生产总体保持平稳。大春播种面积为5130亩，其中：水稻栽插面积108亩，玉米种植约面积4699亩，薯类种植面积101亩，豆类种植面积116亩。大春粮食产量1993吨。全年粮食产量2150吨，能实现全区粮食生产稳定。</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7.</w:t>
      </w:r>
      <w:r>
        <w:rPr>
          <w:rStyle w:val="31"/>
          <w:rFonts w:ascii="Times New Roman" w:hAnsi="Times New Roman" w:eastAsia="方正仿宋_GBK"/>
          <w:b/>
          <w:sz w:val="33"/>
          <w:szCs w:val="33"/>
        </w:rPr>
        <w:t>参与森林草原防灭火专项整治工作。</w:t>
      </w:r>
      <w:r>
        <w:rPr>
          <w:rStyle w:val="31"/>
          <w:rFonts w:ascii="Times New Roman" w:hAnsi="Times New Roman" w:eastAsia="方正仿宋_GBK"/>
          <w:sz w:val="33"/>
          <w:szCs w:val="33"/>
        </w:rPr>
        <w:t>一是共召开局党组会6次，森林草原防灭火专项工作会6次，要求农村客运企业每天以卫星定位监控平台群发信息方式在全区84台农村客运车辆上不定时向乘客播报森林草原防灭火语音短信，每车每天至少播报4次。二是协助金家村防火工作，安排工作人员值金家村卡点；督促10家农业企业对自己周边一定范围内森林草原火灾风险隐患排查清理，指导完善隐患台账、督导清单、应急演练方案，并对相关印证资料进行补充。出动检查工作人员20人次，做到农业企业全覆盖。三是协调市交通综合行政执法三大队、四大队加强与辖区养护单位配合，实行养护路政联合巡查，加大对重点路段的巡查力度，及时清理干线公路、农村公路两侧边沟内的干枯枝叶和垃圾，截断火灾源头。2021年共出动养护人员500余人，清理枯枝、垃圾20余车。</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8.</w:t>
      </w:r>
      <w:r>
        <w:rPr>
          <w:rStyle w:val="31"/>
          <w:rFonts w:ascii="Times New Roman" w:hAnsi="Times New Roman" w:eastAsia="方正仿宋_GBK"/>
          <w:b/>
          <w:sz w:val="33"/>
          <w:szCs w:val="33"/>
        </w:rPr>
        <w:t>开展联合执法打击非法营运工作。</w:t>
      </w:r>
      <w:r>
        <w:rPr>
          <w:rStyle w:val="31"/>
          <w:rFonts w:ascii="Times New Roman" w:hAnsi="Times New Roman" w:eastAsia="方正仿宋_GBK"/>
          <w:sz w:val="33"/>
          <w:szCs w:val="33"/>
        </w:rPr>
        <w:t>根据《非法客运整治长效管理办法》，积极协调市交通综合行政执法支队三、四大队开展非法营运专项整治工作，检查小型客运车辆600余台次，查获非法营运车辆114台次，行政处罚81台，处罚金额40.2万元，实施报废车辆4台，批评教育21台次。</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9.</w:t>
      </w:r>
      <w:r>
        <w:rPr>
          <w:rStyle w:val="31"/>
          <w:rFonts w:ascii="Times New Roman" w:hAnsi="Times New Roman" w:eastAsia="方正仿宋_GBK"/>
          <w:b/>
          <w:sz w:val="33"/>
          <w:szCs w:val="33"/>
        </w:rPr>
        <w:t>参与创建文明城市活动。</w:t>
      </w:r>
      <w:r>
        <w:rPr>
          <w:rStyle w:val="31"/>
          <w:rFonts w:ascii="Times New Roman" w:hAnsi="Times New Roman" w:eastAsia="方正仿宋_GBK"/>
          <w:sz w:val="33"/>
          <w:szCs w:val="33"/>
        </w:rPr>
        <w:t>贯彻落实《攀枝花市西区创建全国文明城市包保联创工作方案》等相关文件精神，积极协调市公交公司三公司，修缮站牌，完善西区公交站点设施，增设公益广告等行动；包保陶家渡街道太平社区，定期督导调研包保区域创文工作，配合太平社区开展社区小广告清理活动，棚户搬家行动。出资4000余元，为太平社区规划停车位143个，为玉泉街道动力站社区划人行横道线2处。</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10</w:t>
      </w:r>
      <w:r>
        <w:rPr>
          <w:rStyle w:val="31"/>
          <w:rFonts w:ascii="Times New Roman" w:hAnsi="Times New Roman" w:eastAsia="方正仿宋_GBK"/>
          <w:b/>
          <w:sz w:val="33"/>
          <w:szCs w:val="33"/>
        </w:rPr>
        <w:t>开展非洲猪瘟防控。</w:t>
      </w:r>
      <w:r>
        <w:rPr>
          <w:rStyle w:val="31"/>
          <w:rFonts w:ascii="Times New Roman" w:hAnsi="Times New Roman" w:eastAsia="方正仿宋_GBK"/>
          <w:sz w:val="33"/>
          <w:szCs w:val="33"/>
        </w:rPr>
        <w:t>一是继续采取“大消毒、大培训、大宣传”三大行动，宣传非洲猪瘟防控知识，发放宣传资料，指导养殖户、屠宰企业落实防控措施；二是强化生猪屠宰监管，监督屠宰企业落实入场生猪查证验物，逐头核对，严禁无证无标，及证物不符的生猪入场，今年监督屠宰企业对待入场生猪每批进行非洲猪瘟病毒核酸检测，今年检测生猪4328批次，全为阴性；三是强化消毒灭源，严格落实消毒措施，督促屠宰场对生猪圈舍、屠宰车间进行全面消毒，运输生猪和产品的车辆装前卸后清洗消毒；四是强化非洲猪瘟排查，执行网格化管理，执行日报告制度，动物协检人员24小时驻场排查，今年累计排查入场生猪48699头，未发现疑似非洲猪瘟病猪；五是加强防堵工作，对辖区4个非洲猪瘟临时防堵卡点加强检查督导，指导严格排查，堵疫于外；五是强化生猪运输车辆备案管理，累计备案生猪运输车辆138辆。</w:t>
      </w:r>
    </w:p>
    <w:p>
      <w:pPr>
        <w:pStyle w:val="32"/>
        <w:shd w:val="clear" w:color="auto" w:fill="FFFFFF"/>
        <w:spacing w:before="0" w:after="0" w:line="540" w:lineRule="exact"/>
        <w:ind w:firstLine="663" w:firstLineChars="200"/>
        <w:jc w:val="both"/>
        <w:rPr>
          <w:rStyle w:val="31"/>
          <w:rFonts w:ascii="Times New Roman" w:hAnsi="Times New Roman" w:eastAsia="方正仿宋_GBK"/>
          <w:sz w:val="33"/>
          <w:szCs w:val="33"/>
        </w:rPr>
      </w:pPr>
      <w:r>
        <w:rPr>
          <w:rStyle w:val="31"/>
          <w:rFonts w:hint="eastAsia" w:ascii="Times New Roman" w:hAnsi="Times New Roman" w:eastAsia="方正仿宋_GBK"/>
          <w:b/>
          <w:sz w:val="33"/>
          <w:szCs w:val="33"/>
        </w:rPr>
        <w:t>11.</w:t>
      </w:r>
      <w:r>
        <w:rPr>
          <w:rStyle w:val="31"/>
          <w:rFonts w:ascii="Times New Roman" w:hAnsi="Times New Roman" w:eastAsia="方正仿宋_GBK"/>
          <w:b/>
          <w:sz w:val="33"/>
          <w:szCs w:val="33"/>
        </w:rPr>
        <w:t>畜禽产品质量监管。</w:t>
      </w:r>
      <w:r>
        <w:rPr>
          <w:rStyle w:val="31"/>
          <w:rFonts w:ascii="Times New Roman" w:hAnsi="Times New Roman" w:eastAsia="方正仿宋_GBK"/>
          <w:sz w:val="33"/>
          <w:szCs w:val="33"/>
        </w:rPr>
        <w:t>一是加强养殖投入品监管，不定期对饲料、兽药经营店进行检查，未发现经营过期变质产品和假冒伪劣产品，保障了养殖投入品质量安全；二是开展“瘦肉精”排查，在养殖和屠宰环节检测“瘦肉精”3327份，全为阴性；三是加强屠宰环节监管，对攀枝花世翔食品有限公司屠宰场生猪实施屠宰检疫，检疫合格生猪48616头，监督销毁病害生猪及产品83头；检疫攀枝花市甲鸟牧业有限责任公司的禽类30.8万羽，监督无害化销毁挤压致死禽类45羽，有效保障了上市畜禽产品质量安全。</w:t>
      </w:r>
    </w:p>
    <w:p>
      <w:pPr>
        <w:pStyle w:val="32"/>
        <w:shd w:val="clear" w:color="auto" w:fill="FFFFFF"/>
        <w:spacing w:before="0" w:after="0" w:line="540" w:lineRule="exact"/>
        <w:ind w:firstLine="663" w:firstLineChars="200"/>
        <w:jc w:val="both"/>
        <w:rPr>
          <w:rFonts w:ascii="Times New Roman" w:hAnsi="Times New Roman" w:eastAsia="方正仿宋_GBK"/>
          <w:sz w:val="33"/>
          <w:szCs w:val="33"/>
        </w:rPr>
      </w:pPr>
      <w:r>
        <w:rPr>
          <w:rStyle w:val="31"/>
          <w:rFonts w:hint="eastAsia" w:ascii="Times New Roman" w:hAnsi="Times New Roman" w:eastAsia="方正仿宋_GBK"/>
          <w:b/>
          <w:sz w:val="33"/>
          <w:szCs w:val="33"/>
        </w:rPr>
        <w:t>12.</w:t>
      </w:r>
      <w:r>
        <w:rPr>
          <w:rStyle w:val="31"/>
          <w:rFonts w:ascii="Times New Roman" w:hAnsi="Times New Roman" w:eastAsia="方正仿宋_GBK"/>
          <w:b/>
          <w:sz w:val="33"/>
          <w:szCs w:val="33"/>
        </w:rPr>
        <w:t>长江禁捕工作。</w:t>
      </w:r>
      <w:r>
        <w:rPr>
          <w:rStyle w:val="31"/>
          <w:rFonts w:ascii="Times New Roman" w:hAnsi="Times New Roman" w:eastAsia="方正仿宋_GBK"/>
          <w:sz w:val="33"/>
          <w:szCs w:val="33"/>
        </w:rPr>
        <w:t>一是积极推进长江流域（西区段）禁捕工作，成立了攀枝花市西区长江流域重点水域禁捕工作领导小组，设立了禁捕、打击非法捕捞、市场监管3个专班，强化长江禁捕工作的组织领导；二是加强宣传，采用微信、村宣传栏、宣传标语等加强对“长江禁捕”“禁渔期”和禁止电、毒、炸等非法捕鱼的宣传，提高禁止非法捕鱼的知晓度；三是加强辖区天然水域的巡查和打击违法行为，结合“河长制”工作，成立了巡河网格员，对发现非法捕捞的行为立即安排执法人员到现场调查，“禁渔期”劝离钓鱼人员70余人次，对游钓人员宣传教育 “一人一杆一钩” 150 余人次，配合公安部门立案调查非法捕捞案件2起。</w:t>
      </w:r>
    </w:p>
    <w:p>
      <w:pPr>
        <w:pStyle w:val="3"/>
        <w:ind w:right="440"/>
        <w:jc w:val="center"/>
        <w:rPr>
          <w:rFonts w:ascii="黑体" w:hAnsi="黑体" w:eastAsia="黑体"/>
          <w:b w:val="0"/>
        </w:rPr>
      </w:pPr>
      <w:bookmarkStart w:id="16" w:name="_Toc15396602"/>
      <w:bookmarkStart w:id="17" w:name="_Toc15377204"/>
      <w:r>
        <w:rPr>
          <w:rFonts w:hint="eastAsia" w:ascii="黑体" w:hAnsi="黑体" w:eastAsia="黑体"/>
          <w:b w:val="0"/>
        </w:rPr>
        <w:t>第二部分 2021年度</w:t>
      </w:r>
      <w:r>
        <w:rPr>
          <w:rStyle w:val="25"/>
          <w:rFonts w:hint="eastAsia" w:ascii="黑体" w:hAnsi="黑体" w:eastAsia="黑体"/>
          <w:b w:val="0"/>
          <w:bCs/>
        </w:rPr>
        <w:t>单位决算情况说明</w:t>
      </w:r>
      <w:bookmarkEnd w:id="16"/>
      <w:bookmarkEnd w:id="17"/>
    </w:p>
    <w:p>
      <w:pPr>
        <w:pStyle w:val="24"/>
        <w:numPr>
          <w:ilvl w:val="0"/>
          <w:numId w:val="2"/>
        </w:numPr>
        <w:spacing w:line="600" w:lineRule="exact"/>
        <w:ind w:firstLineChars="0"/>
        <w:outlineLvl w:val="1"/>
        <w:rPr>
          <w:rStyle w:val="26"/>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2021年度收、支总计4106.48万元。与2020年相比，收、支总计各增加285.31万元，增长7.47</w:t>
      </w:r>
      <w:r>
        <w:rPr>
          <w:rFonts w:ascii="仿宋" w:hAnsi="仿宋" w:eastAsia="仿宋"/>
          <w:sz w:val="32"/>
          <w:szCs w:val="32"/>
        </w:rPr>
        <w:t>%</w:t>
      </w:r>
      <w:r>
        <w:rPr>
          <w:rFonts w:hint="eastAsia" w:ascii="仿宋" w:hAnsi="仿宋" w:eastAsia="仿宋"/>
          <w:sz w:val="32"/>
          <w:szCs w:val="32"/>
        </w:rPr>
        <w:t>。主要变动原因是上级专项经费增加。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pPr>
      <w:r>
        <w:drawing>
          <wp:inline distT="0" distB="0" distL="0" distR="0">
            <wp:extent cx="3876675" cy="1885950"/>
            <wp:effectExtent l="19050" t="0" r="9525" b="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2"/>
        </w:numPr>
        <w:spacing w:line="600" w:lineRule="exact"/>
        <w:ind w:firstLineChars="0"/>
        <w:outlineLvl w:val="1"/>
        <w:rPr>
          <w:rStyle w:val="26"/>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21年本年收入合计3793.71万元，其中：一般公共预算财政拨款收入3637.78万元，占95.89</w:t>
      </w:r>
      <w:r>
        <w:rPr>
          <w:rFonts w:ascii="仿宋" w:hAnsi="仿宋" w:eastAsia="仿宋"/>
          <w:sz w:val="32"/>
          <w:szCs w:val="32"/>
        </w:rPr>
        <w:t>%</w:t>
      </w:r>
      <w:r>
        <w:rPr>
          <w:rFonts w:hint="eastAsia" w:ascii="仿宋" w:hAnsi="仿宋" w:eastAsia="仿宋"/>
          <w:sz w:val="32"/>
          <w:szCs w:val="32"/>
        </w:rPr>
        <w:t>；政府性基金预算财政拨款收入81.86万元，占2.16</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；其他收入74.07万元，占1.95</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
        <w:spacing w:before="93"/>
      </w:pPr>
      <w:r>
        <w:drawing>
          <wp:inline distT="0" distB="0" distL="0" distR="0">
            <wp:extent cx="2771775" cy="1713865"/>
            <wp:effectExtent l="19050" t="0" r="9525" b="1"/>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numPr>
          <w:ilvl w:val="0"/>
          <w:numId w:val="2"/>
        </w:numPr>
        <w:spacing w:line="600" w:lineRule="exact"/>
        <w:ind w:firstLineChars="0"/>
        <w:outlineLvl w:val="1"/>
        <w:rPr>
          <w:rStyle w:val="26"/>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21年本年支出合计4050.86万元，其中：基本支出407.65万元，占10.06</w:t>
      </w:r>
      <w:r>
        <w:rPr>
          <w:rFonts w:ascii="仿宋" w:hAnsi="仿宋" w:eastAsia="仿宋"/>
          <w:sz w:val="32"/>
          <w:szCs w:val="32"/>
        </w:rPr>
        <w:t>%</w:t>
      </w:r>
      <w:r>
        <w:rPr>
          <w:rFonts w:hint="eastAsia" w:ascii="仿宋" w:hAnsi="仿宋" w:eastAsia="仿宋"/>
          <w:sz w:val="32"/>
          <w:szCs w:val="32"/>
        </w:rPr>
        <w:t>；项目支出3643.21万元，占89.94</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2"/>
        <w:spacing w:before="93"/>
      </w:pPr>
      <w:r>
        <w:drawing>
          <wp:inline distT="0" distB="0" distL="0" distR="0">
            <wp:extent cx="2905760" cy="1509395"/>
            <wp:effectExtent l="19050" t="0" r="27689" b="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6"/>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21年财政拨款收、支总计3966.6万元。与</w:t>
      </w:r>
      <w:r>
        <w:rPr>
          <w:rFonts w:ascii="仿宋" w:hAnsi="仿宋" w:eastAsia="仿宋"/>
          <w:sz w:val="32"/>
          <w:szCs w:val="32"/>
        </w:rPr>
        <w:t>20</w:t>
      </w:r>
      <w:r>
        <w:rPr>
          <w:rFonts w:hint="eastAsia" w:ascii="仿宋" w:hAnsi="仿宋" w:eastAsia="仿宋"/>
          <w:sz w:val="32"/>
          <w:szCs w:val="32"/>
        </w:rPr>
        <w:t>20年相比，财政拨款收、支总计各增加259.36万元，增长7</w:t>
      </w:r>
      <w:r>
        <w:rPr>
          <w:rFonts w:ascii="仿宋" w:hAnsi="仿宋" w:eastAsia="仿宋"/>
          <w:sz w:val="32"/>
          <w:szCs w:val="32"/>
        </w:rPr>
        <w:t>%</w:t>
      </w:r>
      <w:r>
        <w:rPr>
          <w:rFonts w:hint="eastAsia" w:ascii="仿宋" w:hAnsi="仿宋" w:eastAsia="仿宋"/>
          <w:sz w:val="32"/>
          <w:szCs w:val="32"/>
        </w:rPr>
        <w:t>。主要变动原因是上级专款增加。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w:t>
      </w:r>
      <w:bookmarkStart w:id="26" w:name="_Toc15396607"/>
      <w:bookmarkStart w:id="27" w:name="_Toc15377209"/>
      <w:r>
        <w:rPr>
          <w:rFonts w:hint="eastAsia" w:ascii="仿宋" w:hAnsi="仿宋" w:eastAsia="仿宋"/>
          <w:sz w:val="32"/>
          <w:szCs w:val="32"/>
        </w:rPr>
        <w:t>：财政拨款收、支决算总计变动情况）（柱状图</w:t>
      </w:r>
      <w:r>
        <w:rPr>
          <w:rFonts w:ascii="仿宋" w:hAnsi="仿宋" w:eastAsia="仿宋"/>
          <w:sz w:val="32"/>
          <w:szCs w:val="32"/>
        </w:rPr>
        <w:t>）</w:t>
      </w:r>
    </w:p>
    <w:p>
      <w:pPr>
        <w:pStyle w:val="2"/>
        <w:spacing w:before="93"/>
      </w:pPr>
      <w:r>
        <w:drawing>
          <wp:inline distT="0" distB="0" distL="0" distR="0">
            <wp:extent cx="2790825" cy="2095500"/>
            <wp:effectExtent l="19050" t="0" r="9525"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6"/>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21年一般公共预算财政拨款支出3866.7万元，占本年支出合计的95.45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20年相比，一般公共预算财政拨款支出增加2844.4万元，增长278.24</w:t>
      </w:r>
      <w:r>
        <w:rPr>
          <w:rFonts w:ascii="仿宋" w:hAnsi="仿宋" w:eastAsia="仿宋"/>
          <w:sz w:val="32"/>
          <w:szCs w:val="32"/>
        </w:rPr>
        <w:t>%</w:t>
      </w:r>
      <w:r>
        <w:rPr>
          <w:rFonts w:hint="eastAsia" w:ascii="仿宋" w:hAnsi="仿宋" w:eastAsia="仿宋"/>
          <w:sz w:val="32"/>
          <w:szCs w:val="32"/>
        </w:rPr>
        <w:t>。主要变动原因是上级专款支付及时。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spacing w:before="93"/>
      </w:pPr>
      <w:r>
        <w:drawing>
          <wp:inline distT="0" distB="0" distL="0" distR="0">
            <wp:extent cx="3409950" cy="1723390"/>
            <wp:effectExtent l="19050" t="0" r="19050" b="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21年一般公共预算财政拨款支出3866.7万元，主要用于以下方面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支出39.49万元，占1.02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16.6万元，占0.43</w:t>
      </w:r>
      <w:r>
        <w:rPr>
          <w:rFonts w:ascii="仿宋" w:hAnsi="仿宋" w:eastAsia="仿宋"/>
          <w:sz w:val="32"/>
          <w:szCs w:val="32"/>
        </w:rPr>
        <w:t>%</w:t>
      </w:r>
      <w:r>
        <w:rPr>
          <w:rFonts w:hint="eastAsia" w:ascii="仿宋" w:hAnsi="仿宋" w:eastAsia="仿宋"/>
          <w:sz w:val="32"/>
          <w:szCs w:val="32"/>
        </w:rPr>
        <w:t>；住房保障支出25.66万元，占0.66</w:t>
      </w:r>
      <w:r>
        <w:rPr>
          <w:rFonts w:ascii="仿宋" w:hAnsi="仿宋" w:eastAsia="仿宋"/>
          <w:sz w:val="32"/>
          <w:szCs w:val="32"/>
        </w:rPr>
        <w:t>%</w:t>
      </w:r>
      <w:r>
        <w:rPr>
          <w:rFonts w:hint="eastAsia" w:ascii="仿宋" w:hAnsi="仿宋" w:eastAsia="仿宋"/>
          <w:sz w:val="32"/>
          <w:szCs w:val="32"/>
        </w:rPr>
        <w:t>；节能环保支出2000万元，占51.72%；农林水支出583.2万元，占15.08%；交通运输支出1201.74万元，占31.08%。</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bookmarkStart w:id="30" w:name="_Toc15377212"/>
    </w:p>
    <w:p>
      <w:pPr>
        <w:pStyle w:val="2"/>
        <w:spacing w:before="93"/>
      </w:pPr>
      <w:r>
        <w:drawing>
          <wp:inline distT="0" distB="0" distL="0" distR="0">
            <wp:extent cx="3850005" cy="2062480"/>
            <wp:effectExtent l="19050" t="0" r="17057"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spacing w:before="93"/>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2021年一般公共预算支出决算数为3866.7</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1</w:t>
      </w:r>
      <w:r>
        <w:rPr>
          <w:rStyle w:val="15"/>
          <w:rFonts w:ascii="仿宋" w:hAnsi="仿宋" w:eastAsia="仿宋"/>
          <w:bCs/>
          <w:sz w:val="32"/>
          <w:szCs w:val="32"/>
        </w:rPr>
        <w:t>.</w:t>
      </w:r>
      <w:r>
        <w:rPr>
          <w:rStyle w:val="15"/>
          <w:rFonts w:hint="eastAsia" w:ascii="仿宋" w:hAnsi="仿宋" w:eastAsia="仿宋"/>
          <w:bCs/>
          <w:sz w:val="32"/>
          <w:szCs w:val="32"/>
        </w:rPr>
        <w:t>社会保障和就业（类）行政事业单位养老支出（款）行政单位离退休（项）</w:t>
      </w:r>
      <w:r>
        <w:rPr>
          <w:rStyle w:val="15"/>
          <w:rFonts w:ascii="仿宋" w:hAnsi="仿宋" w:eastAsia="仿宋"/>
          <w:bCs/>
          <w:sz w:val="32"/>
          <w:szCs w:val="32"/>
        </w:rPr>
        <w:t>:</w:t>
      </w:r>
      <w:r>
        <w:rPr>
          <w:rStyle w:val="15"/>
          <w:rFonts w:hint="eastAsia" w:ascii="仿宋" w:hAnsi="仿宋" w:eastAsia="仿宋"/>
          <w:b w:val="0"/>
          <w:bCs/>
          <w:sz w:val="32"/>
          <w:szCs w:val="32"/>
        </w:rPr>
        <w:t>支出决算为18.37万元，完成预算100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社会保障和就业（类）行政事业单位养老支出（款）机关事业单位基本养老保险缴费支出（项）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支出决算为20.17万元，完成预算100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Cs/>
          <w:sz w:val="32"/>
          <w:szCs w:val="32"/>
          <w:highlight w:val="yellow"/>
        </w:rPr>
      </w:pPr>
      <w:r>
        <w:rPr>
          <w:rStyle w:val="15"/>
          <w:rFonts w:hint="eastAsia" w:ascii="仿宋" w:hAnsi="仿宋" w:eastAsia="仿宋"/>
          <w:bCs/>
          <w:sz w:val="32"/>
          <w:szCs w:val="32"/>
        </w:rPr>
        <w:t>社会保障和就业（类）行政事业单位养老支出（款）机关事业单位职业年金缴费支出（项）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支出决算为0.94万元，完成预算100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highlight w:val="none"/>
        </w:rPr>
        <w:t>2</w:t>
      </w:r>
      <w:r>
        <w:rPr>
          <w:rStyle w:val="15"/>
          <w:rFonts w:ascii="仿宋" w:hAnsi="仿宋" w:eastAsia="仿宋"/>
          <w:bCs/>
          <w:sz w:val="32"/>
          <w:szCs w:val="32"/>
          <w:highlight w:val="none"/>
        </w:rPr>
        <w:t>.</w:t>
      </w:r>
      <w:r>
        <w:rPr>
          <w:rFonts w:hint="eastAsia" w:ascii="仿宋" w:hAnsi="仿宋" w:eastAsia="仿宋"/>
          <w:b/>
          <w:bCs/>
          <w:sz w:val="32"/>
          <w:szCs w:val="32"/>
          <w:highlight w:val="none"/>
        </w:rPr>
        <w:t>卫生健康</w:t>
      </w:r>
      <w:r>
        <w:rPr>
          <w:rStyle w:val="15"/>
          <w:rFonts w:hint="eastAsia" w:ascii="仿宋" w:hAnsi="仿宋" w:eastAsia="仿宋"/>
          <w:bCs/>
          <w:sz w:val="32"/>
          <w:szCs w:val="32"/>
          <w:highlight w:val="none"/>
        </w:rPr>
        <w:t>（</w:t>
      </w:r>
      <w:r>
        <w:rPr>
          <w:rStyle w:val="15"/>
          <w:rFonts w:hint="eastAsia" w:ascii="仿宋" w:hAnsi="仿宋" w:eastAsia="仿宋"/>
          <w:bCs/>
          <w:sz w:val="32"/>
          <w:szCs w:val="32"/>
        </w:rPr>
        <w:t>类）行政事业单位医疗（款）行政单位医疗（项）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支出决算为13.62万元，完成预算100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Style w:val="15"/>
          <w:rFonts w:ascii="仿宋" w:hAnsi="仿宋" w:eastAsia="仿宋"/>
          <w:b w:val="0"/>
          <w:bCs/>
          <w:sz w:val="32"/>
          <w:szCs w:val="32"/>
        </w:rPr>
      </w:pPr>
      <w:r>
        <w:rPr>
          <w:rFonts w:hint="eastAsia" w:ascii="仿宋" w:hAnsi="仿宋" w:eastAsia="仿宋"/>
          <w:b/>
          <w:bCs/>
          <w:sz w:val="32"/>
          <w:szCs w:val="32"/>
        </w:rPr>
        <w:t>卫生健康</w:t>
      </w:r>
      <w:r>
        <w:rPr>
          <w:rStyle w:val="15"/>
          <w:rFonts w:hint="eastAsia" w:ascii="仿宋" w:hAnsi="仿宋" w:eastAsia="仿宋"/>
          <w:bCs/>
          <w:sz w:val="32"/>
          <w:szCs w:val="32"/>
        </w:rPr>
        <w:t>（类）行政事业单位医疗（款）事业单位医疗（项）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支出决算为1.07万元，完成预算100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Style w:val="15"/>
          <w:rFonts w:ascii="仿宋" w:hAnsi="仿宋" w:eastAsia="仿宋"/>
          <w:b w:val="0"/>
          <w:bCs/>
          <w:sz w:val="32"/>
          <w:szCs w:val="32"/>
        </w:rPr>
      </w:pPr>
      <w:r>
        <w:rPr>
          <w:rFonts w:hint="eastAsia" w:ascii="仿宋" w:hAnsi="仿宋" w:eastAsia="仿宋"/>
          <w:b/>
          <w:bCs/>
          <w:sz w:val="32"/>
          <w:szCs w:val="32"/>
        </w:rPr>
        <w:t>卫生健康</w:t>
      </w:r>
      <w:r>
        <w:rPr>
          <w:rStyle w:val="15"/>
          <w:rFonts w:hint="eastAsia" w:ascii="仿宋" w:hAnsi="仿宋" w:eastAsia="仿宋"/>
          <w:bCs/>
          <w:sz w:val="32"/>
          <w:szCs w:val="32"/>
        </w:rPr>
        <w:t>（类）行政事业单位医疗（款）公务员医疗补助（项）</w:t>
      </w:r>
      <w:r>
        <w:rPr>
          <w:rStyle w:val="15"/>
          <w:rFonts w:ascii="仿宋" w:hAnsi="仿宋" w:eastAsia="仿宋"/>
          <w:bCs/>
          <w:sz w:val="32"/>
          <w:szCs w:val="32"/>
        </w:rPr>
        <w:t>:</w:t>
      </w:r>
      <w:r>
        <w:rPr>
          <w:rStyle w:val="15"/>
          <w:rFonts w:hint="eastAsia" w:ascii="仿宋" w:hAnsi="仿宋" w:eastAsia="仿宋"/>
          <w:b w:val="0"/>
          <w:bCs/>
          <w:sz w:val="32"/>
          <w:szCs w:val="32"/>
        </w:rPr>
        <w:t>支出决算为1.91万元，完成预算100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3.住房保障（类）住房改革支出（款）住房公积金（项）：支出决算为37.49万元，完成预算100%，决算数等于预算数。</w:t>
      </w:r>
    </w:p>
    <w:p>
      <w:pPr>
        <w:pStyle w:val="2"/>
        <w:spacing w:before="93"/>
        <w:ind w:firstLine="600"/>
      </w:pPr>
      <w:r>
        <w:rPr>
          <w:rFonts w:hint="eastAsia"/>
        </w:rPr>
        <w:t>4.节能环保（类）其他节能环保支出（款）其他节能环保支出（项）：支出决算为2000万元，完成预算100%，决算数等于预算数。</w:t>
      </w:r>
    </w:p>
    <w:p>
      <w:pPr>
        <w:pStyle w:val="2"/>
        <w:spacing w:before="93"/>
        <w:ind w:firstLine="600"/>
      </w:pPr>
      <w:r>
        <w:rPr>
          <w:rFonts w:hint="eastAsia"/>
        </w:rPr>
        <w:t>5.农林水（类）农业农村（款）行政运行（项）：支出决算为311.51万元，完成预算100%，决算数等于预算数。</w:t>
      </w:r>
    </w:p>
    <w:p>
      <w:pPr>
        <w:pStyle w:val="2"/>
        <w:spacing w:before="93"/>
        <w:ind w:firstLine="600"/>
      </w:pPr>
      <w:r>
        <w:rPr>
          <w:rFonts w:hint="eastAsia"/>
        </w:rPr>
        <w:t>农林水（类）农业农村（款）事业运行（项）：支出决算为14.39万元，完成预算100%，决算数等于预算数。</w:t>
      </w:r>
    </w:p>
    <w:p>
      <w:pPr>
        <w:pStyle w:val="2"/>
        <w:spacing w:before="93"/>
        <w:ind w:firstLine="600"/>
      </w:pPr>
      <w:r>
        <w:rPr>
          <w:rFonts w:hint="eastAsia"/>
        </w:rPr>
        <w:t>农林水（类）农业农村（款）其他农业农村支出（项）：支出决算为267.56万元，完成预算100%，决算数等于预算数。</w:t>
      </w:r>
    </w:p>
    <w:p>
      <w:pPr>
        <w:pStyle w:val="2"/>
        <w:spacing w:before="93"/>
        <w:ind w:firstLine="600"/>
      </w:pPr>
      <w:r>
        <w:rPr>
          <w:rFonts w:hint="eastAsia"/>
        </w:rPr>
        <w:t>6.交通运输（类）公路水路运输支出（款）其他公路水路运输支出（项）：支出决算为1109.22万元，完成预算100%，决算数等于预算数。</w:t>
      </w:r>
    </w:p>
    <w:p>
      <w:pPr>
        <w:pStyle w:val="2"/>
        <w:spacing w:before="93"/>
        <w:ind w:firstLine="600"/>
      </w:pPr>
      <w:r>
        <w:rPr>
          <w:rFonts w:hint="eastAsia"/>
        </w:rPr>
        <w:t>交通运输（类）成品油价格对交通运输的补贴（款）对农村道路客运的补贴（项）：支出决算为92.53万元，完成预算100%，决算数等于预算数。</w:t>
      </w:r>
    </w:p>
    <w:p>
      <w:pPr>
        <w:tabs>
          <w:tab w:val="right" w:pos="8306"/>
        </w:tabs>
        <w:spacing w:line="600" w:lineRule="exact"/>
        <w:ind w:firstLine="640"/>
        <w:outlineLvl w:val="1"/>
        <w:rPr>
          <w:rStyle w:val="26"/>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21年一般公共预算财政拨款基本支出407.65万元，其中：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359.19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48.46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36" w:name="_Toc15396609"/>
      <w:bookmarkStart w:id="37"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21年“三公”经费财政拨款支出决算为2.96万元，完成预算100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；公务用车购置及运行维护费支出决算2.5万元，占84.46</w:t>
      </w:r>
      <w:r>
        <w:rPr>
          <w:rFonts w:ascii="仿宋" w:hAnsi="仿宋" w:eastAsia="仿宋"/>
          <w:sz w:val="32"/>
          <w:szCs w:val="32"/>
        </w:rPr>
        <w:t>%</w:t>
      </w:r>
      <w:r>
        <w:rPr>
          <w:rFonts w:hint="eastAsia" w:ascii="仿宋" w:hAnsi="仿宋" w:eastAsia="仿宋"/>
          <w:sz w:val="32"/>
          <w:szCs w:val="32"/>
        </w:rPr>
        <w:t>；公务接待费支出决算0.46万元，占15.54</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pStyle w:val="2"/>
        <w:spacing w:before="93"/>
      </w:pPr>
      <w:r>
        <w:drawing>
          <wp:inline distT="0" distB="0" distL="0" distR="0">
            <wp:extent cx="2857500" cy="1790065"/>
            <wp:effectExtent l="19050" t="0" r="19049" b="1"/>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spacing w:before="93"/>
      </w:pP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20年增加0万元，增长0</w:t>
      </w:r>
      <w:r>
        <w:rPr>
          <w:rFonts w:ascii="仿宋_GB2312" w:eastAsia="仿宋_GB2312"/>
          <w:sz w:val="32"/>
          <w:szCs w:val="32"/>
        </w:rPr>
        <w:t>%</w:t>
      </w:r>
      <w:r>
        <w:rPr>
          <w:rFonts w:hint="eastAsia" w:ascii="仿宋_GB2312" w:eastAsia="仿宋_GB2312"/>
          <w:sz w:val="32"/>
          <w:szCs w:val="32"/>
        </w:rPr>
        <w:t>。主要原因是无此预算。</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2.5万元,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20年增加0.21万元，增长9.17</w:t>
      </w:r>
      <w:r>
        <w:rPr>
          <w:rFonts w:ascii="仿宋_GB2312" w:eastAsia="仿宋_GB2312"/>
          <w:sz w:val="32"/>
          <w:szCs w:val="32"/>
        </w:rPr>
        <w:t>%</w:t>
      </w:r>
      <w:r>
        <w:rPr>
          <w:rFonts w:hint="eastAsia" w:ascii="仿宋_GB2312" w:eastAsia="仿宋_GB2312"/>
          <w:sz w:val="32"/>
          <w:szCs w:val="32"/>
        </w:rPr>
        <w:t>。主要原因是工作任务繁重及车辆老旧。</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月底，单位共有公务用车2辆，其中：轿车0辆、越野车1辆、载客汽车0辆，货车1辆。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2.5万元。主要用于执法工作等所需的公务用车燃料费、维修费、过路过桥费、保险费等支出。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0.46万元，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公务接待费支出决算与</w:t>
      </w:r>
      <w:r>
        <w:rPr>
          <w:rFonts w:ascii="仿宋_GB2312" w:eastAsia="仿宋_GB2312"/>
          <w:sz w:val="32"/>
          <w:szCs w:val="32"/>
        </w:rPr>
        <w:t>20</w:t>
      </w:r>
      <w:r>
        <w:rPr>
          <w:rFonts w:hint="eastAsia" w:ascii="仿宋_GB2312" w:eastAsia="仿宋_GB2312"/>
          <w:sz w:val="32"/>
          <w:szCs w:val="32"/>
        </w:rPr>
        <w:t>20年持平。其中：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0.46</w:t>
      </w:r>
      <w:r>
        <w:rPr>
          <w:rFonts w:hint="eastAsia" w:ascii="仿宋_GB2312" w:eastAsia="仿宋_GB2312"/>
          <w:sz w:val="32"/>
          <w:szCs w:val="32"/>
        </w:rPr>
        <w:t>万元，主要用于农业工作检查指导等业务活动开支的用餐费等。国内公务接待4批次，36人次（不包括陪同人员），共计支出0.46万元，具体内容包括：农业安全工作检查指导0.46万元。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w:t>
      </w:r>
      <w:bookmarkStart w:id="40" w:name="_Toc15396610"/>
      <w:bookmarkStart w:id="41" w:name="_Toc15377218"/>
      <w:r>
        <w:rPr>
          <w:rFonts w:hint="eastAsia" w:ascii="仿宋_GB2312" w:eastAsia="仿宋_GB2312"/>
          <w:sz w:val="32"/>
          <w:szCs w:val="32"/>
        </w:rPr>
        <w:t>万元。</w:t>
      </w:r>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21年政府性基金预算财政拨款支出99.91万元。</w:t>
      </w:r>
    </w:p>
    <w:p>
      <w:pPr>
        <w:numPr>
          <w:ilvl w:val="0"/>
          <w:numId w:val="3"/>
        </w:numPr>
        <w:spacing w:line="600" w:lineRule="exact"/>
        <w:ind w:firstLine="640"/>
        <w:outlineLvl w:val="1"/>
        <w:rPr>
          <w:rStyle w:val="26"/>
          <w:rFonts w:ascii="黑体" w:hAnsi="黑体" w:eastAsia="黑体"/>
          <w:b w:val="0"/>
        </w:rPr>
      </w:pPr>
      <w:bookmarkStart w:id="42" w:name="_Toc15396611"/>
      <w:bookmarkStart w:id="43" w:name="_Toc15377219"/>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3"/>
        </w:numPr>
        <w:spacing w:line="600" w:lineRule="exact"/>
        <w:ind w:firstLine="640"/>
        <w:outlineLvl w:val="1"/>
        <w:rPr>
          <w:rStyle w:val="26"/>
          <w:rFonts w:ascii="黑体" w:hAnsi="黑体" w:eastAsia="黑体"/>
          <w:b w:val="0"/>
        </w:rPr>
      </w:pPr>
      <w:bookmarkStart w:id="44" w:name="_Toc15377221"/>
      <w:bookmarkStart w:id="45" w:name="_Toc15396612"/>
      <w:r>
        <w:rPr>
          <w:rStyle w:val="26"/>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21年，西区农业农村和交通运输局机关运行经费支出48.46万元，比</w:t>
      </w:r>
      <w:r>
        <w:rPr>
          <w:rFonts w:ascii="仿宋_GB2312" w:eastAsia="仿宋_GB2312"/>
          <w:sz w:val="32"/>
          <w:szCs w:val="32"/>
        </w:rPr>
        <w:t>20</w:t>
      </w:r>
      <w:r>
        <w:rPr>
          <w:rFonts w:hint="eastAsia" w:ascii="仿宋_GB2312" w:eastAsia="仿宋_GB2312"/>
          <w:sz w:val="32"/>
          <w:szCs w:val="32"/>
        </w:rPr>
        <w:t>20年增加10.03万元，增长26.1</w:t>
      </w:r>
      <w:r>
        <w:rPr>
          <w:rFonts w:ascii="仿宋_GB2312" w:eastAsia="仿宋_GB2312"/>
          <w:sz w:val="32"/>
          <w:szCs w:val="32"/>
        </w:rPr>
        <w:t>%</w:t>
      </w:r>
      <w:r>
        <w:rPr>
          <w:rFonts w:hint="eastAsia" w:ascii="仿宋_GB2312" w:eastAsia="仿宋_GB2312"/>
          <w:sz w:val="32"/>
          <w:szCs w:val="32"/>
        </w:rPr>
        <w:t>。主要原因是2021年公务交通费用增加。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农业农村和交通运输局政府采购支出总额33.84万元，其中：政府采购货物支出33.84万元、政府采购工程支出0万元、政府采购服务支出0万元。主要用于执法工作。授予中小企业合同金额33.84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，其中：授予小微企业合同金额33.84万元，占政府采购支出总额的100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日，西区农业农村和交通运输局共有车辆2辆，其中：主要领导干部用车0辆、机要通信用车0辆、应急保障用车0辆、其他用车0辆，执法车辆2辆，其他用车主要是用于。单价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农业保险补贴等9个项目开展了预算事前绩效评估，对农业保险补贴等9个项目编制了绩效目标，预算执行过程中，选取9个项目开展绩效监控，年终执行完毕后，对9个项目开展了绩效自评。2021年特定目标类部门预算项目绩效目标自评表见附件（第四部分）。</w:t>
      </w:r>
    </w:p>
    <w:p>
      <w:pPr>
        <w:pStyle w:val="2"/>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其他收入：指单位取得的除事业和经营性收入以外的各项收入。主要是上级部门拨入项目专款等。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4、年末结转和结余：指单位按有关规定结转到下年或以后年度继续使用的资金。</w:t>
      </w:r>
    </w:p>
    <w:p>
      <w:pPr>
        <w:ind w:firstLine="640" w:firstLineChars="200"/>
        <w:rPr>
          <w:rFonts w:ascii="仿宋_GB2312" w:eastAsia="仿宋_GB2312"/>
          <w:sz w:val="32"/>
          <w:szCs w:val="32"/>
          <w:highlight w:val="none"/>
        </w:rPr>
      </w:pPr>
      <w:r>
        <w:rPr>
          <w:rFonts w:hint="eastAsia" w:ascii="仿宋_GB2312" w:eastAsia="仿宋_GB2312"/>
          <w:sz w:val="32"/>
          <w:szCs w:val="32"/>
        </w:rPr>
        <w:t>5</w:t>
      </w:r>
      <w:r>
        <w:rPr>
          <w:rFonts w:ascii="仿宋_GB2312" w:eastAsia="仿宋_GB2312"/>
          <w:sz w:val="32"/>
          <w:szCs w:val="32"/>
          <w:highlight w:val="none"/>
        </w:rPr>
        <w:t>.</w:t>
      </w:r>
      <w:r>
        <w:rPr>
          <w:rFonts w:hint="eastAsia" w:ascii="仿宋_GB2312" w:eastAsia="仿宋_GB2312"/>
          <w:sz w:val="32"/>
          <w:szCs w:val="32"/>
          <w:highlight w:val="none"/>
        </w:rPr>
        <w:t>社会保障和就业（类）行政事业单位养老支出（款）行政单位离退休（项）：指行政单位离退休。</w:t>
      </w:r>
    </w:p>
    <w:p>
      <w:pPr>
        <w:pStyle w:val="2"/>
        <w:spacing w:before="93"/>
        <w:ind w:firstLine="960" w:firstLineChars="300"/>
        <w:rPr>
          <w:sz w:val="32"/>
          <w:szCs w:val="32"/>
          <w:highlight w:val="none"/>
        </w:rPr>
      </w:pPr>
      <w:r>
        <w:rPr>
          <w:rFonts w:hint="eastAsia"/>
          <w:sz w:val="32"/>
          <w:szCs w:val="32"/>
          <w:highlight w:val="none"/>
        </w:rPr>
        <w:t>社会保障和就业（类）行政事业单位养老支出（款）机关事业单位基本养老保险缴费支出（项）：指机关事业单位基本养老保险缴费支出。</w:t>
      </w:r>
    </w:p>
    <w:p>
      <w:pPr>
        <w:pStyle w:val="2"/>
        <w:spacing w:before="93"/>
        <w:ind w:firstLine="960" w:firstLineChars="300"/>
        <w:rPr>
          <w:sz w:val="32"/>
          <w:szCs w:val="32"/>
        </w:rPr>
      </w:pPr>
      <w:r>
        <w:rPr>
          <w:rFonts w:hint="eastAsia"/>
          <w:sz w:val="32"/>
          <w:szCs w:val="32"/>
          <w:highlight w:val="none"/>
        </w:rPr>
        <w:t>社会保障和就业（类）行政事业单位养老支出（款）机关事业单位职业年金缴费支出（项）：指机关事业单位</w:t>
      </w:r>
      <w:r>
        <w:rPr>
          <w:rFonts w:hint="eastAsia"/>
          <w:sz w:val="32"/>
          <w:szCs w:val="32"/>
        </w:rPr>
        <w:t>职业年金缴费支出。</w:t>
      </w:r>
    </w:p>
    <w:p>
      <w:pPr>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医疗卫生与计划生育（类）行政事业单位医疗（款）行政单位医疗（项）：指行政单位医疗。</w:t>
      </w:r>
    </w:p>
    <w:p>
      <w:pPr>
        <w:pStyle w:val="2"/>
        <w:spacing w:before="93"/>
        <w:ind w:firstLine="1120" w:firstLineChars="350"/>
        <w:rPr>
          <w:sz w:val="32"/>
          <w:szCs w:val="32"/>
        </w:rPr>
      </w:pPr>
      <w:r>
        <w:rPr>
          <w:rFonts w:hint="eastAsia"/>
          <w:sz w:val="32"/>
          <w:szCs w:val="32"/>
        </w:rPr>
        <w:t>医疗卫生与计划生育（类）行政事业单位医疗（款）事业单位医疗（项）：指事业单位医疗。</w:t>
      </w:r>
    </w:p>
    <w:p>
      <w:pPr>
        <w:pStyle w:val="2"/>
        <w:spacing w:before="93"/>
        <w:ind w:firstLine="1120" w:firstLineChars="350"/>
      </w:pPr>
      <w:r>
        <w:rPr>
          <w:rFonts w:hint="eastAsia"/>
          <w:sz w:val="32"/>
          <w:szCs w:val="32"/>
        </w:rPr>
        <w:t>医疗卫生与计划生育（类）行政事业单位医疗（款）公务员医疗补助（项）：指公务员医疗补助。</w:t>
      </w:r>
    </w:p>
    <w:p>
      <w:pPr>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节能环保（类）其他节能环保支出（款）其他节能环保支出（项）：指其他节能环保支出。</w:t>
      </w:r>
    </w:p>
    <w:p>
      <w:pPr>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农林水（类）农业农村（款）行政运行（项）：指行政运行。</w:t>
      </w:r>
    </w:p>
    <w:p>
      <w:pPr>
        <w:pStyle w:val="2"/>
        <w:spacing w:before="93"/>
        <w:ind w:firstLine="1120" w:firstLineChars="350"/>
        <w:rPr>
          <w:sz w:val="32"/>
          <w:szCs w:val="32"/>
        </w:rPr>
      </w:pPr>
      <w:r>
        <w:rPr>
          <w:rFonts w:hint="eastAsia"/>
          <w:sz w:val="32"/>
          <w:szCs w:val="32"/>
        </w:rPr>
        <w:t>农林水（类）农业农村（款）事业运行（项）：指事业运行。</w:t>
      </w:r>
    </w:p>
    <w:p>
      <w:pPr>
        <w:pStyle w:val="2"/>
        <w:spacing w:before="93"/>
        <w:ind w:firstLine="1120" w:firstLineChars="350"/>
      </w:pPr>
      <w:r>
        <w:rPr>
          <w:rFonts w:hint="eastAsia"/>
          <w:sz w:val="32"/>
          <w:szCs w:val="32"/>
        </w:rPr>
        <w:t>农林水（类）农业农村（款）其他农业农村支出（项）：指其他农业农村支出。</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交通运输（类）公路水路运输（款）其他公路水路运输支出（项）：指其他公路水路运输支出。</w:t>
      </w:r>
    </w:p>
    <w:p>
      <w:pPr>
        <w:pStyle w:val="2"/>
        <w:spacing w:before="93"/>
        <w:ind w:firstLine="960" w:firstLineChars="300"/>
      </w:pPr>
      <w:r>
        <w:rPr>
          <w:rFonts w:hint="eastAsia"/>
          <w:sz w:val="32"/>
          <w:szCs w:val="32"/>
        </w:rPr>
        <w:t>交通运输（类）成品油价格改革对交通运输的补贴（款）对农村道路的客运补贴（项）：指对农村道路的客运补贴。</w:t>
      </w:r>
    </w:p>
    <w:p>
      <w:pPr>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住房保障（类）住房改革支出（款）住房公积金（项）：指住房公积金。</w:t>
      </w:r>
    </w:p>
    <w:p>
      <w:pPr>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5"/>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5"/>
          <w:rFonts w:hint="eastAsia" w:ascii="黑体" w:hAnsi="黑体" w:eastAsia="黑体"/>
          <w:b w:val="0"/>
        </w:rPr>
        <w:t>四部分 附件</w:t>
      </w:r>
      <w:bookmarkEnd w:id="52"/>
    </w:p>
    <w:p>
      <w:pPr>
        <w:spacing w:line="572" w:lineRule="exact"/>
        <w:jc w:val="left"/>
        <w:outlineLvl w:val="0"/>
        <w:rPr>
          <w:rFonts w:hint="eastAsia" w:ascii="黑体" w:hAnsi="黑体" w:eastAsia="黑体" w:cs="黑体"/>
          <w:sz w:val="32"/>
          <w:szCs w:val="32"/>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2021年攀枝花市西区农业农村和交通运输局部门整体绩效评价报告</w:t>
      </w:r>
    </w:p>
    <w:p>
      <w:pPr>
        <w:widowControl/>
        <w:spacing w:line="572" w:lineRule="exact"/>
        <w:ind w:firstLine="640" w:firstLineChars="200"/>
        <w:contextualSpacing/>
        <w:jc w:val="center"/>
        <w:rPr>
          <w:rFonts w:ascii="仿宋_GB2312" w:hAnsi="宋体" w:eastAsia="仿宋_GB2312"/>
          <w:sz w:val="32"/>
          <w:szCs w:val="32"/>
          <w:shd w:val="clear" w:color="auto" w:fill="FFFFFF"/>
        </w:rPr>
      </w:pP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7"/>
        <w:spacing w:line="353"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攀枝花市西区农业农村和交通运输局是攀枝花市西区人民政府组成部门，于2019年3月政府机构改革时将原农林畜牧局农业部分和原交通运输局合并新组建而成（挂西区乡村振兴局、西区供销社等牌子），</w:t>
      </w:r>
      <w:r>
        <w:rPr>
          <w:rFonts w:hint="eastAsia" w:ascii="仿宋_GB2312" w:hAnsi="仿宋" w:eastAsia="仿宋_GB2312"/>
          <w:sz w:val="32"/>
          <w:szCs w:val="32"/>
        </w:rPr>
        <w:t>下设办公室、农村改革和畜牧渔政股、农业综合股、交通综合股、农业综合执法大队等五个内设科室和西区动物疫病控制中心、西区公路养护管理中心等2个二级单位</w:t>
      </w:r>
      <w:r>
        <w:rPr>
          <w:rFonts w:hint="eastAsia" w:ascii="仿宋_GB2312" w:hAnsi="Times New Roman" w:eastAsia="仿宋_GB2312"/>
          <w:sz w:val="32"/>
          <w:szCs w:val="32"/>
        </w:rPr>
        <w:t>。</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spacing w:val="-4"/>
          <w:sz w:val="32"/>
          <w:szCs w:val="32"/>
        </w:rPr>
        <w:t xml:space="preserve">（1）贯彻执行国家有关种植业、畜牧业、渔业、农业机械化、农垦等农业领域工作的法律、法规、政策以及区委、区政府关于“三农”方面的决策部署，组织拟订全区“三农”有关政策。    </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spacing w:val="-4"/>
          <w:sz w:val="32"/>
          <w:szCs w:val="32"/>
        </w:rPr>
        <w:t>（2）统筹实施乡村振兴战略，牵头组织改善全区农村人居环境。</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spacing w:val="-4"/>
          <w:sz w:val="32"/>
          <w:szCs w:val="32"/>
        </w:rPr>
        <w:t>（3）负责农民承包地管理和改革有关工作。负责农村集体产权制度改革。</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spacing w:val="-4"/>
          <w:sz w:val="32"/>
          <w:szCs w:val="32"/>
        </w:rPr>
        <w:t>（4）指导全区乡村特色产业、农产品加工业（产地初加工）、休闲农业和乡村企业发展工作。负责农业信息体系建设，推动数字农业发展。</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spacing w:val="-4"/>
          <w:sz w:val="32"/>
          <w:szCs w:val="32"/>
        </w:rPr>
        <w:t>（5）负责全区种植业、畜牧业（草原牧业）、渔业、农垦、农业机械化等农业各产业的监督管理。</w:t>
      </w:r>
    </w:p>
    <w:p>
      <w:pPr>
        <w:spacing w:line="560" w:lineRule="exact"/>
        <w:ind w:firstLine="468" w:firstLineChars="150"/>
        <w:rPr>
          <w:rFonts w:ascii="仿宋_GB2312" w:hAnsi="仿宋" w:eastAsia="仿宋_GB2312"/>
          <w:spacing w:val="-4"/>
          <w:sz w:val="32"/>
          <w:szCs w:val="32"/>
        </w:rPr>
      </w:pPr>
      <w:r>
        <w:rPr>
          <w:rFonts w:hint="eastAsia" w:ascii="仿宋_GB2312" w:hAnsi="仿宋" w:eastAsia="仿宋_GB2312"/>
          <w:spacing w:val="-4"/>
          <w:sz w:val="32"/>
          <w:szCs w:val="32"/>
        </w:rPr>
        <w:t>（6）负责制定全区农业全产业机械化、智能化、数字化发展规划并组织实施。指导设施农业、农机库棚、机电提灌、机耕道等基础设施建设。</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(7)负责全区农产品质量安全监督管理。依法组织实施符合安全标准的农产品生产基地认定、产品认证、农产品地理标志登记保护和监督管理。</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(8)组织开展全区农业资源区划和资源保护工作。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(9)负责全区有关农业生产资料和农业投入品的监督管理。组织兽医医政、兽药（鱼药）药政药检工作，负责执业兽医和兽禽屠宰行业管理。</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(10)负责全区农业防灾减灾、农作物重大病虫害防治工作。指导动植物防疫检疫体系建设，组织监督管理全区动植物防疫检疫工作，发布疫情并组织扑灭。组织植物检疫性有害生物普查。</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(11)负责全区农业投资管理。按规定权限审批农业投资项目，负责农业投资项目资金安排和监督管理。负责农业综合开发项目工作。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（12）负责全区农田建设管理、高标准农田建设和耕地质量管理。</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13）拟订全区农业科研、农技推广的规划、计划和有关政策并组织实施，牵头推动农业科技体制改革和农业科技创新体系建设。指导农业产业技术体系和农技推广体系建设，组织农作物、家禽、水产养殖等新品种育种公关和农业先进技术引进、实验、转化、示范、推广。</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（14）指导全区农业农村人才工作。拟订农业农村人才队伍建设规划并组织实施，指导农业教育和农业职业技能开发，指导新型职业农民培育、农业科技人才培养和农村实用人才培训工作。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（15）牵头开展全区农业对外合作工作。组织开展农业贸易促进和交流合作。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（16）负责全区农业领域行政执法工作。负责区本级涉农违法案件的办理。推进农业依法行政。</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（17）依法依规负责农业安全生产和职业健康监督管理工作。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（18）组织拟订并监督实施公路、水路等行业发展战略、政策，会同有关部门组织编制综合运输体系规划。</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（19）负责本系统、本部门依法行政工作；指导公路、水路行业有关体制改革和机制转换工作；参与拟订物流业发展战略和规划。</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（20）指导城乡客运管理工作，指导出租车行业管理工作；会同有关部门制定运输价格。</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21）承担水上交通安全监管责任。配合协调水上交通管制、运输船舶及相关水上设施检验、登记和防治污染、救助打捞、通讯导航、危险品运输工作；指导水上交通安全事故、船舶及相关水上设施污染事故的应急处置，参与事故调查处理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（22）负责提出公路、水路固定资产投资规模、方向和区财政资金安排建议，按照程序报批国家、省、市、区规划内和年度计划规模内固定资产投资项目。</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23）承担公路、水路建设市场监管责任。组织协调公路、水路有关重点工程建设，负责工程质量、安全生产监督管理工作；负责对交通行业和产业项目的招投标活动进行监督、指导；指导交通运输基础设施管理和维护，承担有关重要设施的管理和维护。</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（24）指导农村公路养管理、交通工程建设、农村客运、水上交通灯方面安全生产和应急管理工作。负责全区干线路网运行监测和协调；组织协调地方交通战备工作，承担国防动员有关工作。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（25）承担交通运输科技项目开发和研究的组织实施工作，负责交通运输科研成果的推广、应用工作。指导全区交通运输信息化建设，监测分析运行情况，开展相关统计工作，发布有关信息。</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（26）负责职责范围内的安全生产、职业健康、生态环境保护、审批服务便民化等工作。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（27）完成区委、区政府交办的其他任务。</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截至2021年底,西区农业农村和交通运输局共有正式人员27名,其中公务员5名,参公人员5名,机关工勤5名,参公工勤 1名,事业人员11名,临聘人员20名,退休人员10名。</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pStyle w:val="2"/>
        <w:spacing w:before="93"/>
        <w:ind w:firstLine="640" w:firstLineChars="200"/>
        <w:rPr>
          <w:sz w:val="32"/>
          <w:szCs w:val="32"/>
          <w:lang w:val="zh-CN"/>
        </w:rPr>
      </w:pPr>
      <w:r>
        <w:rPr>
          <w:rFonts w:hint="eastAsia"/>
          <w:sz w:val="32"/>
          <w:szCs w:val="32"/>
          <w:lang w:val="zh-CN"/>
        </w:rPr>
        <w:t>2021年，西区农业农村和交通运输局本年收入3934.1万元，其中，一般公共预算财政拨款3778.17万元，政府性基金预算财政拨款81.86万元，其他收入74.07万元。</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pStyle w:val="2"/>
        <w:spacing w:before="93"/>
        <w:ind w:firstLine="640" w:firstLineChars="200"/>
        <w:rPr>
          <w:sz w:val="32"/>
          <w:szCs w:val="32"/>
          <w:lang w:val="zh-CN"/>
        </w:rPr>
      </w:pPr>
      <w:r>
        <w:rPr>
          <w:rFonts w:hint="eastAsia"/>
          <w:sz w:val="32"/>
          <w:szCs w:val="32"/>
          <w:lang w:val="zh-CN"/>
        </w:rPr>
        <w:t>2021年，西区农业农村和交通运输局本年支出4050.86万元，其中，社会保障和就业支出50.27万元，卫生健康支出23.68万元，节能环保支出2000万元，城乡社区支出100.39万元，农林水支出712.95万元，交通运输支出1275.74万元。</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2021年，西区农业农村和交通运输局</w:t>
      </w:r>
      <w:r>
        <w:rPr>
          <w:rFonts w:hint="eastAsia" w:ascii="仿宋_GB2312" w:hAnsi="宋体" w:eastAsia="仿宋_GB2312"/>
          <w:kern w:val="0"/>
          <w:sz w:val="32"/>
          <w:szCs w:val="32"/>
          <w:shd w:val="clear" w:color="auto" w:fill="FFFFFF"/>
          <w:lang w:val="zh-CN"/>
        </w:rPr>
        <w:t>根据工作职责、工作任务及要求，切实制定项目绩效目标，努力实现项目绩效目标，2021年人员类目标绩效支出478.83万元，执行率100%，完成率100%；运转类目标绩效支出3507.5万元，其中公用经费56.13万元，项目经费3451.37万元，目标绩效完成率100%，执行率100%。</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pStyle w:val="2"/>
        <w:spacing w:before="93"/>
        <w:ind w:firstLine="640" w:firstLineChars="200"/>
        <w:rPr>
          <w:sz w:val="32"/>
          <w:szCs w:val="32"/>
          <w:lang w:val="zh-CN"/>
        </w:rPr>
      </w:pPr>
      <w:r>
        <w:rPr>
          <w:rFonts w:hint="eastAsia"/>
          <w:sz w:val="32"/>
          <w:szCs w:val="32"/>
          <w:lang w:val="zh-CN"/>
        </w:rPr>
        <w:t>按要求对2021年目标绩效进行自评、公开等。</w:t>
      </w:r>
    </w:p>
    <w:p>
      <w:pPr>
        <w:widowControl/>
        <w:numPr>
          <w:ilvl w:val="0"/>
          <w:numId w:val="5"/>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pStyle w:val="24"/>
        <w:widowControl/>
        <w:adjustRightInd w:val="0"/>
        <w:snapToGrid w:val="0"/>
        <w:spacing w:line="353" w:lineRule="auto"/>
        <w:ind w:left="420" w:leftChars="200" w:firstLine="640"/>
        <w:contextualSpacing/>
        <w:jc w:val="left"/>
        <w:rPr>
          <w:rFonts w:ascii="仿宋_GB2312" w:hAnsi="宋体" w:eastAsia="仿宋_GB2312"/>
          <w:kern w:val="0"/>
          <w:sz w:val="32"/>
          <w:szCs w:val="32"/>
          <w:shd w:val="clear" w:color="auto" w:fill="FFFFFF"/>
        </w:rPr>
      </w:pPr>
      <w:r>
        <w:rPr>
          <w:rFonts w:hint="eastAsia" w:ascii="仿宋_GB2312" w:hAnsi="宋体" w:eastAsia="仿宋_GB2312"/>
          <w:kern w:val="0"/>
          <w:sz w:val="32"/>
          <w:szCs w:val="32"/>
          <w:shd w:val="clear" w:color="auto" w:fill="FFFFFF"/>
        </w:rPr>
        <w:t>2021年西区农业农村和交通运输局整体项目绩效完成质量达标。</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tabs>
          <w:tab w:val="left" w:pos="4246"/>
        </w:tabs>
        <w:snapToGrid w:val="0"/>
        <w:spacing w:line="353" w:lineRule="auto"/>
        <w:ind w:firstLine="640" w:firstLineChars="200"/>
        <w:rPr>
          <w:rFonts w:eastAsia="仿宋_GB2312"/>
          <w:sz w:val="32"/>
          <w:szCs w:val="32"/>
        </w:rPr>
      </w:pPr>
      <w:r>
        <w:rPr>
          <w:rFonts w:hint="eastAsia" w:ascii="仿宋_GB2312" w:eastAsia="仿宋_GB2312"/>
          <w:sz w:val="32"/>
          <w:szCs w:val="32"/>
        </w:rPr>
        <w:t>2021年,在区委、区政府的正确领导下，西区农业农村和交通运输局克服人员少、任务重、时间紧等诸多困难，按计划、按要求完成了各项目工作，较好地实现了2021年目标绩效工作，完成情况良好。</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（二）存在问题。无</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tblPrEx>
          <w:tblCellMar>
            <w:top w:w="0" w:type="dxa"/>
            <w:left w:w="108" w:type="dxa"/>
            <w:bottom w:w="0" w:type="dxa"/>
            <w:right w:w="108" w:type="dxa"/>
          </w:tblCellMar>
        </w:tblPrEx>
        <w:trPr>
          <w:trHeight w:val="675" w:hRule="atLeast"/>
        </w:trPr>
        <w:tc>
          <w:tcPr>
            <w:tcW w:w="9575" w:type="dxa"/>
            <w:tcBorders>
              <w:top w:val="nil"/>
              <w:left w:val="nil"/>
              <w:bottom w:val="nil"/>
              <w:right w:val="nil"/>
            </w:tcBorders>
            <w:shd w:val="clear" w:color="auto" w:fill="auto"/>
            <w:vAlign w:val="center"/>
          </w:tcPr>
          <w:tbl>
            <w:tblPr>
              <w:tblStyle w:val="13"/>
              <w:tblpPr w:leftFromText="180" w:rightFromText="180" w:vertAnchor="text" w:horzAnchor="page" w:tblpX="1281" w:tblpY="660"/>
              <w:tblOverlap w:val="never"/>
              <w:tblW w:w="10567" w:type="dxa"/>
              <w:tblInd w:w="0" w:type="dxa"/>
              <w:tblLayout w:type="fixed"/>
              <w:tblCellMar>
                <w:top w:w="0" w:type="dxa"/>
                <w:left w:w="108" w:type="dxa"/>
                <w:bottom w:w="0" w:type="dxa"/>
                <w:right w:w="108" w:type="dxa"/>
              </w:tblCellMar>
            </w:tblPr>
            <w:tblGrid>
              <w:gridCol w:w="108"/>
              <w:gridCol w:w="108"/>
              <w:gridCol w:w="108"/>
              <w:gridCol w:w="108"/>
              <w:gridCol w:w="108"/>
              <w:gridCol w:w="108"/>
              <w:gridCol w:w="108"/>
              <w:gridCol w:w="1220"/>
              <w:gridCol w:w="108"/>
              <w:gridCol w:w="108"/>
              <w:gridCol w:w="108"/>
              <w:gridCol w:w="108"/>
              <w:gridCol w:w="108"/>
              <w:gridCol w:w="108"/>
              <w:gridCol w:w="157"/>
              <w:gridCol w:w="337"/>
              <w:gridCol w:w="108"/>
              <w:gridCol w:w="108"/>
              <w:gridCol w:w="108"/>
              <w:gridCol w:w="108"/>
              <w:gridCol w:w="108"/>
              <w:gridCol w:w="108"/>
              <w:gridCol w:w="185"/>
              <w:gridCol w:w="802"/>
              <w:gridCol w:w="108"/>
              <w:gridCol w:w="108"/>
              <w:gridCol w:w="108"/>
              <w:gridCol w:w="108"/>
              <w:gridCol w:w="108"/>
              <w:gridCol w:w="108"/>
              <w:gridCol w:w="225"/>
              <w:gridCol w:w="316"/>
              <w:gridCol w:w="108"/>
              <w:gridCol w:w="108"/>
              <w:gridCol w:w="108"/>
              <w:gridCol w:w="108"/>
              <w:gridCol w:w="108"/>
              <w:gridCol w:w="108"/>
              <w:gridCol w:w="254"/>
              <w:gridCol w:w="322"/>
              <w:gridCol w:w="108"/>
              <w:gridCol w:w="108"/>
              <w:gridCol w:w="108"/>
              <w:gridCol w:w="108"/>
              <w:gridCol w:w="108"/>
              <w:gridCol w:w="108"/>
              <w:gridCol w:w="284"/>
              <w:gridCol w:w="1477"/>
              <w:gridCol w:w="108"/>
              <w:gridCol w:w="108"/>
              <w:gridCol w:w="108"/>
              <w:gridCol w:w="20"/>
              <w:gridCol w:w="88"/>
              <w:gridCol w:w="108"/>
              <w:gridCol w:w="108"/>
              <w:gridCol w:w="344"/>
            </w:tblGrid>
            <w:tr>
              <w:tblPrEx>
                <w:tblCellMar>
                  <w:top w:w="0" w:type="dxa"/>
                  <w:left w:w="108" w:type="dxa"/>
                  <w:bottom w:w="0" w:type="dxa"/>
                  <w:right w:w="108" w:type="dxa"/>
                </w:tblCellMar>
              </w:tblPrEx>
              <w:trPr>
                <w:gridBefore w:val="7"/>
                <w:wBefore w:w="756" w:type="dxa"/>
                <w:trHeight w:val="675" w:hRule="atLeast"/>
              </w:trPr>
              <w:tc>
                <w:tcPr>
                  <w:tcW w:w="9811" w:type="dxa"/>
                  <w:gridSpan w:val="49"/>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53" w:name="_Toc15396618"/>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gridBefore w:val="7"/>
                <w:wBefore w:w="756" w:type="dxa"/>
                <w:trHeight w:val="254" w:hRule="atLeast"/>
              </w:trPr>
              <w:tc>
                <w:tcPr>
                  <w:tcW w:w="319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9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154001</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西区农业农村和交通运输局</w:t>
                  </w:r>
                </w:p>
              </w:tc>
            </w:tr>
            <w:tr>
              <w:tblPrEx>
                <w:tblCellMar>
                  <w:top w:w="0" w:type="dxa"/>
                  <w:left w:w="108" w:type="dxa"/>
                  <w:bottom w:w="0" w:type="dxa"/>
                  <w:right w:w="108" w:type="dxa"/>
                </w:tblCellMar>
              </w:tblPrEx>
              <w:trPr>
                <w:gridBefore w:val="7"/>
                <w:wBefore w:w="756" w:type="dxa"/>
                <w:trHeight w:val="341" w:hRule="atLeast"/>
              </w:trPr>
              <w:tc>
                <w:tcPr>
                  <w:tcW w:w="3195"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71.82</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71.82</w:t>
                  </w:r>
                </w:p>
              </w:tc>
            </w:tr>
            <w:tr>
              <w:tblPrEx>
                <w:tblCellMar>
                  <w:top w:w="0" w:type="dxa"/>
                  <w:left w:w="108" w:type="dxa"/>
                  <w:bottom w:w="0" w:type="dxa"/>
                  <w:right w:w="108" w:type="dxa"/>
                </w:tblCellMar>
              </w:tblPrEx>
              <w:trPr>
                <w:gridBefore w:val="7"/>
                <w:wBefore w:w="756" w:type="dxa"/>
                <w:trHeight w:val="555" w:hRule="atLeast"/>
              </w:trPr>
              <w:tc>
                <w:tcPr>
                  <w:tcW w:w="319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71.82</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71.82</w:t>
                  </w:r>
                </w:p>
              </w:tc>
            </w:tr>
            <w:tr>
              <w:tblPrEx>
                <w:tblCellMar>
                  <w:top w:w="0" w:type="dxa"/>
                  <w:left w:w="108" w:type="dxa"/>
                  <w:bottom w:w="0" w:type="dxa"/>
                  <w:right w:w="108" w:type="dxa"/>
                </w:tblCellMar>
              </w:tblPrEx>
              <w:trPr>
                <w:gridBefore w:val="7"/>
                <w:wBefore w:w="756" w:type="dxa"/>
                <w:trHeight w:val="341" w:hRule="atLeast"/>
              </w:trPr>
              <w:tc>
                <w:tcPr>
                  <w:tcW w:w="319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Before w:val="7"/>
                <w:wBefore w:w="756" w:type="dxa"/>
                <w:trHeight w:val="217" w:hRule="atLeast"/>
              </w:trPr>
              <w:tc>
                <w:tcPr>
                  <w:tcW w:w="2025"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063"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2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Before w:val="7"/>
                <w:wBefore w:w="756" w:type="dxa"/>
                <w:trHeight w:val="797" w:hRule="atLeast"/>
              </w:trPr>
              <w:tc>
                <w:tcPr>
                  <w:tcW w:w="202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063" w:type="dxa"/>
                  <w:gridSpan w:val="2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完成2021年非洲猪瘟防控工作</w:t>
                  </w:r>
                </w:p>
              </w:tc>
              <w:tc>
                <w:tcPr>
                  <w:tcW w:w="3723" w:type="dxa"/>
                  <w:gridSpan w:val="17"/>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Before w:val="7"/>
                <w:wBefore w:w="756" w:type="dxa"/>
                <w:trHeight w:val="693" w:hRule="atLeast"/>
              </w:trPr>
              <w:tc>
                <w:tcPr>
                  <w:tcW w:w="2025" w:type="dxa"/>
                  <w:gridSpan w:val="8"/>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70"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Before w:val="7"/>
                <w:wBefore w:w="756" w:type="dxa"/>
                <w:trHeight w:val="415" w:hRule="atLeast"/>
              </w:trPr>
              <w:tc>
                <w:tcPr>
                  <w:tcW w:w="2025"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7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非洲猪瘟防控卡点</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4个</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7"/>
                <w:wBefore w:w="756" w:type="dxa"/>
                <w:trHeight w:val="415" w:hRule="atLeast"/>
              </w:trPr>
              <w:tc>
                <w:tcPr>
                  <w:tcW w:w="2025"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不发生非洲猪瘟重大疫情</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不发生非洲猪瘟重大疫情</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7"/>
                <w:wBefore w:w="756" w:type="dxa"/>
                <w:trHeight w:val="415" w:hRule="atLeast"/>
              </w:trPr>
              <w:tc>
                <w:tcPr>
                  <w:tcW w:w="2025"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全年防控非洲猪瘟</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2021年底</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7"/>
                <w:wBefore w:w="756" w:type="dxa"/>
                <w:trHeight w:val="480" w:hRule="atLeast"/>
              </w:trPr>
              <w:tc>
                <w:tcPr>
                  <w:tcW w:w="2025"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防控经费</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71.82万元</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7"/>
                <w:wBefore w:w="756" w:type="dxa"/>
                <w:trHeight w:val="480" w:hRule="atLeast"/>
              </w:trPr>
              <w:tc>
                <w:tcPr>
                  <w:tcW w:w="2025"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7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生猪生产稳定</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保障养殖农户经济不受损失</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7"/>
                <w:wBefore w:w="756" w:type="dxa"/>
                <w:trHeight w:val="480" w:hRule="atLeast"/>
              </w:trPr>
              <w:tc>
                <w:tcPr>
                  <w:tcW w:w="2025"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市场猪肉供应充足</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促进农民增收，保障市场猪肉供应稳定，维护社会稳定</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7"/>
                <w:wBefore w:w="756" w:type="dxa"/>
                <w:trHeight w:val="577" w:hRule="atLeast"/>
              </w:trPr>
              <w:tc>
                <w:tcPr>
                  <w:tcW w:w="2025"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7"/>
                <w:wBefore w:w="756" w:type="dxa"/>
                <w:trHeight w:val="480" w:hRule="atLeast"/>
              </w:trPr>
              <w:tc>
                <w:tcPr>
                  <w:tcW w:w="2025"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7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养殖环境</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持续向好</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7"/>
                <w:wBefore w:w="756" w:type="dxa"/>
                <w:trHeight w:val="530" w:hRule="atLeast"/>
              </w:trPr>
              <w:tc>
                <w:tcPr>
                  <w:tcW w:w="2025" w:type="dxa"/>
                  <w:gridSpan w:val="8"/>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70"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7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18"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服务对象满意度</w:t>
                  </w:r>
                </w:p>
              </w:tc>
              <w:tc>
                <w:tcPr>
                  <w:tcW w:w="125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246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6"/>
                <w:gridAfter w:val="1"/>
                <w:wBefore w:w="648" w:type="dxa"/>
                <w:wAfter w:w="344" w:type="dxa"/>
                <w:trHeight w:val="675" w:hRule="atLeast"/>
              </w:trPr>
              <w:tc>
                <w:tcPr>
                  <w:tcW w:w="9575" w:type="dxa"/>
                  <w:gridSpan w:val="49"/>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gridBefore w:val="6"/>
                <w:gridAfter w:val="1"/>
                <w:wBefore w:w="648" w:type="dxa"/>
                <w:wAfter w:w="344" w:type="dxa"/>
                <w:trHeight w:val="254" w:hRule="atLeast"/>
              </w:trPr>
              <w:tc>
                <w:tcPr>
                  <w:tcW w:w="31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154001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西区农业农村和交通运输局</w:t>
                  </w:r>
                </w:p>
              </w:tc>
            </w:tr>
            <w:tr>
              <w:tblPrEx>
                <w:tblCellMar>
                  <w:top w:w="0" w:type="dxa"/>
                  <w:left w:w="108" w:type="dxa"/>
                  <w:bottom w:w="0" w:type="dxa"/>
                  <w:right w:w="108" w:type="dxa"/>
                </w:tblCellMar>
              </w:tblPrEx>
              <w:trPr>
                <w:gridBefore w:val="6"/>
                <w:gridAfter w:val="1"/>
                <w:wBefore w:w="648" w:type="dxa"/>
                <w:wAfter w:w="344" w:type="dxa"/>
                <w:trHeight w:val="341" w:hRule="atLeast"/>
              </w:trPr>
              <w:tc>
                <w:tcPr>
                  <w:tcW w:w="311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1.37</w:t>
                  </w:r>
                </w:p>
              </w:tc>
            </w:tr>
            <w:tr>
              <w:tblPrEx>
                <w:tblCellMar>
                  <w:top w:w="0" w:type="dxa"/>
                  <w:left w:w="108" w:type="dxa"/>
                  <w:bottom w:w="0" w:type="dxa"/>
                  <w:right w:w="108" w:type="dxa"/>
                </w:tblCellMar>
              </w:tblPrEx>
              <w:trPr>
                <w:gridBefore w:val="6"/>
                <w:gridAfter w:val="1"/>
                <w:wBefore w:w="648" w:type="dxa"/>
                <w:wAfter w:w="344" w:type="dxa"/>
                <w:trHeight w:val="555" w:hRule="atLeast"/>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Before w:val="6"/>
                <w:gridAfter w:val="1"/>
                <w:wBefore w:w="648" w:type="dxa"/>
                <w:wAfter w:w="344" w:type="dxa"/>
                <w:trHeight w:val="341" w:hRule="atLeast"/>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Before w:val="6"/>
                <w:gridAfter w:val="1"/>
                <w:wBefore w:w="648" w:type="dxa"/>
                <w:wAfter w:w="344" w:type="dxa"/>
                <w:trHeight w:val="217" w:hRule="atLeast"/>
              </w:trPr>
              <w:tc>
                <w:tcPr>
                  <w:tcW w:w="19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Before w:val="6"/>
                <w:gridAfter w:val="1"/>
                <w:wBefore w:w="648" w:type="dxa"/>
                <w:wAfter w:w="344" w:type="dxa"/>
                <w:trHeight w:val="797" w:hRule="atLeast"/>
              </w:trPr>
              <w:tc>
                <w:tcPr>
                  <w:tcW w:w="19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完成2021年农业保险政策性民生工作</w:t>
                  </w:r>
                </w:p>
              </w:tc>
              <w:tc>
                <w:tcPr>
                  <w:tcW w:w="3633" w:type="dxa"/>
                  <w:gridSpan w:val="17"/>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Before w:val="6"/>
                <w:gridAfter w:val="1"/>
                <w:wBefore w:w="648" w:type="dxa"/>
                <w:wAfter w:w="344" w:type="dxa"/>
                <w:trHeight w:val="693" w:hRule="atLeast"/>
              </w:trPr>
              <w:tc>
                <w:tcPr>
                  <w:tcW w:w="1976" w:type="dxa"/>
                  <w:gridSpan w:val="8"/>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Before w:val="6"/>
                <w:gridAfter w:val="1"/>
                <w:wBefore w:w="648" w:type="dxa"/>
                <w:wAfter w:w="344"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开展芒果灾害险、价格险及政策性保险</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1500亩、玉米险，生猪险、肉羊险</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6"/>
                <w:gridAfter w:val="1"/>
                <w:wBefore w:w="648" w:type="dxa"/>
                <w:wAfter w:w="344"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芒果保险、玉米保险参保率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挂果林参保10%、全区玉米参保率80%</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6"/>
                <w:gridAfter w:val="1"/>
                <w:wBefore w:w="648" w:type="dxa"/>
                <w:wAfter w:w="344"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2021年底</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6"/>
                <w:gridAfter w:val="1"/>
                <w:wBefore w:w="648" w:type="dxa"/>
                <w:wAfter w:w="344"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保费</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6"/>
                <w:gridAfter w:val="1"/>
                <w:wBefore w:w="648" w:type="dxa"/>
                <w:wAfter w:w="344"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rPr>
                <w:gridBefore w:val="6"/>
                <w:gridAfter w:val="1"/>
                <w:wBefore w:w="648" w:type="dxa"/>
                <w:wAfter w:w="344"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惠民措施</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降低风险，减少损失</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6"/>
                <w:gridAfter w:val="1"/>
                <w:wBefore w:w="648" w:type="dxa"/>
                <w:wAfter w:w="344" w:type="dxa"/>
                <w:trHeight w:val="577"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6"/>
                <w:gridAfter w:val="1"/>
                <w:wBefore w:w="648" w:type="dxa"/>
                <w:wAfter w:w="344"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特色产业发展</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持续向好</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6"/>
                <w:gridAfter w:val="1"/>
                <w:wBefore w:w="648" w:type="dxa"/>
                <w:wAfter w:w="344" w:type="dxa"/>
                <w:trHeight w:val="530" w:hRule="atLeast"/>
              </w:trPr>
              <w:tc>
                <w:tcPr>
                  <w:tcW w:w="1976" w:type="dxa"/>
                  <w:gridSpan w:val="8"/>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农户满意度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5"/>
                <w:gridAfter w:val="2"/>
                <w:wBefore w:w="540" w:type="dxa"/>
                <w:wAfter w:w="452" w:type="dxa"/>
                <w:trHeight w:val="675" w:hRule="atLeast"/>
              </w:trPr>
              <w:tc>
                <w:tcPr>
                  <w:tcW w:w="9575" w:type="dxa"/>
                  <w:gridSpan w:val="49"/>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gridBefore w:val="5"/>
                <w:gridAfter w:val="2"/>
                <w:wBefore w:w="540" w:type="dxa"/>
                <w:wAfter w:w="452" w:type="dxa"/>
                <w:trHeight w:val="254" w:hRule="atLeast"/>
              </w:trPr>
              <w:tc>
                <w:tcPr>
                  <w:tcW w:w="31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154001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西区农业农村和交通运输局</w:t>
                  </w:r>
                </w:p>
              </w:tc>
            </w:tr>
            <w:tr>
              <w:tblPrEx>
                <w:tblCellMar>
                  <w:top w:w="0" w:type="dxa"/>
                  <w:left w:w="108" w:type="dxa"/>
                  <w:bottom w:w="0" w:type="dxa"/>
                  <w:right w:w="108" w:type="dxa"/>
                </w:tblCellMar>
              </w:tblPrEx>
              <w:trPr>
                <w:gridBefore w:val="5"/>
                <w:gridAfter w:val="2"/>
                <w:wBefore w:w="540" w:type="dxa"/>
                <w:wAfter w:w="452" w:type="dxa"/>
                <w:trHeight w:val="341" w:hRule="atLeast"/>
              </w:trPr>
              <w:tc>
                <w:tcPr>
                  <w:tcW w:w="311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2.1</w:t>
                  </w:r>
                </w:p>
              </w:tc>
            </w:tr>
            <w:tr>
              <w:tblPrEx>
                <w:tblCellMar>
                  <w:top w:w="0" w:type="dxa"/>
                  <w:left w:w="108" w:type="dxa"/>
                  <w:bottom w:w="0" w:type="dxa"/>
                  <w:right w:w="108" w:type="dxa"/>
                </w:tblCellMar>
              </w:tblPrEx>
              <w:trPr>
                <w:gridBefore w:val="5"/>
                <w:gridAfter w:val="2"/>
                <w:wBefore w:w="540" w:type="dxa"/>
                <w:wAfter w:w="452" w:type="dxa"/>
                <w:trHeight w:val="555" w:hRule="atLeast"/>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2.1</w:t>
                  </w:r>
                </w:p>
              </w:tc>
            </w:tr>
            <w:tr>
              <w:tblPrEx>
                <w:tblCellMar>
                  <w:top w:w="0" w:type="dxa"/>
                  <w:left w:w="108" w:type="dxa"/>
                  <w:bottom w:w="0" w:type="dxa"/>
                  <w:right w:w="108" w:type="dxa"/>
                </w:tblCellMar>
              </w:tblPrEx>
              <w:trPr>
                <w:gridBefore w:val="5"/>
                <w:gridAfter w:val="2"/>
                <w:wBefore w:w="540" w:type="dxa"/>
                <w:wAfter w:w="452" w:type="dxa"/>
                <w:trHeight w:val="341" w:hRule="atLeast"/>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Before w:val="5"/>
                <w:gridAfter w:val="2"/>
                <w:wBefore w:w="540" w:type="dxa"/>
                <w:wAfter w:w="452" w:type="dxa"/>
                <w:trHeight w:val="217" w:hRule="atLeast"/>
              </w:trPr>
              <w:tc>
                <w:tcPr>
                  <w:tcW w:w="19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Before w:val="5"/>
                <w:gridAfter w:val="2"/>
                <w:wBefore w:w="540" w:type="dxa"/>
                <w:wAfter w:w="452" w:type="dxa"/>
                <w:trHeight w:val="797" w:hRule="atLeast"/>
              </w:trPr>
              <w:tc>
                <w:tcPr>
                  <w:tcW w:w="19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完成2021年农产品抽检以及培训等相关工作</w:t>
                  </w:r>
                </w:p>
              </w:tc>
              <w:tc>
                <w:tcPr>
                  <w:tcW w:w="3633" w:type="dxa"/>
                  <w:gridSpan w:val="17"/>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Before w:val="5"/>
                <w:gridAfter w:val="2"/>
                <w:wBefore w:w="540" w:type="dxa"/>
                <w:wAfter w:w="452" w:type="dxa"/>
                <w:trHeight w:val="693" w:hRule="atLeast"/>
              </w:trPr>
              <w:tc>
                <w:tcPr>
                  <w:tcW w:w="1976" w:type="dxa"/>
                  <w:gridSpan w:val="8"/>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Before w:val="5"/>
                <w:gridAfter w:val="2"/>
                <w:wBefore w:w="540" w:type="dxa"/>
                <w:wAfter w:w="452"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农产品采样抽检个数</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200个</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5"/>
                <w:gridAfter w:val="2"/>
                <w:wBefore w:w="540" w:type="dxa"/>
                <w:wAfter w:w="452"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农产品检测合格率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98%</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5"/>
                <w:gridAfter w:val="2"/>
                <w:wBefore w:w="540" w:type="dxa"/>
                <w:wAfter w:w="452"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完成时间</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2022年底</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5"/>
                <w:gridAfter w:val="2"/>
                <w:wBefore w:w="540" w:type="dxa"/>
                <w:wAfter w:w="452"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农业产业发展经费</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5.5万元</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5"/>
                <w:gridAfter w:val="2"/>
                <w:wBefore w:w="540" w:type="dxa"/>
                <w:wAfter w:w="452"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5"/>
                <w:gridAfter w:val="2"/>
                <w:wBefore w:w="540" w:type="dxa"/>
                <w:wAfter w:w="452"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推进农产品质量安全预警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确保辖区食用农产品质量安全、维护广大民众的身体健康和生命安全</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5"/>
                <w:gridAfter w:val="2"/>
                <w:wBefore w:w="540" w:type="dxa"/>
                <w:wAfter w:w="452" w:type="dxa"/>
                <w:trHeight w:val="577"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5"/>
                <w:gridAfter w:val="2"/>
                <w:wBefore w:w="540" w:type="dxa"/>
                <w:wAfter w:w="452"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农民农业技术水平</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提高</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5"/>
                <w:gridAfter w:val="2"/>
                <w:wBefore w:w="540" w:type="dxa"/>
                <w:wAfter w:w="452" w:type="dxa"/>
                <w:trHeight w:val="530" w:hRule="atLeast"/>
              </w:trPr>
              <w:tc>
                <w:tcPr>
                  <w:tcW w:w="1976" w:type="dxa"/>
                  <w:gridSpan w:val="8"/>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农户满意度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4"/>
                <w:gridAfter w:val="3"/>
                <w:wBefore w:w="432" w:type="dxa"/>
                <w:wAfter w:w="560" w:type="dxa"/>
                <w:trHeight w:val="675" w:hRule="atLeast"/>
              </w:trPr>
              <w:tc>
                <w:tcPr>
                  <w:tcW w:w="9575" w:type="dxa"/>
                  <w:gridSpan w:val="49"/>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gridBefore w:val="4"/>
                <w:gridAfter w:val="3"/>
                <w:wBefore w:w="432" w:type="dxa"/>
                <w:wAfter w:w="560" w:type="dxa"/>
                <w:trHeight w:val="254" w:hRule="atLeast"/>
              </w:trPr>
              <w:tc>
                <w:tcPr>
                  <w:tcW w:w="31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154001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西区农业农村和交通运输局</w:t>
                  </w:r>
                </w:p>
              </w:tc>
            </w:tr>
            <w:tr>
              <w:tblPrEx>
                <w:tblCellMar>
                  <w:top w:w="0" w:type="dxa"/>
                  <w:left w:w="108" w:type="dxa"/>
                  <w:bottom w:w="0" w:type="dxa"/>
                  <w:right w:w="108" w:type="dxa"/>
                </w:tblCellMar>
              </w:tblPrEx>
              <w:trPr>
                <w:gridBefore w:val="4"/>
                <w:gridAfter w:val="3"/>
                <w:wBefore w:w="432" w:type="dxa"/>
                <w:wAfter w:w="560" w:type="dxa"/>
                <w:trHeight w:val="341" w:hRule="atLeast"/>
              </w:trPr>
              <w:tc>
                <w:tcPr>
                  <w:tcW w:w="311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0.5</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0.5</w:t>
                  </w:r>
                </w:p>
              </w:tc>
            </w:tr>
            <w:tr>
              <w:tblPrEx>
                <w:tblCellMar>
                  <w:top w:w="0" w:type="dxa"/>
                  <w:left w:w="108" w:type="dxa"/>
                  <w:bottom w:w="0" w:type="dxa"/>
                  <w:right w:w="108" w:type="dxa"/>
                </w:tblCellMar>
              </w:tblPrEx>
              <w:trPr>
                <w:gridBefore w:val="4"/>
                <w:gridAfter w:val="3"/>
                <w:wBefore w:w="432" w:type="dxa"/>
                <w:wAfter w:w="560" w:type="dxa"/>
                <w:trHeight w:val="555" w:hRule="atLeast"/>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0.5</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0.5</w:t>
                  </w:r>
                </w:p>
              </w:tc>
            </w:tr>
            <w:tr>
              <w:tblPrEx>
                <w:tblCellMar>
                  <w:top w:w="0" w:type="dxa"/>
                  <w:left w:w="108" w:type="dxa"/>
                  <w:bottom w:w="0" w:type="dxa"/>
                  <w:right w:w="108" w:type="dxa"/>
                </w:tblCellMar>
              </w:tblPrEx>
              <w:trPr>
                <w:gridBefore w:val="4"/>
                <w:gridAfter w:val="3"/>
                <w:wBefore w:w="432" w:type="dxa"/>
                <w:wAfter w:w="560" w:type="dxa"/>
                <w:trHeight w:val="341" w:hRule="atLeast"/>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Before w:val="4"/>
                <w:gridAfter w:val="3"/>
                <w:wBefore w:w="432" w:type="dxa"/>
                <w:wAfter w:w="560" w:type="dxa"/>
                <w:trHeight w:val="217" w:hRule="atLeast"/>
              </w:trPr>
              <w:tc>
                <w:tcPr>
                  <w:tcW w:w="19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Before w:val="4"/>
                <w:gridAfter w:val="3"/>
                <w:wBefore w:w="432" w:type="dxa"/>
                <w:wAfter w:w="560" w:type="dxa"/>
                <w:trHeight w:val="797" w:hRule="atLeast"/>
              </w:trPr>
              <w:tc>
                <w:tcPr>
                  <w:tcW w:w="19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完成2021年度动物卫生监督和农业综合执法工作</w:t>
                  </w:r>
                </w:p>
              </w:tc>
              <w:tc>
                <w:tcPr>
                  <w:tcW w:w="3633" w:type="dxa"/>
                  <w:gridSpan w:val="17"/>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Before w:val="4"/>
                <w:gridAfter w:val="3"/>
                <w:wBefore w:w="432" w:type="dxa"/>
                <w:wAfter w:w="560" w:type="dxa"/>
                <w:trHeight w:val="693" w:hRule="atLeast"/>
              </w:trPr>
              <w:tc>
                <w:tcPr>
                  <w:tcW w:w="1976" w:type="dxa"/>
                  <w:gridSpan w:val="8"/>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Before w:val="4"/>
                <w:gridAfter w:val="3"/>
                <w:wBefore w:w="432" w:type="dxa"/>
                <w:wAfter w:w="560"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动物卫生监督专项、农业综合执法</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动物及动物产品检疫、打击农业违法行为</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4"/>
                <w:gridAfter w:val="3"/>
                <w:wBefore w:w="432" w:type="dxa"/>
                <w:wAfter w:w="560"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动物及动物产品检疫、打击农业违法</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合格</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4"/>
                <w:gridAfter w:val="3"/>
                <w:wBefore w:w="432" w:type="dxa"/>
                <w:wAfter w:w="560"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2021年全年</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4"/>
                <w:gridAfter w:val="3"/>
                <w:wBefore w:w="432" w:type="dxa"/>
                <w:wAfter w:w="560"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开展工作专项经费</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4"/>
                <w:gridAfter w:val="3"/>
                <w:wBefore w:w="432" w:type="dxa"/>
                <w:wAfter w:w="560"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4"/>
                <w:gridAfter w:val="3"/>
                <w:wBefore w:w="432" w:type="dxa"/>
                <w:wAfter w:w="560"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动物卫生监督专项、农业综合执法</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畜禽产品安全、人民身体健康，社会稳定、保护农业资源</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4"/>
                <w:gridAfter w:val="3"/>
                <w:wBefore w:w="432" w:type="dxa"/>
                <w:wAfter w:w="560" w:type="dxa"/>
                <w:trHeight w:val="577"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4"/>
                <w:gridAfter w:val="3"/>
                <w:wBefore w:w="432" w:type="dxa"/>
                <w:wAfter w:w="560"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农业环境</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持续向好</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4"/>
                <w:gridAfter w:val="3"/>
                <w:wBefore w:w="432" w:type="dxa"/>
                <w:wAfter w:w="560" w:type="dxa"/>
                <w:trHeight w:val="530" w:hRule="atLeast"/>
              </w:trPr>
              <w:tc>
                <w:tcPr>
                  <w:tcW w:w="1976" w:type="dxa"/>
                  <w:gridSpan w:val="8"/>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服务对象满意度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优良</w:t>
                  </w:r>
                </w:p>
              </w:tc>
              <w:tc>
                <w:tcPr>
                  <w:tcW w:w="2409"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3"/>
                <w:gridAfter w:val="5"/>
                <w:wBefore w:w="324" w:type="dxa"/>
                <w:wAfter w:w="668" w:type="dxa"/>
                <w:trHeight w:val="675" w:hRule="atLeast"/>
              </w:trPr>
              <w:tc>
                <w:tcPr>
                  <w:tcW w:w="9575" w:type="dxa"/>
                  <w:gridSpan w:val="48"/>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gridBefore w:val="3"/>
                <w:gridAfter w:val="5"/>
                <w:wBefore w:w="324" w:type="dxa"/>
                <w:wAfter w:w="668" w:type="dxa"/>
                <w:trHeight w:val="254" w:hRule="atLeast"/>
              </w:trPr>
              <w:tc>
                <w:tcPr>
                  <w:tcW w:w="31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154001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西区农业农村和交通运输局</w:t>
                  </w:r>
                </w:p>
              </w:tc>
            </w:tr>
            <w:tr>
              <w:tblPrEx>
                <w:tblCellMar>
                  <w:top w:w="0" w:type="dxa"/>
                  <w:left w:w="108" w:type="dxa"/>
                  <w:bottom w:w="0" w:type="dxa"/>
                  <w:right w:w="108" w:type="dxa"/>
                </w:tblCellMar>
              </w:tblPrEx>
              <w:trPr>
                <w:gridBefore w:val="3"/>
                <w:gridAfter w:val="5"/>
                <w:wBefore w:w="324" w:type="dxa"/>
                <w:wAfter w:w="668" w:type="dxa"/>
                <w:trHeight w:val="341" w:hRule="atLeast"/>
              </w:trPr>
              <w:tc>
                <w:tcPr>
                  <w:tcW w:w="311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7.97</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7.97</w:t>
                  </w:r>
                </w:p>
              </w:tc>
            </w:tr>
            <w:tr>
              <w:tblPrEx>
                <w:tblCellMar>
                  <w:top w:w="0" w:type="dxa"/>
                  <w:left w:w="108" w:type="dxa"/>
                  <w:bottom w:w="0" w:type="dxa"/>
                  <w:right w:w="108" w:type="dxa"/>
                </w:tblCellMar>
              </w:tblPrEx>
              <w:trPr>
                <w:gridBefore w:val="3"/>
                <w:gridAfter w:val="5"/>
                <w:wBefore w:w="324" w:type="dxa"/>
                <w:wAfter w:w="668" w:type="dxa"/>
                <w:trHeight w:val="555" w:hRule="atLeast"/>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7.97</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7.97</w:t>
                  </w:r>
                </w:p>
              </w:tc>
            </w:tr>
            <w:tr>
              <w:tblPrEx>
                <w:tblCellMar>
                  <w:top w:w="0" w:type="dxa"/>
                  <w:left w:w="108" w:type="dxa"/>
                  <w:bottom w:w="0" w:type="dxa"/>
                  <w:right w:w="108" w:type="dxa"/>
                </w:tblCellMar>
              </w:tblPrEx>
              <w:trPr>
                <w:gridBefore w:val="3"/>
                <w:gridAfter w:val="5"/>
                <w:wBefore w:w="324" w:type="dxa"/>
                <w:wAfter w:w="668" w:type="dxa"/>
                <w:trHeight w:val="341" w:hRule="atLeast"/>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Before w:val="3"/>
                <w:gridAfter w:val="5"/>
                <w:wBefore w:w="324" w:type="dxa"/>
                <w:wAfter w:w="668" w:type="dxa"/>
                <w:trHeight w:val="217" w:hRule="atLeast"/>
              </w:trPr>
              <w:tc>
                <w:tcPr>
                  <w:tcW w:w="19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Before w:val="3"/>
                <w:gridAfter w:val="5"/>
                <w:wBefore w:w="324" w:type="dxa"/>
                <w:wAfter w:w="668" w:type="dxa"/>
                <w:trHeight w:val="797" w:hRule="atLeast"/>
              </w:trPr>
              <w:tc>
                <w:tcPr>
                  <w:tcW w:w="19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确保完成2021年交通各项专项工作</w:t>
                  </w:r>
                </w:p>
              </w:tc>
              <w:tc>
                <w:tcPr>
                  <w:tcW w:w="3633" w:type="dxa"/>
                  <w:gridSpan w:val="16"/>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Before w:val="3"/>
                <w:gridAfter w:val="5"/>
                <w:wBefore w:w="324" w:type="dxa"/>
                <w:wAfter w:w="668" w:type="dxa"/>
                <w:trHeight w:val="693" w:hRule="atLeast"/>
              </w:trPr>
              <w:tc>
                <w:tcPr>
                  <w:tcW w:w="1976" w:type="dxa"/>
                  <w:gridSpan w:val="8"/>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Before w:val="3"/>
                <w:gridAfter w:val="5"/>
                <w:wBefore w:w="324" w:type="dxa"/>
                <w:wAfter w:w="668"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道路质量监督、道路数据库更新、维护、购买养护道路用品等</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3"/>
                      <w:szCs w:val="13"/>
                    </w:rPr>
                  </w:pPr>
                  <w:r>
                    <w:rPr>
                      <w:rFonts w:hint="eastAsia" w:ascii="仿宋_GB2312" w:hAnsi="仿宋_GB2312" w:eastAsia="仿宋_GB2312" w:cs="仿宋_GB2312"/>
                      <w:sz w:val="13"/>
                      <w:szCs w:val="13"/>
                    </w:rPr>
                    <w:t>2021年改建道路约15公里，道路质量安全监管，道路养护管理，每年道路数据库采集、更新、维护</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3"/>
                <w:gridAfter w:val="5"/>
                <w:wBefore w:w="324" w:type="dxa"/>
                <w:wAfter w:w="668"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交通专项工作治理</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100%达标</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3"/>
                <w:gridAfter w:val="5"/>
                <w:wBefore w:w="324" w:type="dxa"/>
                <w:wAfter w:w="668"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2021年底</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按期完成</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3"/>
                <w:gridAfter w:val="5"/>
                <w:wBefore w:w="324" w:type="dxa"/>
                <w:wAfter w:w="668"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交通各专项工作经费</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7.97万元</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3"/>
                <w:gridAfter w:val="5"/>
                <w:wBefore w:w="324" w:type="dxa"/>
                <w:wAfter w:w="668"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3"/>
                <w:gridAfter w:val="5"/>
                <w:wBefore w:w="324" w:type="dxa"/>
                <w:wAfter w:w="668"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辖区交通安全环境</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持续向好</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3"/>
                <w:gridAfter w:val="5"/>
                <w:wBefore w:w="324" w:type="dxa"/>
                <w:wAfter w:w="668" w:type="dxa"/>
                <w:trHeight w:val="577"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3"/>
                <w:gridAfter w:val="5"/>
                <w:wBefore w:w="324" w:type="dxa"/>
                <w:wAfter w:w="668"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交通发展工作</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持续向好</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3"/>
                <w:gridAfter w:val="5"/>
                <w:wBefore w:w="324" w:type="dxa"/>
                <w:wAfter w:w="668" w:type="dxa"/>
                <w:trHeight w:val="530" w:hRule="atLeast"/>
              </w:trPr>
              <w:tc>
                <w:tcPr>
                  <w:tcW w:w="1976" w:type="dxa"/>
                  <w:gridSpan w:val="8"/>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群众满意度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90%</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2"/>
                <w:gridAfter w:val="6"/>
                <w:wBefore w:w="216" w:type="dxa"/>
                <w:wAfter w:w="776" w:type="dxa"/>
                <w:trHeight w:val="675" w:hRule="atLeast"/>
              </w:trPr>
              <w:tc>
                <w:tcPr>
                  <w:tcW w:w="9575" w:type="dxa"/>
                  <w:gridSpan w:val="48"/>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gridBefore w:val="2"/>
                <w:gridAfter w:val="6"/>
                <w:wBefore w:w="216" w:type="dxa"/>
                <w:wAfter w:w="776" w:type="dxa"/>
                <w:trHeight w:val="254" w:hRule="atLeast"/>
              </w:trPr>
              <w:tc>
                <w:tcPr>
                  <w:tcW w:w="31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154001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西区农业农村和交通运输局</w:t>
                  </w:r>
                </w:p>
              </w:tc>
            </w:tr>
            <w:tr>
              <w:tblPrEx>
                <w:tblCellMar>
                  <w:top w:w="0" w:type="dxa"/>
                  <w:left w:w="108" w:type="dxa"/>
                  <w:bottom w:w="0" w:type="dxa"/>
                  <w:right w:w="108" w:type="dxa"/>
                </w:tblCellMar>
              </w:tblPrEx>
              <w:trPr>
                <w:gridBefore w:val="2"/>
                <w:gridAfter w:val="6"/>
                <w:wBefore w:w="216" w:type="dxa"/>
                <w:wAfter w:w="776" w:type="dxa"/>
                <w:trHeight w:val="341" w:hRule="atLeast"/>
              </w:trPr>
              <w:tc>
                <w:tcPr>
                  <w:tcW w:w="311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51.27</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51.27</w:t>
                  </w:r>
                </w:p>
              </w:tc>
            </w:tr>
            <w:tr>
              <w:tblPrEx>
                <w:tblCellMar>
                  <w:top w:w="0" w:type="dxa"/>
                  <w:left w:w="108" w:type="dxa"/>
                  <w:bottom w:w="0" w:type="dxa"/>
                  <w:right w:w="108" w:type="dxa"/>
                </w:tblCellMar>
              </w:tblPrEx>
              <w:trPr>
                <w:gridBefore w:val="2"/>
                <w:gridAfter w:val="6"/>
                <w:wBefore w:w="216" w:type="dxa"/>
                <w:wAfter w:w="776" w:type="dxa"/>
                <w:trHeight w:val="555" w:hRule="atLeast"/>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51.27</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51.27</w:t>
                  </w:r>
                </w:p>
              </w:tc>
            </w:tr>
            <w:tr>
              <w:tblPrEx>
                <w:tblCellMar>
                  <w:top w:w="0" w:type="dxa"/>
                  <w:left w:w="108" w:type="dxa"/>
                  <w:bottom w:w="0" w:type="dxa"/>
                  <w:right w:w="108" w:type="dxa"/>
                </w:tblCellMar>
              </w:tblPrEx>
              <w:trPr>
                <w:gridBefore w:val="2"/>
                <w:gridAfter w:val="6"/>
                <w:wBefore w:w="216" w:type="dxa"/>
                <w:wAfter w:w="776" w:type="dxa"/>
                <w:trHeight w:val="341" w:hRule="atLeast"/>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Before w:val="2"/>
                <w:gridAfter w:val="6"/>
                <w:wBefore w:w="216" w:type="dxa"/>
                <w:wAfter w:w="776" w:type="dxa"/>
                <w:trHeight w:val="217" w:hRule="atLeast"/>
              </w:trPr>
              <w:tc>
                <w:tcPr>
                  <w:tcW w:w="19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Before w:val="2"/>
                <w:gridAfter w:val="6"/>
                <w:wBefore w:w="216" w:type="dxa"/>
                <w:wAfter w:w="776" w:type="dxa"/>
                <w:trHeight w:val="797" w:hRule="atLeast"/>
              </w:trPr>
              <w:tc>
                <w:tcPr>
                  <w:tcW w:w="19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完成辖区约110公里道路日常养护工作</w:t>
                  </w:r>
                </w:p>
              </w:tc>
              <w:tc>
                <w:tcPr>
                  <w:tcW w:w="3633" w:type="dxa"/>
                  <w:gridSpan w:val="16"/>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p>
              </w:tc>
            </w:tr>
            <w:tr>
              <w:tblPrEx>
                <w:tblCellMar>
                  <w:top w:w="0" w:type="dxa"/>
                  <w:left w:w="108" w:type="dxa"/>
                  <w:bottom w:w="0" w:type="dxa"/>
                  <w:right w:w="108" w:type="dxa"/>
                </w:tblCellMar>
              </w:tblPrEx>
              <w:trPr>
                <w:gridBefore w:val="2"/>
                <w:gridAfter w:val="6"/>
                <w:wBefore w:w="216" w:type="dxa"/>
                <w:wAfter w:w="776" w:type="dxa"/>
                <w:trHeight w:val="693" w:hRule="atLeast"/>
              </w:trPr>
              <w:tc>
                <w:tcPr>
                  <w:tcW w:w="1976" w:type="dxa"/>
                  <w:gridSpan w:val="8"/>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Before w:val="2"/>
                <w:gridAfter w:val="6"/>
                <w:wBefore w:w="216" w:type="dxa"/>
                <w:wAfter w:w="776"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县乡道长度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110公里</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2"/>
                <w:gridAfter w:val="6"/>
                <w:wBefore w:w="216" w:type="dxa"/>
                <w:wAfter w:w="776"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合格率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2"/>
                <w:gridAfter w:val="6"/>
                <w:wBefore w:w="216" w:type="dxa"/>
                <w:wAfter w:w="776"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完成时间</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2021年底</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2"/>
                <w:gridAfter w:val="6"/>
                <w:wBefore w:w="216" w:type="dxa"/>
                <w:wAfter w:w="776"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公路日常养护劳务费等</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51.27万元</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2"/>
                <w:gridAfter w:val="6"/>
                <w:wBefore w:w="216" w:type="dxa"/>
                <w:wAfter w:w="776"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2"/>
                <w:gridAfter w:val="6"/>
                <w:wBefore w:w="216" w:type="dxa"/>
                <w:wAfter w:w="776"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道路安全出行</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群众满意</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2"/>
                <w:gridAfter w:val="6"/>
                <w:wBefore w:w="216" w:type="dxa"/>
                <w:wAfter w:w="776" w:type="dxa"/>
                <w:trHeight w:val="577"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2"/>
                <w:gridAfter w:val="6"/>
                <w:wBefore w:w="216" w:type="dxa"/>
                <w:wAfter w:w="776"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道路环境</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持续向好</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2"/>
                <w:gridAfter w:val="6"/>
                <w:wBefore w:w="216" w:type="dxa"/>
                <w:wAfter w:w="776" w:type="dxa"/>
                <w:trHeight w:val="530" w:hRule="atLeast"/>
              </w:trPr>
              <w:tc>
                <w:tcPr>
                  <w:tcW w:w="1976" w:type="dxa"/>
                  <w:gridSpan w:val="8"/>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群众满意度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gridAfter w:val="4"/>
                <w:wBefore w:w="108" w:type="dxa"/>
                <w:wAfter w:w="648" w:type="dxa"/>
                <w:trHeight w:val="675" w:hRule="atLeast"/>
              </w:trPr>
              <w:tc>
                <w:tcPr>
                  <w:tcW w:w="9575" w:type="dxa"/>
                  <w:gridSpan w:val="48"/>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6" w:type="dxa"/>
                  <w:gridSpan w:val="3"/>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Before w:val="1"/>
                <w:gridAfter w:val="7"/>
                <w:wBefore w:w="108" w:type="dxa"/>
                <w:wAfter w:w="884" w:type="dxa"/>
                <w:trHeight w:val="254" w:hRule="atLeast"/>
              </w:trPr>
              <w:tc>
                <w:tcPr>
                  <w:tcW w:w="31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154001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西区农业农村和交通运输局</w:t>
                  </w:r>
                </w:p>
              </w:tc>
            </w:tr>
            <w:tr>
              <w:tblPrEx>
                <w:tblCellMar>
                  <w:top w:w="0" w:type="dxa"/>
                  <w:left w:w="108" w:type="dxa"/>
                  <w:bottom w:w="0" w:type="dxa"/>
                  <w:right w:w="108" w:type="dxa"/>
                </w:tblCellMar>
              </w:tblPrEx>
              <w:trPr>
                <w:gridBefore w:val="1"/>
                <w:gridAfter w:val="7"/>
                <w:wBefore w:w="108" w:type="dxa"/>
                <w:wAfter w:w="884" w:type="dxa"/>
                <w:trHeight w:val="341" w:hRule="atLeast"/>
              </w:trPr>
              <w:tc>
                <w:tcPr>
                  <w:tcW w:w="311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7.62</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7.62</w:t>
                  </w:r>
                </w:p>
              </w:tc>
            </w:tr>
            <w:tr>
              <w:tblPrEx>
                <w:tblCellMar>
                  <w:top w:w="0" w:type="dxa"/>
                  <w:left w:w="108" w:type="dxa"/>
                  <w:bottom w:w="0" w:type="dxa"/>
                  <w:right w:w="108" w:type="dxa"/>
                </w:tblCellMar>
              </w:tblPrEx>
              <w:trPr>
                <w:gridBefore w:val="1"/>
                <w:gridAfter w:val="7"/>
                <w:wBefore w:w="108" w:type="dxa"/>
                <w:wAfter w:w="884" w:type="dxa"/>
                <w:trHeight w:val="555" w:hRule="atLeast"/>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7.62</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7.62</w:t>
                  </w:r>
                </w:p>
              </w:tc>
            </w:tr>
            <w:tr>
              <w:tblPrEx>
                <w:tblCellMar>
                  <w:top w:w="0" w:type="dxa"/>
                  <w:left w:w="108" w:type="dxa"/>
                  <w:bottom w:w="0" w:type="dxa"/>
                  <w:right w:w="108" w:type="dxa"/>
                </w:tblCellMar>
              </w:tblPrEx>
              <w:trPr>
                <w:gridBefore w:val="1"/>
                <w:gridAfter w:val="7"/>
                <w:wBefore w:w="108" w:type="dxa"/>
                <w:wAfter w:w="884" w:type="dxa"/>
                <w:trHeight w:val="341" w:hRule="atLeast"/>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Before w:val="1"/>
                <w:gridAfter w:val="7"/>
                <w:wBefore w:w="108" w:type="dxa"/>
                <w:wAfter w:w="884" w:type="dxa"/>
                <w:trHeight w:val="217" w:hRule="atLeast"/>
              </w:trPr>
              <w:tc>
                <w:tcPr>
                  <w:tcW w:w="19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Before w:val="1"/>
                <w:gridAfter w:val="7"/>
                <w:wBefore w:w="108" w:type="dxa"/>
                <w:wAfter w:w="884" w:type="dxa"/>
                <w:trHeight w:val="797" w:hRule="atLeast"/>
              </w:trPr>
              <w:tc>
                <w:tcPr>
                  <w:tcW w:w="19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完成2021年水上交通安全工作</w:t>
                  </w:r>
                </w:p>
              </w:tc>
              <w:tc>
                <w:tcPr>
                  <w:tcW w:w="3633" w:type="dxa"/>
                  <w:gridSpan w:val="16"/>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Before w:val="1"/>
                <w:gridAfter w:val="7"/>
                <w:wBefore w:w="108" w:type="dxa"/>
                <w:wAfter w:w="884" w:type="dxa"/>
                <w:trHeight w:val="693" w:hRule="atLeast"/>
              </w:trPr>
              <w:tc>
                <w:tcPr>
                  <w:tcW w:w="1976" w:type="dxa"/>
                  <w:gridSpan w:val="8"/>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Before w:val="1"/>
                <w:gridAfter w:val="7"/>
                <w:wBefore w:w="108" w:type="dxa"/>
                <w:wAfter w:w="884"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日常水上巡航巡查工作、海巡艇保养维修</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3"/>
                      <w:szCs w:val="13"/>
                    </w:rPr>
                  </w:pPr>
                  <w:r>
                    <w:rPr>
                      <w:rFonts w:hint="eastAsia" w:ascii="仿宋_GB2312" w:hAnsi="仿宋_GB2312" w:eastAsia="仿宋_GB2312" w:cs="仿宋_GB2312"/>
                      <w:sz w:val="13"/>
                      <w:szCs w:val="13"/>
                    </w:rPr>
                    <w:t>约20余次和约2次</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gridAfter w:val="7"/>
                <w:wBefore w:w="108" w:type="dxa"/>
                <w:wAfter w:w="884"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保质完成</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gridAfter w:val="7"/>
                <w:wBefore w:w="108" w:type="dxa"/>
                <w:wAfter w:w="884"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3"/>
                      <w:szCs w:val="13"/>
                    </w:rPr>
                  </w:pPr>
                  <w:r>
                    <w:rPr>
                      <w:rFonts w:hint="eastAsia" w:ascii="仿宋_GB2312" w:hAnsi="仿宋_GB2312" w:eastAsia="仿宋_GB2312" w:cs="仿宋_GB2312"/>
                      <w:sz w:val="13"/>
                      <w:szCs w:val="13"/>
                    </w:rPr>
                    <w:t>水上交通安全管理</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2021年底</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gridAfter w:val="7"/>
                <w:wBefore w:w="108" w:type="dxa"/>
                <w:wAfter w:w="884"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水上交通专项工作经费</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7.62万元</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gridAfter w:val="7"/>
                <w:wBefore w:w="108" w:type="dxa"/>
                <w:wAfter w:w="884"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1"/>
                <w:gridAfter w:val="7"/>
                <w:wBefore w:w="108" w:type="dxa"/>
                <w:wAfter w:w="884"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西区水上安全</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确保水上交通安全</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gridAfter w:val="7"/>
                <w:wBefore w:w="108" w:type="dxa"/>
                <w:wAfter w:w="884" w:type="dxa"/>
                <w:trHeight w:val="577"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Before w:val="1"/>
                <w:gridAfter w:val="7"/>
                <w:wBefore w:w="108" w:type="dxa"/>
                <w:wAfter w:w="884"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水上交通安全</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持续向好</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Before w:val="1"/>
                <w:gridAfter w:val="7"/>
                <w:wBefore w:w="108" w:type="dxa"/>
                <w:wAfter w:w="884" w:type="dxa"/>
                <w:trHeight w:val="530" w:hRule="atLeast"/>
              </w:trPr>
              <w:tc>
                <w:tcPr>
                  <w:tcW w:w="1976" w:type="dxa"/>
                  <w:gridSpan w:val="8"/>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群众满意度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85%以上</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8"/>
                <w:wAfter w:w="992" w:type="dxa"/>
                <w:trHeight w:val="675" w:hRule="atLeast"/>
              </w:trPr>
              <w:tc>
                <w:tcPr>
                  <w:tcW w:w="9575" w:type="dxa"/>
                  <w:gridSpan w:val="48"/>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gridAfter w:val="8"/>
                <w:wAfter w:w="992" w:type="dxa"/>
                <w:trHeight w:val="254" w:hRule="atLeast"/>
              </w:trPr>
              <w:tc>
                <w:tcPr>
                  <w:tcW w:w="31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154001</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西区农业农村和交通运输局</w:t>
                  </w:r>
                </w:p>
              </w:tc>
            </w:tr>
            <w:tr>
              <w:tblPrEx>
                <w:tblCellMar>
                  <w:top w:w="0" w:type="dxa"/>
                  <w:left w:w="108" w:type="dxa"/>
                  <w:bottom w:w="0" w:type="dxa"/>
                  <w:right w:w="108" w:type="dxa"/>
                </w:tblCellMar>
              </w:tblPrEx>
              <w:trPr>
                <w:gridAfter w:val="8"/>
                <w:wAfter w:w="992" w:type="dxa"/>
                <w:trHeight w:val="341" w:hRule="atLeast"/>
              </w:trPr>
              <w:tc>
                <w:tcPr>
                  <w:tcW w:w="3118"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4.24</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4.24</w:t>
                  </w:r>
                </w:p>
              </w:tc>
            </w:tr>
            <w:tr>
              <w:tblPrEx>
                <w:tblCellMar>
                  <w:top w:w="0" w:type="dxa"/>
                  <w:left w:w="108" w:type="dxa"/>
                  <w:bottom w:w="0" w:type="dxa"/>
                  <w:right w:w="108" w:type="dxa"/>
                </w:tblCellMar>
              </w:tblPrEx>
              <w:trPr>
                <w:gridAfter w:val="8"/>
                <w:wAfter w:w="992" w:type="dxa"/>
                <w:trHeight w:val="555" w:hRule="atLeast"/>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4.24</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4.24</w:t>
                  </w:r>
                </w:p>
              </w:tc>
            </w:tr>
            <w:tr>
              <w:tblPrEx>
                <w:tblCellMar>
                  <w:top w:w="0" w:type="dxa"/>
                  <w:left w:w="108" w:type="dxa"/>
                  <w:bottom w:w="0" w:type="dxa"/>
                  <w:right w:w="108" w:type="dxa"/>
                </w:tblCellMar>
              </w:tblPrEx>
              <w:trPr>
                <w:gridAfter w:val="8"/>
                <w:wAfter w:w="992" w:type="dxa"/>
                <w:trHeight w:val="341" w:hRule="atLeast"/>
              </w:trPr>
              <w:tc>
                <w:tcPr>
                  <w:tcW w:w="3118"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8"/>
                <w:wAfter w:w="992" w:type="dxa"/>
                <w:trHeight w:val="217" w:hRule="atLeast"/>
              </w:trPr>
              <w:tc>
                <w:tcPr>
                  <w:tcW w:w="197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8"/>
                <w:wAfter w:w="992" w:type="dxa"/>
                <w:trHeight w:val="797" w:hRule="atLeast"/>
              </w:trPr>
              <w:tc>
                <w:tcPr>
                  <w:tcW w:w="197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2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完成非法客运专项整治攻坚行动</w:t>
                  </w:r>
                </w:p>
              </w:tc>
              <w:tc>
                <w:tcPr>
                  <w:tcW w:w="3633" w:type="dxa"/>
                  <w:gridSpan w:val="16"/>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After w:val="8"/>
                <w:wAfter w:w="992" w:type="dxa"/>
                <w:trHeight w:val="693" w:hRule="atLeast"/>
              </w:trPr>
              <w:tc>
                <w:tcPr>
                  <w:tcW w:w="1976" w:type="dxa"/>
                  <w:gridSpan w:val="8"/>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8"/>
                <w:wAfter w:w="992"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非法客运专项整治</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西区辖区</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8"/>
                <w:wAfter w:w="992"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非法客运专项整治</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保质完成</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8"/>
                <w:wAfter w:w="992" w:type="dxa"/>
                <w:trHeight w:val="415"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2021年底</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8"/>
                <w:wAfter w:w="992"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专项经费</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4.24万元</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8"/>
                <w:wAfter w:w="992"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8"/>
                <w:wAfter w:w="992"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群众出行安全</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改善</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8"/>
                <w:wAfter w:w="992" w:type="dxa"/>
                <w:trHeight w:val="577"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8"/>
                <w:wAfter w:w="992" w:type="dxa"/>
                <w:trHeight w:val="480" w:hRule="atLeast"/>
              </w:trPr>
              <w:tc>
                <w:tcPr>
                  <w:tcW w:w="1976" w:type="dxa"/>
                  <w:gridSpan w:val="8"/>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交通客运环境</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持续向好</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8"/>
                <w:wAfter w:w="992" w:type="dxa"/>
                <w:trHeight w:val="530" w:hRule="atLeast"/>
              </w:trPr>
              <w:tc>
                <w:tcPr>
                  <w:tcW w:w="1976" w:type="dxa"/>
                  <w:gridSpan w:val="8"/>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群众满意度</w:t>
                  </w:r>
                </w:p>
              </w:tc>
              <w:tc>
                <w:tcPr>
                  <w:tcW w:w="122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满意</w:t>
                  </w:r>
                </w:p>
              </w:tc>
              <w:tc>
                <w:tcPr>
                  <w:tcW w:w="240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bl>
          <w:p>
            <w:pPr>
              <w:widowControl/>
              <w:jc w:val="center"/>
              <w:textAlignment w:val="center"/>
              <w:rPr>
                <w:rFonts w:ascii="宋体" w:hAnsi="宋体" w:cs="宋体"/>
                <w:b/>
                <w:sz w:val="32"/>
                <w:szCs w:val="32"/>
              </w:rPr>
            </w:pP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bl>
    <w:p>
      <w:pPr>
        <w:spacing w:line="600" w:lineRule="exact"/>
        <w:jc w:val="center"/>
        <w:outlineLvl w:val="0"/>
        <w:rPr>
          <w:rFonts w:ascii="黑体" w:hAnsi="黑体" w:eastAsia="黑体"/>
          <w:sz w:val="44"/>
          <w:szCs w:val="44"/>
        </w:rPr>
      </w:pPr>
    </w:p>
    <w:p>
      <w:pPr>
        <w:pStyle w:val="2"/>
        <w:spacing w:before="93"/>
        <w:rPr>
          <w:rFonts w:ascii="黑体" w:hAnsi="黑体" w:eastAsia="黑体"/>
          <w:sz w:val="44"/>
          <w:szCs w:val="44"/>
        </w:rPr>
      </w:pPr>
    </w:p>
    <w:p>
      <w:pPr>
        <w:pStyle w:val="2"/>
        <w:spacing w:before="93"/>
        <w:rPr>
          <w:rFonts w:ascii="黑体" w:hAnsi="黑体" w:eastAsia="黑体"/>
          <w:sz w:val="44"/>
          <w:szCs w:val="44"/>
        </w:rPr>
      </w:pPr>
    </w:p>
    <w:p>
      <w:pPr>
        <w:spacing w:line="600" w:lineRule="exact"/>
        <w:jc w:val="center"/>
        <w:outlineLvl w:val="0"/>
        <w:rPr>
          <w:rFonts w:ascii="黑体" w:hAnsi="黑体" w:eastAsia="黑体"/>
          <w:sz w:val="44"/>
          <w:szCs w:val="44"/>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6"/>
          <w:rFonts w:hint="eastAsia" w:ascii="仿宋" w:hAnsi="仿宋" w:eastAsia="仿宋"/>
          <w:b w:val="0"/>
          <w:bCs w:val="0"/>
        </w:rPr>
        <w:t>入决算表</w:t>
      </w:r>
      <w:bookmarkEnd w:id="55"/>
    </w:p>
    <w:p>
      <w:pPr>
        <w:pStyle w:val="4"/>
        <w:rPr>
          <w:rFonts w:ascii="仿宋" w:hAnsi="仿宋" w:eastAsia="仿宋"/>
        </w:rPr>
      </w:pPr>
      <w:bookmarkStart w:id="5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7"/>
    </w:p>
    <w:p>
      <w:pPr>
        <w:pStyle w:val="4"/>
        <w:rPr>
          <w:rStyle w:val="26"/>
          <w:rFonts w:ascii="仿宋" w:hAnsi="仿宋" w:eastAsia="仿宋"/>
          <w:b w:val="0"/>
          <w:bCs w:val="0"/>
        </w:rPr>
      </w:pPr>
      <w:bookmarkStart w:id="5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3"/>
    </w:p>
    <w:p>
      <w:pPr>
        <w:pStyle w:val="4"/>
        <w:rPr>
          <w:rFonts w:ascii="仿宋" w:hAnsi="仿宋" w:eastAsia="仿宋"/>
        </w:rPr>
      </w:pPr>
      <w:bookmarkStart w:id="64"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4"/>
    </w:p>
    <w:p>
      <w:pPr>
        <w:pStyle w:val="4"/>
        <w:rPr>
          <w:rFonts w:ascii="仿宋" w:hAnsi="仿宋" w:eastAsia="仿宋"/>
        </w:rPr>
      </w:pPr>
      <w:bookmarkStart w:id="65"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65"/>
    </w:p>
    <w:p>
      <w:pPr>
        <w:pStyle w:val="4"/>
        <w:rPr>
          <w:rStyle w:val="26"/>
          <w:rFonts w:ascii="仿宋" w:hAnsi="仿宋" w:eastAsia="仿宋"/>
          <w:b w:val="0"/>
          <w:bCs w:val="0"/>
        </w:rPr>
      </w:pPr>
      <w:bookmarkStart w:id="66"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66"/>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32</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abstractNum w:abstractNumId="4">
    <w:nsid w:val="4774010A"/>
    <w:multiLevelType w:val="multilevel"/>
    <w:tmpl w:val="4774010A"/>
    <w:lvl w:ilvl="0" w:tentative="0">
      <w:start w:val="1"/>
      <w:numFmt w:val="japaneseCounting"/>
      <w:lvlText w:val="%1、"/>
      <w:lvlJc w:val="left"/>
      <w:pPr>
        <w:ind w:left="802" w:hanging="6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JiYmQwZWRkM2Y5NDNiNDY1ZTFiYWQxMWYzNjkyYTcifQ=="/>
  </w:docVars>
  <w:rsids>
    <w:rsidRoot w:val="00F1361C"/>
    <w:rsid w:val="000046AD"/>
    <w:rsid w:val="000222C6"/>
    <w:rsid w:val="0002549F"/>
    <w:rsid w:val="000468DB"/>
    <w:rsid w:val="00056C2B"/>
    <w:rsid w:val="0006487A"/>
    <w:rsid w:val="00064AE2"/>
    <w:rsid w:val="00065F8F"/>
    <w:rsid w:val="00070A43"/>
    <w:rsid w:val="00073F74"/>
    <w:rsid w:val="000768F2"/>
    <w:rsid w:val="0009184B"/>
    <w:rsid w:val="00094236"/>
    <w:rsid w:val="0009593C"/>
    <w:rsid w:val="00097322"/>
    <w:rsid w:val="000A6A92"/>
    <w:rsid w:val="000B047F"/>
    <w:rsid w:val="000B5923"/>
    <w:rsid w:val="000B5A48"/>
    <w:rsid w:val="000B6FF3"/>
    <w:rsid w:val="000C2A28"/>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6825"/>
    <w:rsid w:val="00220536"/>
    <w:rsid w:val="00225B16"/>
    <w:rsid w:val="00226ACD"/>
    <w:rsid w:val="00234F04"/>
    <w:rsid w:val="00235629"/>
    <w:rsid w:val="00260C38"/>
    <w:rsid w:val="002616C0"/>
    <w:rsid w:val="00265372"/>
    <w:rsid w:val="002662AA"/>
    <w:rsid w:val="00280496"/>
    <w:rsid w:val="002900A8"/>
    <w:rsid w:val="00294DC9"/>
    <w:rsid w:val="00295495"/>
    <w:rsid w:val="002A31DE"/>
    <w:rsid w:val="002B2613"/>
    <w:rsid w:val="002D0424"/>
    <w:rsid w:val="002D11AD"/>
    <w:rsid w:val="002D6D05"/>
    <w:rsid w:val="002D7F4E"/>
    <w:rsid w:val="002E69A2"/>
    <w:rsid w:val="002F1818"/>
    <w:rsid w:val="002F567B"/>
    <w:rsid w:val="003216A9"/>
    <w:rsid w:val="00335A74"/>
    <w:rsid w:val="00345720"/>
    <w:rsid w:val="0036561B"/>
    <w:rsid w:val="0037013F"/>
    <w:rsid w:val="00376F94"/>
    <w:rsid w:val="00380C92"/>
    <w:rsid w:val="003850E9"/>
    <w:rsid w:val="003A484F"/>
    <w:rsid w:val="003A4883"/>
    <w:rsid w:val="003B0BE0"/>
    <w:rsid w:val="003B0C1B"/>
    <w:rsid w:val="003B688C"/>
    <w:rsid w:val="003C0291"/>
    <w:rsid w:val="003C39AE"/>
    <w:rsid w:val="003C7B60"/>
    <w:rsid w:val="003D0C0F"/>
    <w:rsid w:val="003D1FB2"/>
    <w:rsid w:val="003D66DA"/>
    <w:rsid w:val="003E1310"/>
    <w:rsid w:val="003E6F55"/>
    <w:rsid w:val="00403706"/>
    <w:rsid w:val="00406254"/>
    <w:rsid w:val="004223DE"/>
    <w:rsid w:val="00434489"/>
    <w:rsid w:val="00437085"/>
    <w:rsid w:val="00443880"/>
    <w:rsid w:val="004464F4"/>
    <w:rsid w:val="00457A55"/>
    <w:rsid w:val="00471401"/>
    <w:rsid w:val="00473F31"/>
    <w:rsid w:val="0048263A"/>
    <w:rsid w:val="00487E5D"/>
    <w:rsid w:val="00487E79"/>
    <w:rsid w:val="00497BEC"/>
    <w:rsid w:val="004A19B5"/>
    <w:rsid w:val="004A711F"/>
    <w:rsid w:val="004B199D"/>
    <w:rsid w:val="004B4690"/>
    <w:rsid w:val="004E0A2D"/>
    <w:rsid w:val="004E206B"/>
    <w:rsid w:val="004E6DF7"/>
    <w:rsid w:val="004F0FBD"/>
    <w:rsid w:val="00505A47"/>
    <w:rsid w:val="00512FDA"/>
    <w:rsid w:val="00520DA0"/>
    <w:rsid w:val="00525540"/>
    <w:rsid w:val="00540FBB"/>
    <w:rsid w:val="005664BB"/>
    <w:rsid w:val="00566FFA"/>
    <w:rsid w:val="0057481D"/>
    <w:rsid w:val="0058486E"/>
    <w:rsid w:val="00585B33"/>
    <w:rsid w:val="0059014D"/>
    <w:rsid w:val="005969FC"/>
    <w:rsid w:val="005B5C64"/>
    <w:rsid w:val="005C5337"/>
    <w:rsid w:val="005C6BD0"/>
    <w:rsid w:val="005D1C8B"/>
    <w:rsid w:val="005D468D"/>
    <w:rsid w:val="005D5CED"/>
    <w:rsid w:val="005E4591"/>
    <w:rsid w:val="005F1A4C"/>
    <w:rsid w:val="00605688"/>
    <w:rsid w:val="006070AF"/>
    <w:rsid w:val="00607E6C"/>
    <w:rsid w:val="006101B1"/>
    <w:rsid w:val="00614E44"/>
    <w:rsid w:val="00617AF8"/>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1376C"/>
    <w:rsid w:val="008146C3"/>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596C"/>
    <w:rsid w:val="009315F9"/>
    <w:rsid w:val="00933499"/>
    <w:rsid w:val="00935C98"/>
    <w:rsid w:val="00946945"/>
    <w:rsid w:val="00951248"/>
    <w:rsid w:val="0095152F"/>
    <w:rsid w:val="00954C49"/>
    <w:rsid w:val="00955E37"/>
    <w:rsid w:val="0097099F"/>
    <w:rsid w:val="00971997"/>
    <w:rsid w:val="00971FFC"/>
    <w:rsid w:val="0098660A"/>
    <w:rsid w:val="009931C3"/>
    <w:rsid w:val="00996815"/>
    <w:rsid w:val="009B2491"/>
    <w:rsid w:val="009B2C43"/>
    <w:rsid w:val="009B4EAE"/>
    <w:rsid w:val="009B7573"/>
    <w:rsid w:val="009C22F4"/>
    <w:rsid w:val="009C2A4B"/>
    <w:rsid w:val="009C2E98"/>
    <w:rsid w:val="009D3447"/>
    <w:rsid w:val="009D383B"/>
    <w:rsid w:val="009D4711"/>
    <w:rsid w:val="009F1185"/>
    <w:rsid w:val="009F18CD"/>
    <w:rsid w:val="009F2A13"/>
    <w:rsid w:val="009F7527"/>
    <w:rsid w:val="009F7693"/>
    <w:rsid w:val="00A04EB0"/>
    <w:rsid w:val="00A13CC1"/>
    <w:rsid w:val="00A15AC2"/>
    <w:rsid w:val="00A16847"/>
    <w:rsid w:val="00A237D8"/>
    <w:rsid w:val="00A268C4"/>
    <w:rsid w:val="00A307CD"/>
    <w:rsid w:val="00A331C8"/>
    <w:rsid w:val="00A40A00"/>
    <w:rsid w:val="00A4142F"/>
    <w:rsid w:val="00A41757"/>
    <w:rsid w:val="00A422EB"/>
    <w:rsid w:val="00A45BB7"/>
    <w:rsid w:val="00A56DF2"/>
    <w:rsid w:val="00A56E6E"/>
    <w:rsid w:val="00A67AB5"/>
    <w:rsid w:val="00A733B2"/>
    <w:rsid w:val="00A741C2"/>
    <w:rsid w:val="00A91760"/>
    <w:rsid w:val="00A93B00"/>
    <w:rsid w:val="00A93C21"/>
    <w:rsid w:val="00AB64C9"/>
    <w:rsid w:val="00AC3C6A"/>
    <w:rsid w:val="00AD1429"/>
    <w:rsid w:val="00AD5620"/>
    <w:rsid w:val="00AD656B"/>
    <w:rsid w:val="00AD7C1B"/>
    <w:rsid w:val="00AE16BA"/>
    <w:rsid w:val="00AE1EBE"/>
    <w:rsid w:val="00B00709"/>
    <w:rsid w:val="00B03C9D"/>
    <w:rsid w:val="00B060AE"/>
    <w:rsid w:val="00B10517"/>
    <w:rsid w:val="00B1197E"/>
    <w:rsid w:val="00B14E76"/>
    <w:rsid w:val="00B161B8"/>
    <w:rsid w:val="00B2048C"/>
    <w:rsid w:val="00B310B9"/>
    <w:rsid w:val="00B35F3F"/>
    <w:rsid w:val="00B36CBB"/>
    <w:rsid w:val="00B425E0"/>
    <w:rsid w:val="00B440AA"/>
    <w:rsid w:val="00B44B70"/>
    <w:rsid w:val="00B472A2"/>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13343"/>
    <w:rsid w:val="00C155FF"/>
    <w:rsid w:val="00C33E72"/>
    <w:rsid w:val="00C354B2"/>
    <w:rsid w:val="00C35554"/>
    <w:rsid w:val="00C42709"/>
    <w:rsid w:val="00C533CC"/>
    <w:rsid w:val="00C5751C"/>
    <w:rsid w:val="00C61BFC"/>
    <w:rsid w:val="00C62B85"/>
    <w:rsid w:val="00C65438"/>
    <w:rsid w:val="00C87FD8"/>
    <w:rsid w:val="00C91381"/>
    <w:rsid w:val="00C91CBB"/>
    <w:rsid w:val="00CB0E33"/>
    <w:rsid w:val="00CB4E70"/>
    <w:rsid w:val="00CC09B6"/>
    <w:rsid w:val="00CC666F"/>
    <w:rsid w:val="00CD1E3F"/>
    <w:rsid w:val="00CE44F6"/>
    <w:rsid w:val="00CE49DA"/>
    <w:rsid w:val="00CE7B61"/>
    <w:rsid w:val="00D00095"/>
    <w:rsid w:val="00D114F0"/>
    <w:rsid w:val="00D13EED"/>
    <w:rsid w:val="00D20620"/>
    <w:rsid w:val="00D254F7"/>
    <w:rsid w:val="00D26091"/>
    <w:rsid w:val="00D2685C"/>
    <w:rsid w:val="00D34E7C"/>
    <w:rsid w:val="00D35489"/>
    <w:rsid w:val="00D36AFE"/>
    <w:rsid w:val="00D51276"/>
    <w:rsid w:val="00D7035F"/>
    <w:rsid w:val="00DA5818"/>
    <w:rsid w:val="00DA634F"/>
    <w:rsid w:val="00DA65AC"/>
    <w:rsid w:val="00DB1913"/>
    <w:rsid w:val="00DC410D"/>
    <w:rsid w:val="00DC5A81"/>
    <w:rsid w:val="00DC68CA"/>
    <w:rsid w:val="00DC7CBA"/>
    <w:rsid w:val="00DD73B7"/>
    <w:rsid w:val="00DF28BC"/>
    <w:rsid w:val="00DF34B9"/>
    <w:rsid w:val="00E01053"/>
    <w:rsid w:val="00E03237"/>
    <w:rsid w:val="00E04091"/>
    <w:rsid w:val="00E07ACF"/>
    <w:rsid w:val="00E2341B"/>
    <w:rsid w:val="00E331A1"/>
    <w:rsid w:val="00E33202"/>
    <w:rsid w:val="00E336A9"/>
    <w:rsid w:val="00E4394B"/>
    <w:rsid w:val="00E455C6"/>
    <w:rsid w:val="00E472B1"/>
    <w:rsid w:val="00E50624"/>
    <w:rsid w:val="00E568DF"/>
    <w:rsid w:val="00E64269"/>
    <w:rsid w:val="00E82267"/>
    <w:rsid w:val="00E853CE"/>
    <w:rsid w:val="00E867B6"/>
    <w:rsid w:val="00EA010F"/>
    <w:rsid w:val="00EC27CB"/>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5FBD"/>
    <w:rsid w:val="00F602DF"/>
    <w:rsid w:val="00F72905"/>
    <w:rsid w:val="00F754A1"/>
    <w:rsid w:val="00F81FD9"/>
    <w:rsid w:val="00F841AA"/>
    <w:rsid w:val="00F84A94"/>
    <w:rsid w:val="00F87E96"/>
    <w:rsid w:val="00FA23E8"/>
    <w:rsid w:val="00FD3CC1"/>
    <w:rsid w:val="00FF1E02"/>
    <w:rsid w:val="00FF30B4"/>
    <w:rsid w:val="09FB32A8"/>
    <w:rsid w:val="0A2032A3"/>
    <w:rsid w:val="0B8A37D8"/>
    <w:rsid w:val="0F6B3F9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9F3A96"/>
    <w:rsid w:val="493C27E9"/>
    <w:rsid w:val="496F39ED"/>
    <w:rsid w:val="49FF41D3"/>
    <w:rsid w:val="4BE068DB"/>
    <w:rsid w:val="4BF6002B"/>
    <w:rsid w:val="4ECE2238"/>
    <w:rsid w:val="51DB4B86"/>
    <w:rsid w:val="55333C3E"/>
    <w:rsid w:val="59201BDC"/>
    <w:rsid w:val="64CA39A1"/>
    <w:rsid w:val="6C4A05C8"/>
    <w:rsid w:val="72734D90"/>
    <w:rsid w:val="76607A0E"/>
    <w:rsid w:val="79E7B28D"/>
    <w:rsid w:val="7B84284C"/>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3"/>
    <w:qFormat/>
    <w:uiPriority w:val="0"/>
    <w:rPr>
      <w:rFonts w:ascii="宋体" w:hAnsi="Courier New"/>
      <w:szCs w:val="22"/>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99"/>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NormalCharacter"/>
    <w:qFormat/>
    <w:uiPriority w:val="0"/>
  </w:style>
  <w:style w:type="paragraph" w:customStyle="1" w:styleId="32">
    <w:name w:val="HtmlNormal"/>
    <w:basedOn w:val="1"/>
    <w:qFormat/>
    <w:uiPriority w:val="0"/>
    <w:pPr>
      <w:widowControl/>
      <w:spacing w:before="100" w:beforeAutospacing="1" w:after="100" w:afterAutospacing="1"/>
      <w:jc w:val="left"/>
      <w:textAlignment w:val="baseline"/>
    </w:pPr>
    <w:rPr>
      <w:rFonts w:ascii="宋体" w:hAnsi="宋体"/>
      <w:kern w:val="0"/>
      <w:sz w:val="24"/>
    </w:rPr>
  </w:style>
  <w:style w:type="character" w:customStyle="1" w:styleId="33">
    <w:name w:val="纯文本 Char"/>
    <w:basedOn w:val="14"/>
    <w:link w:val="7"/>
    <w:qFormat/>
    <w:uiPriority w:val="0"/>
    <w:rPr>
      <w:rFonts w:ascii="宋体" w:hAnsi="Courier New"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[Book1]Sheet1!$E$15:$E$16</c:f>
              <c:strCache>
                <c:ptCount val="2"/>
                <c:pt idx="0">
                  <c:v>2020年度收、支总计（万元）</c:v>
                </c:pt>
                <c:pt idx="1">
                  <c:v>2021年度收、支总计（万元</c:v>
                </c:pt>
              </c:strCache>
            </c:strRef>
          </c:cat>
          <c:val>
            <c:numRef>
              <c:f>[Book1]Sheet1!$F$15:$F$16</c:f>
              <c:numCache>
                <c:formatCode>General</c:formatCode>
                <c:ptCount val="2"/>
                <c:pt idx="0">
                  <c:v>3821.17</c:v>
                </c:pt>
                <c:pt idx="1">
                  <c:v>4106.48</c:v>
                </c:pt>
              </c:numCache>
            </c:numRef>
          </c:val>
        </c:ser>
        <c:dLbls>
          <c:showLegendKey val="0"/>
          <c:showVal val="1"/>
          <c:showCatName val="0"/>
          <c:showSerName val="0"/>
          <c:showPercent val="0"/>
          <c:showBubbleSize val="0"/>
        </c:dLbls>
        <c:gapWidth val="150"/>
        <c:axId val="172610304"/>
        <c:axId val="172611840"/>
      </c:barChart>
      <c:catAx>
        <c:axId val="1726103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2611840"/>
        <c:crosses val="autoZero"/>
        <c:auto val="1"/>
        <c:lblAlgn val="ctr"/>
        <c:lblOffset val="100"/>
        <c:noMultiLvlLbl val="0"/>
      </c:catAx>
      <c:valAx>
        <c:axId val="1726118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261030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[Book1]Sheet1!$E$13:$E$14</c:f>
              <c:strCache>
                <c:ptCount val="2"/>
                <c:pt idx="0">
                  <c:v>本年一般公共预算财政拨款收入（万元）</c:v>
                </c:pt>
                <c:pt idx="1">
                  <c:v>本年政府性基金预算财政拨款收入（万元）</c:v>
                </c:pt>
              </c:strCache>
            </c:strRef>
          </c:cat>
          <c:val>
            <c:numRef>
              <c:f>[Book1]Sheet1!$F$13:$F$14</c:f>
              <c:numCache>
                <c:formatCode>General</c:formatCode>
                <c:ptCount val="2"/>
                <c:pt idx="0">
                  <c:v>3637.78</c:v>
                </c:pt>
                <c:pt idx="1">
                  <c:v>81.86</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[Book1]Sheet1!$E$13:$E$14</c:f>
              <c:strCache>
                <c:ptCount val="2"/>
                <c:pt idx="0">
                  <c:v>本年基本支出（万元）</c:v>
                </c:pt>
                <c:pt idx="1">
                  <c:v>本年项目支出（万元）</c:v>
                </c:pt>
              </c:strCache>
            </c:strRef>
          </c:cat>
          <c:val>
            <c:numRef>
              <c:f>[Book1]Sheet1!$F$13:$F$14</c:f>
              <c:numCache>
                <c:formatCode>General</c:formatCode>
                <c:ptCount val="2"/>
                <c:pt idx="0">
                  <c:v>407.65</c:v>
                </c:pt>
                <c:pt idx="1">
                  <c:v>3643.21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[1]Sheet1!$E$12:$E$13</c:f>
              <c:strCache>
                <c:ptCount val="2"/>
                <c:pt idx="0">
                  <c:v>2020年财政拨款收、支总计（万元）</c:v>
                </c:pt>
                <c:pt idx="1">
                  <c:v>2021年财政拨款收、支总计（万元）</c:v>
                </c:pt>
              </c:strCache>
            </c:strRef>
          </c:cat>
          <c:val>
            <c:numRef>
              <c:f>[1]Sheet1!$F$12:$F$13</c:f>
              <c:numCache>
                <c:formatCode>General</c:formatCode>
                <c:ptCount val="2"/>
                <c:pt idx="0">
                  <c:v>3707.24</c:v>
                </c:pt>
                <c:pt idx="1">
                  <c:v>3966.6</c:v>
                </c:pt>
              </c:numCache>
            </c:numRef>
          </c:val>
        </c:ser>
        <c:dLbls>
          <c:showLegendKey val="0"/>
          <c:showVal val="1"/>
          <c:showCatName val="0"/>
          <c:showSerName val="0"/>
          <c:showPercent val="0"/>
          <c:showBubbleSize val="0"/>
        </c:dLbls>
        <c:gapWidth val="150"/>
        <c:axId val="168724352"/>
        <c:axId val="168725888"/>
      </c:barChart>
      <c:catAx>
        <c:axId val="1687243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725888"/>
        <c:crosses val="autoZero"/>
        <c:auto val="1"/>
        <c:lblAlgn val="ctr"/>
        <c:lblOffset val="100"/>
        <c:noMultiLvlLbl val="0"/>
      </c:catAx>
      <c:valAx>
        <c:axId val="1687258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7243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[Book1]Sheet1!$E$7:$E$8</c:f>
              <c:strCache>
                <c:ptCount val="2"/>
                <c:pt idx="0">
                  <c:v>2020年一般公共预算财政拨款支出（万元）</c:v>
                </c:pt>
                <c:pt idx="1">
                  <c:v>2021年一般公共预算财政拨款支出（万元）</c:v>
                </c:pt>
              </c:strCache>
            </c:strRef>
          </c:cat>
          <c:val>
            <c:numRef>
              <c:f>[Book1]Sheet1!$F$7:$F$8</c:f>
              <c:numCache>
                <c:formatCode>General</c:formatCode>
                <c:ptCount val="2"/>
                <c:pt idx="0">
                  <c:v>1022.3</c:v>
                </c:pt>
                <c:pt idx="1">
                  <c:v>3866.7</c:v>
                </c:pt>
              </c:numCache>
            </c:numRef>
          </c:val>
        </c:ser>
        <c:dLbls>
          <c:showLegendKey val="0"/>
          <c:showVal val="1"/>
          <c:showCatName val="0"/>
          <c:showSerName val="0"/>
          <c:showPercent val="0"/>
          <c:showBubbleSize val="0"/>
        </c:dLbls>
        <c:gapWidth val="150"/>
        <c:axId val="168745984"/>
        <c:axId val="169083648"/>
      </c:barChart>
      <c:catAx>
        <c:axId val="1687459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083648"/>
        <c:crosses val="autoZero"/>
        <c:auto val="1"/>
        <c:lblAlgn val="ctr"/>
        <c:lblOffset val="100"/>
        <c:noMultiLvlLbl val="0"/>
      </c:catAx>
      <c:valAx>
        <c:axId val="1690836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74598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[Book1]Sheet1!$E$6:$E$12</c:f>
              <c:strCache>
                <c:ptCount val="7"/>
                <c:pt idx="0">
                  <c:v>一般公共预算财政拨款支出（万元）</c:v>
                </c:pt>
                <c:pt idx="1">
                  <c:v>其中：社会保障和就业支出（万元）</c:v>
                </c:pt>
                <c:pt idx="2">
                  <c:v>      卫生健康支出（万元）</c:v>
                </c:pt>
                <c:pt idx="3">
                  <c:v>       住房保障支出（万元）</c:v>
                </c:pt>
                <c:pt idx="4">
                  <c:v>       节能环保支出（万元）</c:v>
                </c:pt>
                <c:pt idx="5">
                  <c:v>        农林水支出（万元）</c:v>
                </c:pt>
                <c:pt idx="6">
                  <c:v>        交通运输支出（万元）</c:v>
                </c:pt>
              </c:strCache>
            </c:strRef>
          </c:cat>
          <c:val>
            <c:numRef>
              <c:f>[Book1]Sheet1!$F$6:$F$12</c:f>
              <c:numCache>
                <c:formatCode>General</c:formatCode>
                <c:ptCount val="7"/>
                <c:pt idx="0">
                  <c:v>3866.7</c:v>
                </c:pt>
                <c:pt idx="1">
                  <c:v>39.49</c:v>
                </c:pt>
                <c:pt idx="2">
                  <c:v>16.6</c:v>
                </c:pt>
                <c:pt idx="3">
                  <c:v>25.66</c:v>
                </c:pt>
                <c:pt idx="4">
                  <c:v>2000</c:v>
                </c:pt>
                <c:pt idx="5">
                  <c:v>583.2</c:v>
                </c:pt>
                <c:pt idx="6">
                  <c:v>1201.74</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[1]Sheet1!$E$12:$E$13</c:f>
              <c:strCache>
                <c:ptCount val="2"/>
                <c:pt idx="0">
                  <c:v>公务用车购置及运行维护费（万元）</c:v>
                </c:pt>
                <c:pt idx="1">
                  <c:v>公务接待费（万元）</c:v>
                </c:pt>
              </c:strCache>
            </c:strRef>
          </c:cat>
          <c:val>
            <c:numRef>
              <c:f>[1]Sheet1!$F$12:$F$13</c:f>
              <c:numCache>
                <c:formatCode>General</c:formatCode>
                <c:ptCount val="2"/>
                <c:pt idx="0">
                  <c:v>2.5</c:v>
                </c:pt>
                <c:pt idx="1">
                  <c:v>0.46</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39</Pages>
  <Words>15296</Words>
  <Characters>16698</Characters>
  <Lines>22</Lines>
  <Paragraphs>35</Paragraphs>
  <TotalTime>54</TotalTime>
  <ScaleCrop>false</ScaleCrop>
  <LinksUpToDate>false</LinksUpToDate>
  <CharactersWithSpaces>16780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2023-07-21T05:34:00Z</dcterms:created>
  <dc:creator>曹颖</dc:creator>
  <cp:lastModifiedBy>admin</cp:lastModifiedBy>
  <cp:lastPrinted>2022-08-06T02:23:00Z</cp:lastPrinted>
  <dcterms:modified xsi:type="dcterms:W3CDTF">2023-07-21T14:11:22Z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ADDE7DE90F3E4747A93238ECD20BA493</vt:lpwstr>
  </property>
</Properties>
</file>