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96598"/>
      <w:bookmarkStart w:id="9" w:name="_Toc15377426"/>
      <w:bookmarkStart w:id="10" w:name="_Toc15306268"/>
      <w:bookmarkStart w:id="11" w:name="_Toc15396476"/>
      <w:r>
        <w:rPr>
          <w:rFonts w:hint="eastAsia" w:ascii="方正小标宋简体" w:hAnsi="宋体" w:eastAsia="方正小标宋简体"/>
          <w:color w:val="000000"/>
          <w:sz w:val="72"/>
          <w:szCs w:val="72"/>
        </w:rPr>
        <w:t>四川省攀枝花市西区机关事务服务中心部门决算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spacing w:line="580" w:lineRule="exact"/>
        <w:ind w:firstLine="640" w:firstLineChars="200"/>
        <w:rPr>
          <w:rFonts w:hint="eastAsia" w:ascii="仿宋" w:hAnsi="仿宋" w:eastAsia="仿宋"/>
          <w:bCs/>
          <w:color w:val="000000"/>
          <w:kern w:val="0"/>
          <w:sz w:val="32"/>
          <w:szCs w:val="32"/>
        </w:rPr>
      </w:pPr>
      <w:bookmarkStart w:id="18" w:name="_Toc15378446"/>
      <w:bookmarkStart w:id="19" w:name="_Toc15377199"/>
      <w:r>
        <w:rPr>
          <w:rFonts w:hint="eastAsia" w:ascii="仿宋" w:hAnsi="仿宋" w:eastAsia="仿宋"/>
          <w:bCs/>
          <w:color w:val="000000"/>
          <w:kern w:val="0"/>
          <w:sz w:val="32"/>
          <w:szCs w:val="32"/>
        </w:rPr>
        <w:t>攀枝花市西区机关事务管理局是负责全区行政管理的职能部门，实行局长负责制。</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（1）、贯彻执行国家、省、市有关机关后勤工作的方针、政策；研究制定机关事务管理工作的规章制度并组织实施。拟定市级机关后勤体制改革规划、办法，并组织实施。</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(2)、负责区级机关、事业单位使用财政性资金（含自筹）采购政府集中采购目录以内、采购限额标准以上的货物、工程和服务；接受其他采购人的委托，代理采购货物、工程和服务工作。</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（3）、负责全区机关、事业单位的公务车辆编制审批管理，制定公务车辆配备规则；探索和推进公务用车制度改革；编制公务车辆调整、更新计划工作。</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(4)、负责区级党政机关、人民团体、事业单位非经营性资产管理工作。</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(5)、负责区级机关房地产及基础设施的管理、配置、大宗维修；负责区级机关集中办公、住宅区水电、环境卫生管理和区机关集中办公区安全保卫工作。</w:t>
      </w:r>
    </w:p>
    <w:p>
      <w:pPr>
        <w:spacing w:line="58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(6)、负责区级公共机构节能管理工作，组织开展耗能统计、监测和评价考核工作。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(7)、承办区委、区政府交办的事项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utoSpaceDE w:val="0"/>
        <w:autoSpaceDN w:val="0"/>
        <w:adjustRightInd w:val="0"/>
        <w:spacing w:line="560" w:lineRule="exact"/>
        <w:ind w:firstLine="643"/>
        <w:rPr>
          <w:rFonts w:hint="eastAsia" w:ascii="仿宋" w:hAnsi="仿宋" w:eastAsia="仿宋"/>
          <w:sz w:val="32"/>
          <w:szCs w:val="32"/>
        </w:rPr>
      </w:pPr>
      <w:r>
        <w:rPr>
          <w:rFonts w:hint="eastAsia" w:ascii="仿宋" w:hAnsi="仿宋" w:eastAsia="仿宋"/>
          <w:sz w:val="32"/>
          <w:szCs w:val="32"/>
        </w:rPr>
        <w:t>（1）持续优化机关食堂管理</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一是结合实际改进食堂管理，规范食堂购买服务行为，按规定以政府采购公开招标的方式按程序面向社会购买食堂服务，通过合同对中标公司的服务进行约束，加强对食堂服务的管理和监督。坚持每日菜谱公开，厉行勤俭节约，加强对食堂服务团队的管理监督，严格操作规程，提高菜品制作工艺，尽量做到数量足、味道好、浪费少，大力提升食堂管理和服务水平，较好地完成了职工日常用餐和公务接待用餐工作任务。</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二是开展机关食堂就餐人员清理，此次共清理全区 76 家单位，初步清理出 415 人不符合就餐范围，并对清理出的部分人员进行了停止就餐处理。同时针对清理情况规范机关食堂就餐人员的进入和退出机制，起草了《西区机关食堂管理办法（征求意见稿） 》和《攀枝花市西区机关食堂就餐管理细则（征求意见稿） 》。</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（2）推进公共机构节能工作开展</w:t>
      </w:r>
    </w:p>
    <w:p>
      <w:pPr>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一是组织开展了公共机构节能宣传周活动。通过多种形式开展宣传，有效发挥公众信息网、微信、短信、LED 显示屏、板报、宣传栏、农村广播的宣传作用，在行政办公区域、学校、机关食堂、街道办事处和社区等重要场所进行节能宣传。本次活动，西区各公共机构发放宣传资料 7500 余份，发送短信 1500 余条，西区各学校开展国旗下讲话 7 次，主题讲座 6 次，主题班会 115 班次，播放 LED 宣传标语 25 条，举办专题板报 86 期、手抄报 50 余份。</w:t>
      </w:r>
    </w:p>
    <w:p>
      <w:pPr>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二是积极推进公共机构生活垃圾分类工作。在我区5个公共机构节能试点投放分类垃圾桶共109个。共有25个公共机构，约5000多人参与进来。</w:t>
      </w:r>
    </w:p>
    <w:p>
      <w:pPr>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三是开展中心公务用车百公里耗油监控，结合工会活动开展职业技能竞赛，制定活动方案推动节能工作开展,促进我中心公共机构节能工作再上新台阶 。</w:t>
      </w:r>
    </w:p>
    <w:p>
      <w:pPr>
        <w:autoSpaceDE w:val="0"/>
        <w:autoSpaceDN w:val="0"/>
        <w:adjustRightInd w:val="0"/>
        <w:spacing w:line="560" w:lineRule="exact"/>
        <w:ind w:firstLine="643"/>
        <w:rPr>
          <w:rFonts w:hint="eastAsia" w:ascii="仿宋" w:hAnsi="仿宋" w:eastAsia="仿宋"/>
          <w:sz w:val="32"/>
          <w:szCs w:val="32"/>
        </w:rPr>
      </w:pPr>
      <w:r>
        <w:rPr>
          <w:rFonts w:hint="eastAsia" w:ascii="仿宋" w:hAnsi="仿宋" w:eastAsia="仿宋"/>
          <w:sz w:val="32"/>
          <w:szCs w:val="32"/>
        </w:rPr>
        <w:t>（3）做好日常服务保障</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 xml:space="preserve">一是全面开展党政机关办公用房统计。摸清我区党政机关办公用房底数，为加快推进我区党政机关办公用房管理信息化、规范化建设提供数据支撑。 </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二是实现国有资产保值增值。我区委托拍卖的 10 辆公车全部成功交易，评估总价 31.78 万元，成交总金额为 53.90 万元，增值22.12 万元，溢价率 41.04%。通过前期登报公告、微信宣传、现场展示，为国有资产的保值增值提供了有力的宣传保障。</w:t>
      </w:r>
    </w:p>
    <w:p>
      <w:pPr>
        <w:autoSpaceDE w:val="0"/>
        <w:autoSpaceDN w:val="0"/>
        <w:adjustRightInd w:val="0"/>
        <w:spacing w:line="560" w:lineRule="exact"/>
        <w:ind w:firstLine="707"/>
        <w:rPr>
          <w:rFonts w:hint="eastAsia" w:ascii="仿宋" w:hAnsi="仿宋" w:eastAsia="仿宋"/>
          <w:sz w:val="32"/>
          <w:szCs w:val="32"/>
        </w:rPr>
      </w:pPr>
      <w:r>
        <w:rPr>
          <w:rFonts w:hint="eastAsia" w:ascii="仿宋" w:hAnsi="仿宋" w:eastAsia="仿宋"/>
          <w:sz w:val="32"/>
          <w:szCs w:val="32"/>
        </w:rPr>
        <w:t>三是做好安全保卫工作。对政府集中办公区域的消防设备设施进行检查和更新，确保消防安全；监督保安服务公司执行好24小时巡查值班制度，加强对出入区政府机关大楼人员的管理，做好政府集中办公区域安全保卫。</w:t>
      </w:r>
    </w:p>
    <w:p>
      <w:pPr>
        <w:autoSpaceDE w:val="0"/>
        <w:autoSpaceDN w:val="0"/>
        <w:adjustRightInd w:val="0"/>
        <w:spacing w:line="560" w:lineRule="exact"/>
        <w:ind w:firstLine="707"/>
        <w:rPr>
          <w:rFonts w:hint="eastAsia" w:ascii="仿宋" w:hAnsi="仿宋" w:eastAsia="仿宋"/>
          <w:sz w:val="32"/>
          <w:szCs w:val="32"/>
        </w:rPr>
      </w:pPr>
      <w:r>
        <w:rPr>
          <w:rFonts w:hint="eastAsia" w:ascii="仿宋" w:hAnsi="仿宋" w:eastAsia="仿宋"/>
          <w:sz w:val="32"/>
          <w:szCs w:val="32"/>
        </w:rPr>
        <w:t>四是抓好水电日常维护工作。认真开展机关办公区、生活区的水电线路设备设施安全隐患排查，及时消除安全隐患和水电故障，确保水电供应畅通和安全，为机关正常办公和住户生活做好维修服务。全年共为机关办公大楼内各单位办公室、公共水电设施以及干部职工宿舍维修水电故障200余次。</w:t>
      </w:r>
    </w:p>
    <w:p>
      <w:pPr>
        <w:autoSpaceDE w:val="0"/>
        <w:autoSpaceDN w:val="0"/>
        <w:adjustRightInd w:val="0"/>
        <w:spacing w:line="560" w:lineRule="exact"/>
        <w:ind w:firstLine="707"/>
        <w:rPr>
          <w:rFonts w:hint="eastAsia" w:ascii="仿宋" w:hAnsi="仿宋" w:eastAsia="仿宋"/>
          <w:sz w:val="32"/>
          <w:szCs w:val="32"/>
        </w:rPr>
      </w:pPr>
      <w:r>
        <w:rPr>
          <w:rFonts w:hint="eastAsia" w:ascii="仿宋" w:hAnsi="仿宋" w:eastAsia="仿宋"/>
          <w:sz w:val="32"/>
          <w:szCs w:val="32"/>
        </w:rPr>
        <w:t>五是做好会务服务工作。做好区党代会、人代会、政协会等重要会议和其他重要活动的会务服务工作。一年来，共协助开展各类会议及各重培训会场服务工作100余次。</w:t>
      </w:r>
    </w:p>
    <w:p>
      <w:pPr>
        <w:autoSpaceDE w:val="0"/>
        <w:autoSpaceDN w:val="0"/>
        <w:adjustRightInd w:val="0"/>
        <w:spacing w:line="560" w:lineRule="exact"/>
        <w:ind w:firstLine="643"/>
        <w:rPr>
          <w:rFonts w:hint="eastAsia" w:ascii="仿宋" w:hAnsi="仿宋" w:eastAsia="仿宋"/>
          <w:sz w:val="32"/>
          <w:szCs w:val="32"/>
        </w:rPr>
      </w:pPr>
      <w:r>
        <w:rPr>
          <w:rFonts w:hint="eastAsia" w:ascii="仿宋" w:hAnsi="仿宋" w:eastAsia="仿宋"/>
          <w:sz w:val="32"/>
          <w:szCs w:val="32"/>
        </w:rPr>
        <w:t>（4）抓学习、强沟通，促进党组织建设</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制定建立了机关事务服务中心的“三重一大”制度及党支工作相关制度、切实落实好“三重一大”及“三会一课”、主题党日、组织生活会、民主评议党员等制度，执行好请示报告和“末位发言”制度，同时结合“不忘初心、牢记使命”主题教育要求组织开展好党支部各项活动。</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一是加强学习教育，努力提高党员的思想政治素质。坚持利用主题学习日、支部会、职工会和专题党课等形式，采取集中学习的方法，组织全体党员学习党的路线、方针、政策、党章、十九大精神和十九届三中、四中全会精神，积极完成学习任务。</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二是领导班子为全体职工立好标杆、</w:t>
      </w:r>
      <w:r>
        <w:rPr>
          <w:rFonts w:hint="eastAsia" w:ascii="仿宋" w:hAnsi="仿宋" w:eastAsia="仿宋"/>
          <w:sz w:val="32"/>
          <w:szCs w:val="32"/>
          <w:lang w:val="en-US" w:eastAsia="zh-CN"/>
        </w:rPr>
        <w:t>做</w:t>
      </w:r>
      <w:r>
        <w:rPr>
          <w:rFonts w:hint="eastAsia" w:ascii="仿宋" w:hAnsi="仿宋" w:eastAsia="仿宋"/>
          <w:sz w:val="32"/>
          <w:szCs w:val="32"/>
        </w:rPr>
        <w:t>好表率，密切联系群众，做到从群众中来、到群众中去，问政于民、问需于民、问计于民，全心全意为人民群众服务。加强和改进与职工之间的沟通方式和方法，带着切实了解职工思想、工作、生活等方面问题深入实际，畅通沟通交流渠道，实事求是解决职工困难。中心领导班子将不定期开展与职工间的交心谈心谈话，通过职工大会学习党的政策方针凝聚思想，与部分或个别职工单独谈话掌握职工思想状况。</w:t>
      </w:r>
    </w:p>
    <w:p>
      <w:pPr>
        <w:autoSpaceDE w:val="0"/>
        <w:autoSpaceDN w:val="0"/>
        <w:adjustRightInd w:val="0"/>
        <w:spacing w:line="560" w:lineRule="exact"/>
        <w:ind w:firstLine="640"/>
        <w:rPr>
          <w:rFonts w:hint="eastAsia" w:ascii="仿宋" w:hAnsi="仿宋" w:eastAsia="仿宋"/>
          <w:sz w:val="32"/>
          <w:szCs w:val="32"/>
        </w:rPr>
      </w:pPr>
      <w:r>
        <w:rPr>
          <w:rFonts w:hint="eastAsia" w:ascii="仿宋" w:hAnsi="仿宋" w:eastAsia="仿宋"/>
          <w:sz w:val="32"/>
          <w:szCs w:val="32"/>
        </w:rPr>
        <w:t>三是采取组织党员活动、工会活动等多种形式加大与干部职工沟通交流，真正为做好机关事务服务工作而努力贡献每一位职工的力量。</w:t>
      </w:r>
    </w:p>
    <w:p>
      <w:pPr>
        <w:autoSpaceDE w:val="0"/>
        <w:autoSpaceDN w:val="0"/>
        <w:adjustRightInd w:val="0"/>
        <w:spacing w:line="560" w:lineRule="exact"/>
        <w:ind w:firstLine="643"/>
        <w:rPr>
          <w:rFonts w:hint="eastAsia" w:ascii="仿宋" w:hAnsi="仿宋" w:eastAsia="仿宋"/>
          <w:sz w:val="32"/>
          <w:szCs w:val="32"/>
        </w:rPr>
      </w:pPr>
      <w:r>
        <w:rPr>
          <w:rFonts w:hint="eastAsia" w:ascii="仿宋" w:hAnsi="仿宋" w:eastAsia="仿宋"/>
          <w:sz w:val="32"/>
          <w:szCs w:val="32"/>
        </w:rPr>
        <w:t>（5）建制度、强执行，抓好党风廉政建设主体责任落实</w:t>
      </w:r>
    </w:p>
    <w:p>
      <w:pPr>
        <w:autoSpaceDE w:val="0"/>
        <w:autoSpaceDN w:val="0"/>
        <w:adjustRightInd w:val="0"/>
        <w:spacing w:line="560" w:lineRule="exact"/>
        <w:ind w:firstLine="645"/>
        <w:jc w:val="left"/>
        <w:rPr>
          <w:rFonts w:hint="eastAsia" w:ascii="仿宋" w:hAnsi="仿宋" w:eastAsia="仿宋"/>
          <w:sz w:val="32"/>
          <w:szCs w:val="32"/>
        </w:rPr>
      </w:pPr>
      <w:r>
        <w:rPr>
          <w:rFonts w:hint="eastAsia" w:ascii="仿宋" w:hAnsi="仿宋" w:eastAsia="仿宋"/>
          <w:sz w:val="32"/>
          <w:szCs w:val="32"/>
        </w:rPr>
        <w:t>一是根据中央从严治党的要求，抓好党风廉政建设制度建设和平时工作落实，以开展 “不忘初心、牢记使命”主题教育为契机，坚持抓好《</w:t>
      </w:r>
      <w:r>
        <w:rPr>
          <w:rFonts w:hint="eastAsia" w:ascii="仿宋" w:hAnsi="仿宋" w:eastAsia="仿宋"/>
          <w:sz w:val="32"/>
          <w:szCs w:val="32"/>
          <w:lang w:val="en-US" w:eastAsia="zh-CN"/>
        </w:rPr>
        <w:t>中国共产党章程</w:t>
      </w:r>
      <w:r>
        <w:rPr>
          <w:rFonts w:hint="eastAsia" w:ascii="仿宋" w:hAnsi="仿宋" w:eastAsia="仿宋"/>
          <w:sz w:val="32"/>
          <w:szCs w:val="32"/>
        </w:rPr>
        <w:t>》和各项党纪党规规矩制度的学习，抓好向先进典型学习，落实好制度纪律的执行。切实落实好党风廉政建设“第一责任人”责任和“一岗双责”，抓好党风廉政建设执行情况的督促检查，层层抓落实，切实抓出成效。</w:t>
      </w:r>
    </w:p>
    <w:p>
      <w:pPr>
        <w:autoSpaceDE w:val="0"/>
        <w:autoSpaceDN w:val="0"/>
        <w:adjustRightInd w:val="0"/>
        <w:spacing w:line="560" w:lineRule="exact"/>
        <w:ind w:firstLine="645"/>
        <w:jc w:val="left"/>
        <w:rPr>
          <w:rFonts w:hint="eastAsia" w:ascii="仿宋" w:hAnsi="仿宋" w:eastAsia="仿宋"/>
          <w:sz w:val="32"/>
          <w:szCs w:val="32"/>
        </w:rPr>
      </w:pPr>
      <w:r>
        <w:rPr>
          <w:rFonts w:hint="eastAsia" w:ascii="仿宋" w:hAnsi="仿宋" w:eastAsia="仿宋"/>
          <w:sz w:val="32"/>
          <w:szCs w:val="32"/>
        </w:rPr>
        <w:t>二是建立健全中心各项工作制</w:t>
      </w:r>
      <w:bookmarkStart w:id="85" w:name="_GoBack"/>
      <w:bookmarkEnd w:id="85"/>
      <w:r>
        <w:rPr>
          <w:rFonts w:hint="eastAsia" w:ascii="仿宋" w:hAnsi="仿宋" w:eastAsia="仿宋"/>
          <w:sz w:val="32"/>
          <w:szCs w:val="32"/>
        </w:rPr>
        <w:t>度。建立了机关事务服务中心内部管理各项制度，对“三重一大”事项和财务、人员及业务职能职责进行规范和明确，实现以制度管人、管事，以制度规范监督检查，推动工作落实。</w:t>
      </w:r>
    </w:p>
    <w:p>
      <w:pPr>
        <w:autoSpaceDE w:val="0"/>
        <w:autoSpaceDN w:val="0"/>
        <w:adjustRightInd w:val="0"/>
        <w:spacing w:line="560" w:lineRule="exact"/>
        <w:ind w:firstLine="645"/>
        <w:jc w:val="left"/>
        <w:rPr>
          <w:rFonts w:hint="eastAsia" w:ascii="仿宋" w:hAnsi="仿宋" w:eastAsia="仿宋"/>
          <w:sz w:val="32"/>
          <w:szCs w:val="32"/>
        </w:rPr>
      </w:pPr>
      <w:r>
        <w:rPr>
          <w:rFonts w:hint="eastAsia" w:ascii="仿宋" w:hAnsi="仿宋" w:eastAsia="仿宋"/>
          <w:sz w:val="32"/>
          <w:szCs w:val="32"/>
        </w:rPr>
        <w:t>三是完成公车平台管理制度补充完善。加强公务用车管理平台内部管理，制定《公车平台管理人员职责》、《加值班制度》、《公车平台工作人员管理制度》、《西区公务用车平台驾驶员管理制度》、《平台驾驶员请销假管理制度》等一系列规章制度，在平台征求意见后全面实施，狠抓日常管理，规范安全检查制度，狠抓安全教育，定期开展安全行车教育，着力打造技术过硬的驾驶员队伍，进一步强化制度执行力。</w:t>
      </w:r>
    </w:p>
    <w:p>
      <w:pPr>
        <w:autoSpaceDE w:val="0"/>
        <w:autoSpaceDN w:val="0"/>
        <w:adjustRightInd w:val="0"/>
        <w:spacing w:line="560" w:lineRule="exact"/>
        <w:ind w:firstLine="645"/>
        <w:jc w:val="left"/>
        <w:rPr>
          <w:rFonts w:hint="eastAsia" w:ascii="仿宋" w:hAnsi="仿宋" w:eastAsia="仿宋"/>
          <w:sz w:val="32"/>
          <w:szCs w:val="32"/>
        </w:rPr>
      </w:pPr>
      <w:r>
        <w:rPr>
          <w:rFonts w:hint="eastAsia" w:ascii="仿宋" w:hAnsi="仿宋" w:eastAsia="仿宋"/>
          <w:sz w:val="32"/>
          <w:szCs w:val="32"/>
        </w:rPr>
        <w:t>四是按省市公车平台“全省一张网”的建设要求，实施“一车一档”管理模式，对我区公务用车平台的所有公务用车安装了定位监控系统，实现了对车辆的实时监控与管理，杜绝公务用车违规行驶，增强了车辆使用安全，确保车辆管理更加经济、科学、规范。</w:t>
      </w:r>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五是针对政府家属楼水电改造工作，及时与区发改局、区住建局联系，积极推动百家大院纳入老旧小区改造项目，以改变政府负责家属区二次供水和负担水电差额的情况。</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西区机关事务服务中心下属二级单位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机关事务管理局</w:t>
      </w:r>
      <w:r>
        <w:rPr>
          <w:rFonts w:hint="eastAsia" w:ascii="仿宋" w:hAnsi="仿宋" w:eastAsia="仿宋"/>
          <w:color w:val="000000"/>
          <w:sz w:val="32"/>
          <w:szCs w:val="32"/>
        </w:rPr>
        <w:t>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7201"/>
      <w:bookmarkStart w:id="23" w:name="_Toc15378448"/>
      <w:bookmarkStart w:id="24" w:name="_Toc15306275"/>
      <w:bookmarkStart w:id="25" w:name="_Toc15377432"/>
      <w:r>
        <w:rPr>
          <w:rFonts w:ascii="仿宋" w:hAnsi="仿宋" w:eastAsia="仿宋"/>
          <w:color w:val="000000"/>
          <w:sz w:val="32"/>
          <w:szCs w:val="32"/>
        </w:rPr>
        <w:t>***</w:t>
      </w:r>
      <w:bookmarkEnd w:id="22"/>
      <w:bookmarkEnd w:id="23"/>
      <w:bookmarkEnd w:id="24"/>
      <w:bookmarkEnd w:id="25"/>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6" w:name="_Toc15377202"/>
      <w:bookmarkStart w:id="27" w:name="_Toc15377433"/>
      <w:bookmarkStart w:id="28" w:name="_Toc15306276"/>
      <w:bookmarkStart w:id="29" w:name="_Toc15378449"/>
      <w:r>
        <w:rPr>
          <w:rFonts w:ascii="仿宋" w:hAnsi="仿宋" w:eastAsia="仿宋"/>
          <w:color w:val="000000"/>
          <w:sz w:val="32"/>
          <w:szCs w:val="32"/>
        </w:rPr>
        <w:t>***</w:t>
      </w:r>
      <w:bookmarkEnd w:id="26"/>
      <w:bookmarkEnd w:id="27"/>
      <w:bookmarkEnd w:id="28"/>
      <w:bookmarkEnd w:id="29"/>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30" w:name="_Toc15377203"/>
      <w:bookmarkStart w:id="31" w:name="_Toc15377434"/>
      <w:bookmarkStart w:id="32" w:name="_Toc15306277"/>
      <w:bookmarkStart w:id="33" w:name="_Toc15378450"/>
      <w:r>
        <w:rPr>
          <w:rFonts w:ascii="仿宋" w:hAnsi="仿宋" w:eastAsia="仿宋"/>
          <w:color w:val="000000"/>
          <w:sz w:val="32"/>
          <w:szCs w:val="32"/>
        </w:rPr>
        <w:t>***</w:t>
      </w:r>
      <w:bookmarkEnd w:id="30"/>
      <w:bookmarkEnd w:id="31"/>
      <w:bookmarkEnd w:id="32"/>
      <w:bookmarkEnd w:id="33"/>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34" w:name="_Toc15377204"/>
      <w:bookmarkStart w:id="35"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34"/>
      <w:bookmarkEnd w:id="35"/>
    </w:p>
    <w:p/>
    <w:p>
      <w:pPr>
        <w:pStyle w:val="24"/>
        <w:numPr>
          <w:ilvl w:val="0"/>
          <w:numId w:val="2"/>
        </w:numPr>
        <w:spacing w:line="600" w:lineRule="exact"/>
        <w:ind w:firstLineChars="0"/>
        <w:outlineLvl w:val="1"/>
        <w:rPr>
          <w:rStyle w:val="26"/>
          <w:rFonts w:ascii="黑体" w:hAnsi="黑体" w:eastAsia="黑体"/>
          <w:b w:val="0"/>
        </w:rPr>
      </w:pPr>
      <w:bookmarkStart w:id="36" w:name="_Toc15377205"/>
      <w:bookmarkStart w:id="37"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6"/>
      <w:bookmarkEnd w:id="37"/>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1292.41</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43.89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3.28</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是按要求一般性公用支出压减10%</w:t>
      </w:r>
      <w:r>
        <w:rPr>
          <w:rFonts w:hint="eastAsia" w:ascii="仿宋" w:hAnsi="仿宋" w:eastAsia="仿宋"/>
          <w:color w:val="000000"/>
          <w:sz w:val="32"/>
          <w:szCs w:val="32"/>
          <w:lang w:eastAsia="zh-CN"/>
        </w:rPr>
        <w:t>，减少了项目支出。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038600" cy="2686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038600" cy="2686050"/>
                    </a:xfrm>
                    <a:prstGeom prst="rect">
                      <a:avLst/>
                    </a:prstGeom>
                    <a:noFill/>
                    <a:ln w="9525">
                      <a:noFill/>
                    </a:ln>
                  </pic:spPr>
                </pic:pic>
              </a:graphicData>
            </a:graphic>
          </wp:inline>
        </w:drawing>
      </w:r>
    </w:p>
    <w:p>
      <w:pPr>
        <w:spacing w:line="600" w:lineRule="exact"/>
        <w:ind w:firstLine="640" w:firstLineChars="200"/>
        <w:jc w:val="left"/>
        <w:rPr>
          <w:rFonts w:ascii="仿宋_GB2312" w:eastAsia="仿宋_GB2312"/>
          <w:color w:val="00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8" w:name="_Toc15377206"/>
      <w:bookmarkStart w:id="39"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38"/>
      <w:bookmarkEnd w:id="3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1045.82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417.68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39.94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628.14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60.06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76750" cy="26098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476750" cy="260985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40" w:name="_Toc15377207"/>
      <w:bookmarkStart w:id="41"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40"/>
      <w:bookmarkEnd w:id="4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1292.41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654.68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50.66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637.73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49.34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095750" cy="24765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4095750" cy="247650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42" w:name="_Toc15396606"/>
      <w:bookmarkStart w:id="43"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42"/>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1292.41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43.89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3.28</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是按要求一般性公用支出压减10%</w:t>
      </w:r>
      <w:r>
        <w:rPr>
          <w:rFonts w:hint="eastAsia" w:ascii="仿宋" w:hAnsi="仿宋" w:eastAsia="仿宋"/>
          <w:color w:val="000000"/>
          <w:sz w:val="32"/>
          <w:szCs w:val="32"/>
          <w:lang w:eastAsia="zh-CN"/>
        </w:rPr>
        <w:t>，减少了项目支出。</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91025" cy="26765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4391025" cy="2676525"/>
                    </a:xfrm>
                    <a:prstGeom prst="rect">
                      <a:avLst/>
                    </a:prstGeom>
                    <a:noFill/>
                    <a:ln w="9525">
                      <a:noFill/>
                    </a:ln>
                  </pic:spPr>
                </pic:pic>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44" w:name="_Toc15396607"/>
      <w:bookmarkStart w:id="4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4"/>
      <w:bookmarkEnd w:id="45"/>
    </w:p>
    <w:p>
      <w:pPr>
        <w:spacing w:line="600" w:lineRule="exact"/>
        <w:ind w:firstLine="643"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654.68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50.65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31.5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4.59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是按要求一般性公用支出压减10%</w:t>
      </w:r>
      <w:r>
        <w:rPr>
          <w:rFonts w:hint="eastAsia" w:ascii="仿宋" w:hAnsi="仿宋" w:eastAsia="仿宋"/>
          <w:color w:val="000000"/>
          <w:sz w:val="32"/>
          <w:szCs w:val="32"/>
          <w:lang w:eastAsia="zh-CN"/>
        </w:rPr>
        <w:t>，减少了项目支出。</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52925" cy="273367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4352925" cy="2733675"/>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654.54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614.09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9.65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13.89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43400" cy="253365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4343400" cy="2533650"/>
                    </a:xfrm>
                    <a:prstGeom prst="rect">
                      <a:avLst/>
                    </a:prstGeom>
                    <a:noFill/>
                    <a:ln w="9525">
                      <a:noFill/>
                    </a:ln>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rPr>
        <w:t>（三）一般公共预算财政拨款支出决算具体情况</w:t>
      </w:r>
      <w:bookmarkEnd w:id="48"/>
    </w:p>
    <w:p>
      <w:pPr>
        <w:spacing w:line="600" w:lineRule="exact"/>
        <w:ind w:firstLine="643" w:firstLineChars="200"/>
        <w:outlineLvl w:val="2"/>
        <w:rPr>
          <w:rFonts w:ascii="仿宋" w:hAnsi="仿宋" w:eastAsia="仿宋"/>
          <w:color w:val="FF0000"/>
          <w:sz w:val="32"/>
          <w:szCs w:val="32"/>
        </w:rPr>
      </w:pPr>
      <w:bookmarkStart w:id="49" w:name="_Toc15377444"/>
      <w:bookmarkStart w:id="50" w:name="_Toc15377213"/>
      <w:bookmarkStart w:id="51"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654.54万元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9"/>
      <w:bookmarkEnd w:id="50"/>
      <w:bookmarkEnd w:id="51"/>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政府办公厅（室）及相关机构事务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611.22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政府办公厅（室）及相关机构事务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机关服务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未归口管理的行政单位离退休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 xml:space="preserve"> 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117.77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公务员医疗补助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13.89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6"/>
        </w:rPr>
      </w:pPr>
      <w:bookmarkStart w:id="52" w:name="_Toc15377214"/>
      <w:bookmarkStart w:id="5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2"/>
      <w:bookmarkEnd w:id="53"/>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657.54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148.79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505.89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4" w:name="_Toc15396609"/>
      <w:bookmarkStart w:id="55"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4"/>
      <w:bookmarkEnd w:id="55"/>
    </w:p>
    <w:p>
      <w:pPr>
        <w:spacing w:line="600" w:lineRule="exact"/>
        <w:ind w:firstLine="640"/>
        <w:outlineLvl w:val="2"/>
        <w:rPr>
          <w:rFonts w:ascii="仿宋" w:hAnsi="仿宋" w:eastAsia="仿宋"/>
          <w:b/>
          <w:color w:val="000000"/>
          <w:sz w:val="32"/>
          <w:szCs w:val="32"/>
        </w:rPr>
      </w:pPr>
      <w:bookmarkStart w:id="56" w:name="_Toc15377216"/>
      <w:r>
        <w:rPr>
          <w:rFonts w:hint="eastAsia" w:ascii="仿宋" w:hAnsi="仿宋" w:eastAsia="仿宋"/>
          <w:b/>
          <w:color w:val="000000"/>
          <w:sz w:val="32"/>
          <w:szCs w:val="32"/>
        </w:rPr>
        <w:t>（一）“三公”经费财政拨款支出决算总体情况说明</w:t>
      </w:r>
      <w:bookmarkEnd w:id="5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196.16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89.16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，决算数小于预算数的主要原因是厉行节约、缩减开支。</w:t>
      </w:r>
    </w:p>
    <w:p>
      <w:pPr>
        <w:spacing w:line="600" w:lineRule="exact"/>
        <w:ind w:firstLine="640"/>
        <w:outlineLvl w:val="2"/>
        <w:rPr>
          <w:rFonts w:ascii="仿宋" w:hAnsi="仿宋" w:eastAsia="仿宋"/>
          <w:b/>
          <w:color w:val="000000"/>
          <w:sz w:val="32"/>
          <w:szCs w:val="32"/>
        </w:rPr>
      </w:pPr>
      <w:bookmarkStart w:id="57" w:name="_Toc15377217"/>
      <w:r>
        <w:rPr>
          <w:rFonts w:hint="eastAsia" w:ascii="仿宋" w:hAnsi="仿宋" w:eastAsia="仿宋"/>
          <w:b/>
          <w:color w:val="000000"/>
          <w:sz w:val="32"/>
          <w:szCs w:val="32"/>
        </w:rPr>
        <w:t>（二）“三公”经费财政拨款支出决算具体情况说明</w:t>
      </w:r>
      <w:bookmarkEnd w:id="5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196.16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33875" cy="2438400"/>
            <wp:effectExtent l="0" t="0" r="952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2"/>
                    <a:stretch>
                      <a:fillRect/>
                    </a:stretch>
                  </pic:blipFill>
                  <pic:spPr>
                    <a:xfrm>
                      <a:off x="0" y="0"/>
                      <a:ext cx="4333875" cy="2438400"/>
                    </a:xfrm>
                    <a:prstGeom prst="rect">
                      <a:avLst/>
                    </a:prstGeom>
                    <a:noFill/>
                    <a:ln w="9525">
                      <a:noFill/>
                    </a:ln>
                  </pic:spPr>
                </pic:pic>
              </a:graphicData>
            </a:graphic>
          </wp:inline>
        </w:drawing>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196.16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89.16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6.22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3.07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厉行节约、缩减开支</w:t>
      </w:r>
      <w:r>
        <w:rPr>
          <w:rFonts w:hint="eastAsia" w:ascii="仿宋" w:hAnsi="仿宋" w:eastAsia="仿宋"/>
          <w:color w:val="000000"/>
          <w:sz w:val="32"/>
          <w:szCs w:val="32"/>
          <w:lang w:eastAsia="zh-CN"/>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66</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66</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196.16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平台车辆</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万元，具体内容包括：…（接待具体项目、金额）。</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ind w:firstLine="640"/>
        <w:outlineLvl w:val="1"/>
        <w:rPr>
          <w:rFonts w:ascii="黑体" w:eastAsia="黑体"/>
          <w:color w:val="000000"/>
          <w:sz w:val="32"/>
          <w:szCs w:val="32"/>
        </w:rPr>
      </w:pPr>
      <w:bookmarkStart w:id="58" w:name="_Toc15396610"/>
      <w:bookmarkStart w:id="59"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8"/>
      <w:bookmarkEnd w:id="5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634.86</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60" w:name="_Toc15396611"/>
      <w:bookmarkStart w:id="61" w:name="_Toc15377219"/>
      <w:r>
        <w:rPr>
          <w:rStyle w:val="26"/>
          <w:rFonts w:hint="eastAsia" w:ascii="黑体" w:hAnsi="黑体" w:eastAsia="黑体"/>
          <w:b w:val="0"/>
        </w:rPr>
        <w:t>国有资本经营预算支出决算情况说明</w:t>
      </w:r>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62" w:name="_Toc15377221"/>
      <w:bookmarkStart w:id="63"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62"/>
      <w:bookmarkEnd w:id="63"/>
    </w:p>
    <w:p>
      <w:pPr>
        <w:spacing w:line="600" w:lineRule="exact"/>
        <w:ind w:firstLine="643" w:firstLineChars="200"/>
        <w:outlineLvl w:val="2"/>
        <w:rPr>
          <w:rFonts w:ascii="仿宋" w:hAnsi="仿宋" w:eastAsia="仿宋"/>
          <w:color w:val="000000"/>
          <w:sz w:val="32"/>
          <w:szCs w:val="32"/>
        </w:rPr>
      </w:pPr>
      <w:bookmarkStart w:id="64" w:name="_Toc15377222"/>
      <w:r>
        <w:rPr>
          <w:rFonts w:hint="eastAsia" w:ascii="仿宋" w:hAnsi="仿宋" w:eastAsia="仿宋"/>
          <w:b/>
          <w:color w:val="000000"/>
          <w:sz w:val="32"/>
          <w:szCs w:val="32"/>
        </w:rPr>
        <w:t>（一）机关运行经费支出情况</w:t>
      </w:r>
      <w:bookmarkEnd w:id="64"/>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西区机关事务管理中心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505.89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18.13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3.72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增加了人员经费。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5" w:name="_Toc15377223"/>
      <w:r>
        <w:rPr>
          <w:rFonts w:hint="eastAsia" w:ascii="仿宋" w:hAnsi="仿宋" w:eastAsia="仿宋"/>
          <w:b/>
          <w:color w:val="000000"/>
          <w:sz w:val="32"/>
          <w:szCs w:val="32"/>
        </w:rPr>
        <w:t>（二）政府采购支出情况</w:t>
      </w:r>
      <w:bookmarkEnd w:id="6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西区机关事务管理中心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6" w:name="_Toc15377224"/>
      <w:r>
        <w:rPr>
          <w:rFonts w:hint="eastAsia" w:ascii="仿宋" w:hAnsi="仿宋" w:eastAsia="仿宋"/>
          <w:b/>
          <w:color w:val="000000"/>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西区机关事务管理中心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66</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66</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机关运行经费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olor w:val="333333"/>
          <w:sz w:val="32"/>
          <w:szCs w:val="32"/>
        </w:rPr>
        <w:t>本部门按要求对2019年部门整体支出开展绩效自评，从评价情况来看预算项目都按照年初计划完成全部工作事项，并按相关要求撰写了对应的自查报告</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“公务用车平台经费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 w:hAnsi="仿宋" w:eastAsia="仿宋"/>
          <w:color w:val="333333"/>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公务用车平台经费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637.73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637.73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eastAsia="仿宋_GB2312" w:cs="仿宋_GB2312"/>
          <w:kern w:val="0"/>
          <w:sz w:val="32"/>
          <w:szCs w:val="32"/>
          <w:lang w:val="zh-CN"/>
        </w:rPr>
        <w:t>加强公务用车管理平台内部管理，制定《公车平台管理人员职责》、《加值班制度》、《公车平台工作人员管理制度》、《西区公务用车平台驾驶员管理制度》、《平台驾驶员请销假管理制度》等一系列规章制度，在平台征求意见后全面实施，狠抓日常管理，规范安全检查制度，狠抓安全教育，定期开展安全行车教育，着力打造技术过硬的驾驶员队伍，进一步强化制度执行力</w:t>
      </w:r>
      <w:r>
        <w:rPr>
          <w:rFonts w:hint="eastAsia" w:ascii="仿宋_GB2312" w:hAnsi="仿宋_GB2312" w:eastAsia="仿宋_GB2312" w:cs="仿宋_GB2312"/>
          <w:sz w:val="32"/>
          <w:szCs w:val="32"/>
        </w:rPr>
        <w:t>，</w:t>
      </w:r>
      <w:r>
        <w:rPr>
          <w:rFonts w:hint="eastAsia" w:ascii="仿宋" w:hAnsi="仿宋" w:eastAsia="仿宋"/>
          <w:color w:val="333333"/>
          <w:sz w:val="32"/>
          <w:szCs w:val="32"/>
        </w:rPr>
        <w:t>发现的主要问题：项目费用总量资金较少，支付平台运行费用都存在困难。下一步改进措施：争取财政支持</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公务用车平台经费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机关事务管理中心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637.73</w:t>
            </w:r>
            <w:r>
              <w:rPr>
                <w:rFonts w:hint="eastAsia" w:ascii="宋体" w:hAnsi="宋体" w:cs="宋体"/>
                <w:color w:val="000000"/>
                <w:kern w:val="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637.73</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14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4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保障公务用车平台正常运转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保障公务用车平台正常运转</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9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公车平台运行费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维公车平台运行费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维修费，驾驶员劳务费</w:t>
            </w:r>
          </w:p>
        </w:tc>
      </w:tr>
      <w:tr>
        <w:tblPrEx>
          <w:tblCellMar>
            <w:top w:w="0" w:type="dxa"/>
            <w:left w:w="0" w:type="dxa"/>
            <w:bottom w:w="0" w:type="dxa"/>
            <w:right w:w="0" w:type="dxa"/>
          </w:tblCellMar>
        </w:tblPrEx>
        <w:trPr>
          <w:trHeight w:val="76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公车平台运行费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公车平台运行费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保障平台经费按月足额拨付</w:t>
            </w:r>
          </w:p>
        </w:tc>
      </w:tr>
      <w:tr>
        <w:tblPrEx>
          <w:tblCellMar>
            <w:top w:w="0" w:type="dxa"/>
            <w:left w:w="0" w:type="dxa"/>
            <w:bottom w:w="0" w:type="dxa"/>
            <w:right w:w="0" w:type="dxa"/>
          </w:tblCellMar>
        </w:tblPrEx>
        <w:trPr>
          <w:trHeight w:val="56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完成时间</w:t>
            </w:r>
            <w:r>
              <w:rPr>
                <w:rFonts w:hint="eastAsia" w:ascii="宋体" w:hAnsi="宋体" w:cs="宋体"/>
                <w:color w:val="000000"/>
                <w:sz w:val="24"/>
                <w:lang w:val="en-US" w:eastAsia="zh-CN"/>
              </w:rPr>
              <w:t xml:space="preserve">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完成时间</w:t>
            </w:r>
            <w:r>
              <w:rPr>
                <w:rFonts w:hint="eastAsia" w:ascii="宋体" w:hAnsi="宋体" w:cs="宋体"/>
                <w:color w:val="000000"/>
                <w:sz w:val="24"/>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运行费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运行费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维维护费</w:t>
            </w:r>
            <w:r>
              <w:rPr>
                <w:rFonts w:hint="eastAsia" w:ascii="宋体" w:hAnsi="宋体" w:cs="宋体"/>
                <w:color w:val="000000"/>
                <w:sz w:val="24"/>
                <w:lang w:val="en-US" w:eastAsia="zh-CN"/>
              </w:rPr>
              <w:t>161.17万，劳务费269.56万， 委托费78万，运行费129万</w:t>
            </w:r>
          </w:p>
        </w:tc>
      </w:tr>
      <w:tr>
        <w:tblPrEx>
          <w:tblCellMar>
            <w:top w:w="0" w:type="dxa"/>
            <w:left w:w="0" w:type="dxa"/>
            <w:bottom w:w="0" w:type="dxa"/>
            <w:right w:w="0" w:type="dxa"/>
          </w:tblCellMar>
        </w:tblPrEx>
        <w:trPr>
          <w:trHeight w:val="80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确保平台正常运行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确保平台正常运行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保障公务用车平台车辆安全行驶</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满意度达到</w:t>
            </w:r>
            <w:r>
              <w:rPr>
                <w:rFonts w:hint="eastAsia" w:ascii="宋体" w:hAnsi="宋体" w:cs="宋体"/>
                <w:color w:val="000000"/>
                <w:sz w:val="24"/>
                <w:lang w:val="en-US" w:eastAsia="zh-CN"/>
              </w:rPr>
              <w:t>90%以上</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本部门按要求对2019年部门整体支出绩效评价情况开展自评，《攀枝花市西区</w:t>
      </w:r>
      <w:r>
        <w:rPr>
          <w:rFonts w:hint="eastAsia" w:ascii="仿宋" w:hAnsi="仿宋" w:eastAsia="仿宋"/>
          <w:color w:val="333333"/>
          <w:sz w:val="32"/>
          <w:szCs w:val="32"/>
          <w:lang w:eastAsia="zh-CN"/>
        </w:rPr>
        <w:t>机关事务管理中心</w:t>
      </w:r>
      <w:r>
        <w:rPr>
          <w:rFonts w:hint="eastAsia" w:ascii="仿宋" w:hAnsi="仿宋" w:eastAsia="仿宋"/>
          <w:color w:val="333333"/>
          <w:sz w:val="32"/>
          <w:szCs w:val="32"/>
        </w:rPr>
        <w:t>部门2019年部门整体支出绩效评价报告》见附件（附件1）。</w:t>
      </w:r>
    </w:p>
    <w:p>
      <w:pPr>
        <w:widowControl/>
        <w:jc w:val="left"/>
        <w:rPr>
          <w:rFonts w:ascii="仿宋_GB2312" w:eastAsia="仿宋_GB2312"/>
          <w:b/>
          <w:color w:val="000000"/>
          <w:sz w:val="32"/>
          <w:szCs w:val="32"/>
        </w:rPr>
      </w:pPr>
      <w:r>
        <w:rPr>
          <w:rFonts w:hint="eastAsia" w:ascii="仿宋" w:hAnsi="仿宋" w:eastAsia="仿宋"/>
          <w:color w:val="333333"/>
          <w:sz w:val="32"/>
          <w:szCs w:val="32"/>
        </w:rPr>
        <w:t>本部门自行组织对1</w:t>
      </w:r>
      <w:r>
        <w:rPr>
          <w:rFonts w:hint="eastAsia" w:ascii="仿宋" w:hAnsi="仿宋" w:eastAsia="仿宋"/>
          <w:color w:val="333333"/>
          <w:sz w:val="32"/>
          <w:szCs w:val="32"/>
          <w:lang w:eastAsia="zh-CN"/>
        </w:rPr>
        <w:t>个</w:t>
      </w:r>
      <w:r>
        <w:rPr>
          <w:rFonts w:hint="eastAsia" w:ascii="仿宋" w:hAnsi="仿宋" w:eastAsia="仿宋"/>
          <w:color w:val="333333"/>
          <w:sz w:val="32"/>
          <w:szCs w:val="32"/>
        </w:rPr>
        <w:t>项目、1</w:t>
      </w:r>
      <w:r>
        <w:rPr>
          <w:rFonts w:hint="eastAsia" w:ascii="仿宋" w:hAnsi="仿宋" w:eastAsia="仿宋"/>
          <w:color w:val="333333"/>
          <w:sz w:val="32"/>
          <w:szCs w:val="32"/>
          <w:lang w:eastAsia="zh-CN"/>
        </w:rPr>
        <w:t>个</w:t>
      </w:r>
      <w:r>
        <w:rPr>
          <w:rFonts w:hint="eastAsia" w:ascii="仿宋" w:hAnsi="仿宋" w:eastAsia="仿宋"/>
          <w:color w:val="333333"/>
          <w:sz w:val="32"/>
          <w:szCs w:val="32"/>
        </w:rPr>
        <w:t>项目开展了绩效评价，《2019年市西区</w:t>
      </w:r>
      <w:r>
        <w:rPr>
          <w:rFonts w:hint="eastAsia" w:ascii="仿宋" w:hAnsi="仿宋" w:eastAsia="仿宋"/>
          <w:color w:val="333333"/>
          <w:sz w:val="32"/>
          <w:szCs w:val="32"/>
          <w:lang w:eastAsia="zh-CN"/>
        </w:rPr>
        <w:t>机关事务管理服务中心</w:t>
      </w:r>
      <w:r>
        <w:rPr>
          <w:rFonts w:hint="eastAsia" w:ascii="仿宋" w:hAnsi="仿宋" w:eastAsia="仿宋"/>
          <w:color w:val="333333"/>
          <w:sz w:val="32"/>
          <w:szCs w:val="32"/>
        </w:rPr>
        <w:t>项目2019年绩效评价报告》见附件（附件2）</w:t>
      </w: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67" w:name="_Toc15396613"/>
      <w:bookmarkStart w:id="68"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67"/>
      <w:bookmarkEnd w:id="6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69" w:name="_Toc15377226"/>
      <w:r>
        <w:rPr>
          <w:rFonts w:ascii="宋体"/>
          <w:b/>
          <w:color w:val="000000"/>
          <w:sz w:val="44"/>
          <w:szCs w:val="44"/>
        </w:rPr>
        <w:br w:type="page"/>
      </w:r>
      <w:bookmarkStart w:id="7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7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西区机关事务管理服务中心部门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 w:cs="宋体"/>
          <w:color w:val="000000"/>
          <w:kern w:val="0"/>
          <w:sz w:val="32"/>
          <w:szCs w:val="32"/>
          <w:shd w:val="clear" w:color="auto" w:fill="FFFFFF"/>
          <w:lang w:val="zh-CN" w:eastAsia="zh-CN"/>
        </w:rPr>
      </w:pPr>
      <w:r>
        <w:rPr>
          <w:rFonts w:hint="eastAsia" w:ascii="仿宋" w:hAnsi="仿宋" w:eastAsia="仿宋" w:cs="宋体"/>
          <w:color w:val="333333"/>
          <w:kern w:val="0"/>
          <w:sz w:val="32"/>
          <w:szCs w:val="32"/>
        </w:rPr>
        <w:t>根据《攀枝花市西区人民政府办公室关于印发攀枝花市西区</w:t>
      </w:r>
      <w:r>
        <w:rPr>
          <w:rFonts w:hint="eastAsia" w:ascii="仿宋" w:hAnsi="仿宋" w:eastAsia="仿宋" w:cs="宋体"/>
          <w:color w:val="333333"/>
          <w:kern w:val="0"/>
          <w:sz w:val="32"/>
          <w:szCs w:val="32"/>
          <w:lang w:eastAsia="zh-CN"/>
        </w:rPr>
        <w:t>机关事务管理中心</w:t>
      </w:r>
      <w:r>
        <w:rPr>
          <w:rFonts w:hint="eastAsia" w:ascii="仿宋" w:hAnsi="仿宋" w:eastAsia="仿宋" w:cs="宋体"/>
          <w:color w:val="333333"/>
          <w:kern w:val="0"/>
          <w:sz w:val="32"/>
          <w:szCs w:val="32"/>
        </w:rPr>
        <w:t>主要职责内设机构和人员编制规定的通知》“三定方案”</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西区机关事务管理局是负责全区行政管理的职能部门，实行局长负责制我单位内设 8 个职能处室</w:t>
      </w:r>
      <w:r>
        <w:rPr>
          <w:rFonts w:hint="eastAsia" w:ascii="仿宋" w:hAnsi="仿宋" w:eastAsia="仿宋" w:cs="宋体"/>
          <w:color w:val="333333"/>
          <w:kern w:val="0"/>
          <w:sz w:val="32"/>
          <w:szCs w:val="32"/>
          <w:lang w:eastAsia="zh-CN"/>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（1）、贯彻执行国家、省、市有关机关后勤工作的方针、政策；研究制定机关事务管理工作的规章制度并组织实施。拟定市级机关后勤体制改革规划、办法，并组织实施。</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(2)、负责区级机关、事业单位使用财政性资金（含自筹）采购政府集中采购目录以内、采购限额标准以上的货物、工程和服务；接受其他采购人的委托，代理采购货物、工程和服务工作。</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（3）、负责全区机关、事业单位的公务车辆编制审批管理，制定公务车辆配备规则；探索和推进公务用车制度改革；编制公务车辆调整、更新计划工作。</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(4)、负责区级党政机关、人民团体、事业单位非经营性资产管理工作。</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(5)、负责区级机关房地产及基础设施的管理、配置、大宗维修；负责区级机关集中办公、住宅区水电、环境卫生管理和区机关集中办公区安全保卫工作。</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(6)、负责区级公共机构节能管理工作，组织开展耗能统计、监测和评价考核工作。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宋体"/>
          <w:color w:val="333333"/>
          <w:kern w:val="0"/>
          <w:sz w:val="32"/>
          <w:szCs w:val="32"/>
        </w:rPr>
        <w:t>(7)、承办区委、区政府交办的事项</w:t>
      </w:r>
      <w:r>
        <w:rPr>
          <w:rFonts w:hint="eastAsia" w:ascii="仿宋_GB2312" w:hAnsi="华文仿宋" w:eastAsia="仿宋_GB2312"/>
          <w:sz w:val="28"/>
          <w:szCs w:val="28"/>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楷体_GB2312"/>
          <w:sz w:val="32"/>
          <w:szCs w:val="32"/>
          <w:lang w:val="zh-CN"/>
        </w:rPr>
        <w:t>截止2019年底，共有财政编制数9人，实有人数6人，临聘编制数87人，实有75人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2019年年初财政预算收入</w:t>
      </w:r>
      <w:r>
        <w:rPr>
          <w:rFonts w:hint="eastAsia" w:ascii="仿宋" w:hAnsi="仿宋" w:eastAsia="仿宋" w:cs="宋体"/>
          <w:color w:val="333333"/>
          <w:kern w:val="0"/>
          <w:sz w:val="32"/>
          <w:szCs w:val="32"/>
          <w:lang w:val="en-US" w:eastAsia="zh-CN"/>
        </w:rPr>
        <w:t>9</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192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500</w:t>
      </w:r>
      <w:r>
        <w:rPr>
          <w:rFonts w:hint="eastAsia" w:ascii="仿宋" w:hAnsi="仿宋" w:eastAsia="仿宋" w:cs="宋体"/>
          <w:color w:val="333333"/>
          <w:kern w:val="0"/>
          <w:sz w:val="32"/>
          <w:szCs w:val="32"/>
        </w:rPr>
        <w:t>元，当年调</w:t>
      </w:r>
      <w:r>
        <w:rPr>
          <w:rFonts w:hint="eastAsia" w:ascii="仿宋" w:hAnsi="仿宋" w:eastAsia="仿宋" w:cs="宋体"/>
          <w:color w:val="333333"/>
          <w:kern w:val="0"/>
          <w:sz w:val="32"/>
          <w:szCs w:val="32"/>
          <w:lang w:eastAsia="zh-CN"/>
        </w:rPr>
        <w:t>整</w:t>
      </w:r>
      <w:r>
        <w:rPr>
          <w:rFonts w:hint="eastAsia" w:ascii="仿宋" w:hAnsi="仿宋" w:eastAsia="仿宋" w:cs="宋体"/>
          <w:color w:val="333333"/>
          <w:kern w:val="0"/>
          <w:sz w:val="32"/>
          <w:szCs w:val="32"/>
        </w:rPr>
        <w:t>后实际当年财政收入</w:t>
      </w:r>
      <w:r>
        <w:rPr>
          <w:rFonts w:hint="eastAsia" w:ascii="仿宋" w:hAnsi="仿宋" w:eastAsia="仿宋" w:cs="宋体"/>
          <w:color w:val="333333"/>
          <w:kern w:val="0"/>
          <w:sz w:val="32"/>
          <w:szCs w:val="32"/>
          <w:lang w:val="en-US" w:eastAsia="zh-CN"/>
        </w:rPr>
        <w:t>12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924</w:t>
      </w:r>
      <w:r>
        <w:rPr>
          <w:rFonts w:ascii="仿宋" w:hAnsi="仿宋" w:eastAsia="仿宋" w:cs="宋体"/>
          <w:color w:val="333333"/>
          <w:kern w:val="0"/>
          <w:sz w:val="32"/>
          <w:szCs w:val="32"/>
        </w:rPr>
        <w:t>,1</w:t>
      </w:r>
      <w:r>
        <w:rPr>
          <w:rFonts w:hint="eastAsia" w:ascii="仿宋" w:hAnsi="仿宋" w:eastAsia="仿宋" w:cs="宋体"/>
          <w:color w:val="333333"/>
          <w:kern w:val="0"/>
          <w:sz w:val="32"/>
          <w:szCs w:val="32"/>
          <w:lang w:val="en-US" w:eastAsia="zh-CN"/>
        </w:rPr>
        <w:t>38</w:t>
      </w:r>
      <w:r>
        <w:rPr>
          <w:rFonts w:ascii="仿宋" w:hAnsi="仿宋" w:eastAsia="仿宋" w:cs="宋体"/>
          <w:color w:val="333333"/>
          <w:kern w:val="0"/>
          <w:sz w:val="32"/>
          <w:szCs w:val="32"/>
        </w:rPr>
        <w:t>.0</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元。2019年全年预算收入</w:t>
      </w:r>
      <w:r>
        <w:rPr>
          <w:rFonts w:hint="eastAsia" w:ascii="仿宋" w:hAnsi="仿宋" w:eastAsia="仿宋" w:cs="宋体"/>
          <w:color w:val="333333"/>
          <w:kern w:val="0"/>
          <w:sz w:val="32"/>
          <w:szCs w:val="32"/>
          <w:lang w:val="en-US" w:eastAsia="zh-CN"/>
        </w:rPr>
        <w:t>12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924</w:t>
      </w:r>
      <w:r>
        <w:rPr>
          <w:rFonts w:ascii="仿宋" w:hAnsi="仿宋" w:eastAsia="仿宋" w:cs="宋体"/>
          <w:color w:val="333333"/>
          <w:kern w:val="0"/>
          <w:sz w:val="32"/>
          <w:szCs w:val="32"/>
        </w:rPr>
        <w:t>,1</w:t>
      </w:r>
      <w:r>
        <w:rPr>
          <w:rFonts w:hint="eastAsia" w:ascii="仿宋" w:hAnsi="仿宋" w:eastAsia="仿宋" w:cs="宋体"/>
          <w:color w:val="333333"/>
          <w:kern w:val="0"/>
          <w:sz w:val="32"/>
          <w:szCs w:val="32"/>
          <w:lang w:val="en-US" w:eastAsia="zh-CN"/>
        </w:rPr>
        <w:t>38</w:t>
      </w:r>
      <w:r>
        <w:rPr>
          <w:rFonts w:ascii="仿宋" w:hAnsi="仿宋" w:eastAsia="仿宋" w:cs="宋体"/>
          <w:color w:val="333333"/>
          <w:kern w:val="0"/>
          <w:sz w:val="32"/>
          <w:szCs w:val="32"/>
        </w:rPr>
        <w:t>.0</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元，其中财政拨款</w:t>
      </w:r>
      <w:r>
        <w:rPr>
          <w:rFonts w:hint="eastAsia" w:ascii="仿宋" w:hAnsi="仿宋" w:eastAsia="仿宋" w:cs="宋体"/>
          <w:color w:val="333333"/>
          <w:kern w:val="0"/>
          <w:sz w:val="32"/>
          <w:szCs w:val="32"/>
          <w:lang w:val="en-US" w:eastAsia="zh-CN"/>
        </w:rPr>
        <w:t>10</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458</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160</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09</w:t>
      </w:r>
      <w:r>
        <w:rPr>
          <w:rFonts w:hint="eastAsia" w:ascii="仿宋" w:hAnsi="仿宋" w:eastAsia="仿宋" w:cs="宋体"/>
          <w:color w:val="333333"/>
          <w:kern w:val="0"/>
          <w:sz w:val="32"/>
          <w:szCs w:val="32"/>
        </w:rPr>
        <w:t>元，上年结转合计</w:t>
      </w:r>
      <w:r>
        <w:rPr>
          <w:rFonts w:hint="eastAsia" w:ascii="仿宋" w:hAnsi="仿宋" w:eastAsia="仿宋" w:cs="宋体"/>
          <w:color w:val="333333"/>
          <w:kern w:val="0"/>
          <w:sz w:val="32"/>
          <w:szCs w:val="32"/>
          <w:lang w:val="en-US" w:eastAsia="zh-CN"/>
        </w:rPr>
        <w:t>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465</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977</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99</w:t>
      </w:r>
      <w:r>
        <w:rPr>
          <w:rFonts w:hint="eastAsia" w:ascii="仿宋" w:hAnsi="仿宋" w:eastAsia="仿宋" w:cs="宋体"/>
          <w:color w:val="333333"/>
          <w:kern w:val="0"/>
          <w:sz w:val="32"/>
          <w:szCs w:val="32"/>
        </w:rPr>
        <w:t>元</w:t>
      </w:r>
      <w:r>
        <w:rPr>
          <w:rFonts w:hint="eastAsia" w:ascii="仿宋" w:hAnsi="仿宋" w:eastAsia="仿宋" w:cs="宋体"/>
          <w:color w:val="333333"/>
          <w:kern w:val="0"/>
          <w:sz w:val="32"/>
          <w:szCs w:val="32"/>
          <w:lang w:eastAsia="zh-CN"/>
        </w:rPr>
        <w:t>（基本支出）</w:t>
      </w:r>
      <w:r>
        <w:rPr>
          <w:rFonts w:hint="eastAsia" w:ascii="仿宋" w:hAnsi="仿宋" w:eastAsia="仿宋" w:cs="宋体"/>
          <w:color w:val="333333"/>
          <w:kern w:val="0"/>
          <w:sz w:val="32"/>
          <w:szCs w:val="32"/>
        </w:rPr>
        <w:t>；2019年财政预算支</w:t>
      </w:r>
      <w:r>
        <w:rPr>
          <w:rFonts w:hint="eastAsia" w:ascii="仿宋" w:hAnsi="仿宋" w:eastAsia="仿宋" w:cs="宋体"/>
          <w:color w:val="333333"/>
          <w:kern w:val="0"/>
          <w:sz w:val="32"/>
          <w:szCs w:val="32"/>
          <w:lang w:eastAsia="zh-CN"/>
        </w:rPr>
        <w:t>出</w:t>
      </w:r>
      <w:r>
        <w:rPr>
          <w:rFonts w:hint="eastAsia" w:ascii="仿宋" w:hAnsi="仿宋" w:eastAsia="仿宋" w:cs="宋体"/>
          <w:color w:val="333333"/>
          <w:kern w:val="0"/>
          <w:sz w:val="32"/>
          <w:szCs w:val="32"/>
          <w:lang w:val="en-US" w:eastAsia="zh-CN"/>
        </w:rPr>
        <w:t>12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924</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138</w:t>
      </w:r>
      <w:r>
        <w:rPr>
          <w:rFonts w:ascii="仿宋" w:hAnsi="仿宋" w:eastAsia="仿宋" w:cs="宋体"/>
          <w:color w:val="333333"/>
          <w:kern w:val="0"/>
          <w:sz w:val="32"/>
          <w:szCs w:val="32"/>
        </w:rPr>
        <w:t>.0</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元，财政拨款结转年末项目结转</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元。</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（二）部门财政资金支出情况。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2019全年总支出</w:t>
      </w:r>
      <w:r>
        <w:rPr>
          <w:rFonts w:hint="eastAsia" w:ascii="仿宋" w:hAnsi="仿宋" w:eastAsia="仿宋" w:cs="宋体"/>
          <w:color w:val="333333"/>
          <w:kern w:val="0"/>
          <w:sz w:val="32"/>
          <w:szCs w:val="32"/>
          <w:lang w:val="en-US" w:eastAsia="zh-CN"/>
        </w:rPr>
        <w:t>12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924</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138</w:t>
      </w:r>
      <w:r>
        <w:rPr>
          <w:rFonts w:ascii="仿宋" w:hAnsi="仿宋" w:eastAsia="仿宋" w:cs="宋体"/>
          <w:color w:val="333333"/>
          <w:kern w:val="0"/>
          <w:sz w:val="32"/>
          <w:szCs w:val="32"/>
        </w:rPr>
        <w:t>.0</w:t>
      </w:r>
      <w:r>
        <w:rPr>
          <w:rFonts w:hint="eastAsia" w:ascii="仿宋" w:hAnsi="仿宋" w:eastAsia="仿宋" w:cs="宋体"/>
          <w:color w:val="333333"/>
          <w:kern w:val="0"/>
          <w:sz w:val="32"/>
          <w:szCs w:val="32"/>
          <w:lang w:val="en-US" w:eastAsia="zh-CN"/>
        </w:rPr>
        <w:t>8</w:t>
      </w:r>
      <w:r>
        <w:rPr>
          <w:rFonts w:hint="eastAsia" w:ascii="仿宋" w:hAnsi="仿宋" w:eastAsia="仿宋" w:cs="宋体"/>
          <w:color w:val="333333"/>
          <w:kern w:val="0"/>
          <w:sz w:val="32"/>
          <w:szCs w:val="32"/>
        </w:rPr>
        <w:t>元，其中行政运行支出</w:t>
      </w:r>
      <w:r>
        <w:rPr>
          <w:rFonts w:hint="eastAsia" w:ascii="仿宋" w:hAnsi="仿宋" w:eastAsia="仿宋" w:cs="宋体"/>
          <w:color w:val="333333"/>
          <w:kern w:val="0"/>
          <w:sz w:val="32"/>
          <w:szCs w:val="32"/>
          <w:lang w:val="en-US" w:eastAsia="zh-CN"/>
        </w:rPr>
        <w:t>6</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112</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239</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76</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47.29</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机关服务支出</w:t>
      </w:r>
      <w:r>
        <w:rPr>
          <w:rFonts w:hint="eastAsia" w:ascii="仿宋" w:hAnsi="仿宋" w:eastAsia="仿宋" w:cs="宋体"/>
          <w:color w:val="333333"/>
          <w:kern w:val="0"/>
          <w:sz w:val="32"/>
          <w:szCs w:val="32"/>
          <w:lang w:val="en-US" w:eastAsia="zh-CN"/>
        </w:rPr>
        <w:t>28</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706</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0.22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土地开发</w:t>
      </w:r>
      <w:r>
        <w:rPr>
          <w:rFonts w:hint="eastAsia" w:ascii="仿宋" w:hAnsi="仿宋" w:eastAsia="仿宋" w:cs="宋体"/>
          <w:color w:val="333333"/>
          <w:kern w:val="0"/>
          <w:sz w:val="32"/>
          <w:szCs w:val="32"/>
        </w:rPr>
        <w:t>支出</w:t>
      </w:r>
      <w:r>
        <w:rPr>
          <w:rFonts w:hint="eastAsia" w:ascii="仿宋" w:hAnsi="仿宋" w:eastAsia="仿宋" w:cs="宋体"/>
          <w:color w:val="333333"/>
          <w:kern w:val="0"/>
          <w:sz w:val="32"/>
          <w:szCs w:val="32"/>
          <w:lang w:val="en-US" w:eastAsia="zh-CN"/>
        </w:rPr>
        <w:t>6</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281</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443.48</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48.6</w:t>
      </w:r>
      <w:r>
        <w:rPr>
          <w:rFonts w:hint="eastAsia" w:ascii="仿宋" w:hAnsi="仿宋" w:eastAsia="仿宋" w:cs="宋体"/>
          <w:color w:val="333333"/>
          <w:kern w:val="0"/>
          <w:sz w:val="32"/>
          <w:szCs w:val="32"/>
        </w:rPr>
        <w:t>%；未归口管理的行政单位离退休</w:t>
      </w:r>
      <w:r>
        <w:rPr>
          <w:rFonts w:hint="eastAsia" w:ascii="仿宋" w:hAnsi="仿宋" w:eastAsia="仿宋" w:cs="宋体"/>
          <w:color w:val="333333"/>
          <w:kern w:val="0"/>
          <w:sz w:val="32"/>
          <w:szCs w:val="32"/>
          <w:lang w:val="en-US" w:eastAsia="zh-CN"/>
        </w:rPr>
        <w:t>81</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400</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0.63</w:t>
      </w:r>
      <w:r>
        <w:rPr>
          <w:rFonts w:hint="eastAsia" w:ascii="仿宋" w:hAnsi="仿宋" w:eastAsia="仿宋" w:cs="宋体"/>
          <w:color w:val="333333"/>
          <w:kern w:val="0"/>
          <w:sz w:val="32"/>
          <w:szCs w:val="32"/>
        </w:rPr>
        <w:t>%；机关事业单位基本养老保险缴费支出</w:t>
      </w:r>
      <w:r>
        <w:rPr>
          <w:rFonts w:hint="eastAsia" w:ascii="仿宋" w:hAnsi="仿宋" w:eastAsia="仿宋" w:cs="宋体"/>
          <w:color w:val="333333"/>
          <w:kern w:val="0"/>
          <w:sz w:val="32"/>
          <w:szCs w:val="32"/>
          <w:lang w:val="en-US" w:eastAsia="zh-CN"/>
        </w:rPr>
        <w:t>117</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692.54</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0.91</w:t>
      </w:r>
      <w:r>
        <w:rPr>
          <w:rFonts w:hint="eastAsia" w:ascii="仿宋" w:hAnsi="仿宋" w:eastAsia="仿宋" w:cs="宋体"/>
          <w:color w:val="333333"/>
          <w:kern w:val="0"/>
          <w:sz w:val="32"/>
          <w:szCs w:val="32"/>
        </w:rPr>
        <w:t>%；行政事业单位医疗支出</w:t>
      </w:r>
      <w:r>
        <w:rPr>
          <w:rFonts w:hint="eastAsia" w:ascii="仿宋" w:hAnsi="仿宋" w:eastAsia="仿宋" w:cs="宋体"/>
          <w:color w:val="333333"/>
          <w:kern w:val="0"/>
          <w:sz w:val="32"/>
          <w:szCs w:val="32"/>
          <w:lang w:val="en-US" w:eastAsia="zh-CN"/>
        </w:rPr>
        <w:t>81</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411.39</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0.62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公务员医疗补助支出</w:t>
      </w:r>
      <w:r>
        <w:rPr>
          <w:rFonts w:hint="eastAsia" w:ascii="仿宋" w:hAnsi="仿宋" w:eastAsia="仿宋" w:cs="宋体"/>
          <w:color w:val="333333"/>
          <w:kern w:val="0"/>
          <w:sz w:val="32"/>
          <w:szCs w:val="32"/>
          <w:lang w:val="en-US" w:eastAsia="zh-CN"/>
        </w:rPr>
        <w:t>15</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076.91元，占总支出的0.11%；</w:t>
      </w:r>
      <w:r>
        <w:rPr>
          <w:rFonts w:hint="eastAsia" w:ascii="仿宋" w:hAnsi="仿宋" w:eastAsia="仿宋" w:cs="宋体"/>
          <w:color w:val="333333"/>
          <w:kern w:val="0"/>
          <w:sz w:val="32"/>
          <w:szCs w:val="32"/>
        </w:rPr>
        <w:t>住房公积金支出</w:t>
      </w:r>
      <w:r>
        <w:rPr>
          <w:rFonts w:hint="eastAsia" w:ascii="仿宋" w:hAnsi="仿宋" w:eastAsia="仿宋" w:cs="宋体"/>
          <w:color w:val="333333"/>
          <w:kern w:val="0"/>
          <w:sz w:val="32"/>
          <w:szCs w:val="32"/>
          <w:lang w:val="en-US" w:eastAsia="zh-CN"/>
        </w:rPr>
        <w:t>138</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928</w:t>
      </w:r>
      <w:r>
        <w:rPr>
          <w:rFonts w:hint="eastAsia" w:ascii="仿宋" w:hAnsi="仿宋" w:eastAsia="仿宋" w:cs="宋体"/>
          <w:color w:val="333333"/>
          <w:kern w:val="0"/>
          <w:sz w:val="32"/>
          <w:szCs w:val="32"/>
        </w:rPr>
        <w:t>元，占总支出的</w:t>
      </w:r>
      <w:r>
        <w:rPr>
          <w:rFonts w:hint="eastAsia" w:ascii="仿宋" w:hAnsi="仿宋" w:eastAsia="仿宋" w:cs="宋体"/>
          <w:color w:val="333333"/>
          <w:kern w:val="0"/>
          <w:sz w:val="32"/>
          <w:szCs w:val="32"/>
          <w:lang w:val="en-US" w:eastAsia="zh-CN"/>
        </w:rPr>
        <w:t>1.07</w:t>
      </w:r>
      <w:r>
        <w:rPr>
          <w:rFonts w:hint="eastAsia" w:ascii="仿宋" w:hAnsi="仿宋" w:eastAsia="仿宋" w:cs="宋体"/>
          <w:color w:val="333333"/>
          <w:kern w:val="0"/>
          <w:sz w:val="32"/>
          <w:szCs w:val="32"/>
        </w:rPr>
        <w:t>%。</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三、部门整体预算绩效管理情况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（一）部门预算管理。</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w:t>
      </w:r>
      <w:r>
        <w:rPr>
          <w:rFonts w:hint="eastAsia" w:ascii="仿宋" w:hAnsi="仿宋" w:eastAsia="仿宋" w:cs="宋体"/>
          <w:color w:val="333333"/>
          <w:kern w:val="0"/>
          <w:sz w:val="32"/>
          <w:szCs w:val="32"/>
          <w:lang w:eastAsia="zh-CN"/>
        </w:rPr>
        <w:t>机关事务管理中心</w:t>
      </w:r>
      <w:r>
        <w:rPr>
          <w:rFonts w:hint="eastAsia" w:ascii="仿宋" w:hAnsi="仿宋" w:eastAsia="仿宋" w:cs="宋体"/>
          <w:color w:val="333333"/>
          <w:kern w:val="0"/>
          <w:sz w:val="32"/>
          <w:szCs w:val="32"/>
        </w:rPr>
        <w:t>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（二）结果应用情况。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单位内部按照工作完成的目标计划和推进力度，在绩效目标考核中予以倾斜，评价结果和应用结果都及时反馈给各科室负责人。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四、评价结论及建议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（一）评价结论。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2019年度西区</w:t>
      </w:r>
      <w:r>
        <w:rPr>
          <w:rFonts w:hint="eastAsia" w:ascii="仿宋" w:hAnsi="仿宋" w:eastAsia="仿宋" w:cs="宋体"/>
          <w:color w:val="333333"/>
          <w:kern w:val="0"/>
          <w:sz w:val="32"/>
          <w:szCs w:val="32"/>
          <w:lang w:eastAsia="zh-CN"/>
        </w:rPr>
        <w:t>机关事务管理中心</w:t>
      </w:r>
      <w:r>
        <w:rPr>
          <w:rFonts w:hint="eastAsia" w:ascii="仿宋" w:hAnsi="仿宋" w:eastAsia="仿宋" w:cs="宋体"/>
          <w:color w:val="333333"/>
          <w:kern w:val="0"/>
          <w:sz w:val="32"/>
          <w:szCs w:val="32"/>
        </w:rPr>
        <w:t>各项经费达到对应的绩效目标，圆满完成各项目规定工作任务。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（二）存在问题。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主要体现在经费保障始终维持在较低水平线。</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宋体"/>
          <w:color w:val="333333"/>
          <w:kern w:val="0"/>
          <w:sz w:val="32"/>
          <w:szCs w:val="32"/>
        </w:rPr>
        <w:t>建建议加大项目预算的投入</w:t>
      </w:r>
      <w:r>
        <w:rPr>
          <w:rFonts w:hint="eastAsia" w:ascii="仿宋_GB2312" w:hAnsi="宋体" w:eastAsia="仿宋_GB2312" w:cs="宋体"/>
          <w:color w:val="000000"/>
          <w:kern w:val="0"/>
          <w:sz w:val="32"/>
          <w:szCs w:val="32"/>
          <w:shd w:val="clear" w:color="auto" w:fill="FFFFFF"/>
          <w:lang w:val="zh-CN"/>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widowControl/>
        <w:spacing w:line="600" w:lineRule="atLeast"/>
        <w:jc w:val="center"/>
        <w:rPr>
          <w:rFonts w:ascii="微软雅黑" w:hAnsi="微软雅黑" w:eastAsia="微软雅黑" w:cs="宋体"/>
          <w:color w:val="333333"/>
          <w:kern w:val="0"/>
          <w:sz w:val="23"/>
          <w:szCs w:val="23"/>
        </w:rPr>
      </w:pPr>
      <w:r>
        <w:rPr>
          <w:rFonts w:hint="eastAsia" w:ascii="方正小标宋简体" w:hAnsi="微软雅黑" w:eastAsia="方正小标宋简体" w:cs="宋体"/>
          <w:color w:val="333333"/>
          <w:kern w:val="0"/>
          <w:sz w:val="44"/>
          <w:szCs w:val="44"/>
        </w:rPr>
        <w:t>2019年市西区</w:t>
      </w:r>
      <w:r>
        <w:rPr>
          <w:rFonts w:hint="eastAsia" w:ascii="方正小标宋简体" w:hAnsi="微软雅黑" w:eastAsia="方正小标宋简体" w:cs="宋体"/>
          <w:color w:val="333333"/>
          <w:kern w:val="0"/>
          <w:sz w:val="44"/>
          <w:szCs w:val="44"/>
          <w:lang w:eastAsia="zh-CN"/>
        </w:rPr>
        <w:t>机关事务管理中心</w:t>
      </w:r>
      <w:r>
        <w:rPr>
          <w:rFonts w:hint="eastAsia" w:ascii="方正小标宋简体" w:hAnsi="微软雅黑" w:eastAsia="方正小标宋简体" w:cs="宋体"/>
          <w:color w:val="333333"/>
          <w:kern w:val="0"/>
          <w:sz w:val="44"/>
          <w:szCs w:val="44"/>
        </w:rPr>
        <w:t>项目绩效评价报告</w:t>
      </w:r>
    </w:p>
    <w:p>
      <w:pPr>
        <w:widowControl/>
        <w:spacing w:before="213" w:after="213" w:line="600"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一、评价工作开展及项目情况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w:t>
      </w:r>
      <w:r>
        <w:rPr>
          <w:rFonts w:hint="eastAsia" w:ascii="仿宋" w:hAnsi="仿宋" w:eastAsia="仿宋" w:cs="宋体"/>
          <w:color w:val="333333"/>
          <w:kern w:val="0"/>
          <w:sz w:val="32"/>
          <w:szCs w:val="32"/>
          <w:lang w:eastAsia="zh-CN"/>
        </w:rPr>
        <w:t>机关事务管理中心</w:t>
      </w:r>
      <w:r>
        <w:rPr>
          <w:rFonts w:hint="eastAsia" w:ascii="仿宋" w:hAnsi="仿宋" w:eastAsia="仿宋" w:cs="宋体"/>
          <w:color w:val="333333"/>
          <w:kern w:val="0"/>
          <w:sz w:val="32"/>
          <w:szCs w:val="32"/>
        </w:rPr>
        <w:t>按照“厉行节约，反对浪费，花钱必问效”的原则，在年初预算时就建立了项目绩效目标自评表，年中按照财政下达金额和目标工作分配任务安排调整绩效目标。每季度按时间进度和工作量完成情况对重点项目进行督查和催办，使量化评价具有一定指导意义。</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二、评价结论及绩效分析</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（一）评价结论</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项目绩效目标是完成2019年度</w:t>
      </w:r>
      <w:r>
        <w:rPr>
          <w:rFonts w:hint="eastAsia" w:ascii="仿宋" w:hAnsi="仿宋" w:eastAsia="仿宋" w:cs="宋体"/>
          <w:color w:val="333333"/>
          <w:kern w:val="0"/>
          <w:sz w:val="32"/>
          <w:szCs w:val="32"/>
          <w:lang w:eastAsia="zh-CN"/>
        </w:rPr>
        <w:t>区</w:t>
      </w:r>
      <w:r>
        <w:rPr>
          <w:rFonts w:hint="eastAsia" w:ascii="仿宋" w:hAnsi="仿宋" w:eastAsia="仿宋" w:cs="宋体"/>
          <w:color w:val="333333"/>
          <w:kern w:val="0"/>
          <w:sz w:val="32"/>
          <w:szCs w:val="32"/>
        </w:rPr>
        <w:t>级项目下达资金支付工作，按预期完成各对应工作项目，达到正常保障业务运转的基本目标。</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（二）绩效分析</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1．市级项目完成情况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2.省级项目完成情况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3.其他需要说明的情况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三、存在主要问题</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主要是项目经费下达不能完全保障业务支出。</w:t>
      </w:r>
    </w:p>
    <w:p>
      <w:pPr>
        <w:widowControl/>
        <w:numPr>
          <w:ilvl w:val="0"/>
          <w:numId w:val="6"/>
        </w:numPr>
        <w:ind w:left="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lang w:eastAsia="zh-CN"/>
        </w:rPr>
        <w:t>四．</w:t>
      </w:r>
      <w:r>
        <w:rPr>
          <w:rFonts w:hint="eastAsia" w:ascii="仿宋" w:hAnsi="仿宋" w:eastAsia="仿宋" w:cs="宋体"/>
          <w:color w:val="333333"/>
          <w:kern w:val="0"/>
          <w:sz w:val="32"/>
          <w:szCs w:val="32"/>
        </w:rPr>
        <w:t>相关措施建议</w:t>
      </w:r>
    </w:p>
    <w:p>
      <w:pPr>
        <w:widowControl/>
        <w:spacing w:line="580" w:lineRule="atLeast"/>
        <w:ind w:firstLine="640"/>
        <w:jc w:val="left"/>
        <w:rPr>
          <w:rFonts w:ascii="仿宋_GB2312" w:hAnsi="仿宋_GB2312" w:eastAsia="仿宋_GB2312" w:cs="仿宋_GB2312"/>
          <w:sz w:val="32"/>
          <w:szCs w:val="32"/>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7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9"/>
      <w:bookmarkEnd w:id="7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72"/>
    </w:p>
    <w:p>
      <w:pPr>
        <w:pStyle w:val="3"/>
        <w:rPr>
          <w:rFonts w:ascii="仿宋" w:hAnsi="仿宋" w:eastAsia="仿宋"/>
          <w:color w:val="000000"/>
        </w:rPr>
      </w:pPr>
      <w:bookmarkStart w:id="73"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73"/>
    </w:p>
    <w:p>
      <w:pPr>
        <w:pStyle w:val="3"/>
        <w:rPr>
          <w:rFonts w:ascii="仿宋" w:hAnsi="仿宋" w:eastAsia="仿宋"/>
          <w:color w:val="000000"/>
        </w:rPr>
      </w:pPr>
      <w:bookmarkStart w:id="7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74"/>
    </w:p>
    <w:p>
      <w:pPr>
        <w:pStyle w:val="3"/>
        <w:rPr>
          <w:rFonts w:ascii="仿宋" w:hAnsi="仿宋" w:eastAsia="仿宋"/>
          <w:b w:val="0"/>
          <w:color w:val="000000"/>
        </w:rPr>
      </w:pPr>
      <w:bookmarkStart w:id="7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75"/>
    </w:p>
    <w:p>
      <w:pPr>
        <w:pStyle w:val="3"/>
        <w:rPr>
          <w:rStyle w:val="26"/>
          <w:rFonts w:ascii="仿宋" w:hAnsi="仿宋" w:eastAsia="仿宋"/>
          <w:b w:val="0"/>
          <w:bCs w:val="0"/>
        </w:rPr>
      </w:pPr>
      <w:bookmarkStart w:id="7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76"/>
      <w:bookmarkStart w:id="77"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7"/>
    </w:p>
    <w:p>
      <w:pPr>
        <w:pStyle w:val="3"/>
        <w:rPr>
          <w:rFonts w:ascii="仿宋" w:hAnsi="仿宋" w:eastAsia="仿宋"/>
          <w:color w:val="000000"/>
        </w:rPr>
      </w:pPr>
      <w:bookmarkStart w:id="7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8"/>
    </w:p>
    <w:p>
      <w:pPr>
        <w:pStyle w:val="3"/>
        <w:rPr>
          <w:rFonts w:ascii="仿宋" w:hAnsi="仿宋" w:eastAsia="仿宋"/>
          <w:color w:val="000000"/>
        </w:rPr>
      </w:pPr>
      <w:bookmarkStart w:id="7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9"/>
    </w:p>
    <w:p>
      <w:pPr>
        <w:pStyle w:val="3"/>
        <w:rPr>
          <w:rFonts w:ascii="仿宋" w:hAnsi="仿宋" w:eastAsia="仿宋"/>
          <w:color w:val="000000"/>
        </w:rPr>
      </w:pPr>
      <w:bookmarkStart w:id="8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80"/>
    </w:p>
    <w:p>
      <w:pPr>
        <w:pStyle w:val="3"/>
        <w:rPr>
          <w:rFonts w:ascii="仿宋" w:hAnsi="仿宋" w:eastAsia="仿宋"/>
          <w:color w:val="000000"/>
        </w:rPr>
      </w:pPr>
      <w:bookmarkStart w:id="8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81"/>
    </w:p>
    <w:p>
      <w:pPr>
        <w:pStyle w:val="3"/>
        <w:rPr>
          <w:rFonts w:ascii="仿宋" w:hAnsi="仿宋" w:eastAsia="仿宋"/>
          <w:color w:val="000000"/>
        </w:rPr>
      </w:pPr>
      <w:bookmarkStart w:id="8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82"/>
    </w:p>
    <w:p>
      <w:pPr>
        <w:pStyle w:val="3"/>
        <w:rPr>
          <w:rFonts w:ascii="仿宋" w:hAnsi="仿宋" w:eastAsia="仿宋"/>
          <w:color w:val="000000"/>
        </w:rPr>
      </w:pPr>
      <w:bookmarkStart w:id="8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83"/>
    </w:p>
    <w:p>
      <w:pPr>
        <w:pStyle w:val="3"/>
        <w:rPr>
          <w:rFonts w:ascii="仿宋" w:hAnsi="仿宋" w:eastAsia="仿宋"/>
          <w:color w:val="000000" w:themeColor="text1"/>
          <w14:textFill>
            <w14:solidFill>
              <w14:schemeClr w14:val="tx1"/>
            </w14:solidFill>
          </w14:textFill>
        </w:rPr>
      </w:pPr>
      <w:bookmarkStart w:id="8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8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C19221"/>
    <w:multiLevelType w:val="singleLevel"/>
    <w:tmpl w:val="E2C19221"/>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4411197"/>
    <w:multiLevelType w:val="multilevel"/>
    <w:tmpl w:val="2441119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27B9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14B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6BCD"/>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21B8"/>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86C1887"/>
    <w:rsid w:val="0FB428AB"/>
    <w:rsid w:val="10C055FF"/>
    <w:rsid w:val="16BB723D"/>
    <w:rsid w:val="20CD1CD0"/>
    <w:rsid w:val="240371BF"/>
    <w:rsid w:val="29FD04D3"/>
    <w:rsid w:val="319F7F4E"/>
    <w:rsid w:val="3C553E04"/>
    <w:rsid w:val="40854476"/>
    <w:rsid w:val="44EE4DF6"/>
    <w:rsid w:val="47680E90"/>
    <w:rsid w:val="4DBA1E2D"/>
    <w:rsid w:val="4ECE2238"/>
    <w:rsid w:val="5DFE5C52"/>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D825-0B01-4C87-8124-C37407DCF73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10307</Words>
  <Characters>11097</Characters>
  <Lines>80</Lines>
  <Paragraphs>22</Paragraphs>
  <TotalTime>3</TotalTime>
  <ScaleCrop>false</ScaleCrop>
  <LinksUpToDate>false</LinksUpToDate>
  <CharactersWithSpaces>11174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李付兵</cp:lastModifiedBy>
  <cp:lastPrinted>2020-07-23T02:58:00Z</cp:lastPrinted>
  <dcterms:modified xsi:type="dcterms:W3CDTF">2023-07-17T09:50:08Z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BAD33EC3A9C3438F9E37B159FD946DBD_13</vt:lpwstr>
  </property>
</Properties>
</file>