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600" w:lineRule="exact"/>
        <w:jc w:val="center"/>
        <w:outlineLvl w:val="0"/>
        <w:rPr>
          <w:rFonts w:ascii="方正小标宋_GBK" w:hAnsi="方正小标宋_GBK" w:eastAsia="方正小标宋_GBK" w:cs="方正小标宋_GBK"/>
          <w:color w:val="000000"/>
          <w:sz w:val="84"/>
          <w:szCs w:val="84"/>
        </w:rPr>
      </w:pPr>
      <w:bookmarkStart w:id="0" w:name="_Toc15378441"/>
      <w:bookmarkStart w:id="1" w:name="_Toc15396597"/>
      <w:bookmarkStart w:id="2" w:name="_Toc15377425"/>
      <w:bookmarkStart w:id="3" w:name="_Toc15377193"/>
      <w:bookmarkStart w:id="4" w:name="_Toc15396475"/>
      <w:r>
        <w:rPr>
          <w:rFonts w:hint="eastAsia" w:ascii="方正小标宋_GBK" w:hAnsi="方正小标宋_GBK" w:eastAsia="方正小标宋_GBK" w:cs="方正小标宋_GBK"/>
          <w:color w:val="000000"/>
          <w:sz w:val="84"/>
          <w:szCs w:val="84"/>
        </w:rPr>
        <w:t>2020年度</w:t>
      </w:r>
      <w:bookmarkEnd w:id="0"/>
      <w:bookmarkEnd w:id="1"/>
      <w:bookmarkEnd w:id="2"/>
      <w:bookmarkEnd w:id="3"/>
      <w:bookmarkEnd w:id="4"/>
    </w:p>
    <w:p>
      <w:pPr>
        <w:adjustRightInd w:val="0"/>
        <w:snapToGrid w:val="0"/>
        <w:spacing w:line="1600" w:lineRule="exact"/>
        <w:jc w:val="center"/>
        <w:outlineLvl w:val="0"/>
        <w:rPr>
          <w:rFonts w:ascii="方正小标宋_GBK" w:hAnsi="方正小标宋_GBK" w:eastAsia="方正小标宋_GBK" w:cs="方正小标宋_GBK"/>
          <w:color w:val="000000"/>
          <w:sz w:val="84"/>
          <w:szCs w:val="84"/>
        </w:rPr>
      </w:pPr>
      <w:bookmarkStart w:id="5" w:name="_Toc15396476"/>
      <w:bookmarkStart w:id="6" w:name="_Toc15377194"/>
      <w:bookmarkStart w:id="7" w:name="_Toc15396598"/>
      <w:bookmarkStart w:id="8" w:name="_Toc15377426"/>
      <w:bookmarkStart w:id="9" w:name="_Toc15378442"/>
      <w:r>
        <w:rPr>
          <w:rFonts w:hint="eastAsia" w:ascii="方正小标宋_GBK" w:hAnsi="方正小标宋_GBK" w:eastAsia="方正小标宋_GBK" w:cs="方正小标宋_GBK"/>
          <w:color w:val="000000"/>
          <w:sz w:val="84"/>
          <w:szCs w:val="84"/>
        </w:rPr>
        <w:t>四川省</w:t>
      </w:r>
      <w:bookmarkStart w:id="10" w:name="_Toc15306268"/>
      <w:r>
        <w:rPr>
          <w:rFonts w:hint="eastAsia" w:ascii="方正小标宋_GBK" w:hAnsi="方正小标宋_GBK" w:eastAsia="方正小标宋_GBK" w:cs="方正小标宋_GBK"/>
          <w:color w:val="000000"/>
          <w:sz w:val="84"/>
          <w:szCs w:val="84"/>
        </w:rPr>
        <w:t>攀枝花市</w:t>
      </w:r>
    </w:p>
    <w:p>
      <w:pPr>
        <w:adjustRightInd w:val="0"/>
        <w:snapToGrid w:val="0"/>
        <w:spacing w:line="1600" w:lineRule="exact"/>
        <w:jc w:val="center"/>
        <w:outlineLvl w:val="0"/>
        <w:rPr>
          <w:rFonts w:ascii="方正小标宋_GBK" w:hAnsi="方正小标宋_GBK" w:eastAsia="方正小标宋_GBK" w:cs="方正小标宋_GBK"/>
          <w:color w:val="000000"/>
          <w:sz w:val="84"/>
          <w:szCs w:val="84"/>
        </w:rPr>
      </w:pPr>
      <w:r>
        <w:rPr>
          <w:rFonts w:hint="eastAsia" w:ascii="方正小标宋_GBK" w:hAnsi="方正小标宋_GBK" w:eastAsia="方正小标宋_GBK" w:cs="方正小标宋_GBK"/>
          <w:color w:val="000000"/>
          <w:sz w:val="84"/>
          <w:szCs w:val="84"/>
        </w:rPr>
        <w:t>西区水利局</w:t>
      </w:r>
    </w:p>
    <w:p>
      <w:pPr>
        <w:adjustRightInd w:val="0"/>
        <w:snapToGrid w:val="0"/>
        <w:spacing w:line="1600" w:lineRule="exact"/>
        <w:jc w:val="center"/>
        <w:outlineLvl w:val="0"/>
        <w:rPr>
          <w:rFonts w:ascii="方正小标宋_GBK" w:hAnsi="方正小标宋_GBK" w:eastAsia="方正小标宋_GBK" w:cs="方正小标宋_GBK"/>
          <w:color w:val="000000"/>
          <w:sz w:val="84"/>
          <w:szCs w:val="84"/>
        </w:rPr>
      </w:pPr>
      <w:r>
        <w:rPr>
          <w:rFonts w:hint="eastAsia" w:ascii="方正小标宋_GBK" w:hAnsi="方正小标宋_GBK" w:eastAsia="方正小标宋_GBK" w:cs="方正小标宋_GBK"/>
          <w:color w:val="000000"/>
          <w:sz w:val="84"/>
          <w:szCs w:val="84"/>
        </w:rPr>
        <w:t>部门决算</w:t>
      </w:r>
      <w:bookmarkEnd w:id="5"/>
      <w:bookmarkEnd w:id="6"/>
      <w:bookmarkEnd w:id="7"/>
      <w:bookmarkEnd w:id="8"/>
      <w:bookmarkEnd w:id="9"/>
      <w:bookmarkEnd w:id="10"/>
    </w:p>
    <w:p/>
    <w:p>
      <w:pPr>
        <w:pStyle w:val="2"/>
      </w:pPr>
    </w:p>
    <w:p/>
    <w:p>
      <w:pPr>
        <w:pStyle w:val="2"/>
      </w:pPr>
    </w:p>
    <w:p/>
    <w:p>
      <w:pPr>
        <w:pStyle w:val="2"/>
      </w:pPr>
    </w:p>
    <w:p/>
    <w:p>
      <w:pPr>
        <w:pStyle w:val="2"/>
      </w:pPr>
    </w:p>
    <w:p/>
    <w:p>
      <w:pPr>
        <w:widowControl/>
        <w:spacing w:line="560" w:lineRule="exact"/>
        <w:jc w:val="center"/>
        <w:rPr>
          <w:rFonts w:ascii="黑体" w:hAnsi="黑体" w:eastAsia="黑体"/>
          <w:color w:val="000000"/>
          <w:sz w:val="48"/>
          <w:szCs w:val="48"/>
        </w:rPr>
        <w:sectPr>
          <w:pgSz w:w="11906" w:h="16838"/>
          <w:pgMar w:top="2098" w:right="1474" w:bottom="1984" w:left="1587" w:header="851" w:footer="1417" w:gutter="0"/>
          <w:cols w:space="720" w:num="1"/>
          <w:docGrid w:type="lines" w:linePitch="312" w:charSpace="0"/>
        </w:sectPr>
      </w:pPr>
    </w:p>
    <w:p>
      <w:pPr>
        <w:widowControl/>
        <w:spacing w:line="560" w:lineRule="exact"/>
        <w:jc w:val="center"/>
        <w:rPr>
          <w:rFonts w:ascii="黑体" w:hAnsi="黑体" w:eastAsia="黑体"/>
          <w:color w:val="000000"/>
          <w:sz w:val="48"/>
          <w:szCs w:val="48"/>
        </w:rPr>
      </w:pPr>
      <w:r>
        <w:rPr>
          <w:rFonts w:hint="eastAsia" w:ascii="黑体" w:hAnsi="黑体" w:eastAsia="黑体"/>
          <w:color w:val="000000"/>
          <w:sz w:val="48"/>
          <w:szCs w:val="48"/>
        </w:rPr>
        <w:t>目录</w:t>
      </w:r>
    </w:p>
    <w:p>
      <w:pPr>
        <w:pStyle w:val="10"/>
        <w:spacing w:line="560" w:lineRule="exact"/>
        <w:rPr>
          <w:rFonts w:ascii="楷体_GB2312" w:hAnsi="楷体_GB2312" w:eastAsia="楷体_GB2312" w:cs="楷体_GB2312"/>
        </w:rPr>
      </w:pPr>
      <w:r>
        <w:rPr>
          <w:rFonts w:hint="eastAsia" w:ascii="楷体_GB2312" w:hAnsi="楷体_GB2312" w:eastAsia="楷体_GB2312" w:cs="楷体_GB2312"/>
        </w:rPr>
        <w:t>公开时间：2021年10月27日</w:t>
      </w:r>
    </w:p>
    <w:p>
      <w:pPr>
        <w:pStyle w:val="10"/>
        <w:adjustRightInd w:val="0"/>
        <w:snapToGrid w:val="0"/>
        <w:spacing w:line="560" w:lineRule="exact"/>
        <w:ind w:firstLine="640" w:firstLineChars="200"/>
        <w:jc w:val="left"/>
        <w:rPr>
          <w:rFonts w:ascii="仿宋_GB2312" w:hAnsi="仿宋_GB2312" w:eastAsia="仿宋_GB2312" w:cs="仿宋_GB2312"/>
          <w:sz w:val="32"/>
          <w:szCs w:val="32"/>
        </w:rPr>
      </w:pPr>
    </w:p>
    <w:p>
      <w:pPr>
        <w:pStyle w:val="10"/>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第一部分 部门概况....................................3</w:t>
      </w:r>
    </w:p>
    <w:p>
      <w:pPr>
        <w:pStyle w:val="11"/>
        <w:adjustRightInd w:val="0"/>
        <w:snapToGrid w:val="0"/>
        <w:spacing w:line="56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一、基本职能及主要工作...........................3</w:t>
      </w:r>
    </w:p>
    <w:p>
      <w:pPr>
        <w:pStyle w:val="11"/>
        <w:adjustRightInd w:val="0"/>
        <w:snapToGrid w:val="0"/>
        <w:spacing w:line="56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二、机构设置......................................8</w:t>
      </w:r>
    </w:p>
    <w:p>
      <w:pPr>
        <w:pStyle w:val="10"/>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第二部分度部门决算情况说明............................9</w:t>
      </w:r>
    </w:p>
    <w:p>
      <w:pPr>
        <w:pStyle w:val="11"/>
        <w:adjustRightInd w:val="0"/>
        <w:snapToGrid w:val="0"/>
        <w:spacing w:line="56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一、收入支出决算总体情况说明......................9</w:t>
      </w:r>
    </w:p>
    <w:p>
      <w:pPr>
        <w:pStyle w:val="11"/>
        <w:adjustRightInd w:val="0"/>
        <w:snapToGrid w:val="0"/>
        <w:spacing w:line="56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二、收入决算情况说明.............................10</w:t>
      </w:r>
    </w:p>
    <w:p>
      <w:pPr>
        <w:pStyle w:val="11"/>
        <w:adjustRightInd w:val="0"/>
        <w:snapToGrid w:val="0"/>
        <w:spacing w:line="56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三、支出决算情况说明.............................10</w:t>
      </w:r>
    </w:p>
    <w:p>
      <w:pPr>
        <w:pStyle w:val="11"/>
        <w:adjustRightInd w:val="0"/>
        <w:snapToGrid w:val="0"/>
        <w:spacing w:line="56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四、财政拨款收入支出决算总体情况说明.............11</w:t>
      </w:r>
    </w:p>
    <w:p>
      <w:pPr>
        <w:pStyle w:val="11"/>
        <w:adjustRightInd w:val="0"/>
        <w:snapToGrid w:val="0"/>
        <w:spacing w:line="56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五、一般公共预算财政拨款支出决算情况说明.........12</w:t>
      </w:r>
    </w:p>
    <w:p>
      <w:pPr>
        <w:pStyle w:val="11"/>
        <w:adjustRightInd w:val="0"/>
        <w:snapToGrid w:val="0"/>
        <w:spacing w:line="56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六、一般公共预算财政拨款基本支出决算情况说明.....15</w:t>
      </w:r>
    </w:p>
    <w:p>
      <w:pPr>
        <w:pStyle w:val="11"/>
        <w:adjustRightInd w:val="0"/>
        <w:snapToGrid w:val="0"/>
        <w:spacing w:line="56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七、“三公”经费财政拨款支出决算情况说明..........16</w:t>
      </w:r>
    </w:p>
    <w:p>
      <w:pPr>
        <w:pStyle w:val="11"/>
        <w:adjustRightInd w:val="0"/>
        <w:snapToGrid w:val="0"/>
        <w:spacing w:line="56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八、政府性基金预算支出决算情况说明...............18</w:t>
      </w:r>
    </w:p>
    <w:p>
      <w:pPr>
        <w:pStyle w:val="11"/>
        <w:adjustRightInd w:val="0"/>
        <w:snapToGrid w:val="0"/>
        <w:spacing w:line="56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九、国有资本经营预算支出决算情况说明.............18</w:t>
      </w:r>
    </w:p>
    <w:p>
      <w:pPr>
        <w:adjustRightInd w:val="0"/>
        <w:snapToGrid w:val="0"/>
        <w:spacing w:line="560" w:lineRule="exact"/>
        <w:ind w:firstLine="640" w:firstLineChars="200"/>
        <w:jc w:val="left"/>
        <w:rPr>
          <w:rFonts w:ascii="仿宋_GB2312" w:hAnsi="仿宋_GB2312" w:eastAsia="仿宋_GB2312" w:cs="仿宋_GB2312"/>
          <w:sz w:val="32"/>
          <w:szCs w:val="32"/>
        </w:rPr>
      </w:pPr>
      <w:r>
        <w:rPr>
          <w:rStyle w:val="14"/>
          <w:rFonts w:hint="eastAsia" w:ascii="仿宋_GB2312" w:hAnsi="仿宋_GB2312" w:eastAsia="仿宋_GB2312" w:cs="仿宋_GB2312"/>
          <w:color w:val="000000"/>
          <w:sz w:val="32"/>
          <w:szCs w:val="32"/>
          <w:u w:val="none"/>
        </w:rPr>
        <w:t>十、</w:t>
      </w:r>
      <w:r>
        <w:rPr>
          <w:rFonts w:hint="eastAsia" w:ascii="仿宋_GB2312" w:hAnsi="仿宋_GB2312" w:eastAsia="仿宋_GB2312" w:cs="仿宋_GB2312"/>
          <w:sz w:val="32"/>
          <w:szCs w:val="32"/>
        </w:rPr>
        <w:t>其他重要事项的情况说明........................18</w:t>
      </w:r>
    </w:p>
    <w:p>
      <w:pPr>
        <w:pStyle w:val="10"/>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第三部分 名词解释....................................28</w:t>
      </w:r>
    </w:p>
    <w:p>
      <w:pPr>
        <w:pStyle w:val="10"/>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第四部分 附件........................................31</w:t>
      </w:r>
    </w:p>
    <w:p>
      <w:pPr>
        <w:pStyle w:val="11"/>
        <w:adjustRightInd w:val="0"/>
        <w:snapToGrid w:val="0"/>
        <w:spacing w:line="56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附件1...........................................31</w:t>
      </w:r>
    </w:p>
    <w:p>
      <w:pPr>
        <w:pStyle w:val="11"/>
        <w:adjustRightInd w:val="0"/>
        <w:snapToGrid w:val="0"/>
        <w:spacing w:line="56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附件2...........................................36</w:t>
      </w:r>
    </w:p>
    <w:p>
      <w:pPr>
        <w:pStyle w:val="10"/>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第五部分 附表........................................42</w:t>
      </w:r>
    </w:p>
    <w:p>
      <w:pPr>
        <w:pStyle w:val="11"/>
        <w:adjustRightInd w:val="0"/>
        <w:snapToGrid w:val="0"/>
        <w:spacing w:line="56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pStyle w:val="11"/>
        <w:adjustRightInd w:val="0"/>
        <w:snapToGrid w:val="0"/>
        <w:spacing w:line="56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pPr>
        <w:pStyle w:val="11"/>
        <w:adjustRightInd w:val="0"/>
        <w:snapToGrid w:val="0"/>
        <w:spacing w:line="56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pPr>
        <w:pStyle w:val="11"/>
        <w:adjustRightInd w:val="0"/>
        <w:snapToGrid w:val="0"/>
        <w:spacing w:line="56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pPr>
        <w:pStyle w:val="11"/>
        <w:adjustRightInd w:val="0"/>
        <w:snapToGrid w:val="0"/>
        <w:spacing w:line="56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五、财政拨款支出决算明细表</w:t>
      </w:r>
    </w:p>
    <w:p>
      <w:pPr>
        <w:pStyle w:val="11"/>
        <w:adjustRightInd w:val="0"/>
        <w:snapToGrid w:val="0"/>
        <w:spacing w:line="56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六、一般公共预算财政拨款支出决算表</w:t>
      </w:r>
    </w:p>
    <w:p>
      <w:pPr>
        <w:pStyle w:val="11"/>
        <w:adjustRightInd w:val="0"/>
        <w:snapToGrid w:val="0"/>
        <w:spacing w:line="56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七、一般公共预算财政拨款支出决算明细表</w:t>
      </w:r>
    </w:p>
    <w:p>
      <w:pPr>
        <w:pStyle w:val="11"/>
        <w:adjustRightInd w:val="0"/>
        <w:snapToGrid w:val="0"/>
        <w:spacing w:line="56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八、一般公共预算财政拨款基本支出决算表</w:t>
      </w:r>
    </w:p>
    <w:p>
      <w:pPr>
        <w:pStyle w:val="11"/>
        <w:adjustRightInd w:val="0"/>
        <w:snapToGrid w:val="0"/>
        <w:spacing w:line="56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九、一般公共预算财政拨款项目支出决算表</w:t>
      </w:r>
    </w:p>
    <w:p>
      <w:pPr>
        <w:pStyle w:val="11"/>
        <w:adjustRightInd w:val="0"/>
        <w:snapToGrid w:val="0"/>
        <w:spacing w:line="56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十、一般公共预算财政拨款“三公”经费支出决算表</w:t>
      </w:r>
    </w:p>
    <w:p>
      <w:pPr>
        <w:pStyle w:val="11"/>
        <w:adjustRightInd w:val="0"/>
        <w:snapToGrid w:val="0"/>
        <w:spacing w:line="56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十一、政府性基金预算财政拨款收入支出决算表</w:t>
      </w:r>
    </w:p>
    <w:p>
      <w:pPr>
        <w:pStyle w:val="11"/>
        <w:adjustRightInd w:val="0"/>
        <w:snapToGrid w:val="0"/>
        <w:spacing w:line="560" w:lineRule="exact"/>
        <w:ind w:firstLine="308" w:firstLineChars="100"/>
        <w:jc w:val="lef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十二、政府性基金预算财政拨款“三公”经费支出决算表</w:t>
      </w:r>
    </w:p>
    <w:p>
      <w:pPr>
        <w:pStyle w:val="11"/>
        <w:adjustRightInd w:val="0"/>
        <w:snapToGrid w:val="0"/>
        <w:spacing w:line="56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十三、国有资本经营预算财政拨款收入支出决算表</w:t>
      </w:r>
    </w:p>
    <w:p>
      <w:pPr>
        <w:pStyle w:val="11"/>
        <w:adjustRightInd w:val="0"/>
        <w:snapToGrid w:val="0"/>
        <w:spacing w:line="56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十四、国有资本经营预算财政拨款支出决算表</w:t>
      </w:r>
    </w:p>
    <w:p>
      <w:pPr>
        <w:widowControl/>
        <w:adjustRightInd w:val="0"/>
        <w:snapToGrid w:val="0"/>
        <w:spacing w:line="560" w:lineRule="exact"/>
        <w:ind w:firstLine="640" w:firstLineChars="200"/>
        <w:jc w:val="left"/>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(注：请部门根据实际注明页码)</w:t>
      </w:r>
    </w:p>
    <w:p>
      <w:pPr>
        <w:pStyle w:val="2"/>
        <w:rPr>
          <w:rFonts w:ascii="仿宋_GB2312" w:hAnsi="仿宋_GB2312" w:eastAsia="仿宋_GB2312" w:cs="仿宋_GB2312"/>
          <w:color w:val="FF0000"/>
        </w:rPr>
      </w:pPr>
    </w:p>
    <w:p>
      <w:pPr>
        <w:rPr>
          <w:rFonts w:ascii="仿宋_GB2312" w:hAnsi="仿宋_GB2312" w:eastAsia="仿宋_GB2312" w:cs="仿宋_GB2312"/>
          <w:color w:val="FF0000"/>
          <w:sz w:val="32"/>
          <w:szCs w:val="32"/>
        </w:rPr>
      </w:pPr>
    </w:p>
    <w:p>
      <w:pPr>
        <w:pStyle w:val="2"/>
        <w:rPr>
          <w:rFonts w:ascii="仿宋_GB2312" w:hAnsi="仿宋_GB2312" w:eastAsia="仿宋_GB2312" w:cs="仿宋_GB2312"/>
          <w:color w:val="FF0000"/>
        </w:rPr>
      </w:pPr>
    </w:p>
    <w:p/>
    <w:p/>
    <w:p>
      <w:pPr>
        <w:pStyle w:val="3"/>
        <w:spacing w:line="560" w:lineRule="exact"/>
        <w:jc w:val="center"/>
        <w:rPr>
          <w:rStyle w:val="15"/>
          <w:rFonts w:ascii="黑体" w:hAnsi="黑体" w:eastAsia="黑体"/>
          <w:b w:val="0"/>
          <w:bCs w:val="0"/>
        </w:rPr>
      </w:pPr>
      <w:r>
        <w:rPr>
          <w:rFonts w:hint="eastAsia" w:ascii="黑体" w:hAnsi="黑体" w:eastAsia="黑体"/>
          <w:b w:val="0"/>
        </w:rPr>
        <w:t xml:space="preserve">第一部分 </w:t>
      </w:r>
      <w:r>
        <w:rPr>
          <w:rStyle w:val="15"/>
          <w:rFonts w:hint="eastAsia" w:ascii="黑体" w:hAnsi="黑体" w:eastAsia="黑体"/>
          <w:b w:val="0"/>
          <w:bCs w:val="0"/>
        </w:rPr>
        <w:t>部门概况</w:t>
      </w:r>
    </w:p>
    <w:p>
      <w:pPr>
        <w:widowControl/>
        <w:spacing w:line="560" w:lineRule="exact"/>
        <w:jc w:val="left"/>
        <w:rPr>
          <w:rFonts w:ascii="黑体" w:eastAsia="黑体"/>
          <w:color w:val="000000"/>
          <w:sz w:val="32"/>
          <w:szCs w:val="32"/>
        </w:rPr>
      </w:pPr>
    </w:p>
    <w:p>
      <w:pPr>
        <w:pStyle w:val="2"/>
        <w:spacing w:line="560" w:lineRule="exact"/>
        <w:ind w:firstLine="640" w:firstLineChars="200"/>
        <w:rPr>
          <w:rStyle w:val="15"/>
          <w:rFonts w:ascii="黑体" w:hAnsi="黑体" w:eastAsia="黑体"/>
          <w:b w:val="0"/>
          <w:bCs w:val="0"/>
          <w:szCs w:val="32"/>
        </w:rPr>
      </w:pPr>
      <w:bookmarkStart w:id="11" w:name="_Toc15396600"/>
      <w:bookmarkStart w:id="12" w:name="_Toc15377197"/>
      <w:r>
        <w:rPr>
          <w:rFonts w:hint="eastAsia" w:ascii="Times New Roman" w:hAnsi="Times New Roman" w:eastAsia="仿宋_GB2312"/>
          <w:b w:val="0"/>
        </w:rPr>
        <w:t>一、基本职能及主要工作</w:t>
      </w:r>
      <w:bookmarkEnd w:id="11"/>
      <w:bookmarkEnd w:id="12"/>
    </w:p>
    <w:p>
      <w:pPr>
        <w:pStyle w:val="5"/>
        <w:adjustRightInd w:val="0"/>
        <w:snapToGrid w:val="0"/>
        <w:spacing w:beforeLines="0" w:line="560" w:lineRule="exact"/>
        <w:ind w:firstLine="672" w:firstLineChars="210"/>
        <w:outlineLvl w:val="2"/>
        <w:rPr>
          <w:rFonts w:hint="default" w:ascii="Times New Roman"/>
          <w:kern w:val="2"/>
          <w:sz w:val="32"/>
          <w:szCs w:val="32"/>
        </w:rPr>
      </w:pPr>
      <w:bookmarkStart w:id="13" w:name="_Toc15378445"/>
      <w:bookmarkStart w:id="14" w:name="_Toc15377198"/>
      <w:r>
        <w:rPr>
          <w:rFonts w:ascii="Times New Roman"/>
          <w:kern w:val="2"/>
          <w:sz w:val="32"/>
          <w:szCs w:val="32"/>
        </w:rPr>
        <w:t>（一）主要职能。</w:t>
      </w:r>
      <w:bookmarkEnd w:id="13"/>
      <w:bookmarkEnd w:id="14"/>
    </w:p>
    <w:p>
      <w:pPr>
        <w:widowControl/>
        <w:spacing w:line="560" w:lineRule="exact"/>
        <w:ind w:firstLine="640" w:firstLineChars="200"/>
        <w:jc w:val="left"/>
        <w:rPr>
          <w:rFonts w:eastAsia="仿宋_GB2312"/>
          <w:sz w:val="32"/>
          <w:szCs w:val="32"/>
        </w:rPr>
      </w:pPr>
      <w:r>
        <w:rPr>
          <w:rFonts w:hint="eastAsia" w:eastAsia="仿宋_GB2312"/>
          <w:sz w:val="32"/>
          <w:szCs w:val="32"/>
        </w:rPr>
        <w:t>（1）贯彻执行国家、省、市有关水行政管理工作的法律、法规和方针、政策。负责保障水资源的合理开发利用；负责全区水务、水土保持、地方水电行政管理的制度建设，拟订政策和发展规划。组织编制全区重要江河湖库的流域综合规划、水资源保护和水源地保护规划、节约用水、防洪规划等重要水务规划，组织有关全区国民经济总体规划、城乡规划、重大建设项目中涉及水务、水土保持、地方水电等方面的论证工作。</w:t>
      </w:r>
    </w:p>
    <w:p>
      <w:pPr>
        <w:widowControl/>
        <w:spacing w:line="560" w:lineRule="exact"/>
        <w:ind w:firstLine="640" w:firstLineChars="200"/>
        <w:jc w:val="left"/>
        <w:rPr>
          <w:rFonts w:eastAsia="仿宋_GB2312"/>
          <w:sz w:val="32"/>
          <w:szCs w:val="32"/>
        </w:rPr>
      </w:pPr>
      <w:r>
        <w:rPr>
          <w:rFonts w:hint="eastAsia" w:eastAsia="仿宋_GB2312"/>
          <w:sz w:val="32"/>
          <w:szCs w:val="32"/>
        </w:rPr>
        <w:t>（2）负责全区水资源统一管理。合理配置水资源，统筹兼顾和保障生活、生产经营、生态环境用水；实施水资源的统一监督管理，组织实施取水许可、水资源有偿使用和按规定开展水能资源调查工作；负责重要流域、区域以及重大调水工程的水资源调度，组织实施水资源有偿使用制度和水资源论证、防洪论证制度。</w:t>
      </w:r>
    </w:p>
    <w:p>
      <w:pPr>
        <w:widowControl/>
        <w:spacing w:line="560" w:lineRule="exact"/>
        <w:ind w:firstLine="640" w:firstLineChars="200"/>
        <w:jc w:val="left"/>
        <w:rPr>
          <w:rFonts w:eastAsia="仿宋_GB2312"/>
          <w:sz w:val="32"/>
          <w:szCs w:val="32"/>
        </w:rPr>
      </w:pPr>
      <w:r>
        <w:rPr>
          <w:rFonts w:hint="eastAsia" w:eastAsia="仿宋_GB2312"/>
          <w:sz w:val="32"/>
          <w:szCs w:val="32"/>
        </w:rPr>
        <w:t>（3）负责全区水资源保护工作，组织水功能区的划分，审定水域纳污能力，提出限制排污总量的建议；审查入河（库）排污口的设置、改建和扩建，指导地下水开发利用和管理保护工作；指导饮用水水源保护工作；负责拟定全区节约用水政策和指导节水工作。</w:t>
      </w:r>
    </w:p>
    <w:p>
      <w:pPr>
        <w:widowControl/>
        <w:spacing w:line="560" w:lineRule="exact"/>
        <w:ind w:firstLine="640" w:firstLineChars="200"/>
        <w:jc w:val="left"/>
        <w:rPr>
          <w:rFonts w:eastAsia="仿宋_GB2312"/>
          <w:sz w:val="32"/>
          <w:szCs w:val="32"/>
        </w:rPr>
      </w:pPr>
      <w:r>
        <w:rPr>
          <w:rFonts w:hint="eastAsia" w:eastAsia="仿宋_GB2312"/>
          <w:sz w:val="32"/>
          <w:szCs w:val="32"/>
        </w:rPr>
        <w:t>（4）负责全区供水、再生水利用的行业管理指导工作和监督工作（含自备水源）。</w:t>
      </w:r>
    </w:p>
    <w:p>
      <w:pPr>
        <w:widowControl/>
        <w:spacing w:line="560" w:lineRule="exact"/>
        <w:ind w:firstLine="640" w:firstLineChars="200"/>
        <w:jc w:val="left"/>
        <w:rPr>
          <w:rFonts w:eastAsia="仿宋_GB2312"/>
          <w:sz w:val="32"/>
          <w:szCs w:val="32"/>
        </w:rPr>
      </w:pPr>
      <w:r>
        <w:rPr>
          <w:rFonts w:hint="eastAsia" w:eastAsia="仿宋_GB2312"/>
          <w:sz w:val="32"/>
          <w:szCs w:val="32"/>
        </w:rPr>
        <w:t>（5）负责全区水务行业体制改革工作；监管区政府授权管理的区级水务资产，负责全区水务行业国有资产的业务管理工作。</w:t>
      </w:r>
    </w:p>
    <w:p>
      <w:pPr>
        <w:widowControl/>
        <w:spacing w:line="560" w:lineRule="exact"/>
        <w:ind w:firstLine="640" w:firstLineChars="200"/>
        <w:jc w:val="left"/>
        <w:rPr>
          <w:rFonts w:eastAsia="仿宋_GB2312"/>
          <w:sz w:val="32"/>
          <w:szCs w:val="32"/>
        </w:rPr>
      </w:pPr>
      <w:r>
        <w:rPr>
          <w:rFonts w:hint="eastAsia" w:eastAsia="仿宋_GB2312"/>
          <w:sz w:val="32"/>
          <w:szCs w:val="32"/>
        </w:rPr>
        <w:t>（6）负责全区水务、水土保持、地方水电基本建设的指导并实施行业监督。</w:t>
      </w:r>
    </w:p>
    <w:p>
      <w:pPr>
        <w:widowControl/>
        <w:spacing w:line="560" w:lineRule="exact"/>
        <w:ind w:firstLine="640" w:firstLineChars="200"/>
        <w:jc w:val="left"/>
        <w:rPr>
          <w:rFonts w:eastAsia="仿宋_GB2312"/>
          <w:sz w:val="32"/>
          <w:szCs w:val="32"/>
        </w:rPr>
      </w:pPr>
      <w:r>
        <w:rPr>
          <w:rFonts w:hint="eastAsia" w:eastAsia="仿宋_GB2312"/>
          <w:sz w:val="32"/>
          <w:szCs w:val="32"/>
        </w:rPr>
        <w:t>（7）负责组织实施有关水务、水土保持、地方水电的法律法规及执法工作；查处辖区内重大水事纠纷；负责有关行政复议和行政诉讼应诉工作。</w:t>
      </w:r>
    </w:p>
    <w:p>
      <w:pPr>
        <w:widowControl/>
        <w:spacing w:line="560" w:lineRule="exact"/>
        <w:ind w:firstLine="640" w:firstLineChars="200"/>
        <w:jc w:val="left"/>
        <w:rPr>
          <w:rFonts w:eastAsia="仿宋_GB2312"/>
          <w:sz w:val="32"/>
          <w:szCs w:val="32"/>
        </w:rPr>
      </w:pPr>
      <w:r>
        <w:rPr>
          <w:rFonts w:hint="eastAsia" w:eastAsia="仿宋_GB2312"/>
          <w:sz w:val="32"/>
          <w:szCs w:val="32"/>
        </w:rPr>
        <w:t>（8）负责全区水土保持工作。拟订水土保持规划并监督实施，负责全区水土流失综合治理及监测工作；负责权限范围内开发建设项目水土保持的审批、实施、监督及水土保持设施的验收工作。</w:t>
      </w:r>
    </w:p>
    <w:p>
      <w:pPr>
        <w:widowControl/>
        <w:spacing w:line="560" w:lineRule="exact"/>
        <w:ind w:firstLine="640" w:firstLineChars="200"/>
        <w:jc w:val="left"/>
        <w:rPr>
          <w:rFonts w:eastAsia="仿宋_GB2312"/>
          <w:sz w:val="32"/>
          <w:szCs w:val="32"/>
        </w:rPr>
      </w:pPr>
      <w:r>
        <w:rPr>
          <w:rFonts w:hint="eastAsia" w:eastAsia="仿宋_GB2312"/>
          <w:sz w:val="32"/>
          <w:szCs w:val="32"/>
        </w:rPr>
        <w:t>（9）负责行业内的地方电力管理工作。负责全区水电建设项目涉水事务的监督管理。</w:t>
      </w:r>
    </w:p>
    <w:p>
      <w:pPr>
        <w:widowControl/>
        <w:spacing w:line="560" w:lineRule="exact"/>
        <w:ind w:firstLine="640" w:firstLineChars="200"/>
        <w:jc w:val="left"/>
        <w:rPr>
          <w:rFonts w:eastAsia="仿宋_GB2312"/>
          <w:sz w:val="32"/>
          <w:szCs w:val="32"/>
        </w:rPr>
      </w:pPr>
      <w:r>
        <w:rPr>
          <w:rFonts w:hint="eastAsia" w:eastAsia="仿宋_GB2312"/>
          <w:sz w:val="32"/>
          <w:szCs w:val="32"/>
        </w:rPr>
        <w:t>（10）负责辖区内河道、水库、湖泊（包括人工水道、行洪区、蓄水区、滞洪区）、河口滩涂的行政管理及河道管护范围内砂石资源等的开发、利用和保护；负责对占用河道、河堤通道设施（包括临时设施）等行为的行政监督管理工作。</w:t>
      </w:r>
    </w:p>
    <w:p>
      <w:pPr>
        <w:widowControl/>
        <w:spacing w:line="560" w:lineRule="exact"/>
        <w:ind w:firstLine="640" w:firstLineChars="200"/>
        <w:jc w:val="left"/>
        <w:rPr>
          <w:rFonts w:eastAsia="仿宋_GB2312"/>
          <w:sz w:val="32"/>
          <w:szCs w:val="32"/>
        </w:rPr>
      </w:pPr>
      <w:r>
        <w:rPr>
          <w:rFonts w:hint="eastAsia" w:eastAsia="仿宋_GB2312"/>
          <w:sz w:val="32"/>
          <w:szCs w:val="32"/>
        </w:rPr>
        <w:t>（11）指导农村水利工作。组织协调农田水利基本建设，指导农村饮水安全、节水灌溉等工程建设与管理工作，指导农村水利社会化服务体系建设；按规定指导农村水能资源开发工作，指导水电农村电气化和小水电代燃料工作。</w:t>
      </w:r>
    </w:p>
    <w:p>
      <w:pPr>
        <w:widowControl/>
        <w:spacing w:line="560" w:lineRule="exact"/>
        <w:ind w:firstLine="640" w:firstLineChars="200"/>
        <w:jc w:val="left"/>
        <w:rPr>
          <w:rFonts w:eastAsia="仿宋_GB2312"/>
          <w:sz w:val="32"/>
          <w:szCs w:val="32"/>
        </w:rPr>
      </w:pPr>
      <w:r>
        <w:rPr>
          <w:rFonts w:hint="eastAsia" w:eastAsia="仿宋_GB2312"/>
          <w:sz w:val="32"/>
          <w:szCs w:val="32"/>
        </w:rPr>
        <w:t>（12）指导全区水务发展和水务行业劳动保护、科技推广、安全生产工作。</w:t>
      </w:r>
    </w:p>
    <w:p>
      <w:pPr>
        <w:widowControl/>
        <w:spacing w:line="560" w:lineRule="exact"/>
        <w:ind w:firstLine="640" w:firstLineChars="200"/>
        <w:jc w:val="left"/>
        <w:rPr>
          <w:rFonts w:eastAsia="仿宋_GB2312"/>
          <w:sz w:val="32"/>
          <w:szCs w:val="32"/>
        </w:rPr>
      </w:pPr>
      <w:r>
        <w:rPr>
          <w:rFonts w:hint="eastAsia" w:eastAsia="仿宋_GB2312"/>
          <w:sz w:val="32"/>
          <w:szCs w:val="32"/>
        </w:rPr>
        <w:t>（13）负责防治水旱灾害，组织、协调、监督、指导全区防洪抢险及抗旱工作。编制全区防汛抗旱应急预案并组织实施，指导水务突发公共事件应急管理工作。</w:t>
      </w:r>
    </w:p>
    <w:p>
      <w:pPr>
        <w:widowControl/>
        <w:spacing w:line="560" w:lineRule="exact"/>
        <w:ind w:firstLine="640" w:firstLineChars="200"/>
        <w:jc w:val="left"/>
        <w:rPr>
          <w:rFonts w:eastAsia="仿宋_GB2312"/>
          <w:sz w:val="32"/>
          <w:szCs w:val="32"/>
        </w:rPr>
      </w:pPr>
      <w:r>
        <w:rPr>
          <w:rFonts w:hint="eastAsia" w:eastAsia="仿宋_GB2312"/>
          <w:sz w:val="32"/>
          <w:szCs w:val="32"/>
        </w:rPr>
        <w:t>（14）承担区政府公布的有关行政审批事项。</w:t>
      </w:r>
    </w:p>
    <w:p>
      <w:pPr>
        <w:widowControl/>
        <w:spacing w:line="560" w:lineRule="exact"/>
        <w:ind w:firstLine="640" w:firstLineChars="200"/>
        <w:jc w:val="left"/>
        <w:rPr>
          <w:rFonts w:eastAsia="仿宋_GB2312"/>
          <w:sz w:val="32"/>
          <w:szCs w:val="32"/>
        </w:rPr>
      </w:pPr>
      <w:r>
        <w:rPr>
          <w:rFonts w:hint="eastAsia" w:eastAsia="仿宋_GB2312"/>
          <w:sz w:val="32"/>
          <w:szCs w:val="32"/>
        </w:rPr>
        <w:t>（15）承办区政府交办的其他事项。</w:t>
      </w:r>
      <w:bookmarkStart w:id="15" w:name="_Toc15378446"/>
      <w:bookmarkStart w:id="16" w:name="_Toc15377199"/>
    </w:p>
    <w:p>
      <w:pPr>
        <w:widowControl/>
        <w:spacing w:line="56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（二）2020年重点工作完成情况。</w:t>
      </w:r>
      <w:bookmarkEnd w:id="15"/>
      <w:bookmarkEnd w:id="16"/>
    </w:p>
    <w:p>
      <w:pPr>
        <w:spacing w:line="560" w:lineRule="exact"/>
        <w:ind w:firstLine="640" w:firstLineChars="200"/>
        <w:rPr>
          <w:rFonts w:eastAsia="仿宋_GB2312"/>
          <w:sz w:val="32"/>
          <w:szCs w:val="32"/>
        </w:rPr>
      </w:pPr>
      <w:r>
        <w:rPr>
          <w:rFonts w:eastAsia="仿宋_GB2312"/>
          <w:sz w:val="32"/>
          <w:szCs w:val="32"/>
        </w:rPr>
        <w:t>2020</w:t>
      </w:r>
      <w:r>
        <w:rPr>
          <w:rFonts w:hint="eastAsia" w:eastAsia="仿宋_GB2312"/>
          <w:sz w:val="32"/>
          <w:szCs w:val="32"/>
        </w:rPr>
        <w:t>年水利工作在区委、区政府的正确领导下，在上级主管部门的精心指导下，西区水利系统紧紧围绕“补短板、强监管”总基调，牢牢把握有利机遇，攻坚克难、勇挑重担，扎实做好水利各项工作，2020年荣获省级水美新村先进集体、河湖长制先进集体、节约用水先进集体，市级防汛抗旱先进集体、河湖长制先进集体称号。</w:t>
      </w:r>
    </w:p>
    <w:p>
      <w:pPr>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防汛减灾工作取得新胜利。一是坚持科学布防。做实工作预案，对《防汛抗旱应急预案》等预案进行了修订完善，并印发至各成员单位。抓好实战演练，开展防汛抢险实战演练和山洪地质灾害避险现场演练13场，抢险快速反应和实战能力不断提升。二是坚持保障到位。隐患排查到位，开展拉网式防汛风险排查，共排查出防汛风险点位97个，核定区级防汛风险点位5个，并上图实施动态监管。物资储备到位，配足各类防汛救援物资，科学布置、集中堆放、严格管理。严格执行24小时领导带班和值班人员坐班的汛期值班制度。三是坚持服务决策。加强预测，切实加强与市防办、气象局的沟通衔接，随时掌握全局情况，科学做好前沿性预判和阶段性预判。加强山洪灾害防治非工程措施建设，落实55万元资金在辖区新建一批自动雨量监测预警设备，做到西区自动雨量监测全覆盖，并将预警信息平台延伸至乡镇，进一步完善区、镇两级科学预警和调度等机制。四是加强保水，为防旱涝急转，我局坚持科学蓄水保水和科学调度水源，并督促指导各村社做好水库、山坪塘、蓄水池蓄水保水工作，从而形成各司其职、各负其责、分工协作、全民参与的抗旱工作格局。全年无防汛安全事故发生。</w:t>
      </w:r>
    </w:p>
    <w:p>
      <w:pPr>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水利工程建设取得新进展。一是梅子箐水库扩建工程建设加快。截至10月，已完成</w:t>
      </w:r>
      <w:r>
        <w:rPr>
          <w:rFonts w:eastAsia="仿宋_GB2312"/>
          <w:sz w:val="32"/>
          <w:szCs w:val="32"/>
        </w:rPr>
        <w:t>Ⅱ</w:t>
      </w:r>
      <w:r>
        <w:rPr>
          <w:rFonts w:hint="eastAsia" w:eastAsia="仿宋_GB2312"/>
          <w:sz w:val="32"/>
          <w:szCs w:val="32"/>
        </w:rPr>
        <w:t>标段主体工程和Ⅴ标段隧洞开挖，完成移民安置点房屋配合基础设施和机电设备及金属结构建设，2020年共完成投资3808.36万元。二是面上水利工程建设加速。完成抗旱水源建设，投资100万元，新建水池3口，新建和维修深井2口，有效缓解全区旱情。申报了2020年龙家沟小流域水土流失综合治理项目，计划完成水土流失面积</w:t>
      </w:r>
      <w:r>
        <w:rPr>
          <w:rFonts w:eastAsia="仿宋_GB2312"/>
          <w:sz w:val="32"/>
          <w:szCs w:val="32"/>
        </w:rPr>
        <w:t>11.43</w:t>
      </w:r>
      <w:r>
        <w:rPr>
          <w:rFonts w:hint="eastAsia" w:eastAsia="仿宋_GB2312"/>
          <w:sz w:val="32"/>
          <w:szCs w:val="32"/>
        </w:rPr>
        <w:t>平方公里，项目总投资572万元，已完成维修山坪塘1口，水池5口，正在开展土地整理。实施引水上山项目，投资170万元，延伸城市生活供水管网至金家村，形成城乡统筹、等标同质的供水保障体系，高标准解决农村人饮安全问题。三是项目前期工作有序推进。编制完成西区“十四五”农村供水规划和西区“十四五”水安全保障规划。正在进行拉罗箐沟山洪治理项目设计招标工作。</w:t>
      </w:r>
    </w:p>
    <w:p>
      <w:pPr>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水行政管理取得新成效。一是加强水资源管理和保护。严格用水定额管理和计划管理，年初对河门口水厂等20家取用水单位下达取水计划，严控用水总量，截至10月，共审核取水量2200万m</w:t>
      </w:r>
      <w:r>
        <w:rPr>
          <w:rFonts w:eastAsia="仿宋_GB2312"/>
          <w:sz w:val="32"/>
          <w:szCs w:val="32"/>
        </w:rPr>
        <w:t>3</w:t>
      </w:r>
      <w:r>
        <w:rPr>
          <w:rFonts w:hint="eastAsia" w:eastAsia="仿宋_GB2312"/>
          <w:sz w:val="32"/>
          <w:szCs w:val="32"/>
        </w:rPr>
        <w:t>。推进长江流域取水工程整改工作，6家企业全部完成整改工作。二是严格水行政审批。截至10月，我局共受理办结取水许可、建设项目水土保持方案审批两项行政许可事项共计14件，征缴到位各类水保费130万元。三是加大水行政执法力度。结合取用水管理专项行动、水土保持遥感监管工作，已就水资源管理、水土保持工作约谈了攀枝花星瑞房地产开发有限责任公司、攀煤集团公司等12家企业，共发出各类执法文书35份，立案查处各类水事违法案件6件，其中非法取水案件4件、水土保持案件1件、河道管理案件1件，共计罚款7万元，追缴水资源费5.79万元。开展河道采砂专项整治, 组织格里坪镇、各街办对辖区河流内采砂易发、多发区域和重点河段、敏感水域开展检查巡查，同时整合执法力量采取定期或不定期开展联合执法行动，全力打击非法采砂。截至目前，共计开展巡查100余次，发现格里坪镇庄上村村民自用采砂不按自用采砂规定在河道内私挖乱采2起，均对当事人进行批评教育。开展河湖“清四乱”专项行动，立案查处攀枝花市兴洋建筑安装工程有限公司超范围占用金沙江河道位置、界线施工案件和攀甬路桥建设有限公司在金沙江河道内倾倒渣土案件两起。</w:t>
      </w:r>
    </w:p>
    <w:p>
      <w:pPr>
        <w:spacing w:line="56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河长制工作取得新实效。一是组织召开西区总河长会、西区总河长办公室主任会、西区河长制湖长制工作推进会，安排部署全年河（湖）长制工作。二是精心编制2020年河（湖）长制工作要点和三条河流年度河长制工作“四张清单”。三是率先在全市范围内完成金沙江（西区段）河道管理范围划定工作，把关河（西区段）、拉罗箐河（西区段）河道管理范围已经区政府进行通告，正在开展河道界桩、告示牌制作和安装工作，率先完成河道智慧界桩试点项目建设。四是深入开展“清河、护岸、净水、保水”四项行动，印发《深入开展2020年清河护岸净水保水四项行动实施方案》，截至目前区级河长巡河58次，镇级河长巡河153次，村级河长巡河358次，共发现问题27个（乱弃19个、乱堆8个），均完成整改。2020年，全区纳入国家考核的监测断面水质优良(达到或优于Ⅲ类)比例为100％，全区地表水水质优良（达到或优于Ⅲ类）比例为100%。</w:t>
      </w:r>
    </w:p>
    <w:p>
      <w:pPr>
        <w:spacing w:line="560" w:lineRule="exact"/>
        <w:ind w:firstLine="640" w:firstLineChars="200"/>
        <w:outlineLvl w:val="0"/>
        <w:rPr>
          <w:rFonts w:eastAsia="仿宋_GB2312"/>
          <w:sz w:val="32"/>
          <w:szCs w:val="32"/>
        </w:rPr>
      </w:pPr>
      <w:r>
        <w:rPr>
          <w:rFonts w:hint="eastAsia" w:eastAsia="仿宋_GB2312"/>
          <w:sz w:val="32"/>
          <w:szCs w:val="32"/>
        </w:rPr>
        <w:t>（三）主要成绩和特色亮点。</w:t>
      </w:r>
    </w:p>
    <w:p>
      <w:pPr>
        <w:spacing w:line="560" w:lineRule="exact"/>
        <w:ind w:firstLine="640" w:firstLineChars="200"/>
        <w:rPr>
          <w:rFonts w:eastAsia="仿宋_GB2312"/>
          <w:sz w:val="32"/>
          <w:szCs w:val="32"/>
        </w:rPr>
      </w:pPr>
      <w:r>
        <w:rPr>
          <w:rFonts w:hint="eastAsia" w:eastAsia="仿宋_GB2312"/>
          <w:sz w:val="32"/>
          <w:szCs w:val="32"/>
        </w:rPr>
        <w:t>一是在防御水旱灾害上体现担当。按照“宁可抓重、不可抓漏”要求，主动担当作为，强化监测预警，科学调度水利工程，全力做好水旱灾害防御工作。二是在完成水利投资上体现作为。省级重点工程和区级民生实事进展良好，项目规划、储备、申报有序进行。三是在推进民生实事上体现尽责。大力实施“引水上山”项目，完成金家村三、四社自来水入户工作，惠及人口600余人，为西区乡村振兴战略提供安全用水保障。落实农村饮水安全“三个责任”和“三项制度”，发放农村饮水安全“明白卡”。</w:t>
      </w:r>
      <w:bookmarkStart w:id="17" w:name="_Toc15377200"/>
      <w:bookmarkStart w:id="18" w:name="_Toc15396601"/>
    </w:p>
    <w:p>
      <w:pPr>
        <w:numPr>
          <w:ilvl w:val="0"/>
          <w:numId w:val="1"/>
        </w:numPr>
        <w:spacing w:line="560" w:lineRule="exact"/>
        <w:ind w:firstLine="640" w:firstLineChars="200"/>
        <w:rPr>
          <w:rFonts w:eastAsia="仿宋_GB2312"/>
          <w:sz w:val="32"/>
          <w:szCs w:val="32"/>
        </w:rPr>
      </w:pPr>
      <w:r>
        <w:rPr>
          <w:rFonts w:hint="eastAsia" w:eastAsia="仿宋_GB2312"/>
          <w:sz w:val="32"/>
          <w:szCs w:val="32"/>
        </w:rPr>
        <w:t>机构设置</w:t>
      </w:r>
      <w:bookmarkEnd w:id="17"/>
      <w:bookmarkEnd w:id="18"/>
    </w:p>
    <w:p>
      <w:pPr>
        <w:spacing w:line="560" w:lineRule="exact"/>
        <w:ind w:firstLine="640" w:firstLineChars="200"/>
        <w:rPr>
          <w:rFonts w:eastAsia="仿宋_GB2312"/>
          <w:sz w:val="32"/>
          <w:szCs w:val="32"/>
        </w:rPr>
      </w:pPr>
      <w:r>
        <w:rPr>
          <w:rFonts w:hint="eastAsia" w:eastAsia="仿宋_GB2312"/>
          <w:sz w:val="32"/>
          <w:szCs w:val="32"/>
        </w:rPr>
        <w:t>西区水利局下属二级单位2个，其中行政单位0个，参照公务员法管理的事业单位0个，其他事业单位2个。</w:t>
      </w:r>
    </w:p>
    <w:p>
      <w:pPr>
        <w:spacing w:line="560" w:lineRule="exact"/>
        <w:ind w:firstLine="640" w:firstLineChars="200"/>
        <w:rPr>
          <w:rFonts w:eastAsia="仿宋_GB2312"/>
          <w:sz w:val="32"/>
          <w:szCs w:val="32"/>
        </w:rPr>
      </w:pPr>
      <w:r>
        <w:rPr>
          <w:rFonts w:hint="eastAsia" w:eastAsia="仿宋_GB2312"/>
          <w:sz w:val="32"/>
          <w:szCs w:val="32"/>
        </w:rPr>
        <w:t>纳入西区水利局2020年度部门决算编制范围的二级预算单位包括：</w:t>
      </w:r>
      <w:bookmarkStart w:id="19" w:name="_Toc15306276"/>
      <w:bookmarkStart w:id="20" w:name="_Toc15377433"/>
      <w:bookmarkStart w:id="21" w:name="_Toc15377202"/>
      <w:bookmarkStart w:id="22" w:name="_Toc15378449"/>
      <w:r>
        <w:rPr>
          <w:rFonts w:hint="eastAsia" w:eastAsia="仿宋_GB2312"/>
          <w:sz w:val="32"/>
          <w:szCs w:val="32"/>
        </w:rPr>
        <w:t>西区水利工程运行中心</w:t>
      </w:r>
      <w:bookmarkEnd w:id="19"/>
      <w:bookmarkEnd w:id="20"/>
      <w:bookmarkEnd w:id="21"/>
      <w:bookmarkEnd w:id="22"/>
    </w:p>
    <w:p>
      <w:pPr>
        <w:pStyle w:val="3"/>
        <w:spacing w:line="560" w:lineRule="exact"/>
        <w:ind w:right="440"/>
        <w:jc w:val="right"/>
        <w:rPr>
          <w:rFonts w:eastAsia="仿宋_GB2312"/>
          <w:b w:val="0"/>
          <w:kern w:val="2"/>
          <w:sz w:val="32"/>
          <w:szCs w:val="32"/>
        </w:rPr>
      </w:pPr>
      <w:bookmarkStart w:id="23" w:name="_Toc15377204"/>
      <w:bookmarkStart w:id="24" w:name="_Toc15396602"/>
    </w:p>
    <w:p>
      <w:pPr>
        <w:pStyle w:val="3"/>
        <w:spacing w:line="560" w:lineRule="exact"/>
        <w:ind w:right="440"/>
        <w:jc w:val="center"/>
        <w:rPr>
          <w:rFonts w:ascii="黑体" w:hAnsi="黑体" w:eastAsia="黑体" w:cs="黑体"/>
          <w:b w:val="0"/>
          <w:kern w:val="2"/>
        </w:rPr>
      </w:pPr>
      <w:r>
        <w:rPr>
          <w:rFonts w:hint="eastAsia" w:ascii="黑体" w:hAnsi="黑体" w:eastAsia="黑体" w:cs="黑体"/>
          <w:b w:val="0"/>
          <w:kern w:val="2"/>
        </w:rPr>
        <w:t>第二部分 2020年度部门决算情况说明</w:t>
      </w:r>
      <w:bookmarkEnd w:id="23"/>
      <w:bookmarkEnd w:id="24"/>
    </w:p>
    <w:p>
      <w:pPr>
        <w:pStyle w:val="17"/>
        <w:spacing w:line="560" w:lineRule="exact"/>
        <w:ind w:left="640" w:firstLine="0" w:firstLineChars="0"/>
        <w:outlineLvl w:val="1"/>
        <w:rPr>
          <w:rFonts w:eastAsia="仿宋_GB2312"/>
          <w:sz w:val="32"/>
          <w:szCs w:val="32"/>
        </w:rPr>
      </w:pPr>
      <w:bookmarkStart w:id="25" w:name="_Toc15377205"/>
      <w:bookmarkStart w:id="26" w:name="_Toc15396603"/>
    </w:p>
    <w:p>
      <w:pPr>
        <w:pStyle w:val="17"/>
        <w:spacing w:line="560" w:lineRule="exact"/>
        <w:ind w:left="640" w:firstLine="0" w:firstLineChars="0"/>
        <w:outlineLvl w:val="1"/>
        <w:rPr>
          <w:rFonts w:ascii="黑体" w:hAnsi="黑体" w:eastAsia="黑体" w:cs="黑体"/>
          <w:sz w:val="32"/>
          <w:szCs w:val="32"/>
        </w:rPr>
      </w:pPr>
      <w:r>
        <w:rPr>
          <w:rFonts w:hint="eastAsia" w:ascii="黑体" w:hAnsi="黑体" w:eastAsia="黑体" w:cs="黑体"/>
          <w:sz w:val="32"/>
          <w:szCs w:val="32"/>
        </w:rPr>
        <w:t>一、收入支出决算总体情况说明</w:t>
      </w:r>
      <w:bookmarkEnd w:id="25"/>
      <w:bookmarkEnd w:id="26"/>
    </w:p>
    <w:p>
      <w:pPr>
        <w:spacing w:line="560" w:lineRule="exact"/>
        <w:ind w:firstLine="640" w:firstLineChars="200"/>
        <w:rPr>
          <w:rFonts w:eastAsia="仿宋_GB2312"/>
          <w:sz w:val="32"/>
          <w:szCs w:val="32"/>
        </w:rPr>
      </w:pPr>
      <w:r>
        <w:rPr>
          <w:rFonts w:eastAsia="仿宋_GB2312"/>
          <w:sz w:val="32"/>
          <w:szCs w:val="32"/>
        </w:rPr>
        <w:drawing>
          <wp:anchor distT="0" distB="0" distL="114300" distR="114300" simplePos="0" relativeHeight="251659264" behindDoc="1" locked="0" layoutInCell="1" allowOverlap="1">
            <wp:simplePos x="0" y="0"/>
            <wp:positionH relativeFrom="column">
              <wp:posOffset>705485</wp:posOffset>
            </wp:positionH>
            <wp:positionV relativeFrom="paragraph">
              <wp:posOffset>1143000</wp:posOffset>
            </wp:positionV>
            <wp:extent cx="4485005" cy="2599055"/>
            <wp:effectExtent l="0" t="0" r="10795" b="10795"/>
            <wp:wrapTight wrapText="bothSides">
              <wp:wrapPolygon>
                <wp:start x="0" y="0"/>
                <wp:lineTo x="0" y="21373"/>
                <wp:lineTo x="21468" y="21373"/>
                <wp:lineTo x="21468" y="0"/>
                <wp:lineTo x="0" y="0"/>
              </wp:wrapPolygon>
            </wp:wrapTight>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5"/>
                    <a:stretch>
                      <a:fillRect/>
                    </a:stretch>
                  </pic:blipFill>
                  <pic:spPr>
                    <a:xfrm>
                      <a:off x="0" y="0"/>
                      <a:ext cx="4485005" cy="2599055"/>
                    </a:xfrm>
                    <a:prstGeom prst="rect">
                      <a:avLst/>
                    </a:prstGeom>
                    <a:noFill/>
                    <a:ln>
                      <a:noFill/>
                    </a:ln>
                  </pic:spPr>
                </pic:pic>
              </a:graphicData>
            </a:graphic>
          </wp:anchor>
        </w:drawing>
      </w:r>
      <w:r>
        <w:rPr>
          <w:rFonts w:hint="eastAsia" w:eastAsia="仿宋_GB2312"/>
          <w:sz w:val="32"/>
          <w:szCs w:val="32"/>
        </w:rPr>
        <w:t>2020年度收、支总计6550.51万元。与2019年6551.9万元相比，收、支总计减少1.39万元，下降0.02%。主要变动原因人员变化。</w:t>
      </w:r>
    </w:p>
    <w:p>
      <w:pPr>
        <w:pStyle w:val="2"/>
        <w:rPr>
          <w:rFonts w:ascii="Times New Roman" w:hAnsi="Times New Roman" w:eastAsia="仿宋_GB2312"/>
          <w:b w:val="0"/>
        </w:rPr>
      </w:pPr>
    </w:p>
    <w:p>
      <w:pPr>
        <w:pStyle w:val="2"/>
        <w:jc w:val="center"/>
        <w:rPr>
          <w:rFonts w:ascii="Times New Roman" w:hAnsi="Times New Roman" w:eastAsia="仿宋_GB2312"/>
          <w:b w:val="0"/>
        </w:rPr>
      </w:pPr>
    </w:p>
    <w:p>
      <w:pPr>
        <w:pStyle w:val="17"/>
        <w:spacing w:line="560" w:lineRule="exact"/>
        <w:ind w:firstLine="640" w:firstLineChars="0"/>
        <w:outlineLvl w:val="1"/>
        <w:rPr>
          <w:rFonts w:ascii="黑体" w:hAnsi="黑体" w:eastAsia="黑体" w:cs="黑体"/>
          <w:sz w:val="32"/>
          <w:szCs w:val="32"/>
        </w:rPr>
      </w:pPr>
      <w:bookmarkStart w:id="27" w:name="_Toc15377206"/>
      <w:bookmarkStart w:id="28" w:name="_Toc15396604"/>
      <w:r>
        <w:rPr>
          <w:rFonts w:hint="eastAsia" w:ascii="黑体" w:hAnsi="黑体" w:eastAsia="黑体" w:cs="黑体"/>
          <w:sz w:val="32"/>
          <w:szCs w:val="32"/>
        </w:rPr>
        <w:t>二、收入决算情况说明</w:t>
      </w:r>
      <w:bookmarkEnd w:id="27"/>
      <w:bookmarkEnd w:id="28"/>
    </w:p>
    <w:p>
      <w:pPr>
        <w:spacing w:line="560" w:lineRule="exact"/>
        <w:ind w:firstLine="640" w:firstLineChars="200"/>
        <w:outlineLvl w:val="1"/>
        <w:rPr>
          <w:rFonts w:eastAsia="仿宋_GB2312"/>
          <w:sz w:val="32"/>
          <w:szCs w:val="32"/>
        </w:rPr>
      </w:pPr>
      <w:r>
        <w:rPr>
          <w:rFonts w:hint="eastAsia" w:eastAsia="仿宋_GB2312"/>
          <w:sz w:val="32"/>
          <w:szCs w:val="32"/>
        </w:rPr>
        <w:t>2020年本年收入合计5377.11万元，其中：一般公共预算财政拨款收入862.98万元，占16%；政府性基金预算财政拨款收入4514万元，占84%；上级补助收入0万元；事业收入0万元；经营收入0万元；附属单位上缴收入0万元；其他收入0.13万元，占0%。</w:t>
      </w:r>
    </w:p>
    <w:p>
      <w:pPr>
        <w:pStyle w:val="2"/>
        <w:jc w:val="center"/>
        <w:rPr>
          <w:rFonts w:ascii="Times New Roman" w:hAnsi="Times New Roman" w:eastAsia="仿宋_GB2312"/>
          <w:b w:val="0"/>
        </w:rPr>
      </w:pPr>
      <w:r>
        <w:rPr>
          <w:rFonts w:ascii="Times New Roman" w:hAnsi="Times New Roman" w:eastAsia="仿宋_GB2312"/>
          <w:b w:val="0"/>
        </w:rPr>
        <w:drawing>
          <wp:inline distT="0" distB="0" distL="114300" distR="114300">
            <wp:extent cx="5121910" cy="3481705"/>
            <wp:effectExtent l="0" t="0" r="2540" b="4445"/>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6"/>
                    <a:stretch>
                      <a:fillRect/>
                    </a:stretch>
                  </pic:blipFill>
                  <pic:spPr>
                    <a:xfrm>
                      <a:off x="0" y="0"/>
                      <a:ext cx="5121910" cy="3481705"/>
                    </a:xfrm>
                    <a:prstGeom prst="rect">
                      <a:avLst/>
                    </a:prstGeom>
                    <a:noFill/>
                    <a:ln>
                      <a:noFill/>
                    </a:ln>
                  </pic:spPr>
                </pic:pic>
              </a:graphicData>
            </a:graphic>
          </wp:inline>
        </w:drawing>
      </w:r>
    </w:p>
    <w:p>
      <w:pPr>
        <w:pStyle w:val="17"/>
        <w:spacing w:line="560" w:lineRule="exact"/>
        <w:ind w:firstLine="640" w:firstLineChars="0"/>
        <w:outlineLvl w:val="1"/>
        <w:rPr>
          <w:rFonts w:ascii="黑体" w:hAnsi="黑体" w:eastAsia="黑体" w:cs="黑体"/>
          <w:sz w:val="32"/>
          <w:szCs w:val="32"/>
        </w:rPr>
      </w:pPr>
      <w:bookmarkStart w:id="29" w:name="_Toc15396605"/>
      <w:bookmarkStart w:id="30" w:name="_Toc15377207"/>
      <w:r>
        <w:rPr>
          <w:rFonts w:hint="eastAsia" w:ascii="黑体" w:hAnsi="黑体" w:eastAsia="黑体" w:cs="黑体"/>
          <w:sz w:val="32"/>
          <w:szCs w:val="32"/>
        </w:rPr>
        <w:t>三、支出决算情况说明</w:t>
      </w:r>
      <w:bookmarkEnd w:id="29"/>
      <w:bookmarkEnd w:id="30"/>
    </w:p>
    <w:p>
      <w:pPr>
        <w:spacing w:line="560" w:lineRule="exact"/>
        <w:ind w:firstLine="640" w:firstLineChars="200"/>
        <w:outlineLvl w:val="1"/>
        <w:rPr>
          <w:rFonts w:eastAsia="仿宋_GB2312"/>
          <w:sz w:val="32"/>
          <w:szCs w:val="32"/>
        </w:rPr>
      </w:pPr>
      <w:r>
        <w:rPr>
          <w:rFonts w:hint="eastAsia" w:eastAsia="仿宋_GB2312"/>
          <w:sz w:val="32"/>
          <w:szCs w:val="32"/>
        </w:rPr>
        <w:t>2020年本年支出合计4153.07万元，其中：基本支出381.13万元，占9%；项目支出3771.95万元，占91%；上缴上级支出0万元；经营支出0万元%；对附属单位补助支出0万元。</w:t>
      </w:r>
    </w:p>
    <w:p>
      <w:pPr>
        <w:spacing w:line="560" w:lineRule="exact"/>
        <w:ind w:firstLine="640" w:firstLineChars="200"/>
        <w:outlineLvl w:val="1"/>
        <w:rPr>
          <w:rFonts w:eastAsia="仿宋_GB2312"/>
          <w:sz w:val="32"/>
          <w:szCs w:val="32"/>
        </w:rPr>
      </w:pPr>
      <w:r>
        <w:rPr>
          <w:rFonts w:hint="eastAsia" w:eastAsia="仿宋_GB2312"/>
          <w:sz w:val="32"/>
          <w:szCs w:val="32"/>
        </w:rPr>
        <w:t>（注：数据来源于财决04表）</w:t>
      </w:r>
    </w:p>
    <w:p>
      <w:pPr>
        <w:pStyle w:val="2"/>
        <w:jc w:val="center"/>
        <w:rPr>
          <w:rFonts w:ascii="Times New Roman" w:hAnsi="Times New Roman" w:eastAsia="仿宋_GB2312"/>
          <w:b w:val="0"/>
        </w:rPr>
      </w:pPr>
      <w:r>
        <w:rPr>
          <w:rFonts w:ascii="Times New Roman" w:hAnsi="Times New Roman" w:eastAsia="仿宋_GB2312"/>
          <w:b w:val="0"/>
        </w:rPr>
        <w:drawing>
          <wp:inline distT="0" distB="0" distL="114300" distR="114300">
            <wp:extent cx="4006215" cy="2455545"/>
            <wp:effectExtent l="0" t="0" r="13335" b="1905"/>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7"/>
                    <a:stretch>
                      <a:fillRect/>
                    </a:stretch>
                  </pic:blipFill>
                  <pic:spPr>
                    <a:xfrm>
                      <a:off x="0" y="0"/>
                      <a:ext cx="4006215" cy="2455545"/>
                    </a:xfrm>
                    <a:prstGeom prst="rect">
                      <a:avLst/>
                    </a:prstGeom>
                    <a:noFill/>
                    <a:ln>
                      <a:noFill/>
                    </a:ln>
                  </pic:spPr>
                </pic:pic>
              </a:graphicData>
            </a:graphic>
          </wp:inline>
        </w:drawing>
      </w:r>
    </w:p>
    <w:p>
      <w:pPr>
        <w:pStyle w:val="2"/>
        <w:spacing w:line="520" w:lineRule="exact"/>
        <w:jc w:val="center"/>
        <w:rPr>
          <w:rFonts w:ascii="Times New Roman" w:hAnsi="Times New Roman" w:eastAsia="仿宋_GB2312"/>
          <w:b w:val="0"/>
        </w:rPr>
      </w:pPr>
      <w:r>
        <w:rPr>
          <w:rFonts w:hint="eastAsia" w:ascii="Times New Roman" w:hAnsi="Times New Roman" w:eastAsia="仿宋_GB2312"/>
          <w:b w:val="0"/>
        </w:rPr>
        <w:t>（图3：支出决算结构图）（饼状图）</w:t>
      </w:r>
    </w:p>
    <w:p>
      <w:pPr>
        <w:pStyle w:val="17"/>
        <w:spacing w:line="560" w:lineRule="exact"/>
        <w:ind w:firstLine="640" w:firstLineChars="0"/>
        <w:outlineLvl w:val="1"/>
        <w:rPr>
          <w:rFonts w:ascii="黑体" w:hAnsi="黑体" w:eastAsia="黑体" w:cs="黑体"/>
          <w:sz w:val="32"/>
          <w:szCs w:val="32"/>
        </w:rPr>
      </w:pPr>
      <w:bookmarkStart w:id="31" w:name="_Toc15396606"/>
      <w:bookmarkStart w:id="32" w:name="_Toc15377208"/>
      <w:r>
        <w:rPr>
          <w:rFonts w:hint="eastAsia" w:ascii="黑体" w:hAnsi="黑体" w:eastAsia="黑体" w:cs="黑体"/>
          <w:sz w:val="32"/>
          <w:szCs w:val="32"/>
        </w:rPr>
        <w:t>四、财政拨款收入支出决算总体情况说明</w:t>
      </w:r>
      <w:bookmarkEnd w:id="31"/>
      <w:bookmarkEnd w:id="32"/>
    </w:p>
    <w:p>
      <w:pPr>
        <w:spacing w:line="520" w:lineRule="exact"/>
        <w:ind w:firstLine="640"/>
        <w:rPr>
          <w:rFonts w:eastAsia="仿宋_GB2312"/>
          <w:sz w:val="32"/>
          <w:szCs w:val="32"/>
        </w:rPr>
      </w:pPr>
      <w:r>
        <w:rPr>
          <w:rFonts w:hint="eastAsia" w:eastAsia="仿宋_GB2312"/>
          <w:sz w:val="32"/>
          <w:szCs w:val="32"/>
        </w:rPr>
        <w:t>2020年财政拨款收、支总计6546.67万元。与2019年6547.98万元相比，财政拨款收、支总计各减少1.31万元，下降0.02%。主要变动原因是人员变化。</w:t>
      </w:r>
    </w:p>
    <w:p>
      <w:pPr>
        <w:spacing w:line="520" w:lineRule="exact"/>
        <w:ind w:firstLine="640"/>
        <w:rPr>
          <w:rFonts w:eastAsia="仿宋_GB2312"/>
          <w:sz w:val="32"/>
          <w:szCs w:val="32"/>
        </w:rPr>
      </w:pPr>
      <w:r>
        <w:rPr>
          <w:rFonts w:eastAsia="仿宋_GB2312"/>
          <w:sz w:val="32"/>
          <w:szCs w:val="32"/>
        </w:rPr>
        <w:drawing>
          <wp:anchor distT="0" distB="0" distL="114300" distR="114300" simplePos="0" relativeHeight="251660288" behindDoc="1" locked="0" layoutInCell="1" allowOverlap="1">
            <wp:simplePos x="0" y="0"/>
            <wp:positionH relativeFrom="column">
              <wp:posOffset>457835</wp:posOffset>
            </wp:positionH>
            <wp:positionV relativeFrom="paragraph">
              <wp:posOffset>802005</wp:posOffset>
            </wp:positionV>
            <wp:extent cx="4657090" cy="2534285"/>
            <wp:effectExtent l="0" t="0" r="10160" b="18415"/>
            <wp:wrapTight wrapText="bothSides">
              <wp:wrapPolygon>
                <wp:start x="0" y="0"/>
                <wp:lineTo x="0" y="21432"/>
                <wp:lineTo x="21470" y="21432"/>
                <wp:lineTo x="21470" y="0"/>
                <wp:lineTo x="0" y="0"/>
              </wp:wrapPolygon>
            </wp:wrapTight>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pic:cNvPicPr>
                  </pic:nvPicPr>
                  <pic:blipFill>
                    <a:blip r:embed="rId8"/>
                    <a:stretch>
                      <a:fillRect/>
                    </a:stretch>
                  </pic:blipFill>
                  <pic:spPr>
                    <a:xfrm>
                      <a:off x="0" y="0"/>
                      <a:ext cx="4657090" cy="2534285"/>
                    </a:xfrm>
                    <a:prstGeom prst="rect">
                      <a:avLst/>
                    </a:prstGeom>
                    <a:noFill/>
                    <a:ln>
                      <a:noFill/>
                    </a:ln>
                  </pic:spPr>
                </pic:pic>
              </a:graphicData>
            </a:graphic>
          </wp:anchor>
        </w:drawing>
      </w:r>
      <w:r>
        <w:rPr>
          <w:rFonts w:hint="eastAsia" w:eastAsia="仿宋_GB2312"/>
          <w:sz w:val="32"/>
          <w:szCs w:val="32"/>
        </w:rPr>
        <w:t>（注：除国有资本经营预算外，数据来源于财决Z01-1表，口径为“总计”数+国有资本经营预算。）</w:t>
      </w:r>
    </w:p>
    <w:p>
      <w:pPr>
        <w:rPr>
          <w:rFonts w:eastAsia="仿宋_GB2312"/>
          <w:sz w:val="32"/>
          <w:szCs w:val="32"/>
        </w:rPr>
      </w:pPr>
      <w:bookmarkStart w:id="33" w:name="_Toc15377209"/>
      <w:bookmarkStart w:id="34" w:name="_Toc15396607"/>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ind w:firstLine="640" w:firstLineChars="200"/>
        <w:rPr>
          <w:rFonts w:ascii="黑体" w:hAnsi="黑体" w:eastAsia="黑体" w:cs="黑体"/>
          <w:sz w:val="32"/>
          <w:szCs w:val="32"/>
        </w:rPr>
      </w:pPr>
      <w:r>
        <w:rPr>
          <w:rFonts w:hint="eastAsia" w:ascii="黑体" w:hAnsi="黑体" w:eastAsia="黑体" w:cs="黑体"/>
          <w:sz w:val="32"/>
          <w:szCs w:val="32"/>
        </w:rPr>
        <w:t>五、一般公共预算财政拨款支出决算情况说</w:t>
      </w:r>
      <w:bookmarkEnd w:id="33"/>
      <w:bookmarkEnd w:id="34"/>
      <w:bookmarkStart w:id="35" w:name="_Toc15377210"/>
      <w:r>
        <w:rPr>
          <w:rFonts w:hint="eastAsia" w:ascii="黑体" w:hAnsi="黑体" w:eastAsia="黑体" w:cs="黑体"/>
          <w:sz w:val="32"/>
          <w:szCs w:val="32"/>
        </w:rPr>
        <w:t>明</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（一）一般公共预算财政拨款支出决算总体情况</w:t>
      </w:r>
      <w:bookmarkEnd w:id="35"/>
      <w:r>
        <w:rPr>
          <w:rFonts w:hint="eastAsia" w:ascii="楷体_GB2312" w:hAnsi="楷体_GB2312" w:eastAsia="楷体_GB2312" w:cs="楷体_GB2312"/>
          <w:sz w:val="32"/>
          <w:szCs w:val="32"/>
        </w:rPr>
        <w:t>。</w:t>
      </w:r>
    </w:p>
    <w:p>
      <w:pPr>
        <w:ind w:firstLine="640" w:firstLineChars="200"/>
        <w:rPr>
          <w:rFonts w:eastAsia="仿宋_GB2312"/>
          <w:sz w:val="32"/>
          <w:szCs w:val="32"/>
        </w:rPr>
      </w:pPr>
      <w:r>
        <w:rPr>
          <w:rFonts w:hint="eastAsia" w:eastAsia="仿宋_GB2312"/>
          <w:sz w:val="32"/>
          <w:szCs w:val="32"/>
        </w:rPr>
        <w:t>2020年一般公共预算财政拨款支出1108.42万元，占本年支出合计的26.7%。与2019年2862.04万元相比，一般公共预算财政拨款减少1753.62万元，下降61.27%。主要变动原因是工程未完工，工程款未支付。</w:t>
      </w:r>
    </w:p>
    <w:p>
      <w:pPr>
        <w:rPr>
          <w:rFonts w:eastAsia="仿宋_GB2312"/>
          <w:sz w:val="32"/>
          <w:szCs w:val="32"/>
        </w:rPr>
      </w:pPr>
      <w:r>
        <w:rPr>
          <w:rFonts w:eastAsia="仿宋_GB2312"/>
          <w:sz w:val="32"/>
          <w:szCs w:val="32"/>
        </w:rPr>
        <w:drawing>
          <wp:anchor distT="0" distB="0" distL="114300" distR="114300" simplePos="0" relativeHeight="251661312" behindDoc="1" locked="0" layoutInCell="1" allowOverlap="1">
            <wp:simplePos x="0" y="0"/>
            <wp:positionH relativeFrom="column">
              <wp:posOffset>191135</wp:posOffset>
            </wp:positionH>
            <wp:positionV relativeFrom="paragraph">
              <wp:posOffset>28575</wp:posOffset>
            </wp:positionV>
            <wp:extent cx="5247005" cy="3199765"/>
            <wp:effectExtent l="0" t="0" r="10795" b="635"/>
            <wp:wrapTight wrapText="bothSides">
              <wp:wrapPolygon>
                <wp:start x="0" y="0"/>
                <wp:lineTo x="0" y="21476"/>
                <wp:lineTo x="21488" y="21476"/>
                <wp:lineTo x="21488" y="0"/>
                <wp:lineTo x="0" y="0"/>
              </wp:wrapPolygon>
            </wp:wrapTight>
            <wp:docPr id="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pic:cNvPicPr>
                      <a:picLocks noChangeAspect="1"/>
                    </pic:cNvPicPr>
                  </pic:nvPicPr>
                  <pic:blipFill>
                    <a:blip r:embed="rId9"/>
                    <a:stretch>
                      <a:fillRect/>
                    </a:stretch>
                  </pic:blipFill>
                  <pic:spPr>
                    <a:xfrm>
                      <a:off x="0" y="0"/>
                      <a:ext cx="5247005" cy="3199765"/>
                    </a:xfrm>
                    <a:prstGeom prst="rect">
                      <a:avLst/>
                    </a:prstGeom>
                    <a:noFill/>
                    <a:ln>
                      <a:noFill/>
                    </a:ln>
                  </pic:spPr>
                </pic:pic>
              </a:graphicData>
            </a:graphic>
          </wp:anchor>
        </w:drawing>
      </w:r>
      <w:bookmarkStart w:id="36" w:name="_Toc15377211"/>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（二）一般公共预算财政拨款支出决算结构情况</w:t>
      </w:r>
      <w:bookmarkEnd w:id="36"/>
      <w:r>
        <w:rPr>
          <w:rFonts w:hint="eastAsia" w:ascii="楷体_GB2312" w:hAnsi="楷体_GB2312" w:eastAsia="楷体_GB2312" w:cs="楷体_GB2312"/>
          <w:sz w:val="32"/>
          <w:szCs w:val="32"/>
        </w:rPr>
        <w:t>。</w:t>
      </w:r>
    </w:p>
    <w:p>
      <w:pPr>
        <w:spacing w:line="353" w:lineRule="auto"/>
        <w:ind w:firstLine="640"/>
        <w:rPr>
          <w:rFonts w:eastAsia="仿宋_GB2312"/>
          <w:sz w:val="32"/>
          <w:szCs w:val="32"/>
        </w:rPr>
      </w:pPr>
      <w:r>
        <w:rPr>
          <w:rFonts w:hint="eastAsia" w:eastAsia="仿宋_GB2312"/>
          <w:sz w:val="32"/>
          <w:szCs w:val="32"/>
        </w:rPr>
        <w:t>2020年一般公共预算财政拨款支出1108.42万元，主要用于以下方面:社会保障和就业（类）支出27.63万元，占2.5</w:t>
      </w:r>
      <w:r>
        <w:rPr>
          <w:rFonts w:eastAsia="仿宋_GB2312"/>
          <w:sz w:val="32"/>
          <w:szCs w:val="32"/>
        </w:rPr>
        <w:t>%</w:t>
      </w:r>
      <w:r>
        <w:rPr>
          <w:rFonts w:hint="eastAsia" w:eastAsia="仿宋_GB2312"/>
          <w:sz w:val="32"/>
          <w:szCs w:val="32"/>
        </w:rPr>
        <w:t>；卫生健康支出13.09万元，占1.18</w:t>
      </w:r>
      <w:r>
        <w:rPr>
          <w:rFonts w:eastAsia="仿宋_GB2312"/>
          <w:sz w:val="32"/>
          <w:szCs w:val="32"/>
        </w:rPr>
        <w:t>%</w:t>
      </w:r>
      <w:r>
        <w:rPr>
          <w:rFonts w:hint="eastAsia" w:eastAsia="仿宋_GB2312"/>
          <w:sz w:val="32"/>
          <w:szCs w:val="32"/>
        </w:rPr>
        <w:t>；住房保障支出32.64万元，占2.94</w:t>
      </w:r>
      <w:r>
        <w:rPr>
          <w:rFonts w:eastAsia="仿宋_GB2312"/>
          <w:sz w:val="32"/>
          <w:szCs w:val="32"/>
        </w:rPr>
        <w:t>%</w:t>
      </w:r>
      <w:r>
        <w:rPr>
          <w:rFonts w:hint="eastAsia" w:eastAsia="仿宋_GB2312"/>
          <w:sz w:val="32"/>
          <w:szCs w:val="32"/>
        </w:rPr>
        <w:t>；农林水支出1035.06万元，占93.38</w:t>
      </w:r>
      <w:r>
        <w:rPr>
          <w:rFonts w:eastAsia="仿宋_GB2312"/>
          <w:sz w:val="32"/>
          <w:szCs w:val="32"/>
        </w:rPr>
        <w:t>%</w:t>
      </w:r>
      <w:r>
        <w:rPr>
          <w:rFonts w:hint="eastAsia" w:eastAsia="仿宋_GB2312"/>
          <w:sz w:val="32"/>
          <w:szCs w:val="32"/>
        </w:rPr>
        <w:t>。</w:t>
      </w:r>
    </w:p>
    <w:p>
      <w:pPr>
        <w:pStyle w:val="2"/>
        <w:rPr>
          <w:rFonts w:ascii="Times New Roman" w:hAnsi="Times New Roman" w:eastAsia="仿宋_GB2312"/>
          <w:b w:val="0"/>
        </w:rPr>
      </w:pPr>
      <w:r>
        <w:rPr>
          <w:rFonts w:ascii="Times New Roman" w:hAnsi="Times New Roman" w:eastAsia="仿宋_GB2312"/>
          <w:b w:val="0"/>
        </w:rPr>
        <w:drawing>
          <wp:anchor distT="0" distB="0" distL="114300" distR="114300" simplePos="0" relativeHeight="251662336" behindDoc="1" locked="0" layoutInCell="1" allowOverlap="1">
            <wp:simplePos x="0" y="0"/>
            <wp:positionH relativeFrom="column">
              <wp:posOffset>361950</wp:posOffset>
            </wp:positionH>
            <wp:positionV relativeFrom="paragraph">
              <wp:posOffset>15240</wp:posOffset>
            </wp:positionV>
            <wp:extent cx="5180965" cy="3295015"/>
            <wp:effectExtent l="0" t="0" r="635" b="635"/>
            <wp:wrapTight wrapText="bothSides">
              <wp:wrapPolygon>
                <wp:start x="0" y="0"/>
                <wp:lineTo x="0" y="21479"/>
                <wp:lineTo x="21523" y="21479"/>
                <wp:lineTo x="21523" y="0"/>
                <wp:lineTo x="0" y="0"/>
              </wp:wrapPolygon>
            </wp:wrapTight>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pic:cNvPicPr>
                      <a:picLocks noChangeAspect="1"/>
                    </pic:cNvPicPr>
                  </pic:nvPicPr>
                  <pic:blipFill>
                    <a:blip r:embed="rId10"/>
                    <a:stretch>
                      <a:fillRect/>
                    </a:stretch>
                  </pic:blipFill>
                  <pic:spPr>
                    <a:xfrm>
                      <a:off x="0" y="0"/>
                      <a:ext cx="5180965" cy="3295015"/>
                    </a:xfrm>
                    <a:prstGeom prst="rect">
                      <a:avLst/>
                    </a:prstGeom>
                    <a:noFill/>
                    <a:ln>
                      <a:noFill/>
                    </a:ln>
                  </pic:spPr>
                </pic:pic>
              </a:graphicData>
            </a:graphic>
          </wp:anchor>
        </w:drawing>
      </w:r>
    </w:p>
    <w:p>
      <w:pPr>
        <w:ind w:firstLine="640" w:firstLineChars="200"/>
        <w:rPr>
          <w:rFonts w:ascii="楷体_GB2312" w:hAnsi="楷体_GB2312" w:eastAsia="楷体_GB2312" w:cs="楷体_GB2312"/>
          <w:sz w:val="32"/>
          <w:szCs w:val="32"/>
        </w:rPr>
      </w:pPr>
      <w:bookmarkStart w:id="37" w:name="_Toc15377212"/>
      <w:r>
        <w:rPr>
          <w:rFonts w:hint="eastAsia" w:ascii="楷体_GB2312" w:hAnsi="楷体_GB2312" w:eastAsia="楷体_GB2312" w:cs="楷体_GB2312"/>
          <w:sz w:val="32"/>
          <w:szCs w:val="32"/>
        </w:rPr>
        <w:t>（三）一般公共预算财政拨款支出决算具体情况</w:t>
      </w:r>
      <w:bookmarkEnd w:id="37"/>
      <w:r>
        <w:rPr>
          <w:rFonts w:hint="eastAsia" w:ascii="楷体_GB2312" w:hAnsi="楷体_GB2312" w:eastAsia="楷体_GB2312" w:cs="楷体_GB2312"/>
          <w:sz w:val="32"/>
          <w:szCs w:val="32"/>
        </w:rPr>
        <w:t>。</w:t>
      </w:r>
    </w:p>
    <w:p>
      <w:pPr>
        <w:spacing w:line="560" w:lineRule="exact"/>
        <w:ind w:firstLine="640" w:firstLineChars="200"/>
        <w:outlineLvl w:val="2"/>
        <w:rPr>
          <w:rFonts w:eastAsia="仿宋_GB2312"/>
          <w:sz w:val="32"/>
          <w:szCs w:val="32"/>
        </w:rPr>
      </w:pPr>
      <w:bookmarkStart w:id="38" w:name="_Toc15377444"/>
      <w:bookmarkStart w:id="39" w:name="_Toc15377213"/>
      <w:bookmarkStart w:id="40" w:name="_Toc15378460"/>
      <w:r>
        <w:rPr>
          <w:rFonts w:hint="eastAsia" w:eastAsia="仿宋_GB2312"/>
          <w:sz w:val="32"/>
          <w:szCs w:val="32"/>
        </w:rPr>
        <w:t>2020年一般公共预算支出决算数为1108.42，完成预算58.23%。其中：</w:t>
      </w:r>
      <w:bookmarkEnd w:id="38"/>
      <w:bookmarkEnd w:id="39"/>
      <w:bookmarkEnd w:id="40"/>
    </w:p>
    <w:p>
      <w:pPr>
        <w:spacing w:line="353" w:lineRule="auto"/>
        <w:ind w:firstLine="640" w:firstLineChars="200"/>
        <w:rPr>
          <w:rFonts w:eastAsia="仿宋_GB2312"/>
          <w:sz w:val="32"/>
          <w:szCs w:val="32"/>
        </w:rPr>
      </w:pPr>
      <w:r>
        <w:rPr>
          <w:rFonts w:hint="eastAsia" w:eastAsia="仿宋_GB2312"/>
          <w:sz w:val="32"/>
          <w:szCs w:val="32"/>
        </w:rPr>
        <w:t>1.社会保障和就业支出（类）行政事业单位离退休（款）未归口管理的行政单位离退休（项）: 支出决算为2.45万元，完成预算100%。</w:t>
      </w:r>
    </w:p>
    <w:p>
      <w:pPr>
        <w:spacing w:line="353" w:lineRule="auto"/>
        <w:ind w:firstLine="640" w:firstLineChars="200"/>
        <w:rPr>
          <w:rFonts w:eastAsia="仿宋_GB2312"/>
          <w:sz w:val="32"/>
          <w:szCs w:val="32"/>
        </w:rPr>
      </w:pPr>
      <w:r>
        <w:rPr>
          <w:rFonts w:hint="eastAsia" w:eastAsia="仿宋_GB2312"/>
          <w:sz w:val="32"/>
          <w:szCs w:val="32"/>
        </w:rPr>
        <w:t>2.社会保障和就业支出（类）行政事业单位离退休（款）机关事业单位基本养老保险缴费支出（项）: 支出决算为25.18万元，完成预算100%。</w:t>
      </w:r>
    </w:p>
    <w:p>
      <w:pPr>
        <w:spacing w:line="353" w:lineRule="auto"/>
        <w:ind w:firstLine="640" w:firstLineChars="200"/>
        <w:rPr>
          <w:rFonts w:eastAsia="仿宋_GB2312"/>
          <w:sz w:val="32"/>
          <w:szCs w:val="32"/>
        </w:rPr>
      </w:pPr>
      <w:r>
        <w:rPr>
          <w:rFonts w:hint="eastAsia" w:eastAsia="仿宋_GB2312"/>
          <w:sz w:val="32"/>
          <w:szCs w:val="32"/>
        </w:rPr>
        <w:t>3.卫生健康支出（类）行政事业单位医疗（款）行政单位医疗（项）:支出决算为3.82万元，完成预算100%。</w:t>
      </w:r>
    </w:p>
    <w:p>
      <w:pPr>
        <w:spacing w:line="353" w:lineRule="auto"/>
        <w:ind w:firstLine="640" w:firstLineChars="200"/>
        <w:rPr>
          <w:rFonts w:eastAsia="仿宋_GB2312"/>
          <w:sz w:val="32"/>
          <w:szCs w:val="32"/>
        </w:rPr>
      </w:pPr>
      <w:r>
        <w:rPr>
          <w:rFonts w:hint="eastAsia" w:eastAsia="仿宋_GB2312"/>
          <w:sz w:val="32"/>
          <w:szCs w:val="32"/>
        </w:rPr>
        <w:t>4.卫生健康支出（类）行政事业单位医疗（款）事业单位医疗（项）:支出决算为7.24万元，完成预算100%。</w:t>
      </w:r>
    </w:p>
    <w:p>
      <w:pPr>
        <w:spacing w:line="353" w:lineRule="auto"/>
        <w:ind w:firstLine="640" w:firstLineChars="200"/>
        <w:rPr>
          <w:rFonts w:eastAsia="仿宋_GB2312"/>
          <w:sz w:val="32"/>
          <w:szCs w:val="32"/>
        </w:rPr>
      </w:pPr>
      <w:r>
        <w:rPr>
          <w:rFonts w:hint="eastAsia" w:eastAsia="仿宋_GB2312"/>
          <w:sz w:val="32"/>
          <w:szCs w:val="32"/>
        </w:rPr>
        <w:t>5.卫生健康支出（类）行政事业单位医疗（款）公务员医疗补助（项）:支出决算为2.03万元，完成预算100%。</w:t>
      </w:r>
    </w:p>
    <w:p>
      <w:pPr>
        <w:spacing w:line="353" w:lineRule="auto"/>
        <w:ind w:firstLine="640" w:firstLineChars="200"/>
        <w:rPr>
          <w:rFonts w:eastAsia="仿宋_GB2312"/>
          <w:sz w:val="32"/>
          <w:szCs w:val="32"/>
        </w:rPr>
      </w:pPr>
      <w:r>
        <w:rPr>
          <w:rFonts w:hint="eastAsia" w:eastAsia="仿宋_GB2312"/>
          <w:sz w:val="32"/>
          <w:szCs w:val="32"/>
        </w:rPr>
        <w:t>6.农林水支出（类）农业（款）水资源管理与节约（项）决算数为199.93万元，完成预算34.41%。决算数小于预算数的主要原因是工程未完工验收。</w:t>
      </w:r>
    </w:p>
    <w:p>
      <w:pPr>
        <w:spacing w:line="353" w:lineRule="auto"/>
        <w:ind w:firstLine="640" w:firstLineChars="200"/>
        <w:rPr>
          <w:rFonts w:eastAsia="仿宋_GB2312"/>
          <w:sz w:val="32"/>
          <w:szCs w:val="32"/>
        </w:rPr>
      </w:pPr>
      <w:r>
        <w:rPr>
          <w:rFonts w:hint="eastAsia" w:eastAsia="仿宋_GB2312"/>
          <w:sz w:val="32"/>
          <w:szCs w:val="32"/>
        </w:rPr>
        <w:t>7.农林水支出（类）水利（款）行政运行（项）决算数为79.65万元，完成预算100%。</w:t>
      </w:r>
    </w:p>
    <w:p>
      <w:pPr>
        <w:spacing w:line="353" w:lineRule="auto"/>
        <w:ind w:firstLine="640" w:firstLineChars="200"/>
        <w:rPr>
          <w:rFonts w:eastAsia="仿宋_GB2312"/>
          <w:sz w:val="32"/>
          <w:szCs w:val="32"/>
        </w:rPr>
      </w:pPr>
      <w:r>
        <w:rPr>
          <w:rFonts w:hint="eastAsia" w:eastAsia="仿宋_GB2312"/>
          <w:sz w:val="32"/>
          <w:szCs w:val="32"/>
        </w:rPr>
        <w:t>8.农林水支出（类）水利（款）农村人畜饮水（项）决算数为10.98万元，完成预算91.5%。决算数小于预算数的主要原因是工程未完工验收。</w:t>
      </w:r>
    </w:p>
    <w:p>
      <w:pPr>
        <w:spacing w:line="353" w:lineRule="auto"/>
        <w:ind w:firstLine="640" w:firstLineChars="200"/>
        <w:rPr>
          <w:rFonts w:eastAsia="仿宋_GB2312"/>
          <w:sz w:val="32"/>
          <w:szCs w:val="32"/>
        </w:rPr>
      </w:pPr>
      <w:r>
        <w:rPr>
          <w:rFonts w:hint="eastAsia" w:eastAsia="仿宋_GB2312"/>
          <w:sz w:val="32"/>
          <w:szCs w:val="32"/>
        </w:rPr>
        <w:t>9.农林水支出（类）水利（款）防汛（项）决算数为21.75万元，完成预算46.26%。决算数小于预算数的主要原因是工程未完工验收。</w:t>
      </w:r>
    </w:p>
    <w:p>
      <w:pPr>
        <w:spacing w:line="353" w:lineRule="auto"/>
        <w:ind w:firstLine="640" w:firstLineChars="200"/>
        <w:rPr>
          <w:rFonts w:eastAsia="仿宋_GB2312"/>
          <w:sz w:val="32"/>
          <w:szCs w:val="32"/>
        </w:rPr>
      </w:pPr>
      <w:r>
        <w:rPr>
          <w:rFonts w:hint="eastAsia" w:eastAsia="仿宋_GB2312"/>
          <w:sz w:val="32"/>
          <w:szCs w:val="32"/>
        </w:rPr>
        <w:t>10.农林水支出（类）水利（款）其他水利支出（项）决算数为553.77万元，完成预算81..08%。小于预算数的原因是工程未完工。</w:t>
      </w:r>
    </w:p>
    <w:p>
      <w:pPr>
        <w:spacing w:line="353" w:lineRule="auto"/>
        <w:ind w:firstLine="640" w:firstLineChars="200"/>
        <w:rPr>
          <w:rFonts w:eastAsia="仿宋_GB2312"/>
          <w:sz w:val="32"/>
          <w:szCs w:val="32"/>
        </w:rPr>
      </w:pPr>
      <w:r>
        <w:rPr>
          <w:rFonts w:hint="eastAsia" w:eastAsia="仿宋_GB2312"/>
          <w:sz w:val="32"/>
          <w:szCs w:val="32"/>
        </w:rPr>
        <w:t>11.农林水支出（类）水利（款）抗旱（项）决算数为168.98万元，完成预算99.4%。小于预算数的原因是扣留质保金。</w:t>
      </w:r>
    </w:p>
    <w:p>
      <w:pPr>
        <w:spacing w:line="353" w:lineRule="auto"/>
        <w:ind w:firstLine="640" w:firstLineChars="200"/>
        <w:rPr>
          <w:rFonts w:eastAsia="仿宋_GB2312"/>
          <w:sz w:val="32"/>
          <w:szCs w:val="32"/>
        </w:rPr>
      </w:pPr>
      <w:r>
        <w:rPr>
          <w:rFonts w:hint="eastAsia" w:eastAsia="仿宋_GB2312"/>
          <w:sz w:val="32"/>
          <w:szCs w:val="32"/>
        </w:rPr>
        <w:t>12.住房保障支出（类）住房改革支出（款）住房公积金（项）决算数为32.64万元，完成预算100%。</w:t>
      </w:r>
    </w:p>
    <w:p>
      <w:pPr>
        <w:spacing w:line="353" w:lineRule="auto"/>
        <w:ind w:firstLine="640" w:firstLineChars="200"/>
        <w:rPr>
          <w:rFonts w:eastAsia="仿宋_GB2312"/>
          <w:sz w:val="32"/>
          <w:szCs w:val="32"/>
        </w:rPr>
      </w:pPr>
      <w:r>
        <w:rPr>
          <w:rFonts w:hint="eastAsia" w:eastAsia="仿宋_GB2312"/>
          <w:sz w:val="32"/>
          <w:szCs w:val="32"/>
        </w:rPr>
        <w:t>13.其他支出（类）其他政府性基金预算及对应专项债务收入安排的支出（款）其他地方自行试点项目收益专项债券收入安排的支出（项）决算数为2909.71万元，完成预算64.66%。小于预算数的原因是工程未完工。</w:t>
      </w:r>
    </w:p>
    <w:p>
      <w:pPr>
        <w:spacing w:line="560" w:lineRule="exact"/>
        <w:ind w:firstLine="640" w:firstLineChars="200"/>
        <w:rPr>
          <w:rFonts w:eastAsia="仿宋_GB2312"/>
          <w:sz w:val="32"/>
          <w:szCs w:val="32"/>
        </w:rPr>
      </w:pPr>
      <w:r>
        <w:rPr>
          <w:rFonts w:hint="eastAsia" w:eastAsia="仿宋_GB2312"/>
          <w:sz w:val="32"/>
          <w:szCs w:val="32"/>
        </w:rPr>
        <w:t>（注：数据来源于财决Z01-1表，罗列全部功能分类科目至项级。上述“预算”口径为调整预算数。增减变动原因为决算数&lt;项级&gt;和调整预算数&lt;项级&gt;比较，与预算数持平可以不写原因。）</w:t>
      </w:r>
    </w:p>
    <w:p>
      <w:pPr>
        <w:tabs>
          <w:tab w:val="right" w:pos="8306"/>
        </w:tabs>
        <w:spacing w:line="560" w:lineRule="exact"/>
        <w:ind w:firstLine="640"/>
        <w:outlineLvl w:val="1"/>
        <w:rPr>
          <w:rFonts w:ascii="黑体" w:hAnsi="黑体" w:eastAsia="黑体" w:cs="黑体"/>
          <w:sz w:val="32"/>
          <w:szCs w:val="32"/>
        </w:rPr>
      </w:pPr>
      <w:bookmarkStart w:id="41" w:name="_Toc15396608"/>
      <w:bookmarkStart w:id="42" w:name="_Toc15377214"/>
      <w:r>
        <w:rPr>
          <w:rFonts w:hint="eastAsia" w:ascii="黑体" w:hAnsi="黑体" w:eastAsia="黑体" w:cs="黑体"/>
          <w:sz w:val="32"/>
          <w:szCs w:val="32"/>
        </w:rPr>
        <w:t>六、一般公共预算财政拨款基本支出决算情况说明</w:t>
      </w:r>
      <w:bookmarkEnd w:id="41"/>
      <w:bookmarkEnd w:id="42"/>
    </w:p>
    <w:p>
      <w:pPr>
        <w:spacing w:line="560" w:lineRule="exact"/>
        <w:ind w:firstLine="645"/>
        <w:rPr>
          <w:rFonts w:eastAsia="仿宋_GB2312"/>
          <w:sz w:val="32"/>
          <w:szCs w:val="32"/>
        </w:rPr>
      </w:pPr>
      <w:r>
        <w:rPr>
          <w:rFonts w:hint="eastAsia" w:eastAsia="仿宋_GB2312"/>
          <w:sz w:val="32"/>
          <w:szCs w:val="32"/>
        </w:rPr>
        <w:t>2020年一般公共预算财政拨款基本支出381万元，其中：</w:t>
      </w:r>
    </w:p>
    <w:p>
      <w:pPr>
        <w:spacing w:line="560" w:lineRule="exact"/>
        <w:ind w:firstLine="645"/>
        <w:rPr>
          <w:rFonts w:hint="eastAsia" w:eastAsia="仿宋_GB2312"/>
          <w:sz w:val="32"/>
          <w:szCs w:val="32"/>
          <w:lang w:eastAsia="zh-CN"/>
        </w:rPr>
      </w:pPr>
      <w:r>
        <w:rPr>
          <w:rFonts w:hint="eastAsia" w:eastAsia="仿宋_GB2312"/>
          <w:sz w:val="32"/>
          <w:szCs w:val="32"/>
        </w:rPr>
        <w:t>人员经费344.09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560" w:lineRule="exact"/>
        <w:ind w:firstLine="645"/>
        <w:rPr>
          <w:rFonts w:eastAsia="仿宋_GB2312"/>
          <w:sz w:val="32"/>
          <w:szCs w:val="32"/>
        </w:rPr>
      </w:pPr>
      <w:r>
        <w:rPr>
          <w:rFonts w:hint="eastAsia" w:eastAsia="仿宋_GB2312"/>
          <w:sz w:val="32"/>
          <w:szCs w:val="32"/>
        </w:rPr>
        <w:t>　　日常公用经费36.91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560" w:lineRule="exact"/>
        <w:ind w:firstLine="645"/>
        <w:rPr>
          <w:rFonts w:eastAsia="仿宋_GB2312"/>
          <w:sz w:val="32"/>
          <w:szCs w:val="32"/>
        </w:rPr>
      </w:pPr>
      <w:r>
        <w:rPr>
          <w:rFonts w:hint="eastAsia" w:eastAsia="仿宋_GB2312"/>
          <w:sz w:val="32"/>
          <w:szCs w:val="32"/>
        </w:rPr>
        <w:t>（注：数据来源于财决07表，根据本部门实际支出情况罗列全部经济分类科目。）</w:t>
      </w:r>
    </w:p>
    <w:p>
      <w:pPr>
        <w:tabs>
          <w:tab w:val="right" w:pos="8306"/>
        </w:tabs>
        <w:spacing w:line="560" w:lineRule="exact"/>
        <w:ind w:firstLine="640"/>
        <w:outlineLvl w:val="1"/>
        <w:rPr>
          <w:rFonts w:ascii="黑体" w:hAnsi="黑体" w:eastAsia="黑体" w:cs="黑体"/>
          <w:sz w:val="32"/>
          <w:szCs w:val="32"/>
        </w:rPr>
      </w:pPr>
      <w:bookmarkStart w:id="43" w:name="_Toc15396609"/>
      <w:bookmarkStart w:id="44" w:name="_Toc15377215"/>
      <w:r>
        <w:rPr>
          <w:rFonts w:hint="eastAsia" w:ascii="黑体" w:hAnsi="黑体" w:eastAsia="黑体" w:cs="黑体"/>
          <w:sz w:val="32"/>
          <w:szCs w:val="32"/>
        </w:rPr>
        <w:t>七、“三公”经费财政拨款支出决算情况说明</w:t>
      </w:r>
      <w:bookmarkEnd w:id="43"/>
      <w:bookmarkEnd w:id="44"/>
    </w:p>
    <w:p>
      <w:pPr>
        <w:spacing w:line="560" w:lineRule="exact"/>
        <w:ind w:firstLine="640"/>
        <w:rPr>
          <w:rFonts w:eastAsia="仿宋_GB2312"/>
          <w:sz w:val="32"/>
          <w:szCs w:val="32"/>
        </w:rPr>
      </w:pPr>
      <w:bookmarkStart w:id="45" w:name="_Toc15377216"/>
      <w:r>
        <w:rPr>
          <w:rFonts w:hint="eastAsia" w:eastAsia="仿宋_GB2312"/>
          <w:sz w:val="32"/>
          <w:szCs w:val="32"/>
        </w:rPr>
        <w:t>（一）“三公”经费财政拨款支出决算总体情况说明</w:t>
      </w:r>
      <w:bookmarkEnd w:id="45"/>
      <w:r>
        <w:rPr>
          <w:rFonts w:hint="eastAsia" w:eastAsia="仿宋_GB2312"/>
          <w:sz w:val="32"/>
          <w:szCs w:val="32"/>
        </w:rPr>
        <w:t>。</w:t>
      </w:r>
    </w:p>
    <w:p>
      <w:pPr>
        <w:spacing w:line="560" w:lineRule="exact"/>
        <w:ind w:firstLine="640"/>
        <w:rPr>
          <w:rFonts w:eastAsia="仿宋_GB2312"/>
          <w:sz w:val="32"/>
          <w:szCs w:val="32"/>
        </w:rPr>
      </w:pPr>
      <w:r>
        <w:rPr>
          <w:rFonts w:hint="eastAsia" w:eastAsia="仿宋_GB2312"/>
          <w:sz w:val="32"/>
          <w:szCs w:val="32"/>
        </w:rPr>
        <w:t>2020年“三公”经费财政拨款支出决算为12.97万元，完成预算100%，预算数持平。</w:t>
      </w:r>
    </w:p>
    <w:p>
      <w:pPr>
        <w:spacing w:line="560" w:lineRule="exact"/>
        <w:ind w:firstLine="640"/>
        <w:rPr>
          <w:rFonts w:eastAsia="仿宋_GB2312"/>
          <w:sz w:val="32"/>
          <w:szCs w:val="32"/>
        </w:rPr>
      </w:pPr>
      <w:r>
        <w:rPr>
          <w:rFonts w:hint="eastAsia" w:eastAsia="仿宋_GB2312"/>
          <w:sz w:val="32"/>
          <w:szCs w:val="32"/>
        </w:rPr>
        <w:t>（注：上述“预算”口径为调整预算数，包括政府性基金支出决算情况。）</w:t>
      </w:r>
    </w:p>
    <w:p>
      <w:pPr>
        <w:numPr>
          <w:ilvl w:val="0"/>
          <w:numId w:val="2"/>
        </w:numPr>
        <w:spacing w:line="560" w:lineRule="exact"/>
        <w:ind w:firstLine="640"/>
        <w:outlineLvl w:val="2"/>
        <w:rPr>
          <w:rFonts w:eastAsia="仿宋_GB2312"/>
          <w:sz w:val="32"/>
          <w:szCs w:val="32"/>
        </w:rPr>
      </w:pPr>
      <w:bookmarkStart w:id="46" w:name="_Toc15377217"/>
      <w:r>
        <w:rPr>
          <w:rFonts w:hint="eastAsia" w:eastAsia="仿宋_GB2312"/>
          <w:sz w:val="32"/>
          <w:szCs w:val="32"/>
        </w:rPr>
        <w:t>“三公”经费财政拨款支出决算具体情况说明</w:t>
      </w:r>
      <w:bookmarkEnd w:id="46"/>
      <w:r>
        <w:rPr>
          <w:rFonts w:hint="eastAsia" w:eastAsia="仿宋_GB2312"/>
          <w:sz w:val="32"/>
          <w:szCs w:val="32"/>
        </w:rPr>
        <w:t>。</w:t>
      </w:r>
    </w:p>
    <w:p>
      <w:pPr>
        <w:spacing w:line="560" w:lineRule="exact"/>
        <w:ind w:firstLine="640" w:firstLineChars="200"/>
        <w:outlineLvl w:val="2"/>
        <w:rPr>
          <w:rFonts w:eastAsia="仿宋_GB2312"/>
          <w:sz w:val="32"/>
          <w:szCs w:val="32"/>
        </w:rPr>
      </w:pPr>
      <w:r>
        <w:rPr>
          <w:rFonts w:hint="eastAsia" w:eastAsia="仿宋_GB2312"/>
          <w:sz w:val="32"/>
          <w:szCs w:val="32"/>
        </w:rPr>
        <w:t>2020年“三公”经费财政拨款支出决算中，因公出国（境）费支出决算0万元，占0%；公务用车购置及运行维护费支出决算12.5万元，占96.4%；公务接待费支出决算0.47万元，占3.6%。具体情况如下：</w:t>
      </w:r>
    </w:p>
    <w:p>
      <w:pPr>
        <w:jc w:val="center"/>
        <w:rPr>
          <w:rFonts w:eastAsia="仿宋_GB2312"/>
          <w:sz w:val="32"/>
          <w:szCs w:val="32"/>
        </w:rPr>
      </w:pPr>
      <w:r>
        <w:rPr>
          <w:rFonts w:eastAsia="仿宋_GB2312"/>
          <w:sz w:val="32"/>
          <w:szCs w:val="32"/>
        </w:rPr>
        <w:drawing>
          <wp:inline distT="0" distB="0" distL="114300" distR="114300">
            <wp:extent cx="4138930" cy="2513330"/>
            <wp:effectExtent l="0" t="0" r="13970" b="1270"/>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1"/>
                    <a:stretch>
                      <a:fillRect/>
                    </a:stretch>
                  </pic:blipFill>
                  <pic:spPr>
                    <a:xfrm>
                      <a:off x="0" y="0"/>
                      <a:ext cx="4138930" cy="2513330"/>
                    </a:xfrm>
                    <a:prstGeom prst="rect">
                      <a:avLst/>
                    </a:prstGeom>
                    <a:noFill/>
                    <a:ln>
                      <a:noFill/>
                    </a:ln>
                  </pic:spPr>
                </pic:pic>
              </a:graphicData>
            </a:graphic>
          </wp:inline>
        </w:drawing>
      </w:r>
    </w:p>
    <w:p>
      <w:pPr>
        <w:spacing w:line="560" w:lineRule="exact"/>
        <w:jc w:val="center"/>
        <w:rPr>
          <w:rFonts w:eastAsia="仿宋_GB2312"/>
          <w:sz w:val="32"/>
          <w:szCs w:val="32"/>
        </w:rPr>
      </w:pPr>
      <w:r>
        <w:rPr>
          <w:rFonts w:hint="eastAsia" w:eastAsia="仿宋_GB2312"/>
          <w:sz w:val="32"/>
          <w:szCs w:val="32"/>
        </w:rPr>
        <w:t>（图7：“三公”经费财政拨款支出结构）（饼状图）</w:t>
      </w:r>
    </w:p>
    <w:p>
      <w:pPr>
        <w:spacing w:line="560" w:lineRule="exact"/>
        <w:ind w:firstLine="640" w:firstLineChars="200"/>
        <w:rPr>
          <w:rFonts w:eastAsia="仿宋_GB2312"/>
          <w:sz w:val="32"/>
          <w:szCs w:val="32"/>
        </w:rPr>
      </w:pPr>
      <w:r>
        <w:rPr>
          <w:rFonts w:hint="eastAsia" w:eastAsia="仿宋_GB2312"/>
          <w:sz w:val="32"/>
          <w:szCs w:val="32"/>
        </w:rPr>
        <w:t>1.因公出国（境）经费支出0万元。全年安排因公出国（境）团组0次，出国（境）0人。因公出国（境）支出决算比2019年增加/减少0万元，增长/下降0%。</w:t>
      </w:r>
    </w:p>
    <w:p>
      <w:pPr>
        <w:spacing w:line="560" w:lineRule="exact"/>
        <w:ind w:firstLine="640" w:firstLineChars="200"/>
        <w:rPr>
          <w:rFonts w:eastAsia="仿宋_GB2312"/>
          <w:sz w:val="32"/>
          <w:szCs w:val="32"/>
        </w:rPr>
      </w:pPr>
      <w:r>
        <w:rPr>
          <w:rFonts w:hint="eastAsia" w:eastAsia="仿宋_GB2312"/>
          <w:sz w:val="32"/>
          <w:szCs w:val="32"/>
        </w:rPr>
        <w:t>2.公务用车购置及运行维护费支出12.5万元,完成预算100%。公务用车购置及运行维护费支出决算与2019年持平。</w:t>
      </w:r>
    </w:p>
    <w:p>
      <w:pPr>
        <w:spacing w:line="560" w:lineRule="exact"/>
        <w:ind w:firstLine="640" w:firstLineChars="200"/>
        <w:rPr>
          <w:rFonts w:eastAsia="仿宋_GB2312"/>
          <w:sz w:val="32"/>
          <w:szCs w:val="32"/>
        </w:rPr>
      </w:pPr>
      <w:r>
        <w:rPr>
          <w:rFonts w:hint="eastAsia" w:eastAsia="仿宋_GB2312"/>
          <w:sz w:val="32"/>
          <w:szCs w:val="32"/>
        </w:rPr>
        <w:t>其中：公务用车购置支出0万元。全年按规定更新购置公务用车0辆，其中：轿车0辆、金额0万元，越野车0辆、金额0元，载客汽车0辆、金额0万元。截至2020年12月底，单位共有公务用车5辆，其中：轿车1辆、越野车1辆、载货汽车3辆。</w:t>
      </w:r>
    </w:p>
    <w:p>
      <w:pPr>
        <w:spacing w:line="560" w:lineRule="exact"/>
        <w:ind w:firstLine="640"/>
        <w:rPr>
          <w:rFonts w:eastAsia="仿宋_GB2312"/>
          <w:sz w:val="32"/>
          <w:szCs w:val="32"/>
        </w:rPr>
      </w:pPr>
      <w:r>
        <w:rPr>
          <w:rFonts w:hint="eastAsia" w:eastAsia="仿宋_GB2312"/>
          <w:sz w:val="32"/>
          <w:szCs w:val="32"/>
        </w:rPr>
        <w:t>公务用车运行维护费支出12.5万元。主要用于河长制工作、水资源工作、梅子箐水库工程现场勘察、及水库巡查等工作所需的公务用车燃料费、维修费、过路过桥费、保险费等支出。</w:t>
      </w:r>
    </w:p>
    <w:p>
      <w:pPr>
        <w:spacing w:line="560" w:lineRule="exact"/>
        <w:ind w:firstLine="640" w:firstLineChars="200"/>
        <w:rPr>
          <w:rFonts w:eastAsia="仿宋_GB2312"/>
          <w:sz w:val="32"/>
          <w:szCs w:val="32"/>
        </w:rPr>
      </w:pPr>
      <w:r>
        <w:rPr>
          <w:rFonts w:hint="eastAsia" w:eastAsia="仿宋_GB2312"/>
          <w:sz w:val="32"/>
          <w:szCs w:val="32"/>
        </w:rPr>
        <w:t>3.公务接待费支出0.47万元，完成预算100%。公务接待费支出决算与2019年持平。</w:t>
      </w:r>
    </w:p>
    <w:p>
      <w:pPr>
        <w:spacing w:line="560" w:lineRule="exact"/>
        <w:ind w:firstLine="640" w:firstLineChars="200"/>
        <w:rPr>
          <w:rFonts w:eastAsia="仿宋_GB2312"/>
          <w:sz w:val="32"/>
          <w:szCs w:val="32"/>
        </w:rPr>
      </w:pPr>
      <w:r>
        <w:rPr>
          <w:rFonts w:hint="eastAsia" w:eastAsia="仿宋_GB2312"/>
          <w:sz w:val="32"/>
          <w:szCs w:val="32"/>
        </w:rPr>
        <w:t>国内公务接待支出0.47万元，主要用于水利工作接待用餐费。国内公务接待5批次，40人次（不包括陪同人员），共计支出0.47万元，具体内容包括：取水现场复核接待0.15万元、2019年水利发展奖金绩效考核组接待0.07万元、省水利厅检查取水管理专项整治行动回头看工作接待0.03万元、市水利局调研抗旱工作接待0.07万元、导截流移民安置验收现场检查接待0.15万元。</w:t>
      </w:r>
    </w:p>
    <w:p>
      <w:pPr>
        <w:spacing w:line="560" w:lineRule="exact"/>
        <w:ind w:firstLine="596" w:firstLineChars="200"/>
        <w:rPr>
          <w:rFonts w:eastAsia="仿宋_GB2312"/>
          <w:spacing w:val="-11"/>
          <w:sz w:val="32"/>
          <w:szCs w:val="32"/>
        </w:rPr>
      </w:pPr>
      <w:r>
        <w:rPr>
          <w:rFonts w:hint="eastAsia" w:eastAsia="仿宋_GB2312"/>
          <w:spacing w:val="-11"/>
          <w:sz w:val="32"/>
          <w:szCs w:val="32"/>
        </w:rPr>
        <w:t>外事接待支出0万元，外事接待0批次，0人，共计支出0万元。</w:t>
      </w:r>
    </w:p>
    <w:p>
      <w:pPr>
        <w:spacing w:line="560" w:lineRule="exact"/>
        <w:ind w:firstLine="640"/>
        <w:outlineLvl w:val="1"/>
        <w:rPr>
          <w:rFonts w:ascii="黑体" w:hAnsi="黑体" w:eastAsia="黑体" w:cs="黑体"/>
          <w:sz w:val="32"/>
          <w:szCs w:val="32"/>
        </w:rPr>
      </w:pPr>
      <w:bookmarkStart w:id="47" w:name="_Toc15377218"/>
      <w:bookmarkStart w:id="48" w:name="_Toc15396610"/>
      <w:r>
        <w:rPr>
          <w:rFonts w:hint="eastAsia" w:ascii="黑体" w:hAnsi="黑体" w:eastAsia="黑体" w:cs="黑体"/>
          <w:sz w:val="32"/>
          <w:szCs w:val="32"/>
        </w:rPr>
        <w:t>八、政府性基金预算支出决算情况说明</w:t>
      </w:r>
      <w:bookmarkEnd w:id="47"/>
      <w:bookmarkEnd w:id="48"/>
    </w:p>
    <w:p>
      <w:pPr>
        <w:spacing w:line="560" w:lineRule="exact"/>
        <w:ind w:firstLine="640"/>
        <w:rPr>
          <w:rFonts w:eastAsia="仿宋_GB2312"/>
          <w:sz w:val="32"/>
          <w:szCs w:val="32"/>
        </w:rPr>
      </w:pPr>
      <w:r>
        <w:rPr>
          <w:rFonts w:hint="eastAsia" w:eastAsia="仿宋_GB2312"/>
          <w:sz w:val="32"/>
          <w:szCs w:val="32"/>
        </w:rPr>
        <w:t>2020年政府性基金预算拨款支出3044.53万元。</w:t>
      </w:r>
    </w:p>
    <w:p>
      <w:pPr>
        <w:spacing w:line="560" w:lineRule="exact"/>
        <w:ind w:firstLine="640"/>
        <w:outlineLvl w:val="1"/>
        <w:rPr>
          <w:rFonts w:ascii="黑体" w:hAnsi="黑体" w:eastAsia="黑体" w:cs="黑体"/>
          <w:sz w:val="32"/>
          <w:szCs w:val="32"/>
        </w:rPr>
      </w:pPr>
      <w:bookmarkStart w:id="49" w:name="_Toc15396611"/>
      <w:bookmarkStart w:id="50" w:name="_Toc15377219"/>
      <w:r>
        <w:rPr>
          <w:rFonts w:hint="eastAsia" w:ascii="黑体" w:hAnsi="黑体" w:eastAsia="黑体" w:cs="黑体"/>
          <w:sz w:val="32"/>
          <w:szCs w:val="32"/>
        </w:rPr>
        <w:t>九、国有资本经营预算支出决算情况说明</w:t>
      </w:r>
      <w:bookmarkEnd w:id="49"/>
      <w:bookmarkEnd w:id="50"/>
    </w:p>
    <w:p>
      <w:pPr>
        <w:spacing w:line="560" w:lineRule="exact"/>
        <w:ind w:firstLine="640"/>
        <w:rPr>
          <w:rFonts w:eastAsia="仿宋_GB2312"/>
          <w:sz w:val="32"/>
          <w:szCs w:val="32"/>
        </w:rPr>
      </w:pPr>
      <w:r>
        <w:rPr>
          <w:rFonts w:hint="eastAsia" w:eastAsia="仿宋_GB2312"/>
          <w:sz w:val="32"/>
          <w:szCs w:val="32"/>
        </w:rPr>
        <w:t>2020年国有资本经营预算拨款支出0万元。</w:t>
      </w:r>
    </w:p>
    <w:p>
      <w:pPr>
        <w:spacing w:line="560" w:lineRule="exact"/>
        <w:ind w:firstLine="640"/>
        <w:outlineLvl w:val="1"/>
        <w:rPr>
          <w:rFonts w:ascii="黑体" w:hAnsi="黑体" w:eastAsia="黑体" w:cs="黑体"/>
          <w:sz w:val="32"/>
          <w:szCs w:val="32"/>
        </w:rPr>
      </w:pPr>
      <w:bookmarkStart w:id="51" w:name="_Toc15396612"/>
      <w:bookmarkStart w:id="52" w:name="_Toc15377221"/>
      <w:r>
        <w:rPr>
          <w:rFonts w:hint="eastAsia" w:ascii="黑体" w:hAnsi="黑体" w:eastAsia="黑体" w:cs="黑体"/>
          <w:sz w:val="32"/>
          <w:szCs w:val="32"/>
        </w:rPr>
        <w:t>十、其他重要事项的情况说明</w:t>
      </w:r>
      <w:bookmarkEnd w:id="51"/>
      <w:bookmarkEnd w:id="52"/>
    </w:p>
    <w:p>
      <w:pPr>
        <w:spacing w:line="560" w:lineRule="exact"/>
        <w:ind w:firstLine="640" w:firstLineChars="200"/>
        <w:outlineLvl w:val="2"/>
        <w:rPr>
          <w:rFonts w:eastAsia="仿宋_GB2312"/>
          <w:sz w:val="32"/>
          <w:szCs w:val="32"/>
        </w:rPr>
      </w:pPr>
      <w:bookmarkStart w:id="53" w:name="_Toc15377222"/>
      <w:r>
        <w:rPr>
          <w:rFonts w:hint="eastAsia" w:ascii="楷体_GB2312" w:hAnsi="楷体_GB2312" w:eastAsia="楷体_GB2312" w:cs="楷体_GB2312"/>
          <w:sz w:val="32"/>
          <w:szCs w:val="32"/>
        </w:rPr>
        <w:t>（一）机关运行经费支出情况</w:t>
      </w:r>
      <w:bookmarkEnd w:id="53"/>
      <w:r>
        <w:rPr>
          <w:rFonts w:hint="eastAsia" w:ascii="楷体_GB2312" w:hAnsi="楷体_GB2312" w:eastAsia="楷体_GB2312" w:cs="楷体_GB2312"/>
          <w:sz w:val="32"/>
          <w:szCs w:val="32"/>
        </w:rPr>
        <w:t>。</w:t>
      </w:r>
    </w:p>
    <w:p>
      <w:pPr>
        <w:spacing w:line="560" w:lineRule="exact"/>
        <w:ind w:firstLine="640" w:firstLineChars="200"/>
        <w:rPr>
          <w:rFonts w:eastAsia="仿宋_GB2312"/>
          <w:sz w:val="32"/>
          <w:szCs w:val="32"/>
        </w:rPr>
      </w:pPr>
      <w:r>
        <w:rPr>
          <w:rFonts w:hint="eastAsia" w:eastAsia="仿宋_GB2312"/>
          <w:sz w:val="32"/>
          <w:szCs w:val="32"/>
        </w:rPr>
        <w:t>2020年，西区水利局机关运行经费支出36.91万元，比2019年的42.24万元减少5.33万元，下降12.62%。主要原因是2020年西区水利局认真贯彻落实《党政机关厉行节约反对浪费条例》、中央八项规定及其实施细则，有效缩减开支，故2020年办公费减少。</w:t>
      </w:r>
    </w:p>
    <w:p>
      <w:pPr>
        <w:spacing w:line="560" w:lineRule="exact"/>
        <w:ind w:firstLine="640" w:firstLineChars="200"/>
        <w:rPr>
          <w:rFonts w:eastAsia="仿宋_GB2312"/>
          <w:sz w:val="32"/>
          <w:szCs w:val="32"/>
        </w:rPr>
      </w:pPr>
      <w:r>
        <w:rPr>
          <w:rFonts w:hint="eastAsia" w:eastAsia="仿宋_GB2312"/>
          <w:sz w:val="32"/>
          <w:szCs w:val="32"/>
        </w:rPr>
        <w:t>（注：数据来源于财决附03表）</w:t>
      </w:r>
    </w:p>
    <w:p>
      <w:pPr>
        <w:spacing w:line="560" w:lineRule="exact"/>
        <w:ind w:firstLine="640" w:firstLineChars="200"/>
        <w:outlineLvl w:val="2"/>
        <w:rPr>
          <w:rFonts w:ascii="楷体_GB2312" w:hAnsi="楷体_GB2312" w:eastAsia="楷体_GB2312" w:cs="楷体_GB2312"/>
          <w:sz w:val="32"/>
          <w:szCs w:val="32"/>
        </w:rPr>
      </w:pPr>
      <w:bookmarkStart w:id="54" w:name="_Toc15377223"/>
      <w:r>
        <w:rPr>
          <w:rFonts w:hint="eastAsia" w:ascii="楷体_GB2312" w:hAnsi="楷体_GB2312" w:eastAsia="楷体_GB2312" w:cs="楷体_GB2312"/>
          <w:sz w:val="32"/>
          <w:szCs w:val="32"/>
        </w:rPr>
        <w:t>（二）政府采购支出情况</w:t>
      </w:r>
      <w:bookmarkEnd w:id="54"/>
      <w:r>
        <w:rPr>
          <w:rFonts w:hint="eastAsia" w:ascii="楷体_GB2312" w:hAnsi="楷体_GB2312" w:eastAsia="楷体_GB2312" w:cs="楷体_GB2312"/>
          <w:sz w:val="32"/>
          <w:szCs w:val="32"/>
        </w:rPr>
        <w:t>。</w:t>
      </w:r>
    </w:p>
    <w:p>
      <w:pPr>
        <w:spacing w:line="560" w:lineRule="exact"/>
        <w:ind w:firstLine="640" w:firstLineChars="200"/>
        <w:outlineLvl w:val="2"/>
        <w:rPr>
          <w:rFonts w:eastAsia="仿宋_GB2312"/>
          <w:sz w:val="32"/>
          <w:szCs w:val="32"/>
        </w:rPr>
      </w:pPr>
      <w:r>
        <w:rPr>
          <w:rFonts w:hint="eastAsia" w:eastAsia="仿宋_GB2312"/>
          <w:sz w:val="32"/>
          <w:szCs w:val="32"/>
        </w:rPr>
        <w:t>2020年，西区水利局政府采购支出总额1062.94万元，其中：政府采购货物支出0万元、政府采购工程支出469.61万元、政府采购服务支出69.3万元。主要用于2020年度山洪灾害防治县级非工程措施建设及维保。授予中小企业合同金额524.03万元，占政府采购支出总额的49.3%，其中：授予小微企业合同金额436.58万元，占政府采购支出总额的41.07%。</w:t>
      </w:r>
    </w:p>
    <w:p>
      <w:pPr>
        <w:spacing w:line="560" w:lineRule="exact"/>
        <w:ind w:firstLine="640" w:firstLineChars="200"/>
        <w:rPr>
          <w:rFonts w:eastAsia="仿宋_GB2312"/>
          <w:sz w:val="32"/>
          <w:szCs w:val="32"/>
        </w:rPr>
      </w:pPr>
      <w:r>
        <w:rPr>
          <w:rFonts w:hint="eastAsia" w:eastAsia="仿宋_GB2312"/>
          <w:sz w:val="32"/>
          <w:szCs w:val="32"/>
        </w:rPr>
        <w:t>（注：数据来源于财决附03表）</w:t>
      </w:r>
    </w:p>
    <w:p>
      <w:pPr>
        <w:spacing w:line="560" w:lineRule="exact"/>
        <w:ind w:firstLine="640" w:firstLineChars="200"/>
        <w:outlineLvl w:val="2"/>
        <w:rPr>
          <w:rFonts w:ascii="楷体_GB2312" w:hAnsi="楷体_GB2312" w:eastAsia="楷体_GB2312" w:cs="楷体_GB2312"/>
          <w:sz w:val="32"/>
          <w:szCs w:val="32"/>
        </w:rPr>
      </w:pPr>
      <w:bookmarkStart w:id="55" w:name="_Toc15377224"/>
      <w:r>
        <w:rPr>
          <w:rFonts w:hint="eastAsia" w:ascii="楷体_GB2312" w:hAnsi="楷体_GB2312" w:eastAsia="楷体_GB2312" w:cs="楷体_GB2312"/>
          <w:sz w:val="32"/>
          <w:szCs w:val="32"/>
        </w:rPr>
        <w:t>（三）国有资产占有使用情况</w:t>
      </w:r>
      <w:bookmarkEnd w:id="55"/>
      <w:r>
        <w:rPr>
          <w:rFonts w:hint="eastAsia" w:ascii="楷体_GB2312" w:hAnsi="楷体_GB2312" w:eastAsia="楷体_GB2312" w:cs="楷体_GB2312"/>
          <w:sz w:val="32"/>
          <w:szCs w:val="32"/>
        </w:rPr>
        <w:t>。</w:t>
      </w:r>
    </w:p>
    <w:p>
      <w:pPr>
        <w:spacing w:line="560" w:lineRule="exact"/>
        <w:ind w:firstLine="640"/>
        <w:rPr>
          <w:rFonts w:eastAsia="仿宋_GB2312"/>
          <w:sz w:val="32"/>
          <w:szCs w:val="32"/>
        </w:rPr>
      </w:pPr>
      <w:r>
        <w:rPr>
          <w:rFonts w:hint="eastAsia" w:eastAsia="仿宋_GB2312"/>
          <w:sz w:val="32"/>
          <w:szCs w:val="32"/>
        </w:rPr>
        <w:t>截至2020年12月31日，西区水利局共有车辆5辆，其中：主要领导干部用车0辆、机要通信用车0辆、应急保障用车0辆、其他用车0辆、特种专业技术用车5辆。主要用于河长制工作、水资源工作、梅子箐水库工程现场勘察、及水库巡查等工作所需的公务用车燃料费、维修费、过路过桥费、保险费等支出。</w:t>
      </w:r>
    </w:p>
    <w:p>
      <w:pPr>
        <w:autoSpaceDE w:val="0"/>
        <w:autoSpaceDN w:val="0"/>
        <w:adjustRightInd w:val="0"/>
        <w:spacing w:line="560" w:lineRule="exact"/>
        <w:ind w:firstLine="640" w:firstLineChars="200"/>
        <w:jc w:val="left"/>
        <w:rPr>
          <w:rFonts w:eastAsia="仿宋_GB2312"/>
          <w:sz w:val="32"/>
          <w:szCs w:val="32"/>
        </w:rPr>
      </w:pPr>
      <w:r>
        <w:rPr>
          <w:rFonts w:hint="eastAsia" w:eastAsia="仿宋_GB2312"/>
          <w:sz w:val="32"/>
          <w:szCs w:val="32"/>
        </w:rPr>
        <w:t>单价50万元以上通用设备0台（套），单价100万元以上专用设备0台（套）。（注：数据来源财决附03表，按部门决算报表填报数据罗列车辆情况。）</w:t>
      </w:r>
    </w:p>
    <w:p>
      <w:pPr>
        <w:spacing w:line="560" w:lineRule="exact"/>
        <w:ind w:firstLine="640" w:firstLineChars="200"/>
        <w:outlineLvl w:val="2"/>
        <w:rPr>
          <w:rFonts w:ascii="楷体_GB2312" w:hAnsi="楷体_GB2312" w:eastAsia="楷体_GB2312" w:cs="楷体_GB2312"/>
          <w:sz w:val="32"/>
          <w:szCs w:val="32"/>
        </w:rPr>
      </w:pPr>
      <w:r>
        <w:rPr>
          <w:rFonts w:hint="eastAsia" w:ascii="楷体_GB2312" w:hAnsi="楷体_GB2312" w:eastAsia="楷体_GB2312" w:cs="楷体_GB2312"/>
          <w:sz w:val="32"/>
          <w:szCs w:val="32"/>
        </w:rPr>
        <w:t>（四）预算绩效管理情况。</w:t>
      </w:r>
    </w:p>
    <w:p>
      <w:pPr>
        <w:spacing w:line="560" w:lineRule="exact"/>
        <w:ind w:firstLine="640" w:firstLineChars="200"/>
        <w:rPr>
          <w:rFonts w:eastAsia="仿宋_GB2312"/>
          <w:sz w:val="32"/>
          <w:szCs w:val="32"/>
        </w:rPr>
      </w:pPr>
      <w:r>
        <w:rPr>
          <w:rFonts w:hint="eastAsia" w:eastAsia="仿宋_GB2312"/>
          <w:sz w:val="32"/>
          <w:szCs w:val="32"/>
        </w:rPr>
        <w:t>根据预算绩效管理要求，本部门（单位）在年初预算编制阶段，组织对5项目（项目名称）开展了预算事前绩效评估，对5个项目编制了绩效目标，预算执行过程中，选取5个项目开展绩效监控，年终执行完毕后，对5个项目开展了绩效目标完成情况自评。</w:t>
      </w:r>
    </w:p>
    <w:p>
      <w:pPr>
        <w:spacing w:line="560" w:lineRule="exact"/>
        <w:ind w:firstLine="640" w:firstLineChars="200"/>
        <w:rPr>
          <w:rFonts w:eastAsia="仿宋_GB2312"/>
          <w:sz w:val="32"/>
          <w:szCs w:val="32"/>
        </w:rPr>
      </w:pPr>
    </w:p>
    <w:p>
      <w:pPr>
        <w:spacing w:line="353" w:lineRule="auto"/>
        <w:ind w:firstLine="640" w:firstLineChars="200"/>
        <w:rPr>
          <w:rFonts w:hint="eastAsia" w:eastAsia="仿宋_GB2312"/>
          <w:sz w:val="32"/>
          <w:szCs w:val="32"/>
          <w:lang w:eastAsia="zh-CN"/>
        </w:rPr>
      </w:pPr>
      <w:r>
        <w:rPr>
          <w:rFonts w:hint="eastAsia" w:eastAsia="仿宋_GB2312"/>
          <w:sz w:val="32"/>
          <w:szCs w:val="32"/>
        </w:rPr>
        <w:t>1.项目绩效目标完成情况。</w:t>
      </w:r>
    </w:p>
    <w:p>
      <w:pPr>
        <w:spacing w:line="353" w:lineRule="auto"/>
        <w:ind w:firstLine="640" w:firstLineChars="200"/>
        <w:rPr>
          <w:rFonts w:eastAsia="仿宋_GB2312"/>
          <w:sz w:val="32"/>
          <w:szCs w:val="32"/>
        </w:rPr>
      </w:pPr>
      <w:r>
        <w:rPr>
          <w:rFonts w:hint="eastAsia" w:eastAsia="仿宋_GB2312"/>
          <w:sz w:val="32"/>
          <w:szCs w:val="32"/>
        </w:rPr>
        <w:t xml:space="preserve">    根据预算绩效管理要求，本部门（单位）在年初预算编制阶段，组织对防汛专项经费、防汛物资采购、梅子箐水库扩建工程项目、2020年中央农业生产及水利救灾资金建设（维修）项目、中央财政水利发展专项资金（项目名称）开展了预算事前绩效评估，对5个项目编制了绩效目标，预算执行过程中，选取5个项目开展绩效监控，年终执行完毕后，对</w:t>
      </w:r>
      <w:r>
        <w:rPr>
          <w:rFonts w:eastAsia="仿宋_GB2312"/>
          <w:sz w:val="32"/>
          <w:szCs w:val="32"/>
        </w:rPr>
        <w:t>3</w:t>
      </w:r>
      <w:r>
        <w:rPr>
          <w:rFonts w:hint="eastAsia" w:eastAsia="仿宋_GB2312"/>
          <w:sz w:val="32"/>
          <w:szCs w:val="32"/>
        </w:rPr>
        <w:t>个项目开展了绩效目标完成情况自评。</w:t>
      </w:r>
    </w:p>
    <w:p>
      <w:pPr>
        <w:spacing w:line="560" w:lineRule="exact"/>
        <w:ind w:firstLine="640" w:firstLineChars="200"/>
        <w:rPr>
          <w:rFonts w:eastAsia="仿宋_GB2312"/>
          <w:sz w:val="32"/>
          <w:szCs w:val="32"/>
        </w:rPr>
      </w:pPr>
      <w:r>
        <w:rPr>
          <w:rFonts w:hint="eastAsia" w:eastAsia="仿宋_GB2312"/>
          <w:sz w:val="32"/>
          <w:szCs w:val="32"/>
        </w:rPr>
        <w:t>（1）2020年防汛抗旱工作经费项目绩效目标完成情况综述。项目全年预算数6万元，执行数为6万元，完成预算的100%。通过项目实施，尽可能的减少了汛期和旱季水旱灾害所造成辖区人民群众的生命财产损失，发现的主要问题：无。一步改进措施：无。</w:t>
      </w:r>
    </w:p>
    <w:p>
      <w:pPr>
        <w:spacing w:line="560" w:lineRule="exact"/>
        <w:ind w:firstLine="640" w:firstLineChars="200"/>
        <w:rPr>
          <w:rFonts w:eastAsia="仿宋_GB2312"/>
          <w:sz w:val="32"/>
          <w:szCs w:val="32"/>
        </w:rPr>
      </w:pPr>
      <w:r>
        <w:rPr>
          <w:rFonts w:hint="eastAsia" w:eastAsia="仿宋_GB2312"/>
          <w:sz w:val="32"/>
          <w:szCs w:val="32"/>
        </w:rPr>
        <w:t>（2）2020年中央农业生产及水利救灾资金建设（维修）项目绩效目标完成情况综述。项目全年预算数185万元，执行数为183.98万元，完成预算的99%。项目建设内容：1.投资100万用于格里坪镇兴建抗旱水源设施、应急调水供水设施、人饮井。2.投资70万用于格里坪镇金家村修建一级泵站（一期），铺设自来水管道，解决人饮困难。3.投资15万用于金家村3口抗旱蓄水池维修整治。通过该项目实施，从工程的角度尽可能的减少了群众因旱造成的财产损失，维护社会稳定和促进区域经济发展，同时促进地区生态环境实现可持续发展。发现的主要问题：无。下一步改进措施：无。</w:t>
      </w:r>
    </w:p>
    <w:p>
      <w:pPr>
        <w:spacing w:line="560" w:lineRule="exact"/>
        <w:ind w:firstLine="640" w:firstLineChars="200"/>
        <w:rPr>
          <w:rFonts w:eastAsia="仿宋_GB2312"/>
          <w:sz w:val="32"/>
          <w:szCs w:val="32"/>
        </w:rPr>
      </w:pPr>
      <w:r>
        <w:rPr>
          <w:rFonts w:hint="eastAsia" w:eastAsia="仿宋_GB2312"/>
          <w:sz w:val="32"/>
          <w:szCs w:val="32"/>
        </w:rPr>
        <w:t>（3）西区龙家沟小流域水土流失综合治理项目绩效目标完成情况综述。项目全年预算数455万元，执行数为94.45万元，完成预算的20.76%。通过项目实施，有效的改善项目区11.43km2土壤结构，提高土壤的蓄水保肥能力，减轻地表径流，减少水土流失面积，降低流失强度，生态环境得到显著改善，抵御自然灾害的能力增强。人居环境和生产生活条件明显改善，林草植被覆盖度逐步增加，生态环境明显趋好。发现的主要问题：由于区级财政困难，进度款拨付严重滞后，项目推进难度大。下一步改进措施：加大同财政等相关部门协调，积极拨付项目工程款。</w:t>
      </w:r>
    </w:p>
    <w:p>
      <w:pPr>
        <w:ind w:firstLine="640" w:firstLineChars="200"/>
        <w:rPr>
          <w:rFonts w:eastAsia="仿宋_GB2312"/>
          <w:sz w:val="32"/>
          <w:szCs w:val="32"/>
        </w:rPr>
      </w:pPr>
      <w:r>
        <w:rPr>
          <w:rFonts w:hint="eastAsia" w:eastAsia="仿宋_GB2312"/>
          <w:sz w:val="32"/>
          <w:szCs w:val="32"/>
        </w:rPr>
        <w:t>（4）把关河防洪治理工程绩效目标完成情况综述。项目全年预算数67.75万元，执行数为67.75万元，完成预算的100%。通过项目实施，有效的保证了把关河2km河道行洪安全及两岸人民生命财产及农作物安全，未发发现的主要问题。下一步将加强河道管理，确保堤防工程长久发挥效益。</w:t>
      </w:r>
    </w:p>
    <w:p>
      <w:pPr>
        <w:ind w:firstLine="640" w:firstLineChars="200"/>
        <w:rPr>
          <w:rFonts w:eastAsia="仿宋_GB2312"/>
          <w:sz w:val="32"/>
          <w:szCs w:val="32"/>
        </w:rPr>
      </w:pPr>
      <w:r>
        <w:rPr>
          <w:rFonts w:hint="eastAsia" w:eastAsia="仿宋_GB2312"/>
          <w:sz w:val="32"/>
          <w:szCs w:val="32"/>
        </w:rPr>
        <w:t>（5）2016年节水型社会建设项目绩效目标完成情况综述。项目全年预算数570.38万元，执行数为189.93万元，完成预算的33.3%。通过项目实施，有效的解决用水效益低下和水污染严重等突出问题，使水生态恶化趋势底本得到遏制并明显改善，水资源利用率和效益显著提高，有利于推动地方经济社会转型。发现的主要问题：由于施工企业竣工验收资料滞后，未及时开展项目验收，导致支付进度支付进度滞后。下一步将加大对施工企业监管力度，督促开展项目结算，开展项目验收，同时加大项目区已成工程管护，持续发挥效益。</w:t>
      </w:r>
    </w:p>
    <w:tbl>
      <w:tblPr>
        <w:tblStyle w:val="12"/>
        <w:tblpPr w:leftFromText="180" w:rightFromText="180" w:vertAnchor="text" w:horzAnchor="page" w:tblpXSpec="center" w:tblpY="423"/>
        <w:tblOverlap w:val="never"/>
        <w:tblW w:w="9518" w:type="dxa"/>
        <w:jc w:val="center"/>
        <w:tblLayout w:type="fixed"/>
        <w:tblCellMar>
          <w:top w:w="0" w:type="dxa"/>
          <w:left w:w="0" w:type="dxa"/>
          <w:bottom w:w="0" w:type="dxa"/>
          <w:right w:w="0" w:type="dxa"/>
        </w:tblCellMar>
      </w:tblPr>
      <w:tblGrid>
        <w:gridCol w:w="836"/>
        <w:gridCol w:w="159"/>
        <w:gridCol w:w="1054"/>
        <w:gridCol w:w="190"/>
        <w:gridCol w:w="574"/>
        <w:gridCol w:w="916"/>
        <w:gridCol w:w="2074"/>
        <w:gridCol w:w="400"/>
        <w:gridCol w:w="315"/>
        <w:gridCol w:w="1099"/>
        <w:gridCol w:w="325"/>
        <w:gridCol w:w="905"/>
        <w:gridCol w:w="671"/>
      </w:tblGrid>
      <w:tr>
        <w:tblPrEx>
          <w:tblCellMar>
            <w:top w:w="0" w:type="dxa"/>
            <w:left w:w="0" w:type="dxa"/>
            <w:bottom w:w="0" w:type="dxa"/>
            <w:right w:w="0" w:type="dxa"/>
          </w:tblCellMar>
        </w:tblPrEx>
        <w:trPr>
          <w:trHeight w:val="1034" w:hRule="atLeast"/>
          <w:jc w:val="center"/>
        </w:trPr>
        <w:tc>
          <w:tcPr>
            <w:tcW w:w="9518" w:type="dxa"/>
            <w:gridSpan w:val="13"/>
            <w:tcBorders>
              <w:top w:val="nil"/>
              <w:left w:val="nil"/>
              <w:bottom w:val="nil"/>
              <w:right w:val="nil"/>
              <w:tl2br w:val="nil"/>
              <w:tr2bl w:val="nil"/>
            </w:tcBorders>
            <w:noWrap/>
            <w:tcMar>
              <w:top w:w="15" w:type="dxa"/>
              <w:left w:w="15" w:type="dxa"/>
              <w:right w:w="15" w:type="dxa"/>
            </w:tcMar>
            <w:vAlign w:val="center"/>
          </w:tcPr>
          <w:p>
            <w:pPr>
              <w:widowControl/>
              <w:spacing w:line="560" w:lineRule="exact"/>
              <w:jc w:val="center"/>
              <w:textAlignment w:val="center"/>
              <w:rPr>
                <w:rFonts w:hint="eastAsia" w:eastAsia="仿宋_GB2312"/>
                <w:sz w:val="32"/>
                <w:szCs w:val="32"/>
                <w:lang w:eastAsia="zh-CN"/>
              </w:rPr>
            </w:pPr>
            <w:r>
              <w:rPr>
                <w:rFonts w:hint="eastAsia" w:eastAsia="仿宋_GB2312"/>
                <w:sz w:val="32"/>
                <w:szCs w:val="32"/>
              </w:rPr>
              <w:t>项目绩效目标完成情况表</w:t>
            </w:r>
          </w:p>
          <w:p>
            <w:pPr>
              <w:widowControl/>
              <w:spacing w:line="560" w:lineRule="exact"/>
              <w:jc w:val="center"/>
              <w:textAlignment w:val="center"/>
              <w:rPr>
                <w:rFonts w:eastAsia="仿宋_GB2312"/>
                <w:sz w:val="32"/>
                <w:szCs w:val="32"/>
              </w:rPr>
            </w:pPr>
            <w:r>
              <w:rPr>
                <w:rFonts w:hint="eastAsia" w:eastAsia="仿宋_GB2312"/>
                <w:sz w:val="32"/>
                <w:szCs w:val="32"/>
              </w:rPr>
              <w:t>(2020年度)</w:t>
            </w:r>
          </w:p>
        </w:tc>
      </w:tr>
      <w:tr>
        <w:tblPrEx>
          <w:tblCellMar>
            <w:top w:w="0" w:type="dxa"/>
            <w:left w:w="0" w:type="dxa"/>
            <w:bottom w:w="0" w:type="dxa"/>
            <w:right w:w="0" w:type="dxa"/>
          </w:tblCellMar>
        </w:tblPrEx>
        <w:trPr>
          <w:trHeight w:val="430" w:hRule="atLeast"/>
          <w:jc w:val="center"/>
        </w:trPr>
        <w:tc>
          <w:tcPr>
            <w:tcW w:w="3732" w:type="dxa"/>
            <w:gridSpan w:val="6"/>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项目名称</w:t>
            </w:r>
          </w:p>
        </w:tc>
        <w:tc>
          <w:tcPr>
            <w:tcW w:w="5786" w:type="dxa"/>
            <w:gridSpan w:val="7"/>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防汛抗旱工作经费</w:t>
            </w:r>
          </w:p>
        </w:tc>
      </w:tr>
      <w:tr>
        <w:tblPrEx>
          <w:tblCellMar>
            <w:top w:w="0" w:type="dxa"/>
            <w:left w:w="0" w:type="dxa"/>
            <w:bottom w:w="0" w:type="dxa"/>
            <w:right w:w="0" w:type="dxa"/>
          </w:tblCellMar>
        </w:tblPrEx>
        <w:trPr>
          <w:trHeight w:val="400" w:hRule="atLeast"/>
          <w:jc w:val="center"/>
        </w:trPr>
        <w:tc>
          <w:tcPr>
            <w:tcW w:w="3732" w:type="dxa"/>
            <w:gridSpan w:val="6"/>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预算单位</w:t>
            </w:r>
          </w:p>
        </w:tc>
        <w:tc>
          <w:tcPr>
            <w:tcW w:w="5786" w:type="dxa"/>
            <w:gridSpan w:val="7"/>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西区水利局</w:t>
            </w:r>
          </w:p>
        </w:tc>
      </w:tr>
      <w:tr>
        <w:tblPrEx>
          <w:tblCellMar>
            <w:top w:w="0" w:type="dxa"/>
            <w:left w:w="0" w:type="dxa"/>
            <w:bottom w:w="0" w:type="dxa"/>
            <w:right w:w="0" w:type="dxa"/>
          </w:tblCellMar>
        </w:tblPrEx>
        <w:trPr>
          <w:trHeight w:val="475" w:hRule="atLeast"/>
          <w:jc w:val="center"/>
        </w:trPr>
        <w:tc>
          <w:tcPr>
            <w:tcW w:w="837" w:type="dxa"/>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预算执行情况(万元)</w:t>
            </w:r>
          </w:p>
        </w:tc>
        <w:tc>
          <w:tcPr>
            <w:tcW w:w="2895" w:type="dxa"/>
            <w:gridSpan w:val="5"/>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预算数:</w:t>
            </w:r>
          </w:p>
        </w:tc>
        <w:tc>
          <w:tcPr>
            <w:tcW w:w="2790"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42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执行数:</w:t>
            </w:r>
          </w:p>
        </w:tc>
        <w:tc>
          <w:tcPr>
            <w:tcW w:w="1571"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6</w:t>
            </w:r>
          </w:p>
        </w:tc>
      </w:tr>
      <w:tr>
        <w:tblPrEx>
          <w:tblCellMar>
            <w:top w:w="0" w:type="dxa"/>
            <w:left w:w="0" w:type="dxa"/>
            <w:bottom w:w="0" w:type="dxa"/>
            <w:right w:w="0" w:type="dxa"/>
          </w:tblCellMar>
        </w:tblPrEx>
        <w:trPr>
          <w:trHeight w:val="400" w:hRule="atLeast"/>
          <w:jc w:val="center"/>
        </w:trPr>
        <w:tc>
          <w:tcPr>
            <w:tcW w:w="837"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rPr>
                <w:rFonts w:ascii="仿宋_GB2312" w:hAnsi="仿宋_GB2312" w:eastAsia="仿宋_GB2312" w:cs="仿宋_GB2312"/>
                <w:szCs w:val="21"/>
              </w:rPr>
            </w:pPr>
          </w:p>
        </w:tc>
        <w:tc>
          <w:tcPr>
            <w:tcW w:w="2895" w:type="dxa"/>
            <w:gridSpan w:val="5"/>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其中-财政拨款:</w:t>
            </w:r>
          </w:p>
        </w:tc>
        <w:tc>
          <w:tcPr>
            <w:tcW w:w="2790"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42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其中-财政拨款:</w:t>
            </w:r>
          </w:p>
        </w:tc>
        <w:tc>
          <w:tcPr>
            <w:tcW w:w="1571"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6</w:t>
            </w:r>
          </w:p>
        </w:tc>
      </w:tr>
      <w:tr>
        <w:tblPrEx>
          <w:tblCellMar>
            <w:top w:w="0" w:type="dxa"/>
            <w:left w:w="0" w:type="dxa"/>
            <w:bottom w:w="0" w:type="dxa"/>
            <w:right w:w="0" w:type="dxa"/>
          </w:tblCellMar>
        </w:tblPrEx>
        <w:trPr>
          <w:trHeight w:val="325" w:hRule="atLeast"/>
          <w:jc w:val="center"/>
        </w:trPr>
        <w:tc>
          <w:tcPr>
            <w:tcW w:w="837"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rPr>
                <w:rFonts w:ascii="仿宋_GB2312" w:hAnsi="仿宋_GB2312" w:eastAsia="仿宋_GB2312" w:cs="仿宋_GB2312"/>
                <w:szCs w:val="21"/>
              </w:rPr>
            </w:pPr>
          </w:p>
        </w:tc>
        <w:tc>
          <w:tcPr>
            <w:tcW w:w="2895" w:type="dxa"/>
            <w:gridSpan w:val="5"/>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其它资金:</w:t>
            </w:r>
          </w:p>
        </w:tc>
        <w:tc>
          <w:tcPr>
            <w:tcW w:w="2790"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p>
        </w:tc>
        <w:tc>
          <w:tcPr>
            <w:tcW w:w="142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其它资金:</w:t>
            </w:r>
          </w:p>
        </w:tc>
        <w:tc>
          <w:tcPr>
            <w:tcW w:w="1571"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276" w:hRule="atLeast"/>
          <w:jc w:val="center"/>
        </w:trPr>
        <w:tc>
          <w:tcPr>
            <w:tcW w:w="837" w:type="dxa"/>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年度目标完成情况</w:t>
            </w:r>
          </w:p>
        </w:tc>
        <w:tc>
          <w:tcPr>
            <w:tcW w:w="5685" w:type="dxa"/>
            <w:gridSpan w:val="8"/>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预期目标</w:t>
            </w:r>
          </w:p>
        </w:tc>
        <w:tc>
          <w:tcPr>
            <w:tcW w:w="2996" w:type="dxa"/>
            <w:gridSpan w:val="4"/>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实际完成目标</w:t>
            </w:r>
          </w:p>
        </w:tc>
      </w:tr>
      <w:tr>
        <w:tblPrEx>
          <w:tblCellMar>
            <w:top w:w="0" w:type="dxa"/>
            <w:left w:w="0" w:type="dxa"/>
            <w:bottom w:w="0" w:type="dxa"/>
            <w:right w:w="0" w:type="dxa"/>
          </w:tblCellMar>
        </w:tblPrEx>
        <w:trPr>
          <w:trHeight w:val="760" w:hRule="atLeast"/>
          <w:jc w:val="center"/>
        </w:trPr>
        <w:tc>
          <w:tcPr>
            <w:tcW w:w="837"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rPr>
                <w:rFonts w:ascii="仿宋_GB2312" w:hAnsi="仿宋_GB2312" w:eastAsia="仿宋_GB2312" w:cs="仿宋_GB2312"/>
                <w:szCs w:val="21"/>
              </w:rPr>
            </w:pPr>
          </w:p>
        </w:tc>
        <w:tc>
          <w:tcPr>
            <w:tcW w:w="5685" w:type="dxa"/>
            <w:gridSpan w:val="8"/>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2020年度防汛值班工作经费、常备物资储备购买等</w:t>
            </w:r>
          </w:p>
        </w:tc>
        <w:tc>
          <w:tcPr>
            <w:tcW w:w="2996" w:type="dxa"/>
            <w:gridSpan w:val="4"/>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已完成</w:t>
            </w:r>
          </w:p>
        </w:tc>
      </w:tr>
      <w:tr>
        <w:tblPrEx>
          <w:tblCellMar>
            <w:top w:w="0" w:type="dxa"/>
            <w:left w:w="0" w:type="dxa"/>
            <w:bottom w:w="0" w:type="dxa"/>
            <w:right w:w="0" w:type="dxa"/>
          </w:tblCellMar>
        </w:tblPrEx>
        <w:trPr>
          <w:trHeight w:val="790" w:hRule="atLeast"/>
          <w:jc w:val="center"/>
        </w:trPr>
        <w:tc>
          <w:tcPr>
            <w:tcW w:w="837" w:type="dxa"/>
            <w:vMerge w:val="restart"/>
            <w:tcBorders>
              <w:top w:val="single" w:color="000000" w:sz="4" w:space="0"/>
              <w:left w:val="single" w:color="000000" w:sz="4" w:space="0"/>
              <w:bottom w:val="nil"/>
              <w:right w:val="single" w:color="000000" w:sz="4" w:space="0"/>
              <w:tl2br w:val="nil"/>
              <w:tr2bl w:val="nil"/>
            </w:tcBorders>
            <w:noWrap/>
            <w:tcMar>
              <w:top w:w="15" w:type="dxa"/>
              <w:left w:w="15" w:type="dxa"/>
              <w:right w:w="15" w:type="dxa"/>
            </w:tcMar>
            <w:textDirection w:val="tbRlV"/>
            <w:vAlign w:val="center"/>
          </w:tcPr>
          <w:p>
            <w:pPr>
              <w:widowControl/>
              <w:spacing w:line="420" w:lineRule="exact"/>
              <w:ind w:left="113" w:right="113"/>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绩效指标完成情况</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一级指标</w:t>
            </w:r>
          </w:p>
        </w:tc>
        <w:tc>
          <w:tcPr>
            <w:tcW w:w="1680"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二级指标</w:t>
            </w:r>
          </w:p>
        </w:tc>
        <w:tc>
          <w:tcPr>
            <w:tcW w:w="2790"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三级指标</w:t>
            </w:r>
          </w:p>
        </w:tc>
        <w:tc>
          <w:tcPr>
            <w:tcW w:w="142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预期指标值</w:t>
            </w:r>
          </w:p>
        </w:tc>
        <w:tc>
          <w:tcPr>
            <w:tcW w:w="1571"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实际完成指标值</w:t>
            </w:r>
          </w:p>
        </w:tc>
      </w:tr>
      <w:tr>
        <w:tblPrEx>
          <w:tblCellMar>
            <w:top w:w="0" w:type="dxa"/>
            <w:left w:w="0" w:type="dxa"/>
            <w:bottom w:w="0" w:type="dxa"/>
            <w:right w:w="0" w:type="dxa"/>
          </w:tblCellMar>
        </w:tblPrEx>
        <w:trPr>
          <w:trHeight w:val="935" w:hRule="atLeast"/>
          <w:jc w:val="center"/>
        </w:trPr>
        <w:tc>
          <w:tcPr>
            <w:tcW w:w="837" w:type="dxa"/>
            <w:vMerge w:val="continue"/>
            <w:tcBorders>
              <w:top w:val="nil"/>
              <w:left w:val="single" w:color="000000" w:sz="4" w:space="0"/>
              <w:bottom w:val="nil"/>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项目完成指标</w:t>
            </w:r>
          </w:p>
        </w:tc>
        <w:tc>
          <w:tcPr>
            <w:tcW w:w="1680"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数量指标</w:t>
            </w:r>
          </w:p>
        </w:tc>
        <w:tc>
          <w:tcPr>
            <w:tcW w:w="2790"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汛期单位人员值班值守</w:t>
            </w:r>
          </w:p>
        </w:tc>
        <w:tc>
          <w:tcPr>
            <w:tcW w:w="142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5月1日至10月汛期结束</w:t>
            </w:r>
          </w:p>
        </w:tc>
        <w:tc>
          <w:tcPr>
            <w:tcW w:w="1571"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已完成100%</w:t>
            </w:r>
          </w:p>
        </w:tc>
      </w:tr>
      <w:tr>
        <w:tblPrEx>
          <w:tblCellMar>
            <w:top w:w="0" w:type="dxa"/>
            <w:left w:w="0" w:type="dxa"/>
            <w:bottom w:w="0" w:type="dxa"/>
            <w:right w:w="0" w:type="dxa"/>
          </w:tblCellMar>
        </w:tblPrEx>
        <w:trPr>
          <w:trHeight w:val="645" w:hRule="atLeast"/>
          <w:jc w:val="center"/>
        </w:trPr>
        <w:tc>
          <w:tcPr>
            <w:tcW w:w="837" w:type="dxa"/>
            <w:vMerge w:val="continue"/>
            <w:tcBorders>
              <w:top w:val="nil"/>
              <w:left w:val="single" w:color="000000" w:sz="4" w:space="0"/>
              <w:bottom w:val="nil"/>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项目完成指标</w:t>
            </w:r>
          </w:p>
        </w:tc>
        <w:tc>
          <w:tcPr>
            <w:tcW w:w="1680"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质量指标</w:t>
            </w:r>
          </w:p>
        </w:tc>
        <w:tc>
          <w:tcPr>
            <w:tcW w:w="2790"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购买物资符合防汛要求，质量过关。</w:t>
            </w:r>
          </w:p>
        </w:tc>
        <w:tc>
          <w:tcPr>
            <w:tcW w:w="142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100%已完成</w:t>
            </w:r>
          </w:p>
        </w:tc>
        <w:tc>
          <w:tcPr>
            <w:tcW w:w="1571"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已完成100%</w:t>
            </w:r>
          </w:p>
        </w:tc>
      </w:tr>
      <w:tr>
        <w:tblPrEx>
          <w:tblCellMar>
            <w:top w:w="0" w:type="dxa"/>
            <w:left w:w="0" w:type="dxa"/>
            <w:bottom w:w="0" w:type="dxa"/>
            <w:right w:w="0" w:type="dxa"/>
          </w:tblCellMar>
        </w:tblPrEx>
        <w:trPr>
          <w:trHeight w:val="650" w:hRule="atLeast"/>
          <w:jc w:val="center"/>
        </w:trPr>
        <w:tc>
          <w:tcPr>
            <w:tcW w:w="837" w:type="dxa"/>
            <w:vMerge w:val="continue"/>
            <w:tcBorders>
              <w:top w:val="nil"/>
              <w:left w:val="single" w:color="000000" w:sz="4" w:space="0"/>
              <w:bottom w:val="nil"/>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项目完成指标</w:t>
            </w:r>
          </w:p>
        </w:tc>
        <w:tc>
          <w:tcPr>
            <w:tcW w:w="1680"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时效指标</w:t>
            </w:r>
          </w:p>
        </w:tc>
        <w:tc>
          <w:tcPr>
            <w:tcW w:w="2790"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2021年</w:t>
            </w:r>
          </w:p>
        </w:tc>
        <w:tc>
          <w:tcPr>
            <w:tcW w:w="142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100%已完成</w:t>
            </w:r>
          </w:p>
        </w:tc>
        <w:tc>
          <w:tcPr>
            <w:tcW w:w="1571"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已完成100%</w:t>
            </w:r>
          </w:p>
        </w:tc>
      </w:tr>
      <w:tr>
        <w:tblPrEx>
          <w:tblCellMar>
            <w:top w:w="0" w:type="dxa"/>
            <w:left w:w="0" w:type="dxa"/>
            <w:bottom w:w="0" w:type="dxa"/>
            <w:right w:w="0" w:type="dxa"/>
          </w:tblCellMar>
        </w:tblPrEx>
        <w:trPr>
          <w:trHeight w:val="512" w:hRule="atLeast"/>
          <w:jc w:val="center"/>
        </w:trPr>
        <w:tc>
          <w:tcPr>
            <w:tcW w:w="837" w:type="dxa"/>
            <w:vMerge w:val="continue"/>
            <w:tcBorders>
              <w:top w:val="nil"/>
              <w:left w:val="single" w:color="000000" w:sz="4" w:space="0"/>
              <w:bottom w:val="nil"/>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项目完成指标</w:t>
            </w:r>
          </w:p>
        </w:tc>
        <w:tc>
          <w:tcPr>
            <w:tcW w:w="1680"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成本指标</w:t>
            </w:r>
          </w:p>
        </w:tc>
        <w:tc>
          <w:tcPr>
            <w:tcW w:w="2790"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6万元</w:t>
            </w:r>
          </w:p>
        </w:tc>
        <w:tc>
          <w:tcPr>
            <w:tcW w:w="142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100%已完成</w:t>
            </w:r>
          </w:p>
        </w:tc>
        <w:tc>
          <w:tcPr>
            <w:tcW w:w="1571"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已完成100%</w:t>
            </w:r>
          </w:p>
        </w:tc>
      </w:tr>
      <w:tr>
        <w:tblPrEx>
          <w:tblCellMar>
            <w:top w:w="0" w:type="dxa"/>
            <w:left w:w="0" w:type="dxa"/>
            <w:bottom w:w="0" w:type="dxa"/>
            <w:right w:w="0" w:type="dxa"/>
          </w:tblCellMar>
        </w:tblPrEx>
        <w:trPr>
          <w:trHeight w:val="557" w:hRule="atLeast"/>
          <w:jc w:val="center"/>
        </w:trPr>
        <w:tc>
          <w:tcPr>
            <w:tcW w:w="837" w:type="dxa"/>
            <w:vMerge w:val="continue"/>
            <w:tcBorders>
              <w:top w:val="nil"/>
              <w:left w:val="single" w:color="000000" w:sz="4" w:space="0"/>
              <w:bottom w:val="nil"/>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效益指标</w:t>
            </w:r>
          </w:p>
        </w:tc>
        <w:tc>
          <w:tcPr>
            <w:tcW w:w="1680"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经济效益指标</w:t>
            </w:r>
          </w:p>
        </w:tc>
        <w:tc>
          <w:tcPr>
            <w:tcW w:w="2790"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减少旱季和汛期人民群众财产损失</w:t>
            </w:r>
          </w:p>
        </w:tc>
        <w:tc>
          <w:tcPr>
            <w:tcW w:w="142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100%已完成</w:t>
            </w:r>
          </w:p>
        </w:tc>
        <w:tc>
          <w:tcPr>
            <w:tcW w:w="1571"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已完成100%</w:t>
            </w:r>
          </w:p>
        </w:tc>
      </w:tr>
      <w:tr>
        <w:tblPrEx>
          <w:tblCellMar>
            <w:top w:w="0" w:type="dxa"/>
            <w:left w:w="0" w:type="dxa"/>
            <w:bottom w:w="0" w:type="dxa"/>
            <w:right w:w="0" w:type="dxa"/>
          </w:tblCellMar>
        </w:tblPrEx>
        <w:trPr>
          <w:trHeight w:val="477" w:hRule="atLeast"/>
          <w:jc w:val="center"/>
        </w:trPr>
        <w:tc>
          <w:tcPr>
            <w:tcW w:w="837" w:type="dxa"/>
            <w:vMerge w:val="continue"/>
            <w:tcBorders>
              <w:top w:val="nil"/>
              <w:left w:val="single" w:color="000000" w:sz="4" w:space="0"/>
              <w:bottom w:val="nil"/>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效益指标</w:t>
            </w:r>
          </w:p>
        </w:tc>
        <w:tc>
          <w:tcPr>
            <w:tcW w:w="1680"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社会效益指标</w:t>
            </w:r>
          </w:p>
        </w:tc>
        <w:tc>
          <w:tcPr>
            <w:tcW w:w="2790"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减少旱季和汛期人民群众财产损失</w:t>
            </w:r>
          </w:p>
        </w:tc>
        <w:tc>
          <w:tcPr>
            <w:tcW w:w="142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100%已完成</w:t>
            </w:r>
          </w:p>
        </w:tc>
        <w:tc>
          <w:tcPr>
            <w:tcW w:w="1571"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已完成100%</w:t>
            </w:r>
          </w:p>
        </w:tc>
      </w:tr>
      <w:tr>
        <w:tblPrEx>
          <w:tblCellMar>
            <w:top w:w="0" w:type="dxa"/>
            <w:left w:w="0" w:type="dxa"/>
            <w:bottom w:w="0" w:type="dxa"/>
            <w:right w:w="0" w:type="dxa"/>
          </w:tblCellMar>
        </w:tblPrEx>
        <w:trPr>
          <w:trHeight w:val="545" w:hRule="atLeast"/>
          <w:jc w:val="center"/>
        </w:trPr>
        <w:tc>
          <w:tcPr>
            <w:tcW w:w="837" w:type="dxa"/>
            <w:vMerge w:val="continue"/>
            <w:tcBorders>
              <w:top w:val="nil"/>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满意度指标</w:t>
            </w:r>
          </w:p>
        </w:tc>
        <w:tc>
          <w:tcPr>
            <w:tcW w:w="1680"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服务对象满意度指标</w:t>
            </w:r>
          </w:p>
        </w:tc>
        <w:tc>
          <w:tcPr>
            <w:tcW w:w="2790"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受益群众满意</w:t>
            </w:r>
          </w:p>
        </w:tc>
        <w:tc>
          <w:tcPr>
            <w:tcW w:w="142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100%已完成</w:t>
            </w:r>
          </w:p>
        </w:tc>
        <w:tc>
          <w:tcPr>
            <w:tcW w:w="1571"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已完成100%</w:t>
            </w:r>
          </w:p>
        </w:tc>
      </w:tr>
      <w:tr>
        <w:tblPrEx>
          <w:tblCellMar>
            <w:top w:w="0" w:type="dxa"/>
            <w:left w:w="0" w:type="dxa"/>
            <w:bottom w:w="0" w:type="dxa"/>
            <w:right w:w="0" w:type="dxa"/>
          </w:tblCellMar>
        </w:tblPrEx>
        <w:trPr>
          <w:trHeight w:val="1034" w:hRule="atLeast"/>
          <w:jc w:val="center"/>
        </w:trPr>
        <w:tc>
          <w:tcPr>
            <w:tcW w:w="9518" w:type="dxa"/>
            <w:gridSpan w:val="13"/>
            <w:tcBorders>
              <w:top w:val="nil"/>
              <w:left w:val="nil"/>
              <w:bottom w:val="nil"/>
              <w:right w:val="nil"/>
              <w:tl2br w:val="nil"/>
              <w:tr2bl w:val="nil"/>
            </w:tcBorders>
            <w:noWrap/>
            <w:tcMar>
              <w:top w:w="15" w:type="dxa"/>
              <w:left w:w="15" w:type="dxa"/>
              <w:right w:w="15" w:type="dxa"/>
            </w:tcMar>
            <w:vAlign w:val="center"/>
          </w:tcPr>
          <w:p>
            <w:pPr>
              <w:widowControl/>
              <w:spacing w:line="560" w:lineRule="exact"/>
              <w:jc w:val="center"/>
              <w:textAlignment w:val="center"/>
              <w:rPr>
                <w:rFonts w:hint="eastAsia" w:eastAsia="仿宋_GB2312"/>
                <w:sz w:val="32"/>
                <w:szCs w:val="32"/>
                <w:lang w:eastAsia="zh-CN"/>
              </w:rPr>
            </w:pPr>
            <w:r>
              <w:rPr>
                <w:rFonts w:hint="eastAsia" w:eastAsia="仿宋_GB2312"/>
                <w:sz w:val="32"/>
                <w:szCs w:val="32"/>
              </w:rPr>
              <w:t>项目绩效目标完成情况表</w:t>
            </w:r>
          </w:p>
          <w:p>
            <w:pPr>
              <w:widowControl/>
              <w:spacing w:line="560" w:lineRule="exact"/>
              <w:jc w:val="center"/>
              <w:textAlignment w:val="center"/>
              <w:rPr>
                <w:rFonts w:eastAsia="仿宋_GB2312"/>
                <w:sz w:val="32"/>
                <w:szCs w:val="32"/>
              </w:rPr>
            </w:pPr>
            <w:r>
              <w:rPr>
                <w:rFonts w:hint="eastAsia" w:eastAsia="仿宋_GB2312"/>
                <w:sz w:val="32"/>
                <w:szCs w:val="32"/>
              </w:rPr>
              <w:t>(2020年度)</w:t>
            </w:r>
          </w:p>
        </w:tc>
      </w:tr>
      <w:tr>
        <w:tblPrEx>
          <w:tblCellMar>
            <w:top w:w="0" w:type="dxa"/>
            <w:left w:w="0" w:type="dxa"/>
            <w:bottom w:w="0" w:type="dxa"/>
            <w:right w:w="0" w:type="dxa"/>
          </w:tblCellMar>
        </w:tblPrEx>
        <w:trPr>
          <w:trHeight w:val="430" w:hRule="atLeast"/>
          <w:jc w:val="center"/>
        </w:trPr>
        <w:tc>
          <w:tcPr>
            <w:tcW w:w="3732" w:type="dxa"/>
            <w:gridSpan w:val="6"/>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项目名称</w:t>
            </w:r>
          </w:p>
        </w:tc>
        <w:tc>
          <w:tcPr>
            <w:tcW w:w="5786" w:type="dxa"/>
            <w:gridSpan w:val="7"/>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中央、省级农业生产和水利救灾资金建设项目</w:t>
            </w:r>
          </w:p>
        </w:tc>
      </w:tr>
      <w:tr>
        <w:tblPrEx>
          <w:tblCellMar>
            <w:top w:w="0" w:type="dxa"/>
            <w:left w:w="0" w:type="dxa"/>
            <w:bottom w:w="0" w:type="dxa"/>
            <w:right w:w="0" w:type="dxa"/>
          </w:tblCellMar>
        </w:tblPrEx>
        <w:trPr>
          <w:trHeight w:val="400" w:hRule="atLeast"/>
          <w:jc w:val="center"/>
        </w:trPr>
        <w:tc>
          <w:tcPr>
            <w:tcW w:w="3732" w:type="dxa"/>
            <w:gridSpan w:val="6"/>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预算单位</w:t>
            </w:r>
          </w:p>
        </w:tc>
        <w:tc>
          <w:tcPr>
            <w:tcW w:w="5786" w:type="dxa"/>
            <w:gridSpan w:val="7"/>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西区水利局</w:t>
            </w:r>
          </w:p>
        </w:tc>
      </w:tr>
      <w:tr>
        <w:tblPrEx>
          <w:tblCellMar>
            <w:top w:w="0" w:type="dxa"/>
            <w:left w:w="0" w:type="dxa"/>
            <w:bottom w:w="0" w:type="dxa"/>
            <w:right w:w="0" w:type="dxa"/>
          </w:tblCellMar>
        </w:tblPrEx>
        <w:trPr>
          <w:trHeight w:val="475" w:hRule="atLeast"/>
          <w:jc w:val="center"/>
        </w:trPr>
        <w:tc>
          <w:tcPr>
            <w:tcW w:w="837" w:type="dxa"/>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预算执行情况(万元)</w:t>
            </w:r>
          </w:p>
        </w:tc>
        <w:tc>
          <w:tcPr>
            <w:tcW w:w="2895" w:type="dxa"/>
            <w:gridSpan w:val="5"/>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预算数:</w:t>
            </w:r>
          </w:p>
        </w:tc>
        <w:tc>
          <w:tcPr>
            <w:tcW w:w="247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185</w:t>
            </w:r>
          </w:p>
        </w:tc>
        <w:tc>
          <w:tcPr>
            <w:tcW w:w="2640" w:type="dxa"/>
            <w:gridSpan w:val="4"/>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执行数:</w:t>
            </w:r>
          </w:p>
        </w:tc>
        <w:tc>
          <w:tcPr>
            <w:tcW w:w="6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183.98</w:t>
            </w:r>
          </w:p>
        </w:tc>
      </w:tr>
      <w:tr>
        <w:tblPrEx>
          <w:tblCellMar>
            <w:top w:w="0" w:type="dxa"/>
            <w:left w:w="0" w:type="dxa"/>
            <w:bottom w:w="0" w:type="dxa"/>
            <w:right w:w="0" w:type="dxa"/>
          </w:tblCellMar>
        </w:tblPrEx>
        <w:trPr>
          <w:trHeight w:val="400" w:hRule="atLeast"/>
          <w:jc w:val="center"/>
        </w:trPr>
        <w:tc>
          <w:tcPr>
            <w:tcW w:w="837"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p>
        </w:tc>
        <w:tc>
          <w:tcPr>
            <w:tcW w:w="2895" w:type="dxa"/>
            <w:gridSpan w:val="5"/>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其中-财政拨款:</w:t>
            </w:r>
          </w:p>
        </w:tc>
        <w:tc>
          <w:tcPr>
            <w:tcW w:w="247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185</w:t>
            </w:r>
          </w:p>
        </w:tc>
        <w:tc>
          <w:tcPr>
            <w:tcW w:w="2640" w:type="dxa"/>
            <w:gridSpan w:val="4"/>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其中-财政拨款:</w:t>
            </w:r>
          </w:p>
        </w:tc>
        <w:tc>
          <w:tcPr>
            <w:tcW w:w="6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183.98</w:t>
            </w:r>
          </w:p>
        </w:tc>
      </w:tr>
      <w:tr>
        <w:tblPrEx>
          <w:tblCellMar>
            <w:top w:w="0" w:type="dxa"/>
            <w:left w:w="0" w:type="dxa"/>
            <w:bottom w:w="0" w:type="dxa"/>
            <w:right w:w="0" w:type="dxa"/>
          </w:tblCellMar>
        </w:tblPrEx>
        <w:trPr>
          <w:trHeight w:val="325" w:hRule="atLeast"/>
          <w:jc w:val="center"/>
        </w:trPr>
        <w:tc>
          <w:tcPr>
            <w:tcW w:w="837"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p>
        </w:tc>
        <w:tc>
          <w:tcPr>
            <w:tcW w:w="2895" w:type="dxa"/>
            <w:gridSpan w:val="5"/>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其它资金:</w:t>
            </w:r>
          </w:p>
        </w:tc>
        <w:tc>
          <w:tcPr>
            <w:tcW w:w="247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p>
        </w:tc>
        <w:tc>
          <w:tcPr>
            <w:tcW w:w="2640" w:type="dxa"/>
            <w:gridSpan w:val="4"/>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其它资金:</w:t>
            </w:r>
          </w:p>
        </w:tc>
        <w:tc>
          <w:tcPr>
            <w:tcW w:w="6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276" w:hRule="atLeast"/>
          <w:jc w:val="center"/>
        </w:trPr>
        <w:tc>
          <w:tcPr>
            <w:tcW w:w="837" w:type="dxa"/>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年度目标完成情况</w:t>
            </w:r>
          </w:p>
        </w:tc>
        <w:tc>
          <w:tcPr>
            <w:tcW w:w="5370" w:type="dxa"/>
            <w:gridSpan w:val="7"/>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预期目标</w:t>
            </w:r>
          </w:p>
        </w:tc>
        <w:tc>
          <w:tcPr>
            <w:tcW w:w="3311" w:type="dxa"/>
            <w:gridSpan w:val="5"/>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实际完成目标</w:t>
            </w:r>
          </w:p>
        </w:tc>
      </w:tr>
      <w:tr>
        <w:tblPrEx>
          <w:tblCellMar>
            <w:top w:w="0" w:type="dxa"/>
            <w:left w:w="0" w:type="dxa"/>
            <w:bottom w:w="0" w:type="dxa"/>
            <w:right w:w="0" w:type="dxa"/>
          </w:tblCellMar>
        </w:tblPrEx>
        <w:trPr>
          <w:trHeight w:val="1235" w:hRule="atLeast"/>
          <w:jc w:val="center"/>
        </w:trPr>
        <w:tc>
          <w:tcPr>
            <w:tcW w:w="837"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p>
        </w:tc>
        <w:tc>
          <w:tcPr>
            <w:tcW w:w="5370" w:type="dxa"/>
            <w:gridSpan w:val="7"/>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1.格里坪镇兴建和维修抗旱水源设施、应急调水供水设施、维修人饮井。2.格里坪镇金家村修建一级泵站（一期），铺设自来水管道，解决人饮困难。</w:t>
            </w:r>
          </w:p>
        </w:tc>
        <w:tc>
          <w:tcPr>
            <w:tcW w:w="3311" w:type="dxa"/>
            <w:gridSpan w:val="5"/>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已完成</w:t>
            </w:r>
          </w:p>
        </w:tc>
      </w:tr>
      <w:tr>
        <w:tblPrEx>
          <w:tblCellMar>
            <w:top w:w="0" w:type="dxa"/>
            <w:left w:w="0" w:type="dxa"/>
            <w:bottom w:w="0" w:type="dxa"/>
            <w:right w:w="0" w:type="dxa"/>
          </w:tblCellMar>
        </w:tblPrEx>
        <w:trPr>
          <w:trHeight w:val="790" w:hRule="atLeast"/>
          <w:jc w:val="center"/>
        </w:trPr>
        <w:tc>
          <w:tcPr>
            <w:tcW w:w="837" w:type="dxa"/>
            <w:vMerge w:val="restart"/>
            <w:tcBorders>
              <w:top w:val="single" w:color="000000" w:sz="4" w:space="0"/>
              <w:left w:val="single" w:color="000000" w:sz="4" w:space="0"/>
              <w:bottom w:val="nil"/>
              <w:right w:val="single" w:color="000000" w:sz="4" w:space="0"/>
              <w:tl2br w:val="nil"/>
              <w:tr2bl w:val="nil"/>
            </w:tcBorders>
            <w:noWrap/>
            <w:tcMar>
              <w:top w:w="15" w:type="dxa"/>
              <w:left w:w="15" w:type="dxa"/>
              <w:right w:w="15" w:type="dxa"/>
            </w:tcMar>
            <w:textDirection w:val="tbRlV"/>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绩效指标完成情况</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一级指标</w:t>
            </w:r>
          </w:p>
        </w:tc>
        <w:tc>
          <w:tcPr>
            <w:tcW w:w="1680"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二级指标</w:t>
            </w:r>
          </w:p>
        </w:tc>
        <w:tc>
          <w:tcPr>
            <w:tcW w:w="247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三级指标</w:t>
            </w:r>
          </w:p>
        </w:tc>
        <w:tc>
          <w:tcPr>
            <w:tcW w:w="2640" w:type="dxa"/>
            <w:gridSpan w:val="4"/>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预期指标值</w:t>
            </w:r>
          </w:p>
        </w:tc>
        <w:tc>
          <w:tcPr>
            <w:tcW w:w="6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实际完成指标值</w:t>
            </w:r>
          </w:p>
        </w:tc>
      </w:tr>
      <w:tr>
        <w:tblPrEx>
          <w:tblCellMar>
            <w:top w:w="0" w:type="dxa"/>
            <w:left w:w="0" w:type="dxa"/>
            <w:bottom w:w="0" w:type="dxa"/>
            <w:right w:w="0" w:type="dxa"/>
          </w:tblCellMar>
        </w:tblPrEx>
        <w:trPr>
          <w:trHeight w:val="650" w:hRule="atLeast"/>
          <w:jc w:val="center"/>
        </w:trPr>
        <w:tc>
          <w:tcPr>
            <w:tcW w:w="837" w:type="dxa"/>
            <w:vMerge w:val="continue"/>
            <w:tcBorders>
              <w:top w:val="nil"/>
              <w:left w:val="single" w:color="000000" w:sz="4" w:space="0"/>
              <w:bottom w:val="nil"/>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项目完成指标</w:t>
            </w:r>
          </w:p>
        </w:tc>
        <w:tc>
          <w:tcPr>
            <w:tcW w:w="1680"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数量指标</w:t>
            </w:r>
          </w:p>
        </w:tc>
        <w:tc>
          <w:tcPr>
            <w:tcW w:w="247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兴建抗旱水源和应急调水供水设施（*套）</w:t>
            </w:r>
          </w:p>
        </w:tc>
        <w:tc>
          <w:tcPr>
            <w:tcW w:w="2640" w:type="dxa"/>
            <w:gridSpan w:val="4"/>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6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已完成100%</w:t>
            </w:r>
          </w:p>
        </w:tc>
      </w:tr>
      <w:tr>
        <w:tblPrEx>
          <w:tblCellMar>
            <w:top w:w="0" w:type="dxa"/>
            <w:left w:w="0" w:type="dxa"/>
            <w:bottom w:w="0" w:type="dxa"/>
            <w:right w:w="0" w:type="dxa"/>
          </w:tblCellMar>
        </w:tblPrEx>
        <w:trPr>
          <w:trHeight w:val="645" w:hRule="atLeast"/>
          <w:jc w:val="center"/>
        </w:trPr>
        <w:tc>
          <w:tcPr>
            <w:tcW w:w="837" w:type="dxa"/>
            <w:vMerge w:val="continue"/>
            <w:tcBorders>
              <w:top w:val="nil"/>
              <w:left w:val="single" w:color="000000" w:sz="4" w:space="0"/>
              <w:bottom w:val="nil"/>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项目完成指标</w:t>
            </w:r>
          </w:p>
        </w:tc>
        <w:tc>
          <w:tcPr>
            <w:tcW w:w="1680"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质量指标</w:t>
            </w:r>
          </w:p>
        </w:tc>
        <w:tc>
          <w:tcPr>
            <w:tcW w:w="247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工程设计施工设计标准</w:t>
            </w:r>
          </w:p>
        </w:tc>
        <w:tc>
          <w:tcPr>
            <w:tcW w:w="2640" w:type="dxa"/>
            <w:gridSpan w:val="4"/>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符合规范</w:t>
            </w:r>
          </w:p>
        </w:tc>
        <w:tc>
          <w:tcPr>
            <w:tcW w:w="6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已完成100%</w:t>
            </w:r>
          </w:p>
        </w:tc>
      </w:tr>
      <w:tr>
        <w:tblPrEx>
          <w:tblCellMar>
            <w:top w:w="0" w:type="dxa"/>
            <w:left w:w="0" w:type="dxa"/>
            <w:bottom w:w="0" w:type="dxa"/>
            <w:right w:w="0" w:type="dxa"/>
          </w:tblCellMar>
        </w:tblPrEx>
        <w:trPr>
          <w:trHeight w:val="650" w:hRule="atLeast"/>
          <w:jc w:val="center"/>
        </w:trPr>
        <w:tc>
          <w:tcPr>
            <w:tcW w:w="837" w:type="dxa"/>
            <w:vMerge w:val="continue"/>
            <w:tcBorders>
              <w:top w:val="nil"/>
              <w:left w:val="single" w:color="000000" w:sz="4" w:space="0"/>
              <w:bottom w:val="nil"/>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项目完成指标</w:t>
            </w:r>
          </w:p>
        </w:tc>
        <w:tc>
          <w:tcPr>
            <w:tcW w:w="1680"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时效指标</w:t>
            </w:r>
          </w:p>
        </w:tc>
        <w:tc>
          <w:tcPr>
            <w:tcW w:w="247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项目按时完成率（≥100%）</w:t>
            </w:r>
          </w:p>
        </w:tc>
        <w:tc>
          <w:tcPr>
            <w:tcW w:w="2640" w:type="dxa"/>
            <w:gridSpan w:val="4"/>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符合规范</w:t>
            </w:r>
          </w:p>
        </w:tc>
        <w:tc>
          <w:tcPr>
            <w:tcW w:w="6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已完成100%</w:t>
            </w:r>
          </w:p>
        </w:tc>
      </w:tr>
      <w:tr>
        <w:tblPrEx>
          <w:tblCellMar>
            <w:top w:w="0" w:type="dxa"/>
            <w:left w:w="0" w:type="dxa"/>
            <w:bottom w:w="0" w:type="dxa"/>
            <w:right w:w="0" w:type="dxa"/>
          </w:tblCellMar>
        </w:tblPrEx>
        <w:trPr>
          <w:trHeight w:val="512" w:hRule="atLeast"/>
          <w:jc w:val="center"/>
        </w:trPr>
        <w:tc>
          <w:tcPr>
            <w:tcW w:w="837" w:type="dxa"/>
            <w:vMerge w:val="continue"/>
            <w:tcBorders>
              <w:top w:val="nil"/>
              <w:left w:val="single" w:color="000000" w:sz="4" w:space="0"/>
              <w:bottom w:val="nil"/>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项目完成指标</w:t>
            </w:r>
          </w:p>
        </w:tc>
        <w:tc>
          <w:tcPr>
            <w:tcW w:w="1680"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成本指标</w:t>
            </w:r>
          </w:p>
        </w:tc>
        <w:tc>
          <w:tcPr>
            <w:tcW w:w="247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185万元</w:t>
            </w:r>
          </w:p>
        </w:tc>
        <w:tc>
          <w:tcPr>
            <w:tcW w:w="2640" w:type="dxa"/>
            <w:gridSpan w:val="4"/>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通过验收</w:t>
            </w:r>
          </w:p>
        </w:tc>
        <w:tc>
          <w:tcPr>
            <w:tcW w:w="6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已完成100%</w:t>
            </w:r>
          </w:p>
        </w:tc>
      </w:tr>
      <w:tr>
        <w:tblPrEx>
          <w:tblCellMar>
            <w:top w:w="0" w:type="dxa"/>
            <w:left w:w="0" w:type="dxa"/>
            <w:bottom w:w="0" w:type="dxa"/>
            <w:right w:w="0" w:type="dxa"/>
          </w:tblCellMar>
        </w:tblPrEx>
        <w:trPr>
          <w:trHeight w:val="1420" w:hRule="atLeast"/>
          <w:jc w:val="center"/>
        </w:trPr>
        <w:tc>
          <w:tcPr>
            <w:tcW w:w="837" w:type="dxa"/>
            <w:vMerge w:val="continue"/>
            <w:tcBorders>
              <w:top w:val="nil"/>
              <w:left w:val="single" w:color="000000" w:sz="4" w:space="0"/>
              <w:bottom w:val="nil"/>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效益指标</w:t>
            </w:r>
          </w:p>
        </w:tc>
        <w:tc>
          <w:tcPr>
            <w:tcW w:w="1680"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经济效益指标</w:t>
            </w:r>
          </w:p>
        </w:tc>
        <w:tc>
          <w:tcPr>
            <w:tcW w:w="247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促进区域经济社会发展</w:t>
            </w:r>
          </w:p>
        </w:tc>
        <w:tc>
          <w:tcPr>
            <w:tcW w:w="2640" w:type="dxa"/>
            <w:gridSpan w:val="4"/>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发生工程设计标准内洪水不受严重影响</w:t>
            </w:r>
          </w:p>
        </w:tc>
        <w:tc>
          <w:tcPr>
            <w:tcW w:w="6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已完成100%</w:t>
            </w:r>
          </w:p>
        </w:tc>
      </w:tr>
      <w:tr>
        <w:tblPrEx>
          <w:tblCellMar>
            <w:top w:w="0" w:type="dxa"/>
            <w:left w:w="0" w:type="dxa"/>
            <w:bottom w:w="0" w:type="dxa"/>
            <w:right w:w="0" w:type="dxa"/>
          </w:tblCellMar>
        </w:tblPrEx>
        <w:trPr>
          <w:trHeight w:val="477" w:hRule="atLeast"/>
          <w:jc w:val="center"/>
        </w:trPr>
        <w:tc>
          <w:tcPr>
            <w:tcW w:w="837" w:type="dxa"/>
            <w:vMerge w:val="continue"/>
            <w:tcBorders>
              <w:top w:val="nil"/>
              <w:left w:val="single" w:color="000000" w:sz="4" w:space="0"/>
              <w:bottom w:val="nil"/>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效益指标</w:t>
            </w:r>
          </w:p>
        </w:tc>
        <w:tc>
          <w:tcPr>
            <w:tcW w:w="1680"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社会效益指标</w:t>
            </w:r>
          </w:p>
        </w:tc>
        <w:tc>
          <w:tcPr>
            <w:tcW w:w="247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保障水利工程完整及安全运行</w:t>
            </w:r>
          </w:p>
        </w:tc>
        <w:tc>
          <w:tcPr>
            <w:tcW w:w="2640" w:type="dxa"/>
            <w:gridSpan w:val="4"/>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发生工程设计标准内洪水不受严重影响</w:t>
            </w:r>
          </w:p>
        </w:tc>
        <w:tc>
          <w:tcPr>
            <w:tcW w:w="6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已完成100%</w:t>
            </w:r>
          </w:p>
        </w:tc>
      </w:tr>
      <w:tr>
        <w:tblPrEx>
          <w:tblCellMar>
            <w:top w:w="0" w:type="dxa"/>
            <w:left w:w="0" w:type="dxa"/>
            <w:bottom w:w="0" w:type="dxa"/>
            <w:right w:w="0" w:type="dxa"/>
          </w:tblCellMar>
        </w:tblPrEx>
        <w:trPr>
          <w:trHeight w:val="545" w:hRule="atLeast"/>
          <w:jc w:val="center"/>
        </w:trPr>
        <w:tc>
          <w:tcPr>
            <w:tcW w:w="837" w:type="dxa"/>
            <w:vMerge w:val="continue"/>
            <w:tcBorders>
              <w:top w:val="nil"/>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满意度指标</w:t>
            </w:r>
          </w:p>
        </w:tc>
        <w:tc>
          <w:tcPr>
            <w:tcW w:w="1680"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服务对象满意度指标</w:t>
            </w:r>
          </w:p>
        </w:tc>
        <w:tc>
          <w:tcPr>
            <w:tcW w:w="247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受益群众满意</w:t>
            </w:r>
          </w:p>
        </w:tc>
        <w:tc>
          <w:tcPr>
            <w:tcW w:w="2640" w:type="dxa"/>
            <w:gridSpan w:val="4"/>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100%已完成</w:t>
            </w:r>
          </w:p>
        </w:tc>
        <w:tc>
          <w:tcPr>
            <w:tcW w:w="6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已完成100%</w:t>
            </w:r>
          </w:p>
        </w:tc>
      </w:tr>
      <w:tr>
        <w:tblPrEx>
          <w:tblCellMar>
            <w:top w:w="0" w:type="dxa"/>
            <w:left w:w="0" w:type="dxa"/>
            <w:bottom w:w="0" w:type="dxa"/>
            <w:right w:w="0" w:type="dxa"/>
          </w:tblCellMar>
        </w:tblPrEx>
        <w:trPr>
          <w:gridAfter w:val="1"/>
          <w:wAfter w:w="671" w:type="dxa"/>
          <w:trHeight w:val="20" w:hRule="atLeast"/>
          <w:jc w:val="center"/>
        </w:trPr>
        <w:tc>
          <w:tcPr>
            <w:tcW w:w="8847" w:type="dxa"/>
            <w:gridSpan w:val="12"/>
            <w:tcBorders>
              <w:top w:val="nil"/>
              <w:left w:val="nil"/>
              <w:bottom w:val="nil"/>
              <w:right w:val="nil"/>
              <w:tl2br w:val="nil"/>
              <w:tr2bl w:val="nil"/>
            </w:tcBorders>
            <w:noWrap/>
            <w:tcMar>
              <w:top w:w="15" w:type="dxa"/>
              <w:left w:w="15" w:type="dxa"/>
              <w:right w:w="15" w:type="dxa"/>
            </w:tcMar>
            <w:vAlign w:val="center"/>
          </w:tcPr>
          <w:p>
            <w:pPr>
              <w:widowControl/>
              <w:spacing w:line="500" w:lineRule="exact"/>
              <w:jc w:val="center"/>
              <w:textAlignment w:val="center"/>
              <w:rPr>
                <w:rFonts w:hint="eastAsia" w:eastAsia="仿宋_GB2312"/>
                <w:sz w:val="32"/>
                <w:szCs w:val="32"/>
                <w:lang w:eastAsia="zh-CN"/>
              </w:rPr>
            </w:pPr>
            <w:r>
              <w:rPr>
                <w:rFonts w:hint="eastAsia" w:eastAsia="仿宋_GB2312"/>
                <w:sz w:val="32"/>
                <w:szCs w:val="32"/>
              </w:rPr>
              <w:t>项目绩效目标完成情况表</w:t>
            </w:r>
          </w:p>
          <w:p>
            <w:pPr>
              <w:widowControl/>
              <w:spacing w:line="500" w:lineRule="exact"/>
              <w:jc w:val="center"/>
              <w:textAlignment w:val="center"/>
              <w:rPr>
                <w:rFonts w:eastAsia="仿宋_GB2312"/>
                <w:sz w:val="32"/>
                <w:szCs w:val="32"/>
              </w:rPr>
            </w:pPr>
            <w:r>
              <w:rPr>
                <w:rFonts w:hint="eastAsia" w:eastAsia="仿宋_GB2312"/>
                <w:sz w:val="32"/>
                <w:szCs w:val="32"/>
              </w:rPr>
              <w:t>(2020年度)</w:t>
            </w:r>
          </w:p>
        </w:tc>
      </w:tr>
      <w:tr>
        <w:tblPrEx>
          <w:tblCellMar>
            <w:top w:w="0" w:type="dxa"/>
            <w:left w:w="0" w:type="dxa"/>
            <w:bottom w:w="0" w:type="dxa"/>
            <w:right w:w="0" w:type="dxa"/>
          </w:tblCellMar>
        </w:tblPrEx>
        <w:trPr>
          <w:gridAfter w:val="1"/>
          <w:wAfter w:w="671" w:type="dxa"/>
          <w:trHeight w:val="20" w:hRule="atLeast"/>
          <w:jc w:val="center"/>
        </w:trPr>
        <w:tc>
          <w:tcPr>
            <w:tcW w:w="2816" w:type="dxa"/>
            <w:gridSpan w:val="5"/>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项目名称</w:t>
            </w:r>
          </w:p>
        </w:tc>
        <w:tc>
          <w:tcPr>
            <w:tcW w:w="6031" w:type="dxa"/>
            <w:gridSpan w:val="7"/>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2020年省级水利发展资金</w:t>
            </w:r>
          </w:p>
        </w:tc>
      </w:tr>
      <w:tr>
        <w:tblPrEx>
          <w:tblCellMar>
            <w:top w:w="0" w:type="dxa"/>
            <w:left w:w="0" w:type="dxa"/>
            <w:bottom w:w="0" w:type="dxa"/>
            <w:right w:w="0" w:type="dxa"/>
          </w:tblCellMar>
        </w:tblPrEx>
        <w:trPr>
          <w:gridAfter w:val="1"/>
          <w:wAfter w:w="671" w:type="dxa"/>
          <w:trHeight w:val="382" w:hRule="atLeast"/>
          <w:jc w:val="center"/>
        </w:trPr>
        <w:tc>
          <w:tcPr>
            <w:tcW w:w="2816" w:type="dxa"/>
            <w:gridSpan w:val="5"/>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预算单位</w:t>
            </w:r>
          </w:p>
        </w:tc>
        <w:tc>
          <w:tcPr>
            <w:tcW w:w="6031" w:type="dxa"/>
            <w:gridSpan w:val="7"/>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西区水利局</w:t>
            </w:r>
          </w:p>
        </w:tc>
      </w:tr>
      <w:tr>
        <w:tblPrEx>
          <w:tblCellMar>
            <w:top w:w="0" w:type="dxa"/>
            <w:left w:w="0" w:type="dxa"/>
            <w:bottom w:w="0" w:type="dxa"/>
            <w:right w:w="0" w:type="dxa"/>
          </w:tblCellMar>
        </w:tblPrEx>
        <w:trPr>
          <w:gridAfter w:val="1"/>
          <w:wAfter w:w="671" w:type="dxa"/>
          <w:trHeight w:val="20" w:hRule="atLeast"/>
          <w:jc w:val="center"/>
        </w:trPr>
        <w:tc>
          <w:tcPr>
            <w:tcW w:w="997"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预算执行情况(万元)</w:t>
            </w:r>
          </w:p>
        </w:tc>
        <w:tc>
          <w:tcPr>
            <w:tcW w:w="1819"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预算数:</w:t>
            </w:r>
          </w:p>
        </w:tc>
        <w:tc>
          <w:tcPr>
            <w:tcW w:w="2986"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455</w:t>
            </w:r>
          </w:p>
        </w:tc>
        <w:tc>
          <w:tcPr>
            <w:tcW w:w="181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执行数:</w:t>
            </w:r>
          </w:p>
        </w:tc>
        <w:tc>
          <w:tcPr>
            <w:tcW w:w="1230"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94.45025</w:t>
            </w:r>
          </w:p>
        </w:tc>
      </w:tr>
      <w:tr>
        <w:tblPrEx>
          <w:tblCellMar>
            <w:top w:w="0" w:type="dxa"/>
            <w:left w:w="0" w:type="dxa"/>
            <w:bottom w:w="0" w:type="dxa"/>
            <w:right w:w="0" w:type="dxa"/>
          </w:tblCellMar>
        </w:tblPrEx>
        <w:trPr>
          <w:gridAfter w:val="1"/>
          <w:wAfter w:w="671" w:type="dxa"/>
          <w:trHeight w:val="20" w:hRule="atLeast"/>
          <w:jc w:val="center"/>
        </w:trPr>
        <w:tc>
          <w:tcPr>
            <w:tcW w:w="99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p>
        </w:tc>
        <w:tc>
          <w:tcPr>
            <w:tcW w:w="1819"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其中-财政拨款:</w:t>
            </w:r>
          </w:p>
        </w:tc>
        <w:tc>
          <w:tcPr>
            <w:tcW w:w="2986"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455</w:t>
            </w:r>
          </w:p>
        </w:tc>
        <w:tc>
          <w:tcPr>
            <w:tcW w:w="181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其中-财政拨款:</w:t>
            </w:r>
          </w:p>
        </w:tc>
        <w:tc>
          <w:tcPr>
            <w:tcW w:w="1230"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94.45025</w:t>
            </w:r>
          </w:p>
        </w:tc>
      </w:tr>
      <w:tr>
        <w:tblPrEx>
          <w:tblCellMar>
            <w:top w:w="0" w:type="dxa"/>
            <w:left w:w="0" w:type="dxa"/>
            <w:bottom w:w="0" w:type="dxa"/>
            <w:right w:w="0" w:type="dxa"/>
          </w:tblCellMar>
        </w:tblPrEx>
        <w:trPr>
          <w:gridAfter w:val="1"/>
          <w:wAfter w:w="671" w:type="dxa"/>
          <w:trHeight w:val="20" w:hRule="atLeast"/>
          <w:jc w:val="center"/>
        </w:trPr>
        <w:tc>
          <w:tcPr>
            <w:tcW w:w="99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p>
        </w:tc>
        <w:tc>
          <w:tcPr>
            <w:tcW w:w="1819"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其它资金:</w:t>
            </w:r>
          </w:p>
        </w:tc>
        <w:tc>
          <w:tcPr>
            <w:tcW w:w="2986"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p>
        </w:tc>
        <w:tc>
          <w:tcPr>
            <w:tcW w:w="181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其它资金:</w:t>
            </w:r>
          </w:p>
        </w:tc>
        <w:tc>
          <w:tcPr>
            <w:tcW w:w="1230"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p>
        </w:tc>
      </w:tr>
      <w:tr>
        <w:tblPrEx>
          <w:tblCellMar>
            <w:top w:w="0" w:type="dxa"/>
            <w:left w:w="0" w:type="dxa"/>
            <w:bottom w:w="0" w:type="dxa"/>
            <w:right w:w="0" w:type="dxa"/>
          </w:tblCellMar>
        </w:tblPrEx>
        <w:trPr>
          <w:gridAfter w:val="1"/>
          <w:wAfter w:w="671" w:type="dxa"/>
          <w:trHeight w:val="20" w:hRule="atLeast"/>
          <w:jc w:val="center"/>
        </w:trPr>
        <w:tc>
          <w:tcPr>
            <w:tcW w:w="997"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年度目标完成情况</w:t>
            </w:r>
          </w:p>
        </w:tc>
        <w:tc>
          <w:tcPr>
            <w:tcW w:w="4805" w:type="dxa"/>
            <w:gridSpan w:val="5"/>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预期目标</w:t>
            </w:r>
          </w:p>
        </w:tc>
        <w:tc>
          <w:tcPr>
            <w:tcW w:w="3045" w:type="dxa"/>
            <w:gridSpan w:val="5"/>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实际完成目标</w:t>
            </w:r>
          </w:p>
        </w:tc>
      </w:tr>
      <w:tr>
        <w:tblPrEx>
          <w:tblCellMar>
            <w:top w:w="0" w:type="dxa"/>
            <w:left w:w="0" w:type="dxa"/>
            <w:bottom w:w="0" w:type="dxa"/>
            <w:right w:w="0" w:type="dxa"/>
          </w:tblCellMar>
        </w:tblPrEx>
        <w:trPr>
          <w:gridAfter w:val="1"/>
          <w:wAfter w:w="671" w:type="dxa"/>
          <w:trHeight w:val="20" w:hRule="atLeast"/>
          <w:jc w:val="center"/>
        </w:trPr>
        <w:tc>
          <w:tcPr>
            <w:tcW w:w="99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p>
        </w:tc>
        <w:tc>
          <w:tcPr>
            <w:tcW w:w="4805" w:type="dxa"/>
            <w:gridSpan w:val="5"/>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364万元</w:t>
            </w:r>
          </w:p>
        </w:tc>
        <w:tc>
          <w:tcPr>
            <w:tcW w:w="3045" w:type="dxa"/>
            <w:gridSpan w:val="5"/>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94.45025万元</w:t>
            </w:r>
          </w:p>
        </w:tc>
      </w:tr>
      <w:tr>
        <w:tblPrEx>
          <w:tblCellMar>
            <w:top w:w="0" w:type="dxa"/>
            <w:left w:w="0" w:type="dxa"/>
            <w:bottom w:w="0" w:type="dxa"/>
            <w:right w:w="0" w:type="dxa"/>
          </w:tblCellMar>
        </w:tblPrEx>
        <w:trPr>
          <w:gridAfter w:val="1"/>
          <w:wAfter w:w="671" w:type="dxa"/>
          <w:trHeight w:val="20" w:hRule="atLeast"/>
          <w:jc w:val="center"/>
        </w:trPr>
        <w:tc>
          <w:tcPr>
            <w:tcW w:w="997" w:type="dxa"/>
            <w:gridSpan w:val="2"/>
            <w:vMerge w:val="restart"/>
            <w:tcBorders>
              <w:top w:val="single" w:color="000000" w:sz="4" w:space="0"/>
              <w:left w:val="single" w:color="000000" w:sz="4" w:space="0"/>
              <w:bottom w:val="nil"/>
              <w:right w:val="single" w:color="000000" w:sz="4" w:space="0"/>
              <w:tl2br w:val="nil"/>
              <w:tr2bl w:val="nil"/>
            </w:tcBorders>
            <w:noWrap/>
            <w:tcMar>
              <w:top w:w="15" w:type="dxa"/>
              <w:left w:w="15" w:type="dxa"/>
              <w:right w:w="15" w:type="dxa"/>
            </w:tcMar>
            <w:textDirection w:val="tbRlV"/>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绩效指标完成情况</w:t>
            </w:r>
          </w:p>
        </w:tc>
        <w:tc>
          <w:tcPr>
            <w:tcW w:w="124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一级指标</w:t>
            </w:r>
          </w:p>
        </w:tc>
        <w:tc>
          <w:tcPr>
            <w:tcW w:w="148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二级指标</w:t>
            </w:r>
          </w:p>
        </w:tc>
        <w:tc>
          <w:tcPr>
            <w:tcW w:w="20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三级</w:t>
            </w:r>
          </w:p>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指标</w:t>
            </w:r>
          </w:p>
        </w:tc>
        <w:tc>
          <w:tcPr>
            <w:tcW w:w="181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预期指标值(包含数字及文字描述)</w:t>
            </w:r>
          </w:p>
        </w:tc>
        <w:tc>
          <w:tcPr>
            <w:tcW w:w="1230"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实际完成指标值(包含数字及文字描述)</w:t>
            </w:r>
          </w:p>
        </w:tc>
      </w:tr>
      <w:tr>
        <w:tblPrEx>
          <w:tblCellMar>
            <w:top w:w="0" w:type="dxa"/>
            <w:left w:w="0" w:type="dxa"/>
            <w:bottom w:w="0" w:type="dxa"/>
            <w:right w:w="0" w:type="dxa"/>
          </w:tblCellMar>
        </w:tblPrEx>
        <w:trPr>
          <w:gridAfter w:val="1"/>
          <w:wAfter w:w="671" w:type="dxa"/>
          <w:trHeight w:val="20" w:hRule="atLeast"/>
          <w:jc w:val="center"/>
        </w:trPr>
        <w:tc>
          <w:tcPr>
            <w:tcW w:w="997" w:type="dxa"/>
            <w:gridSpan w:val="2"/>
            <w:vMerge w:val="continue"/>
            <w:tcBorders>
              <w:top w:val="nil"/>
              <w:left w:val="single" w:color="000000" w:sz="4" w:space="0"/>
              <w:bottom w:val="nil"/>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p>
        </w:tc>
        <w:tc>
          <w:tcPr>
            <w:tcW w:w="124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项目完成指标</w:t>
            </w:r>
          </w:p>
        </w:tc>
        <w:tc>
          <w:tcPr>
            <w:tcW w:w="148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数量指标</w:t>
            </w:r>
          </w:p>
        </w:tc>
        <w:tc>
          <w:tcPr>
            <w:tcW w:w="20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水利项目数</w:t>
            </w:r>
          </w:p>
        </w:tc>
        <w:tc>
          <w:tcPr>
            <w:tcW w:w="181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2个</w:t>
            </w:r>
          </w:p>
        </w:tc>
        <w:tc>
          <w:tcPr>
            <w:tcW w:w="1230"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2个</w:t>
            </w:r>
          </w:p>
        </w:tc>
      </w:tr>
      <w:tr>
        <w:tblPrEx>
          <w:tblCellMar>
            <w:top w:w="0" w:type="dxa"/>
            <w:left w:w="0" w:type="dxa"/>
            <w:bottom w:w="0" w:type="dxa"/>
            <w:right w:w="0" w:type="dxa"/>
          </w:tblCellMar>
        </w:tblPrEx>
        <w:trPr>
          <w:gridAfter w:val="1"/>
          <w:wAfter w:w="671" w:type="dxa"/>
          <w:trHeight w:val="20" w:hRule="atLeast"/>
          <w:jc w:val="center"/>
        </w:trPr>
        <w:tc>
          <w:tcPr>
            <w:tcW w:w="997" w:type="dxa"/>
            <w:gridSpan w:val="2"/>
            <w:vMerge w:val="continue"/>
            <w:tcBorders>
              <w:top w:val="nil"/>
              <w:left w:val="single" w:color="000000" w:sz="4" w:space="0"/>
              <w:bottom w:val="nil"/>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p>
        </w:tc>
        <w:tc>
          <w:tcPr>
            <w:tcW w:w="124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项目完成指标</w:t>
            </w:r>
          </w:p>
        </w:tc>
        <w:tc>
          <w:tcPr>
            <w:tcW w:w="148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质量指标</w:t>
            </w:r>
          </w:p>
        </w:tc>
        <w:tc>
          <w:tcPr>
            <w:tcW w:w="20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项目验收</w:t>
            </w:r>
          </w:p>
        </w:tc>
        <w:tc>
          <w:tcPr>
            <w:tcW w:w="181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合格</w:t>
            </w:r>
          </w:p>
        </w:tc>
        <w:tc>
          <w:tcPr>
            <w:tcW w:w="1230"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合格</w:t>
            </w:r>
          </w:p>
        </w:tc>
      </w:tr>
      <w:tr>
        <w:tblPrEx>
          <w:tblCellMar>
            <w:top w:w="0" w:type="dxa"/>
            <w:left w:w="0" w:type="dxa"/>
            <w:bottom w:w="0" w:type="dxa"/>
            <w:right w:w="0" w:type="dxa"/>
          </w:tblCellMar>
        </w:tblPrEx>
        <w:trPr>
          <w:gridAfter w:val="1"/>
          <w:wAfter w:w="671" w:type="dxa"/>
          <w:trHeight w:val="20" w:hRule="atLeast"/>
          <w:jc w:val="center"/>
        </w:trPr>
        <w:tc>
          <w:tcPr>
            <w:tcW w:w="997" w:type="dxa"/>
            <w:gridSpan w:val="2"/>
            <w:vMerge w:val="continue"/>
            <w:tcBorders>
              <w:top w:val="nil"/>
              <w:left w:val="single" w:color="000000" w:sz="4" w:space="0"/>
              <w:bottom w:val="nil"/>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p>
        </w:tc>
        <w:tc>
          <w:tcPr>
            <w:tcW w:w="124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项目完成指标</w:t>
            </w:r>
          </w:p>
        </w:tc>
        <w:tc>
          <w:tcPr>
            <w:tcW w:w="148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时效指标</w:t>
            </w:r>
          </w:p>
        </w:tc>
        <w:tc>
          <w:tcPr>
            <w:tcW w:w="20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2020年</w:t>
            </w:r>
          </w:p>
        </w:tc>
        <w:tc>
          <w:tcPr>
            <w:tcW w:w="181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2020年全年</w:t>
            </w:r>
          </w:p>
        </w:tc>
        <w:tc>
          <w:tcPr>
            <w:tcW w:w="1230"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已完成</w:t>
            </w:r>
          </w:p>
        </w:tc>
      </w:tr>
      <w:tr>
        <w:tblPrEx>
          <w:tblCellMar>
            <w:top w:w="0" w:type="dxa"/>
            <w:left w:w="0" w:type="dxa"/>
            <w:bottom w:w="0" w:type="dxa"/>
            <w:right w:w="0" w:type="dxa"/>
          </w:tblCellMar>
        </w:tblPrEx>
        <w:trPr>
          <w:gridAfter w:val="1"/>
          <w:wAfter w:w="671" w:type="dxa"/>
          <w:trHeight w:val="20" w:hRule="atLeast"/>
          <w:jc w:val="center"/>
        </w:trPr>
        <w:tc>
          <w:tcPr>
            <w:tcW w:w="997" w:type="dxa"/>
            <w:gridSpan w:val="2"/>
            <w:vMerge w:val="continue"/>
            <w:tcBorders>
              <w:top w:val="nil"/>
              <w:left w:val="single" w:color="000000" w:sz="4" w:space="0"/>
              <w:bottom w:val="nil"/>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p>
        </w:tc>
        <w:tc>
          <w:tcPr>
            <w:tcW w:w="124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项目完成指标</w:t>
            </w:r>
          </w:p>
        </w:tc>
        <w:tc>
          <w:tcPr>
            <w:tcW w:w="148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成本指标</w:t>
            </w:r>
          </w:p>
        </w:tc>
        <w:tc>
          <w:tcPr>
            <w:tcW w:w="20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364万元</w:t>
            </w:r>
          </w:p>
        </w:tc>
        <w:tc>
          <w:tcPr>
            <w:tcW w:w="181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≤100%，根据实际产生费而定。</w:t>
            </w:r>
          </w:p>
        </w:tc>
        <w:tc>
          <w:tcPr>
            <w:tcW w:w="1230"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94.45025万元</w:t>
            </w:r>
          </w:p>
        </w:tc>
      </w:tr>
      <w:tr>
        <w:tblPrEx>
          <w:tblCellMar>
            <w:top w:w="0" w:type="dxa"/>
            <w:left w:w="0" w:type="dxa"/>
            <w:bottom w:w="0" w:type="dxa"/>
            <w:right w:w="0" w:type="dxa"/>
          </w:tblCellMar>
        </w:tblPrEx>
        <w:trPr>
          <w:gridAfter w:val="1"/>
          <w:wAfter w:w="671" w:type="dxa"/>
          <w:trHeight w:val="20" w:hRule="atLeast"/>
          <w:jc w:val="center"/>
        </w:trPr>
        <w:tc>
          <w:tcPr>
            <w:tcW w:w="997" w:type="dxa"/>
            <w:gridSpan w:val="2"/>
            <w:vMerge w:val="continue"/>
            <w:tcBorders>
              <w:top w:val="nil"/>
              <w:left w:val="single" w:color="000000" w:sz="4" w:space="0"/>
              <w:bottom w:val="nil"/>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p>
        </w:tc>
        <w:tc>
          <w:tcPr>
            <w:tcW w:w="124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效益指标</w:t>
            </w:r>
          </w:p>
        </w:tc>
        <w:tc>
          <w:tcPr>
            <w:tcW w:w="148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社会效益</w:t>
            </w:r>
          </w:p>
        </w:tc>
        <w:tc>
          <w:tcPr>
            <w:tcW w:w="20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山洪灾害保护人口</w:t>
            </w:r>
          </w:p>
        </w:tc>
        <w:tc>
          <w:tcPr>
            <w:tcW w:w="181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1.1万人</w:t>
            </w:r>
          </w:p>
        </w:tc>
        <w:tc>
          <w:tcPr>
            <w:tcW w:w="1230"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1.1万人</w:t>
            </w:r>
          </w:p>
        </w:tc>
      </w:tr>
      <w:tr>
        <w:tblPrEx>
          <w:tblCellMar>
            <w:top w:w="0" w:type="dxa"/>
            <w:left w:w="0" w:type="dxa"/>
            <w:bottom w:w="0" w:type="dxa"/>
            <w:right w:w="0" w:type="dxa"/>
          </w:tblCellMar>
        </w:tblPrEx>
        <w:trPr>
          <w:gridAfter w:val="1"/>
          <w:wAfter w:w="671" w:type="dxa"/>
          <w:trHeight w:val="20" w:hRule="atLeast"/>
          <w:jc w:val="center"/>
        </w:trPr>
        <w:tc>
          <w:tcPr>
            <w:tcW w:w="997" w:type="dxa"/>
            <w:gridSpan w:val="2"/>
            <w:vMerge w:val="continue"/>
            <w:tcBorders>
              <w:top w:val="nil"/>
              <w:left w:val="single" w:color="000000" w:sz="4" w:space="0"/>
              <w:bottom w:val="nil"/>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p>
        </w:tc>
        <w:tc>
          <w:tcPr>
            <w:tcW w:w="124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效益指标</w:t>
            </w:r>
          </w:p>
        </w:tc>
        <w:tc>
          <w:tcPr>
            <w:tcW w:w="148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生态效益</w:t>
            </w:r>
          </w:p>
        </w:tc>
        <w:tc>
          <w:tcPr>
            <w:tcW w:w="20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治理水土流失面积</w:t>
            </w:r>
          </w:p>
        </w:tc>
        <w:tc>
          <w:tcPr>
            <w:tcW w:w="181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11.43平方公里</w:t>
            </w:r>
          </w:p>
        </w:tc>
        <w:tc>
          <w:tcPr>
            <w:tcW w:w="1230"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11.43平方公里</w:t>
            </w:r>
          </w:p>
        </w:tc>
      </w:tr>
      <w:tr>
        <w:tblPrEx>
          <w:tblCellMar>
            <w:top w:w="0" w:type="dxa"/>
            <w:left w:w="0" w:type="dxa"/>
            <w:bottom w:w="0" w:type="dxa"/>
            <w:right w:w="0" w:type="dxa"/>
          </w:tblCellMar>
        </w:tblPrEx>
        <w:trPr>
          <w:gridAfter w:val="1"/>
          <w:wAfter w:w="671" w:type="dxa"/>
          <w:trHeight w:val="20" w:hRule="atLeast"/>
          <w:jc w:val="center"/>
        </w:trPr>
        <w:tc>
          <w:tcPr>
            <w:tcW w:w="997" w:type="dxa"/>
            <w:gridSpan w:val="2"/>
            <w:vMerge w:val="continue"/>
            <w:tcBorders>
              <w:top w:val="nil"/>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p>
        </w:tc>
        <w:tc>
          <w:tcPr>
            <w:tcW w:w="124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满意度指标</w:t>
            </w:r>
          </w:p>
        </w:tc>
        <w:tc>
          <w:tcPr>
            <w:tcW w:w="1485"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服务对象满意度指标</w:t>
            </w:r>
          </w:p>
        </w:tc>
        <w:tc>
          <w:tcPr>
            <w:tcW w:w="207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受益群众满意度</w:t>
            </w:r>
          </w:p>
        </w:tc>
        <w:tc>
          <w:tcPr>
            <w:tcW w:w="181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大于90%</w:t>
            </w:r>
          </w:p>
        </w:tc>
        <w:tc>
          <w:tcPr>
            <w:tcW w:w="1230"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已完成</w:t>
            </w:r>
          </w:p>
        </w:tc>
      </w:tr>
    </w:tbl>
    <w:p>
      <w:pPr>
        <w:widowControl/>
        <w:spacing w:line="420" w:lineRule="exact"/>
        <w:jc w:val="center"/>
        <w:textAlignment w:val="center"/>
        <w:rPr>
          <w:rFonts w:ascii="仿宋_GB2312" w:hAnsi="仿宋_GB2312" w:eastAsia="仿宋_GB2312" w:cs="仿宋_GB2312"/>
          <w:szCs w:val="21"/>
        </w:rPr>
      </w:pPr>
    </w:p>
    <w:p>
      <w:pPr>
        <w:spacing w:line="560" w:lineRule="exact"/>
        <w:rPr>
          <w:rFonts w:eastAsia="仿宋_GB2312"/>
          <w:sz w:val="32"/>
          <w:szCs w:val="32"/>
        </w:rPr>
      </w:pPr>
    </w:p>
    <w:tbl>
      <w:tblPr>
        <w:tblStyle w:val="12"/>
        <w:tblpPr w:leftFromText="180" w:rightFromText="180" w:vertAnchor="text" w:horzAnchor="page" w:tblpXSpec="center" w:tblpY="423"/>
        <w:tblOverlap w:val="never"/>
        <w:tblW w:w="9133" w:type="dxa"/>
        <w:jc w:val="center"/>
        <w:tblLayout w:type="fixed"/>
        <w:tblCellMar>
          <w:top w:w="0" w:type="dxa"/>
          <w:left w:w="0" w:type="dxa"/>
          <w:bottom w:w="0" w:type="dxa"/>
          <w:right w:w="0" w:type="dxa"/>
        </w:tblCellMar>
      </w:tblPr>
      <w:tblGrid>
        <w:gridCol w:w="748"/>
        <w:gridCol w:w="143"/>
        <w:gridCol w:w="1034"/>
        <w:gridCol w:w="112"/>
        <w:gridCol w:w="506"/>
        <w:gridCol w:w="222"/>
        <w:gridCol w:w="331"/>
        <w:gridCol w:w="169"/>
        <w:gridCol w:w="1251"/>
        <w:gridCol w:w="131"/>
        <w:gridCol w:w="1896"/>
        <w:gridCol w:w="610"/>
        <w:gridCol w:w="1683"/>
        <w:gridCol w:w="297"/>
      </w:tblGrid>
      <w:tr>
        <w:tblPrEx>
          <w:tblCellMar>
            <w:top w:w="0" w:type="dxa"/>
            <w:left w:w="0" w:type="dxa"/>
            <w:bottom w:w="0" w:type="dxa"/>
            <w:right w:w="0" w:type="dxa"/>
          </w:tblCellMar>
        </w:tblPrEx>
        <w:trPr>
          <w:trHeight w:val="20" w:hRule="atLeast"/>
          <w:jc w:val="center"/>
        </w:trPr>
        <w:tc>
          <w:tcPr>
            <w:tcW w:w="9133" w:type="dxa"/>
            <w:gridSpan w:val="14"/>
            <w:tcBorders>
              <w:top w:val="nil"/>
              <w:left w:val="nil"/>
              <w:bottom w:val="nil"/>
              <w:right w:val="nil"/>
              <w:tl2br w:val="nil"/>
              <w:tr2bl w:val="nil"/>
            </w:tcBorders>
            <w:noWrap/>
            <w:tcMar>
              <w:top w:w="15" w:type="dxa"/>
              <w:left w:w="15" w:type="dxa"/>
              <w:right w:w="15" w:type="dxa"/>
            </w:tcMar>
            <w:vAlign w:val="center"/>
          </w:tcPr>
          <w:p>
            <w:pPr>
              <w:widowControl/>
              <w:spacing w:line="560" w:lineRule="exact"/>
              <w:jc w:val="center"/>
              <w:textAlignment w:val="center"/>
              <w:rPr>
                <w:rFonts w:hint="eastAsia" w:eastAsia="仿宋_GB2312"/>
                <w:sz w:val="32"/>
                <w:szCs w:val="32"/>
                <w:lang w:eastAsia="zh-CN"/>
              </w:rPr>
            </w:pPr>
            <w:r>
              <w:rPr>
                <w:rFonts w:hint="eastAsia" w:eastAsia="仿宋_GB2312"/>
                <w:sz w:val="32"/>
                <w:szCs w:val="32"/>
              </w:rPr>
              <w:t>项目绩效目标完成情况表</w:t>
            </w:r>
          </w:p>
          <w:p>
            <w:pPr>
              <w:widowControl/>
              <w:spacing w:line="560" w:lineRule="exact"/>
              <w:jc w:val="center"/>
              <w:textAlignment w:val="center"/>
              <w:rPr>
                <w:rFonts w:eastAsia="仿宋_GB2312"/>
                <w:sz w:val="32"/>
                <w:szCs w:val="32"/>
              </w:rPr>
            </w:pPr>
            <w:r>
              <w:rPr>
                <w:rFonts w:hint="eastAsia" w:eastAsia="仿宋_GB2312"/>
                <w:sz w:val="32"/>
                <w:szCs w:val="32"/>
              </w:rPr>
              <w:t>(2020年度)</w:t>
            </w:r>
          </w:p>
        </w:tc>
      </w:tr>
      <w:tr>
        <w:tblPrEx>
          <w:tblCellMar>
            <w:top w:w="0" w:type="dxa"/>
            <w:left w:w="0" w:type="dxa"/>
            <w:bottom w:w="0" w:type="dxa"/>
            <w:right w:w="0" w:type="dxa"/>
          </w:tblCellMar>
        </w:tblPrEx>
        <w:trPr>
          <w:trHeight w:val="20" w:hRule="atLeast"/>
          <w:jc w:val="center"/>
        </w:trPr>
        <w:tc>
          <w:tcPr>
            <w:tcW w:w="2543" w:type="dxa"/>
            <w:gridSpan w:val="5"/>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项目名称</w:t>
            </w:r>
          </w:p>
        </w:tc>
        <w:tc>
          <w:tcPr>
            <w:tcW w:w="6590" w:type="dxa"/>
            <w:gridSpan w:val="9"/>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2020年区级下达格里坪镇巴关河防洪治理工程</w:t>
            </w:r>
          </w:p>
        </w:tc>
      </w:tr>
      <w:tr>
        <w:tblPrEx>
          <w:tblCellMar>
            <w:top w:w="0" w:type="dxa"/>
            <w:left w:w="0" w:type="dxa"/>
            <w:bottom w:w="0" w:type="dxa"/>
            <w:right w:w="0" w:type="dxa"/>
          </w:tblCellMar>
        </w:tblPrEx>
        <w:trPr>
          <w:trHeight w:val="382" w:hRule="atLeast"/>
          <w:jc w:val="center"/>
        </w:trPr>
        <w:tc>
          <w:tcPr>
            <w:tcW w:w="2543" w:type="dxa"/>
            <w:gridSpan w:val="5"/>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预算单位</w:t>
            </w:r>
          </w:p>
        </w:tc>
        <w:tc>
          <w:tcPr>
            <w:tcW w:w="6590" w:type="dxa"/>
            <w:gridSpan w:val="9"/>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西区水利局</w:t>
            </w:r>
          </w:p>
        </w:tc>
      </w:tr>
      <w:tr>
        <w:tblPrEx>
          <w:tblCellMar>
            <w:top w:w="0" w:type="dxa"/>
            <w:left w:w="0" w:type="dxa"/>
            <w:bottom w:w="0" w:type="dxa"/>
            <w:right w:w="0" w:type="dxa"/>
          </w:tblCellMar>
        </w:tblPrEx>
        <w:trPr>
          <w:trHeight w:val="20" w:hRule="atLeast"/>
          <w:jc w:val="center"/>
        </w:trPr>
        <w:tc>
          <w:tcPr>
            <w:tcW w:w="748" w:type="dxa"/>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预算执行情况(万元)</w:t>
            </w:r>
          </w:p>
        </w:tc>
        <w:tc>
          <w:tcPr>
            <w:tcW w:w="1795" w:type="dxa"/>
            <w:gridSpan w:val="4"/>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预算数:</w:t>
            </w:r>
          </w:p>
        </w:tc>
        <w:tc>
          <w:tcPr>
            <w:tcW w:w="2104" w:type="dxa"/>
            <w:gridSpan w:val="5"/>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67.74577</w:t>
            </w:r>
          </w:p>
        </w:tc>
        <w:tc>
          <w:tcPr>
            <w:tcW w:w="2506"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执行数:</w:t>
            </w:r>
          </w:p>
        </w:tc>
        <w:tc>
          <w:tcPr>
            <w:tcW w:w="1980"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67.74577</w:t>
            </w:r>
          </w:p>
        </w:tc>
      </w:tr>
      <w:tr>
        <w:tblPrEx>
          <w:tblCellMar>
            <w:top w:w="0" w:type="dxa"/>
            <w:left w:w="0" w:type="dxa"/>
            <w:bottom w:w="0" w:type="dxa"/>
            <w:right w:w="0" w:type="dxa"/>
          </w:tblCellMar>
        </w:tblPrEx>
        <w:trPr>
          <w:trHeight w:val="20" w:hRule="atLeast"/>
          <w:jc w:val="center"/>
        </w:trPr>
        <w:tc>
          <w:tcPr>
            <w:tcW w:w="748"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p>
        </w:tc>
        <w:tc>
          <w:tcPr>
            <w:tcW w:w="1795" w:type="dxa"/>
            <w:gridSpan w:val="4"/>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其中-财政拨款:</w:t>
            </w:r>
          </w:p>
        </w:tc>
        <w:tc>
          <w:tcPr>
            <w:tcW w:w="2104" w:type="dxa"/>
            <w:gridSpan w:val="5"/>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67.74577</w:t>
            </w:r>
          </w:p>
        </w:tc>
        <w:tc>
          <w:tcPr>
            <w:tcW w:w="2506"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其中-财政拨款:</w:t>
            </w:r>
          </w:p>
        </w:tc>
        <w:tc>
          <w:tcPr>
            <w:tcW w:w="1980"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67.74577</w:t>
            </w:r>
          </w:p>
        </w:tc>
      </w:tr>
      <w:tr>
        <w:tblPrEx>
          <w:tblCellMar>
            <w:top w:w="0" w:type="dxa"/>
            <w:left w:w="0" w:type="dxa"/>
            <w:bottom w:w="0" w:type="dxa"/>
            <w:right w:w="0" w:type="dxa"/>
          </w:tblCellMar>
        </w:tblPrEx>
        <w:trPr>
          <w:trHeight w:val="355" w:hRule="atLeast"/>
          <w:jc w:val="center"/>
        </w:trPr>
        <w:tc>
          <w:tcPr>
            <w:tcW w:w="748"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p>
        </w:tc>
        <w:tc>
          <w:tcPr>
            <w:tcW w:w="1795" w:type="dxa"/>
            <w:gridSpan w:val="4"/>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其它资金:</w:t>
            </w:r>
          </w:p>
        </w:tc>
        <w:tc>
          <w:tcPr>
            <w:tcW w:w="2104" w:type="dxa"/>
            <w:gridSpan w:val="5"/>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p>
        </w:tc>
        <w:tc>
          <w:tcPr>
            <w:tcW w:w="2506"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其它资金:</w:t>
            </w:r>
          </w:p>
        </w:tc>
        <w:tc>
          <w:tcPr>
            <w:tcW w:w="1980"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20" w:hRule="atLeast"/>
          <w:jc w:val="center"/>
        </w:trPr>
        <w:tc>
          <w:tcPr>
            <w:tcW w:w="748" w:type="dxa"/>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年度目标完成情况</w:t>
            </w:r>
          </w:p>
        </w:tc>
        <w:tc>
          <w:tcPr>
            <w:tcW w:w="3899" w:type="dxa"/>
            <w:gridSpan w:val="9"/>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预期目标</w:t>
            </w:r>
          </w:p>
        </w:tc>
        <w:tc>
          <w:tcPr>
            <w:tcW w:w="4486" w:type="dxa"/>
            <w:gridSpan w:val="4"/>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实际完成目标</w:t>
            </w:r>
          </w:p>
        </w:tc>
      </w:tr>
      <w:tr>
        <w:tblPrEx>
          <w:tblCellMar>
            <w:top w:w="0" w:type="dxa"/>
            <w:left w:w="0" w:type="dxa"/>
            <w:bottom w:w="0" w:type="dxa"/>
            <w:right w:w="0" w:type="dxa"/>
          </w:tblCellMar>
        </w:tblPrEx>
        <w:trPr>
          <w:trHeight w:val="20" w:hRule="atLeast"/>
          <w:jc w:val="center"/>
        </w:trPr>
        <w:tc>
          <w:tcPr>
            <w:tcW w:w="748"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p>
        </w:tc>
        <w:tc>
          <w:tcPr>
            <w:tcW w:w="3899" w:type="dxa"/>
            <w:gridSpan w:val="9"/>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67.74577万元</w:t>
            </w:r>
          </w:p>
        </w:tc>
        <w:tc>
          <w:tcPr>
            <w:tcW w:w="4486" w:type="dxa"/>
            <w:gridSpan w:val="4"/>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67.74577万元</w:t>
            </w:r>
          </w:p>
        </w:tc>
      </w:tr>
      <w:tr>
        <w:tblPrEx>
          <w:tblCellMar>
            <w:top w:w="0" w:type="dxa"/>
            <w:left w:w="0" w:type="dxa"/>
            <w:bottom w:w="0" w:type="dxa"/>
            <w:right w:w="0" w:type="dxa"/>
          </w:tblCellMar>
        </w:tblPrEx>
        <w:trPr>
          <w:trHeight w:val="20" w:hRule="atLeast"/>
          <w:jc w:val="center"/>
        </w:trPr>
        <w:tc>
          <w:tcPr>
            <w:tcW w:w="748" w:type="dxa"/>
            <w:vMerge w:val="restart"/>
            <w:tcBorders>
              <w:top w:val="single" w:color="000000" w:sz="4" w:space="0"/>
              <w:left w:val="single" w:color="000000" w:sz="4" w:space="0"/>
              <w:bottom w:val="nil"/>
              <w:right w:val="single" w:color="000000" w:sz="4" w:space="0"/>
              <w:tl2br w:val="nil"/>
              <w:tr2bl w:val="nil"/>
            </w:tcBorders>
            <w:noWrap/>
            <w:tcMar>
              <w:top w:w="15" w:type="dxa"/>
              <w:left w:w="15" w:type="dxa"/>
              <w:right w:w="15" w:type="dxa"/>
            </w:tcMar>
            <w:textDirection w:val="tbRlV"/>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绩效指标完成情况</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一级指标</w:t>
            </w:r>
          </w:p>
        </w:tc>
        <w:tc>
          <w:tcPr>
            <w:tcW w:w="1171" w:type="dxa"/>
            <w:gridSpan w:val="4"/>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二级指标</w:t>
            </w:r>
          </w:p>
        </w:tc>
        <w:tc>
          <w:tcPr>
            <w:tcW w:w="1551"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三级</w:t>
            </w:r>
          </w:p>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指标</w:t>
            </w:r>
          </w:p>
        </w:tc>
        <w:tc>
          <w:tcPr>
            <w:tcW w:w="2506"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预期指标值(包含数字及文字描述)</w:t>
            </w:r>
          </w:p>
        </w:tc>
        <w:tc>
          <w:tcPr>
            <w:tcW w:w="1980"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实际完成指标值(包含数字及文字描述)</w:t>
            </w:r>
          </w:p>
        </w:tc>
      </w:tr>
      <w:tr>
        <w:tblPrEx>
          <w:tblCellMar>
            <w:top w:w="0" w:type="dxa"/>
            <w:left w:w="0" w:type="dxa"/>
            <w:bottom w:w="0" w:type="dxa"/>
            <w:right w:w="0" w:type="dxa"/>
          </w:tblCellMar>
        </w:tblPrEx>
        <w:trPr>
          <w:trHeight w:val="20" w:hRule="atLeast"/>
          <w:jc w:val="center"/>
        </w:trPr>
        <w:tc>
          <w:tcPr>
            <w:tcW w:w="748" w:type="dxa"/>
            <w:vMerge w:val="continue"/>
            <w:tcBorders>
              <w:top w:val="nil"/>
              <w:left w:val="single" w:color="000000" w:sz="4" w:space="0"/>
              <w:bottom w:val="nil"/>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项目完成指标</w:t>
            </w:r>
          </w:p>
        </w:tc>
        <w:tc>
          <w:tcPr>
            <w:tcW w:w="1171" w:type="dxa"/>
            <w:gridSpan w:val="4"/>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数量指标</w:t>
            </w:r>
          </w:p>
        </w:tc>
        <w:tc>
          <w:tcPr>
            <w:tcW w:w="1551"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水利项目数</w:t>
            </w:r>
          </w:p>
        </w:tc>
        <w:tc>
          <w:tcPr>
            <w:tcW w:w="2506"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1个</w:t>
            </w:r>
          </w:p>
        </w:tc>
        <w:tc>
          <w:tcPr>
            <w:tcW w:w="1980"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1个</w:t>
            </w:r>
          </w:p>
        </w:tc>
      </w:tr>
      <w:tr>
        <w:tblPrEx>
          <w:tblCellMar>
            <w:top w:w="0" w:type="dxa"/>
            <w:left w:w="0" w:type="dxa"/>
            <w:bottom w:w="0" w:type="dxa"/>
            <w:right w:w="0" w:type="dxa"/>
          </w:tblCellMar>
        </w:tblPrEx>
        <w:trPr>
          <w:trHeight w:val="20" w:hRule="atLeast"/>
          <w:jc w:val="center"/>
        </w:trPr>
        <w:tc>
          <w:tcPr>
            <w:tcW w:w="748" w:type="dxa"/>
            <w:vMerge w:val="continue"/>
            <w:tcBorders>
              <w:top w:val="nil"/>
              <w:left w:val="single" w:color="000000" w:sz="4" w:space="0"/>
              <w:bottom w:val="nil"/>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项目完成指标</w:t>
            </w:r>
          </w:p>
        </w:tc>
        <w:tc>
          <w:tcPr>
            <w:tcW w:w="1171" w:type="dxa"/>
            <w:gridSpan w:val="4"/>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质量指标</w:t>
            </w:r>
          </w:p>
        </w:tc>
        <w:tc>
          <w:tcPr>
            <w:tcW w:w="1551"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项目验收</w:t>
            </w:r>
          </w:p>
        </w:tc>
        <w:tc>
          <w:tcPr>
            <w:tcW w:w="2506"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合格</w:t>
            </w:r>
          </w:p>
        </w:tc>
        <w:tc>
          <w:tcPr>
            <w:tcW w:w="1980"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合格</w:t>
            </w:r>
          </w:p>
        </w:tc>
      </w:tr>
      <w:tr>
        <w:tblPrEx>
          <w:tblCellMar>
            <w:top w:w="0" w:type="dxa"/>
            <w:left w:w="0" w:type="dxa"/>
            <w:bottom w:w="0" w:type="dxa"/>
            <w:right w:w="0" w:type="dxa"/>
          </w:tblCellMar>
        </w:tblPrEx>
        <w:trPr>
          <w:trHeight w:val="20" w:hRule="atLeast"/>
          <w:jc w:val="center"/>
        </w:trPr>
        <w:tc>
          <w:tcPr>
            <w:tcW w:w="748" w:type="dxa"/>
            <w:vMerge w:val="continue"/>
            <w:tcBorders>
              <w:top w:val="nil"/>
              <w:left w:val="single" w:color="000000" w:sz="4" w:space="0"/>
              <w:bottom w:val="nil"/>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项目完成指标</w:t>
            </w:r>
          </w:p>
        </w:tc>
        <w:tc>
          <w:tcPr>
            <w:tcW w:w="1171" w:type="dxa"/>
            <w:gridSpan w:val="4"/>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时效指标</w:t>
            </w:r>
          </w:p>
        </w:tc>
        <w:tc>
          <w:tcPr>
            <w:tcW w:w="1551"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2020年</w:t>
            </w:r>
          </w:p>
        </w:tc>
        <w:tc>
          <w:tcPr>
            <w:tcW w:w="2506"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2020年全年</w:t>
            </w:r>
          </w:p>
        </w:tc>
        <w:tc>
          <w:tcPr>
            <w:tcW w:w="1980"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已完成</w:t>
            </w:r>
          </w:p>
        </w:tc>
      </w:tr>
      <w:tr>
        <w:tblPrEx>
          <w:tblCellMar>
            <w:top w:w="0" w:type="dxa"/>
            <w:left w:w="0" w:type="dxa"/>
            <w:bottom w:w="0" w:type="dxa"/>
            <w:right w:w="0" w:type="dxa"/>
          </w:tblCellMar>
        </w:tblPrEx>
        <w:trPr>
          <w:trHeight w:val="20" w:hRule="atLeast"/>
          <w:jc w:val="center"/>
        </w:trPr>
        <w:tc>
          <w:tcPr>
            <w:tcW w:w="748" w:type="dxa"/>
            <w:vMerge w:val="continue"/>
            <w:tcBorders>
              <w:top w:val="nil"/>
              <w:left w:val="single" w:color="000000" w:sz="4" w:space="0"/>
              <w:bottom w:val="nil"/>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项目完成指标</w:t>
            </w:r>
          </w:p>
        </w:tc>
        <w:tc>
          <w:tcPr>
            <w:tcW w:w="1171" w:type="dxa"/>
            <w:gridSpan w:val="4"/>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成本指标</w:t>
            </w:r>
          </w:p>
        </w:tc>
        <w:tc>
          <w:tcPr>
            <w:tcW w:w="1551"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67.74577万元</w:t>
            </w:r>
          </w:p>
        </w:tc>
        <w:tc>
          <w:tcPr>
            <w:tcW w:w="2506"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≤100%，根据实际产生费而定。</w:t>
            </w:r>
          </w:p>
        </w:tc>
        <w:tc>
          <w:tcPr>
            <w:tcW w:w="1980"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67.74577万元</w:t>
            </w:r>
          </w:p>
        </w:tc>
      </w:tr>
      <w:tr>
        <w:tblPrEx>
          <w:tblCellMar>
            <w:top w:w="0" w:type="dxa"/>
            <w:left w:w="0" w:type="dxa"/>
            <w:bottom w:w="0" w:type="dxa"/>
            <w:right w:w="0" w:type="dxa"/>
          </w:tblCellMar>
        </w:tblPrEx>
        <w:trPr>
          <w:trHeight w:val="20" w:hRule="atLeast"/>
          <w:jc w:val="center"/>
        </w:trPr>
        <w:tc>
          <w:tcPr>
            <w:tcW w:w="748" w:type="dxa"/>
            <w:vMerge w:val="continue"/>
            <w:tcBorders>
              <w:top w:val="nil"/>
              <w:left w:val="single" w:color="000000" w:sz="4" w:space="0"/>
              <w:bottom w:val="nil"/>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效益指标</w:t>
            </w:r>
          </w:p>
        </w:tc>
        <w:tc>
          <w:tcPr>
            <w:tcW w:w="1171" w:type="dxa"/>
            <w:gridSpan w:val="4"/>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社会效益</w:t>
            </w:r>
          </w:p>
        </w:tc>
        <w:tc>
          <w:tcPr>
            <w:tcW w:w="1551"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保护河道两边人口及农作物</w:t>
            </w:r>
          </w:p>
        </w:tc>
        <w:tc>
          <w:tcPr>
            <w:tcW w:w="2506"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保护河道2km沿岸人民生命财产安全</w:t>
            </w:r>
          </w:p>
        </w:tc>
        <w:tc>
          <w:tcPr>
            <w:tcW w:w="1980"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已完成</w:t>
            </w:r>
          </w:p>
        </w:tc>
      </w:tr>
      <w:tr>
        <w:tblPrEx>
          <w:tblCellMar>
            <w:top w:w="0" w:type="dxa"/>
            <w:left w:w="0" w:type="dxa"/>
            <w:bottom w:w="0" w:type="dxa"/>
            <w:right w:w="0" w:type="dxa"/>
          </w:tblCellMar>
        </w:tblPrEx>
        <w:trPr>
          <w:trHeight w:val="20" w:hRule="atLeast"/>
          <w:jc w:val="center"/>
        </w:trPr>
        <w:tc>
          <w:tcPr>
            <w:tcW w:w="748" w:type="dxa"/>
            <w:vMerge w:val="continue"/>
            <w:tcBorders>
              <w:top w:val="nil"/>
              <w:left w:val="single" w:color="000000" w:sz="4" w:space="0"/>
              <w:bottom w:val="nil"/>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效益指标</w:t>
            </w:r>
          </w:p>
        </w:tc>
        <w:tc>
          <w:tcPr>
            <w:tcW w:w="1171" w:type="dxa"/>
            <w:gridSpan w:val="4"/>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生态效益</w:t>
            </w:r>
          </w:p>
        </w:tc>
        <w:tc>
          <w:tcPr>
            <w:tcW w:w="1551"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改善河道生态环境</w:t>
            </w:r>
          </w:p>
        </w:tc>
        <w:tc>
          <w:tcPr>
            <w:tcW w:w="2506"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改善2km河道生态环境</w:t>
            </w:r>
          </w:p>
        </w:tc>
        <w:tc>
          <w:tcPr>
            <w:tcW w:w="1980"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2公里</w:t>
            </w:r>
          </w:p>
        </w:tc>
      </w:tr>
      <w:tr>
        <w:tblPrEx>
          <w:tblCellMar>
            <w:top w:w="0" w:type="dxa"/>
            <w:left w:w="0" w:type="dxa"/>
            <w:bottom w:w="0" w:type="dxa"/>
            <w:right w:w="0" w:type="dxa"/>
          </w:tblCellMar>
        </w:tblPrEx>
        <w:trPr>
          <w:trHeight w:val="20" w:hRule="atLeast"/>
          <w:jc w:val="center"/>
        </w:trPr>
        <w:tc>
          <w:tcPr>
            <w:tcW w:w="748" w:type="dxa"/>
            <w:vMerge w:val="continue"/>
            <w:tcBorders>
              <w:top w:val="nil"/>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满意度指标</w:t>
            </w:r>
          </w:p>
        </w:tc>
        <w:tc>
          <w:tcPr>
            <w:tcW w:w="1171" w:type="dxa"/>
            <w:gridSpan w:val="4"/>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服务对象满意度指标</w:t>
            </w:r>
          </w:p>
        </w:tc>
        <w:tc>
          <w:tcPr>
            <w:tcW w:w="1551"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受益群众满意度</w:t>
            </w:r>
          </w:p>
        </w:tc>
        <w:tc>
          <w:tcPr>
            <w:tcW w:w="2506"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大于90%</w:t>
            </w:r>
          </w:p>
        </w:tc>
        <w:tc>
          <w:tcPr>
            <w:tcW w:w="1980"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已完成</w:t>
            </w:r>
          </w:p>
        </w:tc>
      </w:tr>
      <w:tr>
        <w:tblPrEx>
          <w:tblCellMar>
            <w:top w:w="0" w:type="dxa"/>
            <w:left w:w="0" w:type="dxa"/>
            <w:bottom w:w="0" w:type="dxa"/>
            <w:right w:w="0" w:type="dxa"/>
          </w:tblCellMar>
        </w:tblPrEx>
        <w:trPr>
          <w:gridAfter w:val="1"/>
          <w:wAfter w:w="297" w:type="dxa"/>
          <w:trHeight w:val="20" w:hRule="atLeast"/>
          <w:jc w:val="center"/>
        </w:trPr>
        <w:tc>
          <w:tcPr>
            <w:tcW w:w="8336" w:type="dxa"/>
            <w:gridSpan w:val="13"/>
            <w:tcBorders>
              <w:top w:val="nil"/>
              <w:left w:val="nil"/>
              <w:bottom w:val="nil"/>
              <w:right w:val="nil"/>
              <w:tl2br w:val="nil"/>
              <w:tr2bl w:val="nil"/>
            </w:tcBorders>
            <w:noWrap/>
            <w:tcMar>
              <w:top w:w="15" w:type="dxa"/>
              <w:left w:w="15" w:type="dxa"/>
              <w:right w:w="15" w:type="dxa"/>
            </w:tcMar>
            <w:vAlign w:val="center"/>
          </w:tcPr>
          <w:p>
            <w:pPr>
              <w:widowControl/>
              <w:spacing w:line="560" w:lineRule="exact"/>
              <w:jc w:val="center"/>
              <w:textAlignment w:val="center"/>
              <w:rPr>
                <w:rFonts w:hint="eastAsia" w:eastAsia="仿宋_GB2312"/>
                <w:sz w:val="32"/>
                <w:szCs w:val="32"/>
                <w:lang w:eastAsia="zh-CN"/>
              </w:rPr>
            </w:pPr>
            <w:r>
              <w:rPr>
                <w:rFonts w:hint="eastAsia" w:eastAsia="仿宋_GB2312"/>
                <w:sz w:val="32"/>
                <w:szCs w:val="32"/>
              </w:rPr>
              <w:t>项目绩效目标完成情况表</w:t>
            </w:r>
          </w:p>
          <w:p>
            <w:pPr>
              <w:widowControl/>
              <w:spacing w:line="560" w:lineRule="exact"/>
              <w:jc w:val="center"/>
              <w:textAlignment w:val="center"/>
              <w:rPr>
                <w:rFonts w:eastAsia="仿宋_GB2312"/>
                <w:sz w:val="32"/>
                <w:szCs w:val="32"/>
              </w:rPr>
            </w:pPr>
            <w:r>
              <w:rPr>
                <w:rFonts w:hint="eastAsia" w:eastAsia="仿宋_GB2312"/>
                <w:sz w:val="32"/>
                <w:szCs w:val="32"/>
              </w:rPr>
              <w:t>(2020年度)</w:t>
            </w:r>
          </w:p>
        </w:tc>
      </w:tr>
      <w:tr>
        <w:tblPrEx>
          <w:tblCellMar>
            <w:top w:w="0" w:type="dxa"/>
            <w:left w:w="0" w:type="dxa"/>
            <w:bottom w:w="0" w:type="dxa"/>
            <w:right w:w="0" w:type="dxa"/>
          </w:tblCellMar>
        </w:tblPrEx>
        <w:trPr>
          <w:gridAfter w:val="1"/>
          <w:wAfter w:w="297" w:type="dxa"/>
          <w:trHeight w:val="20" w:hRule="atLeast"/>
          <w:jc w:val="center"/>
        </w:trPr>
        <w:tc>
          <w:tcPr>
            <w:tcW w:w="2765" w:type="dxa"/>
            <w:gridSpan w:val="6"/>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项目名称</w:t>
            </w:r>
          </w:p>
        </w:tc>
        <w:tc>
          <w:tcPr>
            <w:tcW w:w="5571" w:type="dxa"/>
            <w:gridSpan w:val="7"/>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下达水资源节约和保护专项资金</w:t>
            </w:r>
          </w:p>
        </w:tc>
      </w:tr>
      <w:tr>
        <w:tblPrEx>
          <w:tblCellMar>
            <w:top w:w="0" w:type="dxa"/>
            <w:left w:w="0" w:type="dxa"/>
            <w:bottom w:w="0" w:type="dxa"/>
            <w:right w:w="0" w:type="dxa"/>
          </w:tblCellMar>
        </w:tblPrEx>
        <w:trPr>
          <w:gridAfter w:val="1"/>
          <w:wAfter w:w="297" w:type="dxa"/>
          <w:trHeight w:val="382" w:hRule="atLeast"/>
          <w:jc w:val="center"/>
        </w:trPr>
        <w:tc>
          <w:tcPr>
            <w:tcW w:w="2765" w:type="dxa"/>
            <w:gridSpan w:val="6"/>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预算单位</w:t>
            </w:r>
          </w:p>
        </w:tc>
        <w:tc>
          <w:tcPr>
            <w:tcW w:w="5571" w:type="dxa"/>
            <w:gridSpan w:val="7"/>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西区水利局</w:t>
            </w:r>
          </w:p>
        </w:tc>
      </w:tr>
      <w:tr>
        <w:tblPrEx>
          <w:tblCellMar>
            <w:top w:w="0" w:type="dxa"/>
            <w:left w:w="0" w:type="dxa"/>
            <w:bottom w:w="0" w:type="dxa"/>
            <w:right w:w="0" w:type="dxa"/>
          </w:tblCellMar>
        </w:tblPrEx>
        <w:trPr>
          <w:gridAfter w:val="1"/>
          <w:wAfter w:w="297" w:type="dxa"/>
          <w:trHeight w:val="20" w:hRule="atLeast"/>
          <w:jc w:val="center"/>
        </w:trPr>
        <w:tc>
          <w:tcPr>
            <w:tcW w:w="891"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预算执行情况(万元)</w:t>
            </w:r>
          </w:p>
        </w:tc>
        <w:tc>
          <w:tcPr>
            <w:tcW w:w="1717" w:type="dxa"/>
            <w:gridSpan w:val="4"/>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预算数:</w:t>
            </w:r>
          </w:p>
        </w:tc>
        <w:tc>
          <w:tcPr>
            <w:tcW w:w="1251"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570.377695</w:t>
            </w:r>
          </w:p>
        </w:tc>
        <w:tc>
          <w:tcPr>
            <w:tcW w:w="2027"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执行数:</w:t>
            </w:r>
          </w:p>
        </w:tc>
        <w:tc>
          <w:tcPr>
            <w:tcW w:w="2293"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189.934157</w:t>
            </w:r>
          </w:p>
        </w:tc>
      </w:tr>
      <w:tr>
        <w:tblPrEx>
          <w:tblCellMar>
            <w:top w:w="0" w:type="dxa"/>
            <w:left w:w="0" w:type="dxa"/>
            <w:bottom w:w="0" w:type="dxa"/>
            <w:right w:w="0" w:type="dxa"/>
          </w:tblCellMar>
        </w:tblPrEx>
        <w:trPr>
          <w:gridAfter w:val="1"/>
          <w:wAfter w:w="297" w:type="dxa"/>
          <w:trHeight w:val="20" w:hRule="atLeast"/>
          <w:jc w:val="center"/>
        </w:trPr>
        <w:tc>
          <w:tcPr>
            <w:tcW w:w="89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p>
        </w:tc>
        <w:tc>
          <w:tcPr>
            <w:tcW w:w="1717" w:type="dxa"/>
            <w:gridSpan w:val="4"/>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其中-财政拨款:</w:t>
            </w:r>
          </w:p>
        </w:tc>
        <w:tc>
          <w:tcPr>
            <w:tcW w:w="1251"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570.377695</w:t>
            </w:r>
          </w:p>
        </w:tc>
        <w:tc>
          <w:tcPr>
            <w:tcW w:w="2027"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其中-财政拨款:</w:t>
            </w:r>
          </w:p>
        </w:tc>
        <w:tc>
          <w:tcPr>
            <w:tcW w:w="2293"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189.934157</w:t>
            </w:r>
          </w:p>
        </w:tc>
      </w:tr>
      <w:tr>
        <w:tblPrEx>
          <w:tblCellMar>
            <w:top w:w="0" w:type="dxa"/>
            <w:left w:w="0" w:type="dxa"/>
            <w:bottom w:w="0" w:type="dxa"/>
            <w:right w:w="0" w:type="dxa"/>
          </w:tblCellMar>
        </w:tblPrEx>
        <w:trPr>
          <w:gridAfter w:val="1"/>
          <w:wAfter w:w="297" w:type="dxa"/>
          <w:trHeight w:val="20" w:hRule="atLeast"/>
          <w:jc w:val="center"/>
        </w:trPr>
        <w:tc>
          <w:tcPr>
            <w:tcW w:w="89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p>
        </w:tc>
        <w:tc>
          <w:tcPr>
            <w:tcW w:w="1717" w:type="dxa"/>
            <w:gridSpan w:val="4"/>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其它资金:</w:t>
            </w:r>
          </w:p>
        </w:tc>
        <w:tc>
          <w:tcPr>
            <w:tcW w:w="1251"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p>
        </w:tc>
        <w:tc>
          <w:tcPr>
            <w:tcW w:w="2027"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其它资金:</w:t>
            </w:r>
          </w:p>
        </w:tc>
        <w:tc>
          <w:tcPr>
            <w:tcW w:w="2293"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p>
        </w:tc>
      </w:tr>
      <w:tr>
        <w:tblPrEx>
          <w:tblCellMar>
            <w:top w:w="0" w:type="dxa"/>
            <w:left w:w="0" w:type="dxa"/>
            <w:bottom w:w="0" w:type="dxa"/>
            <w:right w:w="0" w:type="dxa"/>
          </w:tblCellMar>
        </w:tblPrEx>
        <w:trPr>
          <w:gridAfter w:val="1"/>
          <w:wAfter w:w="297" w:type="dxa"/>
          <w:trHeight w:val="20" w:hRule="atLeast"/>
          <w:jc w:val="center"/>
        </w:trPr>
        <w:tc>
          <w:tcPr>
            <w:tcW w:w="891"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年度目标完成情况</w:t>
            </w:r>
          </w:p>
        </w:tc>
        <w:tc>
          <w:tcPr>
            <w:tcW w:w="3430" w:type="dxa"/>
            <w:gridSpan w:val="7"/>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预期目标</w:t>
            </w:r>
          </w:p>
        </w:tc>
        <w:tc>
          <w:tcPr>
            <w:tcW w:w="4320" w:type="dxa"/>
            <w:gridSpan w:val="4"/>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实际完成目标</w:t>
            </w:r>
          </w:p>
        </w:tc>
      </w:tr>
      <w:tr>
        <w:tblPrEx>
          <w:tblCellMar>
            <w:top w:w="0" w:type="dxa"/>
            <w:left w:w="0" w:type="dxa"/>
            <w:bottom w:w="0" w:type="dxa"/>
            <w:right w:w="0" w:type="dxa"/>
          </w:tblCellMar>
        </w:tblPrEx>
        <w:trPr>
          <w:gridAfter w:val="1"/>
          <w:wAfter w:w="297" w:type="dxa"/>
          <w:trHeight w:val="20" w:hRule="atLeast"/>
          <w:jc w:val="center"/>
        </w:trPr>
        <w:tc>
          <w:tcPr>
            <w:tcW w:w="89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p>
        </w:tc>
        <w:tc>
          <w:tcPr>
            <w:tcW w:w="3430" w:type="dxa"/>
            <w:gridSpan w:val="7"/>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570.377695万元</w:t>
            </w:r>
          </w:p>
        </w:tc>
        <w:tc>
          <w:tcPr>
            <w:tcW w:w="4320" w:type="dxa"/>
            <w:gridSpan w:val="4"/>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189.934157万元</w:t>
            </w:r>
          </w:p>
        </w:tc>
      </w:tr>
      <w:tr>
        <w:tblPrEx>
          <w:tblCellMar>
            <w:top w:w="0" w:type="dxa"/>
            <w:left w:w="0" w:type="dxa"/>
            <w:bottom w:w="0" w:type="dxa"/>
            <w:right w:w="0" w:type="dxa"/>
          </w:tblCellMar>
        </w:tblPrEx>
        <w:trPr>
          <w:gridAfter w:val="1"/>
          <w:wAfter w:w="297" w:type="dxa"/>
          <w:trHeight w:val="20" w:hRule="atLeast"/>
          <w:jc w:val="center"/>
        </w:trPr>
        <w:tc>
          <w:tcPr>
            <w:tcW w:w="891" w:type="dxa"/>
            <w:gridSpan w:val="2"/>
            <w:vMerge w:val="restart"/>
            <w:tcBorders>
              <w:top w:val="single" w:color="000000" w:sz="4" w:space="0"/>
              <w:left w:val="single" w:color="000000" w:sz="4" w:space="0"/>
              <w:bottom w:val="nil"/>
              <w:right w:val="single" w:color="000000" w:sz="4" w:space="0"/>
              <w:tl2br w:val="nil"/>
              <w:tr2bl w:val="nil"/>
            </w:tcBorders>
            <w:noWrap/>
            <w:tcMar>
              <w:top w:w="15" w:type="dxa"/>
              <w:left w:w="15" w:type="dxa"/>
              <w:right w:w="15" w:type="dxa"/>
            </w:tcMar>
            <w:textDirection w:val="tbRlV"/>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绩效指标完成情况</w:t>
            </w:r>
          </w:p>
        </w:tc>
        <w:tc>
          <w:tcPr>
            <w:tcW w:w="1146"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一级指标</w:t>
            </w:r>
          </w:p>
        </w:tc>
        <w:tc>
          <w:tcPr>
            <w:tcW w:w="1228" w:type="dxa"/>
            <w:gridSpan w:val="4"/>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二级指标</w:t>
            </w:r>
          </w:p>
        </w:tc>
        <w:tc>
          <w:tcPr>
            <w:tcW w:w="125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三级</w:t>
            </w:r>
          </w:p>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指标</w:t>
            </w:r>
          </w:p>
        </w:tc>
        <w:tc>
          <w:tcPr>
            <w:tcW w:w="2027"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预期指标值(包含数字及文字描述)</w:t>
            </w:r>
          </w:p>
        </w:tc>
        <w:tc>
          <w:tcPr>
            <w:tcW w:w="2293"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实际完成指标值(包含数字及文字描述)</w:t>
            </w:r>
          </w:p>
        </w:tc>
      </w:tr>
      <w:tr>
        <w:tblPrEx>
          <w:tblCellMar>
            <w:top w:w="0" w:type="dxa"/>
            <w:left w:w="0" w:type="dxa"/>
            <w:bottom w:w="0" w:type="dxa"/>
            <w:right w:w="0" w:type="dxa"/>
          </w:tblCellMar>
        </w:tblPrEx>
        <w:trPr>
          <w:gridAfter w:val="1"/>
          <w:wAfter w:w="297" w:type="dxa"/>
          <w:trHeight w:val="20" w:hRule="atLeast"/>
          <w:jc w:val="center"/>
        </w:trPr>
        <w:tc>
          <w:tcPr>
            <w:tcW w:w="891" w:type="dxa"/>
            <w:gridSpan w:val="2"/>
            <w:vMerge w:val="continue"/>
            <w:tcBorders>
              <w:top w:val="nil"/>
              <w:left w:val="single" w:color="000000" w:sz="4" w:space="0"/>
              <w:bottom w:val="nil"/>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p>
        </w:tc>
        <w:tc>
          <w:tcPr>
            <w:tcW w:w="1146"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项目完成指标</w:t>
            </w:r>
          </w:p>
        </w:tc>
        <w:tc>
          <w:tcPr>
            <w:tcW w:w="1228" w:type="dxa"/>
            <w:gridSpan w:val="4"/>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数量指标</w:t>
            </w:r>
          </w:p>
        </w:tc>
        <w:tc>
          <w:tcPr>
            <w:tcW w:w="125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水利项目数</w:t>
            </w:r>
          </w:p>
        </w:tc>
        <w:tc>
          <w:tcPr>
            <w:tcW w:w="2027"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2个</w:t>
            </w:r>
          </w:p>
        </w:tc>
        <w:tc>
          <w:tcPr>
            <w:tcW w:w="2293"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2个</w:t>
            </w:r>
          </w:p>
        </w:tc>
      </w:tr>
      <w:tr>
        <w:tblPrEx>
          <w:tblCellMar>
            <w:top w:w="0" w:type="dxa"/>
            <w:left w:w="0" w:type="dxa"/>
            <w:bottom w:w="0" w:type="dxa"/>
            <w:right w:w="0" w:type="dxa"/>
          </w:tblCellMar>
        </w:tblPrEx>
        <w:trPr>
          <w:gridAfter w:val="1"/>
          <w:wAfter w:w="297" w:type="dxa"/>
          <w:trHeight w:val="20" w:hRule="atLeast"/>
          <w:jc w:val="center"/>
        </w:trPr>
        <w:tc>
          <w:tcPr>
            <w:tcW w:w="891" w:type="dxa"/>
            <w:gridSpan w:val="2"/>
            <w:vMerge w:val="continue"/>
            <w:tcBorders>
              <w:top w:val="nil"/>
              <w:left w:val="single" w:color="000000" w:sz="4" w:space="0"/>
              <w:bottom w:val="nil"/>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p>
        </w:tc>
        <w:tc>
          <w:tcPr>
            <w:tcW w:w="1146"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项目完成指标</w:t>
            </w:r>
          </w:p>
        </w:tc>
        <w:tc>
          <w:tcPr>
            <w:tcW w:w="1228" w:type="dxa"/>
            <w:gridSpan w:val="4"/>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质量指标</w:t>
            </w:r>
          </w:p>
        </w:tc>
        <w:tc>
          <w:tcPr>
            <w:tcW w:w="125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项目验收</w:t>
            </w:r>
          </w:p>
        </w:tc>
        <w:tc>
          <w:tcPr>
            <w:tcW w:w="2027"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合格</w:t>
            </w:r>
          </w:p>
        </w:tc>
        <w:tc>
          <w:tcPr>
            <w:tcW w:w="2293"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合格</w:t>
            </w:r>
          </w:p>
        </w:tc>
      </w:tr>
      <w:tr>
        <w:tblPrEx>
          <w:tblCellMar>
            <w:top w:w="0" w:type="dxa"/>
            <w:left w:w="0" w:type="dxa"/>
            <w:bottom w:w="0" w:type="dxa"/>
            <w:right w:w="0" w:type="dxa"/>
          </w:tblCellMar>
        </w:tblPrEx>
        <w:trPr>
          <w:gridAfter w:val="1"/>
          <w:wAfter w:w="297" w:type="dxa"/>
          <w:trHeight w:val="20" w:hRule="atLeast"/>
          <w:jc w:val="center"/>
        </w:trPr>
        <w:tc>
          <w:tcPr>
            <w:tcW w:w="891" w:type="dxa"/>
            <w:gridSpan w:val="2"/>
            <w:vMerge w:val="continue"/>
            <w:tcBorders>
              <w:top w:val="nil"/>
              <w:left w:val="single" w:color="000000" w:sz="4" w:space="0"/>
              <w:bottom w:val="nil"/>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p>
        </w:tc>
        <w:tc>
          <w:tcPr>
            <w:tcW w:w="1146"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项目完成指标</w:t>
            </w:r>
          </w:p>
        </w:tc>
        <w:tc>
          <w:tcPr>
            <w:tcW w:w="1228" w:type="dxa"/>
            <w:gridSpan w:val="4"/>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时效指标</w:t>
            </w:r>
          </w:p>
        </w:tc>
        <w:tc>
          <w:tcPr>
            <w:tcW w:w="125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2020年</w:t>
            </w:r>
          </w:p>
        </w:tc>
        <w:tc>
          <w:tcPr>
            <w:tcW w:w="2027"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2020年全年</w:t>
            </w:r>
          </w:p>
        </w:tc>
        <w:tc>
          <w:tcPr>
            <w:tcW w:w="2293"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已完成</w:t>
            </w:r>
          </w:p>
        </w:tc>
      </w:tr>
      <w:tr>
        <w:tblPrEx>
          <w:tblCellMar>
            <w:top w:w="0" w:type="dxa"/>
            <w:left w:w="0" w:type="dxa"/>
            <w:bottom w:w="0" w:type="dxa"/>
            <w:right w:w="0" w:type="dxa"/>
          </w:tblCellMar>
        </w:tblPrEx>
        <w:trPr>
          <w:gridAfter w:val="1"/>
          <w:wAfter w:w="297" w:type="dxa"/>
          <w:trHeight w:val="20" w:hRule="atLeast"/>
          <w:jc w:val="center"/>
        </w:trPr>
        <w:tc>
          <w:tcPr>
            <w:tcW w:w="891" w:type="dxa"/>
            <w:gridSpan w:val="2"/>
            <w:vMerge w:val="continue"/>
            <w:tcBorders>
              <w:top w:val="nil"/>
              <w:left w:val="single" w:color="000000" w:sz="4" w:space="0"/>
              <w:bottom w:val="nil"/>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p>
        </w:tc>
        <w:tc>
          <w:tcPr>
            <w:tcW w:w="1146"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项目完成指标</w:t>
            </w:r>
          </w:p>
        </w:tc>
        <w:tc>
          <w:tcPr>
            <w:tcW w:w="1228" w:type="dxa"/>
            <w:gridSpan w:val="4"/>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成本指标</w:t>
            </w:r>
          </w:p>
        </w:tc>
        <w:tc>
          <w:tcPr>
            <w:tcW w:w="125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570.377695万元</w:t>
            </w:r>
          </w:p>
        </w:tc>
        <w:tc>
          <w:tcPr>
            <w:tcW w:w="2027"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≤100%，根据实际产生费而定。</w:t>
            </w:r>
          </w:p>
        </w:tc>
        <w:tc>
          <w:tcPr>
            <w:tcW w:w="2293"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189.934157万元</w:t>
            </w:r>
          </w:p>
        </w:tc>
      </w:tr>
      <w:tr>
        <w:tblPrEx>
          <w:tblCellMar>
            <w:top w:w="0" w:type="dxa"/>
            <w:left w:w="0" w:type="dxa"/>
            <w:bottom w:w="0" w:type="dxa"/>
            <w:right w:w="0" w:type="dxa"/>
          </w:tblCellMar>
        </w:tblPrEx>
        <w:trPr>
          <w:gridAfter w:val="1"/>
          <w:wAfter w:w="297" w:type="dxa"/>
          <w:trHeight w:val="20" w:hRule="atLeast"/>
          <w:jc w:val="center"/>
        </w:trPr>
        <w:tc>
          <w:tcPr>
            <w:tcW w:w="891" w:type="dxa"/>
            <w:gridSpan w:val="2"/>
            <w:vMerge w:val="continue"/>
            <w:tcBorders>
              <w:top w:val="nil"/>
              <w:left w:val="single" w:color="000000" w:sz="4" w:space="0"/>
              <w:bottom w:val="nil"/>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p>
        </w:tc>
        <w:tc>
          <w:tcPr>
            <w:tcW w:w="1146"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效益指标</w:t>
            </w:r>
          </w:p>
        </w:tc>
        <w:tc>
          <w:tcPr>
            <w:tcW w:w="1228" w:type="dxa"/>
            <w:gridSpan w:val="4"/>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社会效益</w:t>
            </w:r>
          </w:p>
        </w:tc>
        <w:tc>
          <w:tcPr>
            <w:tcW w:w="125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促进项目区稳定和谐</w:t>
            </w:r>
          </w:p>
        </w:tc>
        <w:tc>
          <w:tcPr>
            <w:tcW w:w="2027"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发展节水灌溉，促进农民增收</w:t>
            </w:r>
          </w:p>
        </w:tc>
        <w:tc>
          <w:tcPr>
            <w:tcW w:w="2293"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已完成</w:t>
            </w:r>
          </w:p>
        </w:tc>
      </w:tr>
      <w:tr>
        <w:tblPrEx>
          <w:tblCellMar>
            <w:top w:w="0" w:type="dxa"/>
            <w:left w:w="0" w:type="dxa"/>
            <w:bottom w:w="0" w:type="dxa"/>
            <w:right w:w="0" w:type="dxa"/>
          </w:tblCellMar>
        </w:tblPrEx>
        <w:trPr>
          <w:gridAfter w:val="1"/>
          <w:wAfter w:w="297" w:type="dxa"/>
          <w:trHeight w:val="20" w:hRule="atLeast"/>
          <w:jc w:val="center"/>
        </w:trPr>
        <w:tc>
          <w:tcPr>
            <w:tcW w:w="891" w:type="dxa"/>
            <w:gridSpan w:val="2"/>
            <w:vMerge w:val="continue"/>
            <w:tcBorders>
              <w:top w:val="nil"/>
              <w:left w:val="single" w:color="000000" w:sz="4" w:space="0"/>
              <w:bottom w:val="nil"/>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p>
        </w:tc>
        <w:tc>
          <w:tcPr>
            <w:tcW w:w="1146"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效益指标</w:t>
            </w:r>
          </w:p>
        </w:tc>
        <w:tc>
          <w:tcPr>
            <w:tcW w:w="1228" w:type="dxa"/>
            <w:gridSpan w:val="4"/>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生态效益</w:t>
            </w:r>
          </w:p>
        </w:tc>
        <w:tc>
          <w:tcPr>
            <w:tcW w:w="125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改善全区生态灌溉</w:t>
            </w:r>
          </w:p>
        </w:tc>
        <w:tc>
          <w:tcPr>
            <w:tcW w:w="2027"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1100亩</w:t>
            </w:r>
          </w:p>
        </w:tc>
        <w:tc>
          <w:tcPr>
            <w:tcW w:w="2293"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1100亩</w:t>
            </w:r>
          </w:p>
        </w:tc>
      </w:tr>
      <w:tr>
        <w:tblPrEx>
          <w:tblCellMar>
            <w:top w:w="0" w:type="dxa"/>
            <w:left w:w="0" w:type="dxa"/>
            <w:bottom w:w="0" w:type="dxa"/>
            <w:right w:w="0" w:type="dxa"/>
          </w:tblCellMar>
        </w:tblPrEx>
        <w:trPr>
          <w:gridAfter w:val="1"/>
          <w:wAfter w:w="297" w:type="dxa"/>
          <w:trHeight w:val="20" w:hRule="atLeast"/>
          <w:jc w:val="center"/>
        </w:trPr>
        <w:tc>
          <w:tcPr>
            <w:tcW w:w="891" w:type="dxa"/>
            <w:gridSpan w:val="2"/>
            <w:vMerge w:val="continue"/>
            <w:tcBorders>
              <w:top w:val="nil"/>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p>
        </w:tc>
        <w:tc>
          <w:tcPr>
            <w:tcW w:w="1146"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满意度指标</w:t>
            </w:r>
          </w:p>
        </w:tc>
        <w:tc>
          <w:tcPr>
            <w:tcW w:w="1228" w:type="dxa"/>
            <w:gridSpan w:val="4"/>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服务对象满意度指标</w:t>
            </w:r>
          </w:p>
        </w:tc>
        <w:tc>
          <w:tcPr>
            <w:tcW w:w="125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受益群众满意度</w:t>
            </w:r>
          </w:p>
        </w:tc>
        <w:tc>
          <w:tcPr>
            <w:tcW w:w="2027"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大于90%</w:t>
            </w:r>
          </w:p>
        </w:tc>
        <w:tc>
          <w:tcPr>
            <w:tcW w:w="2293"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48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已完成</w:t>
            </w:r>
          </w:p>
        </w:tc>
      </w:tr>
    </w:tbl>
    <w:p>
      <w:pPr>
        <w:spacing w:line="560" w:lineRule="exact"/>
        <w:ind w:firstLine="640" w:firstLineChars="200"/>
        <w:rPr>
          <w:rFonts w:eastAsia="仿宋_GB2312"/>
          <w:sz w:val="32"/>
          <w:szCs w:val="32"/>
        </w:rPr>
      </w:pPr>
      <w:r>
        <w:rPr>
          <w:rFonts w:hint="eastAsia" w:eastAsia="仿宋_GB2312"/>
          <w:sz w:val="32"/>
          <w:szCs w:val="32"/>
        </w:rPr>
        <w:t>2.部门绩效评价结果。</w:t>
      </w:r>
    </w:p>
    <w:p>
      <w:pPr>
        <w:spacing w:line="560" w:lineRule="exact"/>
        <w:ind w:firstLine="640" w:firstLineChars="200"/>
        <w:rPr>
          <w:rFonts w:eastAsia="仿宋_GB2312"/>
          <w:sz w:val="32"/>
          <w:szCs w:val="32"/>
        </w:rPr>
      </w:pPr>
      <w:r>
        <w:rPr>
          <w:rFonts w:hint="eastAsia" w:eastAsia="仿宋_GB2312"/>
          <w:sz w:val="32"/>
          <w:szCs w:val="32"/>
        </w:rPr>
        <w:t>本部门按要求对2020年部门整体支出绩效评价情况开展自评，《西区水利局</w:t>
      </w:r>
      <w:r>
        <w:rPr>
          <w:rFonts w:eastAsia="仿宋_GB2312"/>
          <w:sz w:val="32"/>
          <w:szCs w:val="32"/>
        </w:rPr>
        <w:t>20</w:t>
      </w:r>
      <w:r>
        <w:rPr>
          <w:rFonts w:hint="eastAsia" w:eastAsia="仿宋_GB2312"/>
          <w:sz w:val="32"/>
          <w:szCs w:val="32"/>
        </w:rPr>
        <w:t>20年部门整体支出绩效评价报告》见附件（附件1）。</w:t>
      </w:r>
    </w:p>
    <w:p>
      <w:pPr>
        <w:spacing w:line="560" w:lineRule="exact"/>
        <w:ind w:firstLine="640" w:firstLineChars="200"/>
        <w:rPr>
          <w:rFonts w:eastAsia="仿宋_GB2312"/>
          <w:sz w:val="32"/>
          <w:szCs w:val="32"/>
        </w:rPr>
      </w:pPr>
      <w:r>
        <w:rPr>
          <w:rFonts w:hint="eastAsia" w:eastAsia="仿宋_GB2312"/>
          <w:sz w:val="32"/>
          <w:szCs w:val="32"/>
        </w:rPr>
        <w:t>本部门自行组织对河长制工作专项经费开展了绩效评价，《河长制工作专项经费2020年绩效评价报告》见附件（附件2）。（非涉密部门均需公开部门整体支出评价报告，部门自行组织的绩效评价情况根据部门实际公开，若未组织项目绩效评价，则只需说明部门整体支出绩效评价情况）</w:t>
      </w:r>
    </w:p>
    <w:p>
      <w:pPr>
        <w:widowControl/>
        <w:spacing w:line="560" w:lineRule="exact"/>
        <w:jc w:val="left"/>
        <w:rPr>
          <w:rFonts w:eastAsia="仿宋_GB2312"/>
          <w:sz w:val="32"/>
          <w:szCs w:val="32"/>
        </w:rPr>
      </w:pPr>
      <w:r>
        <w:rPr>
          <w:rFonts w:hint="eastAsia" w:eastAsia="仿宋_GB2312"/>
          <w:sz w:val="32"/>
          <w:szCs w:val="32"/>
        </w:rPr>
        <w:br w:type="page"/>
      </w:r>
    </w:p>
    <w:p>
      <w:pPr>
        <w:numPr>
          <w:ilvl w:val="0"/>
          <w:numId w:val="3"/>
        </w:numPr>
        <w:spacing w:line="560" w:lineRule="exact"/>
        <w:ind w:firstLine="660" w:firstLineChars="150"/>
        <w:jc w:val="center"/>
        <w:outlineLvl w:val="0"/>
        <w:rPr>
          <w:rFonts w:ascii="黑体" w:hAnsi="黑体" w:eastAsia="黑体" w:cs="黑体"/>
          <w:sz w:val="44"/>
          <w:szCs w:val="44"/>
        </w:rPr>
      </w:pPr>
      <w:bookmarkStart w:id="56" w:name="_Toc15396613"/>
      <w:bookmarkStart w:id="57" w:name="_Toc15377225"/>
      <w:r>
        <w:rPr>
          <w:rFonts w:hint="eastAsia" w:ascii="黑体" w:hAnsi="黑体" w:eastAsia="黑体" w:cs="黑体"/>
          <w:sz w:val="44"/>
          <w:szCs w:val="44"/>
        </w:rPr>
        <w:t>名词解释</w:t>
      </w:r>
      <w:bookmarkEnd w:id="56"/>
      <w:bookmarkEnd w:id="57"/>
    </w:p>
    <w:p>
      <w:pPr>
        <w:spacing w:line="560" w:lineRule="exact"/>
        <w:jc w:val="left"/>
        <w:rPr>
          <w:rFonts w:ascii="黑体" w:hAnsi="黑体" w:eastAsia="黑体" w:cs="黑体"/>
          <w:sz w:val="32"/>
          <w:szCs w:val="32"/>
        </w:rPr>
      </w:pPr>
    </w:p>
    <w:p>
      <w:pPr>
        <w:pStyle w:val="18"/>
        <w:spacing w:line="560" w:lineRule="exact"/>
        <w:ind w:firstLine="640" w:firstLineChars="200"/>
        <w:rPr>
          <w:rFonts w:hint="default" w:ascii="Times New Roman" w:hAnsi="Times New Roman" w:eastAsia="仿宋_GB2312" w:cs="Times New Roman"/>
          <w:kern w:val="2"/>
          <w:sz w:val="32"/>
          <w:szCs w:val="32"/>
        </w:rPr>
      </w:pPr>
      <w:r>
        <w:rPr>
          <w:rFonts w:ascii="Times New Roman" w:hAnsi="Times New Roman" w:eastAsia="仿宋_GB2312" w:cs="Times New Roman"/>
          <w:kern w:val="2"/>
          <w:sz w:val="32"/>
          <w:szCs w:val="32"/>
        </w:rPr>
        <w:t>1.财政拨款收入：指单位从同级财政部门取得的财政预算资金。</w:t>
      </w:r>
    </w:p>
    <w:p>
      <w:pPr>
        <w:pStyle w:val="18"/>
        <w:spacing w:line="560" w:lineRule="exact"/>
        <w:ind w:firstLine="640" w:firstLineChars="200"/>
        <w:rPr>
          <w:rFonts w:hint="default" w:ascii="Times New Roman" w:hAnsi="Times New Roman" w:eastAsia="仿宋_GB2312" w:cs="Times New Roman"/>
          <w:kern w:val="2"/>
          <w:sz w:val="32"/>
          <w:szCs w:val="32"/>
        </w:rPr>
      </w:pPr>
      <w:r>
        <w:rPr>
          <w:rFonts w:ascii="Times New Roman" w:hAnsi="Times New Roman" w:eastAsia="仿宋_GB2312" w:cs="Times New Roman"/>
          <w:kern w:val="2"/>
          <w:sz w:val="32"/>
          <w:szCs w:val="32"/>
        </w:rPr>
        <w:t>2.事业收入：指事业单位开展专业业务活动及辅助活动取得的收入。如…（二级预算单位事业收入情况）等。</w:t>
      </w:r>
    </w:p>
    <w:p>
      <w:pPr>
        <w:pStyle w:val="18"/>
        <w:spacing w:line="560" w:lineRule="exact"/>
        <w:ind w:firstLine="640" w:firstLineChars="200"/>
        <w:rPr>
          <w:rFonts w:hint="default" w:ascii="Times New Roman" w:hAnsi="Times New Roman" w:eastAsia="仿宋_GB2312" w:cs="Times New Roman"/>
          <w:kern w:val="2"/>
          <w:sz w:val="32"/>
          <w:szCs w:val="32"/>
        </w:rPr>
      </w:pPr>
      <w:r>
        <w:rPr>
          <w:rFonts w:ascii="Times New Roman" w:hAnsi="Times New Roman" w:eastAsia="仿宋_GB2312" w:cs="Times New Roman"/>
          <w:kern w:val="2"/>
          <w:sz w:val="32"/>
          <w:szCs w:val="32"/>
        </w:rPr>
        <w:t>3.经营收入：指事业单位在专业业务活动及其辅助活动之外开展非独立核算经营活动取得的收入。如…（二级预算单位经营收入情况）等。</w:t>
      </w:r>
    </w:p>
    <w:p>
      <w:pPr>
        <w:pStyle w:val="18"/>
        <w:spacing w:line="560" w:lineRule="exact"/>
        <w:ind w:firstLine="640" w:firstLineChars="200"/>
        <w:rPr>
          <w:rFonts w:hint="default" w:ascii="Times New Roman" w:hAnsi="Times New Roman" w:eastAsia="仿宋_GB2312" w:cs="Times New Roman"/>
          <w:kern w:val="2"/>
          <w:sz w:val="32"/>
          <w:szCs w:val="32"/>
        </w:rPr>
      </w:pPr>
      <w:r>
        <w:rPr>
          <w:rFonts w:ascii="Times New Roman" w:hAnsi="Times New Roman" w:eastAsia="仿宋_GB2312" w:cs="Times New Roman"/>
          <w:kern w:val="2"/>
          <w:sz w:val="32"/>
          <w:szCs w:val="32"/>
        </w:rPr>
        <w:t xml:space="preserve">4.其他收入：指单位取得的除上述收入以外的各项收入。主要是…（收入类型）等。 </w:t>
      </w:r>
    </w:p>
    <w:p>
      <w:pPr>
        <w:pStyle w:val="18"/>
        <w:spacing w:line="560" w:lineRule="exact"/>
        <w:ind w:firstLine="640" w:firstLineChars="200"/>
        <w:rPr>
          <w:rFonts w:hint="default" w:ascii="Times New Roman" w:hAnsi="Times New Roman" w:eastAsia="仿宋_GB2312" w:cs="Times New Roman"/>
          <w:kern w:val="2"/>
          <w:sz w:val="32"/>
          <w:szCs w:val="32"/>
        </w:rPr>
      </w:pPr>
      <w:r>
        <w:rPr>
          <w:rFonts w:ascii="Times New Roman" w:hAnsi="Times New Roman" w:eastAsia="仿宋_GB2312" w:cs="Times New Roman"/>
          <w:kern w:val="2"/>
          <w:sz w:val="32"/>
          <w:szCs w:val="32"/>
        </w:rPr>
        <w:t xml:space="preserve">5.使用非财政拨款结余：指事业单位使用以前年度积累的非财政拨款结余弥补当年收支差额的金额。 </w:t>
      </w:r>
    </w:p>
    <w:p>
      <w:pPr>
        <w:pStyle w:val="18"/>
        <w:spacing w:line="560" w:lineRule="exact"/>
        <w:ind w:firstLine="640" w:firstLineChars="200"/>
        <w:rPr>
          <w:rFonts w:hint="default" w:ascii="Times New Roman" w:hAnsi="Times New Roman" w:eastAsia="仿宋_GB2312" w:cs="Times New Roman"/>
          <w:kern w:val="2"/>
          <w:sz w:val="32"/>
          <w:szCs w:val="32"/>
        </w:rPr>
      </w:pPr>
      <w:r>
        <w:rPr>
          <w:rFonts w:ascii="Times New Roman" w:hAnsi="Times New Roman" w:eastAsia="仿宋_GB2312" w:cs="Times New Roman"/>
          <w:kern w:val="2"/>
          <w:sz w:val="32"/>
          <w:szCs w:val="32"/>
        </w:rPr>
        <w:t xml:space="preserve">6.年初结转和结余：指以前年度尚未完成、结转到本年按有关规定继续使用的资金。 </w:t>
      </w:r>
    </w:p>
    <w:p>
      <w:pPr>
        <w:pStyle w:val="18"/>
        <w:spacing w:line="560" w:lineRule="exact"/>
        <w:ind w:firstLine="640" w:firstLineChars="200"/>
        <w:rPr>
          <w:rFonts w:hint="default" w:ascii="Times New Roman" w:hAnsi="Times New Roman" w:eastAsia="仿宋_GB2312" w:cs="Times New Roman"/>
          <w:kern w:val="2"/>
          <w:sz w:val="32"/>
          <w:szCs w:val="32"/>
        </w:rPr>
      </w:pPr>
      <w:r>
        <w:rPr>
          <w:rFonts w:ascii="Times New Roman" w:hAnsi="Times New Roman" w:eastAsia="仿宋_GB2312" w:cs="Times New Roman"/>
          <w:kern w:val="2"/>
          <w:sz w:val="32"/>
          <w:szCs w:val="32"/>
        </w:rPr>
        <w:t>7.结余分配：指事业单位按照会计制度规定缴纳的所得税、提取的专用结余以及转入非财政拨款结余的金额等。</w:t>
      </w:r>
    </w:p>
    <w:p>
      <w:pPr>
        <w:pStyle w:val="18"/>
        <w:spacing w:line="560" w:lineRule="exact"/>
        <w:ind w:firstLine="640" w:firstLineChars="200"/>
        <w:rPr>
          <w:rFonts w:hint="default" w:ascii="Times New Roman" w:hAnsi="Times New Roman" w:eastAsia="仿宋_GB2312" w:cs="Times New Roman"/>
          <w:kern w:val="2"/>
          <w:sz w:val="32"/>
          <w:szCs w:val="32"/>
        </w:rPr>
      </w:pPr>
      <w:r>
        <w:rPr>
          <w:rFonts w:ascii="Times New Roman" w:hAnsi="Times New Roman" w:eastAsia="仿宋_GB2312" w:cs="Times New Roman"/>
          <w:kern w:val="2"/>
          <w:sz w:val="32"/>
          <w:szCs w:val="32"/>
        </w:rPr>
        <w:t>8、年末结转和结余：指单位按有关规定结转到下年或以后年度继续使用的资金。</w:t>
      </w:r>
    </w:p>
    <w:p>
      <w:pPr>
        <w:spacing w:line="560" w:lineRule="exact"/>
        <w:ind w:firstLine="640"/>
        <w:rPr>
          <w:rFonts w:eastAsia="仿宋_GB2312"/>
          <w:sz w:val="32"/>
          <w:szCs w:val="32"/>
        </w:rPr>
      </w:pPr>
      <w:r>
        <w:rPr>
          <w:rFonts w:hint="eastAsia" w:eastAsia="仿宋_GB2312"/>
          <w:sz w:val="32"/>
          <w:szCs w:val="32"/>
        </w:rPr>
        <w:t>9.社会保障和就业支出（类）行政事业单位养老支出（款）行政单位离退休（项），指主要用于行政单位（包括实行公务员管理的事业单位）开支的离退休费；</w:t>
      </w:r>
    </w:p>
    <w:p>
      <w:pPr>
        <w:spacing w:line="560" w:lineRule="exact"/>
        <w:ind w:firstLine="640"/>
        <w:rPr>
          <w:rFonts w:eastAsia="仿宋_GB2312"/>
          <w:sz w:val="32"/>
          <w:szCs w:val="32"/>
        </w:rPr>
      </w:pPr>
      <w:r>
        <w:rPr>
          <w:rFonts w:hint="eastAsia" w:eastAsia="仿宋_GB2312"/>
          <w:sz w:val="32"/>
          <w:szCs w:val="32"/>
        </w:rPr>
        <w:t>10社会保障和就业支出（类）行政事业单位养老支出（款）机关事业单位基本养老保险费支出（项），指主要用于机关事业单位实施养老保险制度由单位缴纳的基本养老保险费支出；</w:t>
      </w:r>
    </w:p>
    <w:p>
      <w:pPr>
        <w:spacing w:line="560" w:lineRule="exact"/>
        <w:ind w:firstLine="640"/>
        <w:rPr>
          <w:rFonts w:eastAsia="仿宋_GB2312"/>
          <w:sz w:val="32"/>
          <w:szCs w:val="32"/>
        </w:rPr>
      </w:pPr>
      <w:r>
        <w:rPr>
          <w:rFonts w:hint="eastAsia" w:eastAsia="仿宋_GB2312"/>
          <w:sz w:val="32"/>
          <w:szCs w:val="32"/>
        </w:rPr>
        <w:t>11.卫生健康支出（类）行政事业单位医疗（款）行政单位医疗（项）：指主要用于行政单位（包括实行公务员管理的事业单位）基本医疗保险缴费经费；</w:t>
      </w:r>
    </w:p>
    <w:p>
      <w:pPr>
        <w:spacing w:line="560" w:lineRule="exact"/>
        <w:ind w:firstLine="640"/>
        <w:rPr>
          <w:rFonts w:eastAsia="仿宋_GB2312"/>
          <w:sz w:val="32"/>
          <w:szCs w:val="32"/>
        </w:rPr>
      </w:pPr>
      <w:r>
        <w:rPr>
          <w:rFonts w:hint="eastAsia" w:eastAsia="仿宋_GB2312"/>
          <w:sz w:val="32"/>
          <w:szCs w:val="32"/>
        </w:rPr>
        <w:t>12.卫生健康支出（类）行政事业单位医疗（款）事业单位医疗（项）：指主要用于事业单位基本医疗保险缴费经费；</w:t>
      </w:r>
    </w:p>
    <w:p>
      <w:pPr>
        <w:spacing w:line="560" w:lineRule="exact"/>
        <w:ind w:firstLine="640"/>
        <w:rPr>
          <w:rFonts w:eastAsia="仿宋_GB2312"/>
          <w:sz w:val="32"/>
          <w:szCs w:val="32"/>
        </w:rPr>
      </w:pPr>
      <w:r>
        <w:rPr>
          <w:rFonts w:hint="eastAsia" w:eastAsia="仿宋_GB2312"/>
          <w:sz w:val="32"/>
          <w:szCs w:val="32"/>
        </w:rPr>
        <w:t>13.卫生健康支出（类）行政事业单位医疗（款）公务员医疗补助（项）：指主要用于财政部门安排的公务员医疗补助经费。</w:t>
      </w:r>
    </w:p>
    <w:p>
      <w:pPr>
        <w:spacing w:line="560" w:lineRule="exact"/>
        <w:ind w:firstLine="640"/>
        <w:rPr>
          <w:rFonts w:eastAsia="仿宋_GB2312"/>
          <w:sz w:val="32"/>
          <w:szCs w:val="32"/>
        </w:rPr>
      </w:pPr>
      <w:r>
        <w:rPr>
          <w:rFonts w:hint="eastAsia" w:eastAsia="仿宋_GB2312"/>
          <w:sz w:val="32"/>
          <w:szCs w:val="32"/>
        </w:rPr>
        <w:t>14.农林水支出(类)农业农村（款）事业运行（项）：指主要用于农业事业人员的基本工资、津补贴、奖金、其他工资福利支出、水电费、差旅费、邮电费、工会经费、其他交通费用和其他商品和服务等支出；</w:t>
      </w:r>
    </w:p>
    <w:p>
      <w:pPr>
        <w:spacing w:line="560" w:lineRule="exact"/>
        <w:ind w:firstLine="640"/>
        <w:rPr>
          <w:rFonts w:eastAsia="仿宋_GB2312"/>
          <w:sz w:val="32"/>
          <w:szCs w:val="32"/>
        </w:rPr>
      </w:pPr>
      <w:r>
        <w:rPr>
          <w:rFonts w:hint="eastAsia" w:eastAsia="仿宋_GB2312"/>
          <w:sz w:val="32"/>
          <w:szCs w:val="32"/>
        </w:rPr>
        <w:t>15.农林水支出(类)水利（款）其他水利支出（项）：指反映其他用于水利方面的支出。</w:t>
      </w:r>
    </w:p>
    <w:p>
      <w:pPr>
        <w:spacing w:line="560" w:lineRule="exact"/>
        <w:ind w:firstLine="640"/>
        <w:rPr>
          <w:rFonts w:eastAsia="仿宋_GB2312"/>
          <w:sz w:val="32"/>
          <w:szCs w:val="32"/>
        </w:rPr>
      </w:pPr>
      <w:r>
        <w:rPr>
          <w:rFonts w:hint="eastAsia" w:eastAsia="仿宋_GB2312"/>
          <w:sz w:val="32"/>
          <w:szCs w:val="32"/>
        </w:rPr>
        <w:t>16.住房保障支出（类）住房改革支出（款）住房公积金（项）：指主要用于行政事业单位按人力资源和社会保障部、财政部规定的基本工资和津贴补贴及</w:t>
      </w:r>
      <w:bookmarkStart w:id="74" w:name="_GoBack"/>
      <w:bookmarkEnd w:id="74"/>
      <w:r>
        <w:rPr>
          <w:rFonts w:hint="eastAsia" w:eastAsia="仿宋_GB2312"/>
          <w:sz w:val="32"/>
          <w:szCs w:val="32"/>
        </w:rPr>
        <w:t>规定比例为职工缴纳的住房公积金。</w:t>
      </w:r>
    </w:p>
    <w:p>
      <w:pPr>
        <w:spacing w:line="560" w:lineRule="exact"/>
        <w:ind w:firstLine="640"/>
        <w:rPr>
          <w:rFonts w:eastAsia="仿宋_GB2312"/>
          <w:sz w:val="32"/>
          <w:szCs w:val="32"/>
        </w:rPr>
      </w:pPr>
      <w:r>
        <w:rPr>
          <w:rFonts w:hint="eastAsia" w:eastAsia="仿宋_GB2312"/>
          <w:sz w:val="32"/>
          <w:szCs w:val="32"/>
        </w:rPr>
        <w:t>（解释本部门决算报表中全部功能分类科目至项级，请参照《2020年政府收支分类科目》增减内容。）</w:t>
      </w:r>
    </w:p>
    <w:p>
      <w:pPr>
        <w:spacing w:line="560" w:lineRule="exact"/>
        <w:ind w:firstLine="640" w:firstLineChars="200"/>
        <w:rPr>
          <w:rFonts w:eastAsia="仿宋_GB2312"/>
          <w:sz w:val="32"/>
          <w:szCs w:val="32"/>
        </w:rPr>
      </w:pPr>
      <w:r>
        <w:rPr>
          <w:rFonts w:hint="eastAsia" w:eastAsia="仿宋_GB2312"/>
          <w:sz w:val="32"/>
          <w:szCs w:val="32"/>
        </w:rPr>
        <w:t>17.基本支出：指为保障机构正常运转、完成日常工作任务而发生的人员支出和公用支出。</w:t>
      </w:r>
    </w:p>
    <w:p>
      <w:pPr>
        <w:spacing w:line="560" w:lineRule="exact"/>
        <w:ind w:firstLine="640" w:firstLineChars="200"/>
        <w:rPr>
          <w:rFonts w:eastAsia="仿宋_GB2312"/>
          <w:sz w:val="32"/>
          <w:szCs w:val="32"/>
        </w:rPr>
      </w:pPr>
      <w:r>
        <w:rPr>
          <w:rFonts w:hint="eastAsia" w:eastAsia="仿宋_GB2312"/>
          <w:sz w:val="32"/>
          <w:szCs w:val="32"/>
        </w:rPr>
        <w:t xml:space="preserve">18.项目支出：指在基本支出之外为完成特定行政任务和事业发展目标所发生的支出。 </w:t>
      </w:r>
    </w:p>
    <w:p>
      <w:pPr>
        <w:spacing w:line="560" w:lineRule="exact"/>
        <w:ind w:firstLine="640" w:firstLineChars="200"/>
        <w:rPr>
          <w:rFonts w:eastAsia="仿宋_GB2312"/>
          <w:sz w:val="32"/>
          <w:szCs w:val="32"/>
        </w:rPr>
      </w:pPr>
      <w:r>
        <w:rPr>
          <w:rFonts w:hint="eastAsia" w:eastAsia="仿宋_GB2312"/>
          <w:sz w:val="32"/>
          <w:szCs w:val="32"/>
        </w:rPr>
        <w:t>19.经营支出：指事业单位在专业业务活动及其辅助活动之外开展非独立核算经营活动发生的支出。</w:t>
      </w:r>
    </w:p>
    <w:p>
      <w:pPr>
        <w:pStyle w:val="18"/>
        <w:spacing w:line="560" w:lineRule="exact"/>
        <w:ind w:firstLine="640" w:firstLineChars="200"/>
        <w:rPr>
          <w:rFonts w:hint="default" w:ascii="Times New Roman" w:hAnsi="Times New Roman" w:eastAsia="仿宋_GB2312" w:cs="Times New Roman"/>
          <w:kern w:val="2"/>
          <w:sz w:val="32"/>
          <w:szCs w:val="32"/>
        </w:rPr>
      </w:pPr>
      <w:r>
        <w:rPr>
          <w:rFonts w:ascii="Times New Roman" w:hAnsi="Times New Roman" w:eastAsia="仿宋_GB2312" w:cs="Times New Roman"/>
          <w:kern w:val="2"/>
          <w:sz w:val="32"/>
          <w:szCs w:val="32"/>
        </w:rPr>
        <w:t>20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8"/>
        <w:spacing w:line="560" w:lineRule="exact"/>
        <w:ind w:firstLine="640" w:firstLineChars="200"/>
        <w:rPr>
          <w:rFonts w:hint="default" w:ascii="Times New Roman" w:hAnsi="Times New Roman" w:eastAsia="仿宋_GB2312" w:cs="Times New Roman"/>
          <w:kern w:val="2"/>
          <w:sz w:val="32"/>
          <w:szCs w:val="32"/>
        </w:rPr>
      </w:pPr>
      <w:r>
        <w:rPr>
          <w:rFonts w:ascii="Times New Roman" w:hAnsi="Times New Roman" w:eastAsia="仿宋_GB2312" w:cs="Times New Roman"/>
          <w:kern w:val="2"/>
          <w:sz w:val="32"/>
          <w:szCs w:val="32"/>
        </w:rPr>
        <w:t>21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rPr>
          <w:rFonts w:eastAsia="仿宋_GB2312"/>
          <w:sz w:val="32"/>
          <w:szCs w:val="32"/>
        </w:rPr>
      </w:pPr>
      <w:r>
        <w:rPr>
          <w:rFonts w:hint="eastAsia" w:eastAsia="仿宋_GB2312"/>
          <w:sz w:val="32"/>
          <w:szCs w:val="32"/>
        </w:rPr>
        <w:t>（名词解释部分请根据各部门实际列支情况罗列，并根据本部门职责职能增减名词解释内容。）</w:t>
      </w:r>
    </w:p>
    <w:p>
      <w:pPr>
        <w:spacing w:line="560" w:lineRule="exact"/>
        <w:jc w:val="center"/>
        <w:outlineLvl w:val="0"/>
        <w:rPr>
          <w:rFonts w:ascii="黑体" w:hAnsi="黑体" w:eastAsia="黑体" w:cs="黑体"/>
          <w:sz w:val="44"/>
          <w:szCs w:val="44"/>
        </w:rPr>
      </w:pPr>
      <w:bookmarkStart w:id="58" w:name="_Toc15377226"/>
      <w:r>
        <w:rPr>
          <w:rFonts w:hint="eastAsia" w:eastAsia="仿宋_GB2312"/>
          <w:sz w:val="32"/>
          <w:szCs w:val="32"/>
        </w:rPr>
        <w:br w:type="page"/>
      </w:r>
      <w:bookmarkStart w:id="59" w:name="_Toc15396614"/>
      <w:r>
        <w:rPr>
          <w:rFonts w:hint="eastAsia" w:ascii="黑体" w:hAnsi="黑体" w:eastAsia="黑体" w:cs="黑体"/>
          <w:sz w:val="44"/>
          <w:szCs w:val="44"/>
        </w:rPr>
        <w:t>第四部分 附件</w:t>
      </w:r>
      <w:bookmarkEnd w:id="59"/>
    </w:p>
    <w:p>
      <w:pPr>
        <w:spacing w:line="560" w:lineRule="exact"/>
        <w:jc w:val="left"/>
        <w:outlineLvl w:val="0"/>
        <w:rPr>
          <w:rFonts w:eastAsia="仿宋_GB2312"/>
          <w:sz w:val="32"/>
          <w:szCs w:val="32"/>
        </w:rPr>
      </w:pPr>
      <w:r>
        <w:rPr>
          <w:rFonts w:hint="eastAsia" w:eastAsia="仿宋_GB2312"/>
          <w:sz w:val="32"/>
          <w:szCs w:val="32"/>
        </w:rPr>
        <w:t>附件1</w:t>
      </w:r>
    </w:p>
    <w:p>
      <w:pPr>
        <w:spacing w:line="560" w:lineRule="exact"/>
        <w:jc w:val="center"/>
        <w:rPr>
          <w:rFonts w:eastAsia="仿宋_GB2312"/>
          <w:sz w:val="32"/>
          <w:szCs w:val="32"/>
        </w:rPr>
      </w:pPr>
    </w:p>
    <w:p>
      <w:pPr>
        <w:pStyle w:val="6"/>
        <w:spacing w:line="240" w:lineRule="atLeas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攀枝花市西区水利局</w:t>
      </w:r>
    </w:p>
    <w:p>
      <w:pPr>
        <w:pStyle w:val="6"/>
        <w:spacing w:line="240" w:lineRule="atLeas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部门预算整体绩效自评报告</w:t>
      </w:r>
    </w:p>
    <w:p>
      <w:pPr>
        <w:widowControl/>
        <w:spacing w:line="240" w:lineRule="atLeas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（报告范围包括机关和下属单位）</w:t>
      </w:r>
    </w:p>
    <w:p>
      <w:pPr>
        <w:widowControl/>
        <w:adjustRightInd w:val="0"/>
        <w:snapToGrid w:val="0"/>
        <w:spacing w:line="240" w:lineRule="atLeast"/>
        <w:ind w:firstLine="640" w:firstLineChars="200"/>
        <w:jc w:val="left"/>
        <w:rPr>
          <w:rFonts w:eastAsia="仿宋_GB2312"/>
          <w:sz w:val="32"/>
          <w:szCs w:val="32"/>
        </w:rPr>
      </w:pPr>
    </w:p>
    <w:p>
      <w:pPr>
        <w:pStyle w:val="6"/>
        <w:spacing w:line="520" w:lineRule="exact"/>
        <w:ind w:left="800"/>
        <w:rPr>
          <w:rFonts w:hint="default" w:ascii="黑体" w:hAnsi="黑体" w:eastAsia="黑体" w:cs="黑体"/>
          <w:sz w:val="32"/>
          <w:szCs w:val="32"/>
        </w:rPr>
      </w:pPr>
      <w:r>
        <w:rPr>
          <w:rFonts w:ascii="黑体" w:hAnsi="黑体" w:eastAsia="黑体" w:cs="黑体"/>
          <w:sz w:val="32"/>
          <w:szCs w:val="32"/>
        </w:rPr>
        <w:t>一、部门概况</w:t>
      </w:r>
    </w:p>
    <w:p>
      <w:pPr>
        <w:pStyle w:val="6"/>
        <w:spacing w:line="520" w:lineRule="exact"/>
        <w:ind w:left="640"/>
        <w:rPr>
          <w:rFonts w:hint="default" w:ascii="楷体_GB2312" w:hAnsi="楷体_GB2312" w:eastAsia="楷体_GB2312" w:cs="楷体_GB2312"/>
          <w:sz w:val="32"/>
          <w:szCs w:val="32"/>
        </w:rPr>
      </w:pPr>
      <w:r>
        <w:rPr>
          <w:rFonts w:ascii="楷体_GB2312" w:hAnsi="楷体_GB2312" w:eastAsia="楷体_GB2312" w:cs="楷体_GB2312"/>
          <w:sz w:val="32"/>
          <w:szCs w:val="32"/>
        </w:rPr>
        <w:t>（一）部门职能。</w:t>
      </w:r>
    </w:p>
    <w:p>
      <w:pPr>
        <w:spacing w:line="52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贯彻执行国家、省、市有关水行政管理工作的法律、法规和方针、政策。负责保障水资源的合理开发利用；负责全区水利、水土保持、水资源行政管理的制度建设，拟订政策和发展规划。组织编制全区重要江河湖库的流域综合规划、水资源保护和水源地保护规划、节约用水、防洪规划等重要水利规划，组织有关全区国民经济总体规划、城乡规划、重大建设项目中涉及水利、水土保持、水资源管理等方面的论证工作。</w:t>
      </w:r>
    </w:p>
    <w:p>
      <w:pPr>
        <w:spacing w:line="5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负责全区水资源统一管理。组织实施最严格水资源管理制度，实施水资源的统一监督管理，合理配置水资源，统筹兼顾和保障生活、生产经营、生态环境用水；负责重要流域、区域以及重大调水工程的水资源调度，组织实施水资源有偿使用制度和水资源论证、防洪论证制度；指导开展水资源有偿使用工作;指导水利行业供水工作; 按规定组织开展水资源、水能资源调查评价和水资源承载能力监测预警工作。</w:t>
      </w:r>
    </w:p>
    <w:p>
      <w:pPr>
        <w:spacing w:line="52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负责全区水资源保护工作，参与编制水功能区划分和指导入河排污口设置管理工作。指导地下水开发利用和地下水资源管理保护工作；指导地下水超采区综合治理工作；指导饮用水水源保护有关工作；负责拟定全区节约用水政策和指导节水工作。</w:t>
      </w:r>
    </w:p>
    <w:p>
      <w:pPr>
        <w:spacing w:line="52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负责全区水利行业体制改革工作；监管区政府授权管理的区级水利资产，负责全区水利行业国有资产的业务管理工作。</w:t>
      </w:r>
    </w:p>
    <w:p>
      <w:pPr>
        <w:spacing w:line="52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负责全区水利、水土保持、水资源基本建设的指导并实施行业监督；指导水利设施的管理、保护与综合利用。</w:t>
      </w:r>
    </w:p>
    <w:p>
      <w:pPr>
        <w:spacing w:line="520"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负责组织实施有关水利、水土保持、水资源的法律法规及执法工作；查处辖区内重大水事纠纷；负责有关行政复议和行政诉讼应诉工作。</w:t>
      </w:r>
    </w:p>
    <w:p>
      <w:pPr>
        <w:spacing w:line="520" w:lineRule="exact"/>
        <w:ind w:firstLine="640" w:firstLineChars="200"/>
        <w:rPr>
          <w:rFonts w:eastAsia="仿宋_GB2312"/>
          <w:sz w:val="32"/>
          <w:szCs w:val="32"/>
        </w:rPr>
      </w:pPr>
      <w:r>
        <w:rPr>
          <w:rFonts w:eastAsia="仿宋_GB2312"/>
          <w:sz w:val="32"/>
          <w:szCs w:val="32"/>
        </w:rPr>
        <w:t>7.</w:t>
      </w:r>
      <w:r>
        <w:rPr>
          <w:rFonts w:hint="eastAsia" w:eastAsia="仿宋_GB2312"/>
          <w:sz w:val="32"/>
          <w:szCs w:val="32"/>
        </w:rPr>
        <w:t>负责全区水土保持工作。拟订水土保持规划并监督实施，负责全区水土流失综合治理及监测工作；负责权限范围内开发建设项目水土保持的审批、实施、监督及水土保持设施的验收工作。</w:t>
      </w:r>
    </w:p>
    <w:p>
      <w:pPr>
        <w:spacing w:line="520" w:lineRule="exact"/>
        <w:ind w:firstLine="640" w:firstLineChars="200"/>
        <w:rPr>
          <w:rFonts w:eastAsia="仿宋_GB2312"/>
          <w:sz w:val="32"/>
          <w:szCs w:val="32"/>
        </w:rPr>
      </w:pPr>
      <w:r>
        <w:rPr>
          <w:rFonts w:eastAsia="仿宋_GB2312"/>
          <w:sz w:val="32"/>
          <w:szCs w:val="32"/>
        </w:rPr>
        <w:t>8.</w:t>
      </w:r>
      <w:r>
        <w:rPr>
          <w:rFonts w:hint="eastAsia" w:eastAsia="仿宋_GB2312"/>
          <w:sz w:val="32"/>
          <w:szCs w:val="32"/>
        </w:rPr>
        <w:t>负责辖区内河道、水库、湖泊（包括人工水道、行洪区、蓄水区、滞洪区）、河口滩涂的行政管理及河道管护范围内砂石资源等的开发、利用和保护；负责对占用河道、河堤通道设施（包括临时设施）等行为的行政监督管理工作；指导河湖水系连通工作；负责河长制相关工作。</w:t>
      </w:r>
    </w:p>
    <w:p>
      <w:pPr>
        <w:spacing w:line="520" w:lineRule="exact"/>
        <w:ind w:firstLine="640" w:firstLineChars="200"/>
        <w:rPr>
          <w:rFonts w:eastAsia="仿宋_GB2312"/>
          <w:sz w:val="32"/>
          <w:szCs w:val="32"/>
        </w:rPr>
      </w:pPr>
      <w:r>
        <w:rPr>
          <w:rFonts w:eastAsia="仿宋_GB2312"/>
          <w:sz w:val="32"/>
          <w:szCs w:val="32"/>
        </w:rPr>
        <w:t>9.</w:t>
      </w:r>
      <w:r>
        <w:rPr>
          <w:rFonts w:hint="eastAsia" w:eastAsia="仿宋_GB2312"/>
          <w:sz w:val="32"/>
          <w:szCs w:val="32"/>
        </w:rPr>
        <w:t>指导农村水利工作。组织开展大中型灌排工程建设与改造。指导农村饮水安全工程建设管理工作，指导节水灌溉有关工作。指导农村水利改革创新和社会化服务体系建设。指导农村水能资源开发、小水电改造和水电农村电气化工作。</w:t>
      </w:r>
    </w:p>
    <w:p>
      <w:pPr>
        <w:spacing w:line="520" w:lineRule="exact"/>
        <w:ind w:firstLine="640" w:firstLineChars="200"/>
        <w:rPr>
          <w:rFonts w:eastAsia="仿宋_GB2312"/>
          <w:sz w:val="32"/>
          <w:szCs w:val="32"/>
        </w:rPr>
      </w:pPr>
      <w:r>
        <w:rPr>
          <w:rFonts w:eastAsia="仿宋_GB2312"/>
          <w:sz w:val="32"/>
          <w:szCs w:val="32"/>
        </w:rPr>
        <w:t>10.</w:t>
      </w:r>
      <w:r>
        <w:rPr>
          <w:rFonts w:hint="eastAsia" w:eastAsia="仿宋_GB2312"/>
          <w:sz w:val="32"/>
          <w:szCs w:val="32"/>
        </w:rPr>
        <w:t>指导全区水利发展和水利行业劳动保护、科技推广、安全生产工作。</w:t>
      </w:r>
    </w:p>
    <w:p>
      <w:pPr>
        <w:spacing w:line="520" w:lineRule="exact"/>
        <w:ind w:firstLine="640" w:firstLineChars="200"/>
        <w:rPr>
          <w:rFonts w:eastAsia="仿宋_GB2312"/>
          <w:sz w:val="32"/>
          <w:szCs w:val="32"/>
        </w:rPr>
      </w:pPr>
      <w:r>
        <w:rPr>
          <w:rFonts w:eastAsia="仿宋_GB2312"/>
          <w:sz w:val="32"/>
          <w:szCs w:val="32"/>
        </w:rPr>
        <w:t>11.</w:t>
      </w:r>
      <w:r>
        <w:rPr>
          <w:rFonts w:hint="eastAsia" w:eastAsia="仿宋_GB2312"/>
          <w:sz w:val="32"/>
          <w:szCs w:val="32"/>
        </w:rPr>
        <w:t>负责落实综合防灾减灾规划相关要求，组织编制洪水干旱灾害防治规划和防护标准并指导实施。承担水情旱情监测预警工作。组织编制重要江河湖泊和重要水工程的防御洪水抗御旱灾调度及应急水量调度方案，按程序报批并组织实施。承担防御洪水应急抢险的技术支撑工作。</w:t>
      </w:r>
    </w:p>
    <w:p>
      <w:pPr>
        <w:spacing w:line="520" w:lineRule="exact"/>
        <w:ind w:firstLine="640" w:firstLineChars="200"/>
        <w:rPr>
          <w:rFonts w:eastAsia="仿宋_GB2312"/>
          <w:sz w:val="32"/>
          <w:szCs w:val="32"/>
        </w:rPr>
      </w:pPr>
      <w:r>
        <w:rPr>
          <w:rFonts w:eastAsia="仿宋_GB2312"/>
          <w:sz w:val="32"/>
          <w:szCs w:val="32"/>
        </w:rPr>
        <w:t>12.</w:t>
      </w:r>
      <w:r>
        <w:rPr>
          <w:rFonts w:hint="eastAsia" w:eastAsia="仿宋_GB2312"/>
          <w:sz w:val="32"/>
          <w:szCs w:val="32"/>
        </w:rPr>
        <w:t>承担区政府公布的有关行政审批事项。</w:t>
      </w:r>
    </w:p>
    <w:p>
      <w:pPr>
        <w:spacing w:line="520" w:lineRule="exact"/>
        <w:ind w:firstLine="640" w:firstLineChars="200"/>
        <w:rPr>
          <w:rFonts w:eastAsia="仿宋_GB2312"/>
          <w:sz w:val="32"/>
          <w:szCs w:val="32"/>
        </w:rPr>
      </w:pPr>
      <w:r>
        <w:rPr>
          <w:rFonts w:eastAsia="仿宋_GB2312"/>
          <w:sz w:val="32"/>
          <w:szCs w:val="32"/>
        </w:rPr>
        <w:t>13.</w:t>
      </w:r>
      <w:r>
        <w:rPr>
          <w:rFonts w:hint="eastAsia" w:eastAsia="仿宋_GB2312"/>
          <w:sz w:val="32"/>
          <w:szCs w:val="32"/>
        </w:rPr>
        <w:t>负责职责范围内的安全生产和职业健康、生态环境保护、行政审批服务便民化工作。</w:t>
      </w:r>
    </w:p>
    <w:p>
      <w:pPr>
        <w:spacing w:line="520" w:lineRule="exact"/>
        <w:ind w:firstLine="640" w:firstLineChars="200"/>
        <w:rPr>
          <w:rFonts w:eastAsia="仿宋_GB2312"/>
          <w:sz w:val="32"/>
          <w:szCs w:val="32"/>
        </w:rPr>
      </w:pPr>
      <w:r>
        <w:rPr>
          <w:rFonts w:eastAsia="仿宋_GB2312"/>
          <w:sz w:val="32"/>
          <w:szCs w:val="32"/>
        </w:rPr>
        <w:t>14.</w:t>
      </w:r>
      <w:r>
        <w:rPr>
          <w:rFonts w:hint="eastAsia" w:eastAsia="仿宋_GB2312"/>
          <w:sz w:val="32"/>
          <w:szCs w:val="32"/>
        </w:rPr>
        <w:t>承办区政府交办的其他事项。</w:t>
      </w:r>
    </w:p>
    <w:p>
      <w:pPr>
        <w:pStyle w:val="6"/>
        <w:spacing w:line="520" w:lineRule="exact"/>
        <w:ind w:left="640"/>
        <w:rPr>
          <w:rFonts w:hint="default" w:ascii="楷体_GB2312" w:hAnsi="楷体_GB2312" w:eastAsia="楷体_GB2312" w:cs="楷体_GB2312"/>
          <w:sz w:val="32"/>
          <w:szCs w:val="32"/>
        </w:rPr>
      </w:pPr>
      <w:r>
        <w:rPr>
          <w:rFonts w:ascii="楷体_GB2312" w:hAnsi="楷体_GB2312" w:eastAsia="楷体_GB2312" w:cs="楷体_GB2312"/>
          <w:sz w:val="32"/>
          <w:szCs w:val="32"/>
        </w:rPr>
        <w:t>（二）单位人员构成情况。</w:t>
      </w:r>
    </w:p>
    <w:p>
      <w:pPr>
        <w:spacing w:line="520" w:lineRule="exact"/>
        <w:ind w:firstLine="640" w:firstLineChars="200"/>
        <w:rPr>
          <w:rFonts w:eastAsia="仿宋_GB2312"/>
          <w:sz w:val="32"/>
          <w:szCs w:val="32"/>
        </w:rPr>
      </w:pPr>
      <w:r>
        <w:rPr>
          <w:rFonts w:hint="eastAsia" w:eastAsia="仿宋_GB2312"/>
          <w:sz w:val="32"/>
          <w:szCs w:val="32"/>
        </w:rPr>
        <w:t>我单位共有行政编制4个，在岗人数4人；共有事业编制19个，在岗人数18人；编内聘用人员编制6个，在岗人数6人；退休人员3人。下属二级独立核算单位1个，保留公务用车编制5台，实有公务用车5台.</w:t>
      </w:r>
    </w:p>
    <w:p>
      <w:pPr>
        <w:pStyle w:val="6"/>
        <w:spacing w:line="520" w:lineRule="exact"/>
        <w:ind w:left="640"/>
        <w:rPr>
          <w:rFonts w:hint="default" w:ascii="楷体_GB2312" w:hAnsi="楷体_GB2312" w:eastAsia="楷体_GB2312" w:cs="楷体_GB2312"/>
          <w:sz w:val="32"/>
          <w:szCs w:val="32"/>
        </w:rPr>
      </w:pPr>
      <w:r>
        <w:rPr>
          <w:rFonts w:ascii="楷体_GB2312" w:hAnsi="楷体_GB2312" w:eastAsia="楷体_GB2312" w:cs="楷体_GB2312"/>
          <w:sz w:val="32"/>
          <w:szCs w:val="32"/>
        </w:rPr>
        <w:t>（三）固定资产情况。</w:t>
      </w:r>
    </w:p>
    <w:p>
      <w:pPr>
        <w:pStyle w:val="6"/>
        <w:spacing w:line="520" w:lineRule="exact"/>
        <w:ind w:firstLine="616" w:firstLineChars="200"/>
        <w:rPr>
          <w:rFonts w:hint="default" w:ascii="Times New Roman" w:hAnsi="Times New Roman" w:eastAsia="仿宋_GB2312"/>
          <w:spacing w:val="-6"/>
          <w:sz w:val="32"/>
          <w:szCs w:val="32"/>
        </w:rPr>
      </w:pPr>
      <w:r>
        <w:rPr>
          <w:rFonts w:ascii="Times New Roman" w:hAnsi="Times New Roman" w:eastAsia="仿宋_GB2312"/>
          <w:spacing w:val="-6"/>
          <w:sz w:val="32"/>
          <w:szCs w:val="32"/>
        </w:rPr>
        <w:t>截止2020年12月31日，固定资产原价为243.89万元，2020年固定资产累计折旧17.22万元，2020年固定资产净值75.2万元。</w:t>
      </w:r>
    </w:p>
    <w:p>
      <w:pPr>
        <w:widowControl/>
        <w:adjustRightInd w:val="0"/>
        <w:snapToGrid w:val="0"/>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二、部门财政资金收支情况</w:t>
      </w:r>
    </w:p>
    <w:p>
      <w:pPr>
        <w:widowControl/>
        <w:adjustRightInd w:val="0"/>
        <w:snapToGrid w:val="0"/>
        <w:spacing w:line="520" w:lineRule="exact"/>
        <w:ind w:firstLine="640" w:firstLineChars="200"/>
        <w:jc w:val="left"/>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（一）部门财政资金收入情况。</w:t>
      </w:r>
    </w:p>
    <w:p>
      <w:pPr>
        <w:widowControl/>
        <w:adjustRightInd w:val="0"/>
        <w:snapToGrid w:val="0"/>
        <w:spacing w:line="520" w:lineRule="exact"/>
        <w:ind w:firstLine="640" w:firstLineChars="200"/>
        <w:jc w:val="left"/>
        <w:rPr>
          <w:rFonts w:eastAsia="仿宋_GB2312"/>
          <w:sz w:val="32"/>
          <w:szCs w:val="32"/>
          <w:lang w:val="zh-CN"/>
        </w:rPr>
      </w:pPr>
      <w:r>
        <w:rPr>
          <w:rFonts w:hint="eastAsia" w:eastAsia="仿宋_GB2312"/>
          <w:sz w:val="32"/>
          <w:szCs w:val="32"/>
          <w:lang w:val="zh-CN"/>
        </w:rPr>
        <w:t>2020年本年收入合计5376.98万元，其中：一般公共预算财政拨款收入862.98万元，占16%；政府性基金预算财政拨款收入4514万元，占84%。</w:t>
      </w:r>
    </w:p>
    <w:p>
      <w:pPr>
        <w:widowControl/>
        <w:adjustRightInd w:val="0"/>
        <w:snapToGrid w:val="0"/>
        <w:spacing w:line="520" w:lineRule="exact"/>
        <w:ind w:firstLine="640" w:firstLineChars="200"/>
        <w:jc w:val="left"/>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w:t>
      </w: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val="zh-CN"/>
        </w:rPr>
        <w:t>）部门财政资金支出情况。</w:t>
      </w:r>
    </w:p>
    <w:p>
      <w:pPr>
        <w:widowControl/>
        <w:adjustRightInd w:val="0"/>
        <w:snapToGrid w:val="0"/>
        <w:spacing w:line="520" w:lineRule="exact"/>
        <w:ind w:firstLine="640" w:firstLineChars="200"/>
        <w:jc w:val="left"/>
        <w:rPr>
          <w:rFonts w:eastAsia="仿宋_GB2312"/>
          <w:sz w:val="32"/>
          <w:szCs w:val="32"/>
          <w:lang w:val="zh-CN"/>
        </w:rPr>
      </w:pPr>
      <w:r>
        <w:rPr>
          <w:rFonts w:hint="eastAsia" w:eastAsia="仿宋_GB2312"/>
          <w:sz w:val="32"/>
          <w:szCs w:val="32"/>
          <w:lang w:val="zh-CN"/>
        </w:rPr>
        <w:t>2020年本年支出4152.95万元，主要用于以下方面:社会保障和就业支出27.63万元，占总支出的0.67%；卫生健康支出13.09万元，占总支出的0.32%；城乡社区支出134.82，占总支出的3.25%农林水支出1035.06万元，占总支出的24.92%；住房保障支出32.64万元，占总支出的0.79%；政府性基金预算财政拨款支出2909.71万元，占总支出的70.06%，</w:t>
      </w:r>
    </w:p>
    <w:p>
      <w:pPr>
        <w:widowControl/>
        <w:adjustRightInd w:val="0"/>
        <w:snapToGrid w:val="0"/>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三、部门整体预算绩效管理情况</w:t>
      </w:r>
    </w:p>
    <w:p>
      <w:pPr>
        <w:widowControl/>
        <w:adjustRightInd w:val="0"/>
        <w:snapToGrid w:val="0"/>
        <w:spacing w:line="520" w:lineRule="exact"/>
        <w:ind w:firstLine="640" w:firstLineChars="200"/>
        <w:jc w:val="left"/>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（一）部门预算管理。</w:t>
      </w:r>
    </w:p>
    <w:p>
      <w:pPr>
        <w:widowControl/>
        <w:adjustRightInd w:val="0"/>
        <w:snapToGrid w:val="0"/>
        <w:spacing w:line="520" w:lineRule="exact"/>
        <w:ind w:firstLine="640" w:firstLineChars="200"/>
        <w:jc w:val="left"/>
        <w:rPr>
          <w:rFonts w:eastAsia="仿宋_GB2312"/>
          <w:sz w:val="32"/>
          <w:szCs w:val="32"/>
          <w:lang w:val="zh-CN"/>
        </w:rPr>
      </w:pPr>
      <w:r>
        <w:rPr>
          <w:rFonts w:hint="eastAsia" w:eastAsia="仿宋_GB2312"/>
          <w:sz w:val="32"/>
          <w:szCs w:val="32"/>
          <w:lang w:val="zh-CN"/>
        </w:rPr>
        <w:t>2020年攀枝花市西区水利局严格按照部门职能及履职需求制定部门绩效目标，基本完成部门目标任务，按照财政预算编制要求及预算编制原则准确及时全面编制预算、合理控制部门支出、根据预算目标进行预算动态调整、项目执行进度良好有序、预算完成情况良好、无违规记录。</w:t>
      </w:r>
    </w:p>
    <w:p>
      <w:pPr>
        <w:widowControl/>
        <w:adjustRightInd w:val="0"/>
        <w:snapToGrid w:val="0"/>
        <w:spacing w:line="520" w:lineRule="exact"/>
        <w:ind w:firstLine="640" w:firstLineChars="200"/>
        <w:rPr>
          <w:rFonts w:eastAsia="仿宋_GB2312"/>
          <w:sz w:val="32"/>
          <w:szCs w:val="32"/>
          <w:lang w:val="zh-CN"/>
        </w:rPr>
      </w:pPr>
      <w:r>
        <w:rPr>
          <w:rFonts w:hint="eastAsia" w:eastAsia="仿宋_GB2312"/>
          <w:sz w:val="32"/>
          <w:szCs w:val="32"/>
          <w:lang w:val="zh-CN"/>
        </w:rPr>
        <w:t>2020年我局基本支出381</w:t>
      </w:r>
      <w:r>
        <w:rPr>
          <w:rFonts w:hint="eastAsia" w:eastAsia="仿宋_GB2312"/>
          <w:sz w:val="32"/>
          <w:szCs w:val="32"/>
        </w:rPr>
        <w:t>.13</w:t>
      </w:r>
      <w:r>
        <w:rPr>
          <w:rFonts w:hint="eastAsia" w:eastAsia="仿宋_GB2312"/>
          <w:sz w:val="32"/>
          <w:szCs w:val="32"/>
          <w:lang w:val="zh-CN"/>
        </w:rPr>
        <w:t>万元，主要用于人员经费和日常公用支出，人员经费用于人员的工资福利、养老保险、职业年金、公积金、社保缴费、其他工资福利支出等；日常公用经费用于日常工作中的办公费、邮电费、水费、电费、维修费、劳务费、委托业务费、工会经费、福利费、公务车运行维护费、手续费、其他商品和服务支出。其他对个人和家庭的补助支出。</w:t>
      </w:r>
    </w:p>
    <w:p>
      <w:pPr>
        <w:widowControl/>
        <w:adjustRightInd w:val="0"/>
        <w:snapToGrid w:val="0"/>
        <w:spacing w:line="520" w:lineRule="exact"/>
        <w:ind w:firstLine="640" w:firstLineChars="200"/>
        <w:rPr>
          <w:rFonts w:eastAsia="仿宋_GB2312"/>
          <w:sz w:val="32"/>
          <w:szCs w:val="32"/>
          <w:lang w:val="zh-CN"/>
        </w:rPr>
      </w:pPr>
      <w:r>
        <w:rPr>
          <w:rFonts w:hint="eastAsia" w:eastAsia="仿宋_GB2312"/>
          <w:sz w:val="32"/>
          <w:szCs w:val="32"/>
          <w:lang w:val="zh-CN"/>
        </w:rPr>
        <w:t>2020年项目支出3771.95万元，(其中包括使用2019年上级财政补助结余资金及增加政府基金预算支出)，主要用于大型水库后期扶持、其他污染防治、其他节能环保支出、其他农业支出、水利执法监督、防汛、抗旱、其他水利支出、江河湖库水系综合整治、农村综合改革、其他农林水支出各个项目的支出，项目基本按照预算绩效目标开展。</w:t>
      </w:r>
    </w:p>
    <w:p>
      <w:pPr>
        <w:widowControl/>
        <w:adjustRightInd w:val="0"/>
        <w:snapToGrid w:val="0"/>
        <w:spacing w:line="520" w:lineRule="exact"/>
        <w:ind w:firstLine="640" w:firstLineChars="200"/>
        <w:jc w:val="left"/>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（二）结果应用情况。</w:t>
      </w:r>
    </w:p>
    <w:p>
      <w:pPr>
        <w:widowControl/>
        <w:adjustRightInd w:val="0"/>
        <w:snapToGrid w:val="0"/>
        <w:spacing w:line="520" w:lineRule="exact"/>
        <w:ind w:firstLine="640" w:firstLineChars="200"/>
        <w:jc w:val="left"/>
        <w:rPr>
          <w:rFonts w:eastAsia="仿宋_GB2312"/>
          <w:sz w:val="32"/>
          <w:szCs w:val="32"/>
          <w:lang w:val="zh-CN"/>
        </w:rPr>
      </w:pPr>
      <w:r>
        <w:rPr>
          <w:rFonts w:hint="eastAsia" w:eastAsia="仿宋_GB2312"/>
          <w:sz w:val="32"/>
          <w:szCs w:val="32"/>
          <w:lang w:val="zh-CN"/>
        </w:rPr>
        <w:t>水利工作：水行政执法工作有效开展，确保2020年汛期安全度汛，山洪预警系统运行正常，西区河（湖）长制工作顺利开展。基本达到主管部门和群众满意度100%。</w:t>
      </w:r>
    </w:p>
    <w:p>
      <w:pPr>
        <w:widowControl/>
        <w:adjustRightInd w:val="0"/>
        <w:snapToGrid w:val="0"/>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四、评价结论及建议</w:t>
      </w:r>
    </w:p>
    <w:p>
      <w:pPr>
        <w:widowControl/>
        <w:adjustRightInd w:val="0"/>
        <w:snapToGrid w:val="0"/>
        <w:spacing w:line="520" w:lineRule="exact"/>
        <w:ind w:firstLine="640" w:firstLineChars="200"/>
        <w:jc w:val="left"/>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（一）评价结论。</w:t>
      </w:r>
    </w:p>
    <w:p>
      <w:pPr>
        <w:widowControl/>
        <w:adjustRightInd w:val="0"/>
        <w:snapToGrid w:val="0"/>
        <w:spacing w:line="520" w:lineRule="exact"/>
        <w:ind w:firstLine="640" w:firstLineChars="200"/>
        <w:jc w:val="left"/>
        <w:rPr>
          <w:rFonts w:eastAsia="仿宋_GB2312"/>
          <w:sz w:val="32"/>
          <w:szCs w:val="32"/>
          <w:lang w:val="zh-CN"/>
        </w:rPr>
      </w:pPr>
      <w:r>
        <w:rPr>
          <w:rFonts w:hint="eastAsia" w:eastAsia="仿宋_GB2312"/>
          <w:sz w:val="32"/>
          <w:szCs w:val="32"/>
          <w:lang w:val="zh-CN"/>
        </w:rPr>
        <w:t>通过绩效评价，我局认为，2020年度部门预算具有明确的用途和目标，制定了较详细的执行计划，资金到位及时并严格按照财政有关规定使用，预算决策、管理、执行等日益规范，能较好地满足工作需要，取得了良好经济效益和社会效益。</w:t>
      </w:r>
    </w:p>
    <w:p>
      <w:pPr>
        <w:widowControl/>
        <w:adjustRightInd w:val="0"/>
        <w:snapToGrid w:val="0"/>
        <w:spacing w:line="520" w:lineRule="exact"/>
        <w:ind w:firstLine="640" w:firstLineChars="200"/>
        <w:jc w:val="left"/>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（二）存在问题。</w:t>
      </w:r>
    </w:p>
    <w:p>
      <w:pPr>
        <w:widowControl/>
        <w:adjustRightInd w:val="0"/>
        <w:snapToGrid w:val="0"/>
        <w:spacing w:line="520" w:lineRule="exact"/>
        <w:ind w:firstLine="640" w:firstLineChars="200"/>
        <w:jc w:val="left"/>
        <w:rPr>
          <w:rFonts w:eastAsia="仿宋_GB2312"/>
          <w:sz w:val="32"/>
          <w:szCs w:val="32"/>
          <w:lang w:val="zh-CN"/>
        </w:rPr>
      </w:pPr>
      <w:r>
        <w:rPr>
          <w:rFonts w:hint="eastAsia" w:eastAsia="仿宋_GB2312"/>
          <w:sz w:val="32"/>
          <w:szCs w:val="32"/>
          <w:lang w:val="zh-CN"/>
        </w:rPr>
        <w:t>各个项目能按进度完成目标任务，但由于财政资金不到位，造成资金拨付进度缓慢，执行使用率较低。下一步我们将加大对财政资金支出绩效评价工作的培训力度，提高绩效评价工作的认知度，重视目标绩效评价工作，切实提升绩效评价工作水平，并能及时将评价结果运用到工作实施过程中，更好的完成年度目标任务。</w:t>
      </w:r>
    </w:p>
    <w:p>
      <w:pPr>
        <w:widowControl/>
        <w:adjustRightInd w:val="0"/>
        <w:snapToGrid w:val="0"/>
        <w:spacing w:line="520" w:lineRule="exact"/>
        <w:ind w:firstLine="640" w:firstLineChars="200"/>
        <w:jc w:val="left"/>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（三）改进建议。</w:t>
      </w:r>
    </w:p>
    <w:p>
      <w:pPr>
        <w:widowControl/>
        <w:adjustRightInd w:val="0"/>
        <w:snapToGrid w:val="0"/>
        <w:spacing w:line="520" w:lineRule="exact"/>
        <w:ind w:firstLine="640" w:firstLineChars="200"/>
        <w:jc w:val="left"/>
        <w:rPr>
          <w:rFonts w:eastAsia="仿宋_GB2312"/>
          <w:sz w:val="32"/>
          <w:szCs w:val="32"/>
          <w:lang w:val="zh-CN"/>
        </w:rPr>
      </w:pPr>
      <w:r>
        <w:rPr>
          <w:rFonts w:hint="eastAsia" w:eastAsia="仿宋_GB2312"/>
          <w:sz w:val="32"/>
          <w:szCs w:val="32"/>
          <w:lang w:val="zh-CN"/>
        </w:rPr>
        <w:t xml:space="preserve">在制定部门绩效相关政策时，建议结合相关行业特点，财政保障资金的到位，进一步加快项目及资金支付进度，减少当年结余资金率，提高项目绩效。    </w:t>
      </w:r>
    </w:p>
    <w:p>
      <w:pPr>
        <w:spacing w:line="560" w:lineRule="exact"/>
        <w:rPr>
          <w:rFonts w:eastAsia="仿宋_GB2312"/>
          <w:sz w:val="32"/>
          <w:szCs w:val="32"/>
        </w:rPr>
      </w:pPr>
    </w:p>
    <w:p>
      <w:pPr>
        <w:spacing w:line="560" w:lineRule="exact"/>
        <w:rPr>
          <w:rFonts w:eastAsia="仿宋_GB2312"/>
          <w:sz w:val="32"/>
          <w:szCs w:val="32"/>
        </w:rPr>
      </w:pPr>
      <w:r>
        <w:rPr>
          <w:rFonts w:hint="eastAsia" w:eastAsia="仿宋_GB2312"/>
          <w:sz w:val="32"/>
          <w:szCs w:val="32"/>
        </w:rPr>
        <w:t>附件2</w:t>
      </w:r>
    </w:p>
    <w:p>
      <w:pPr>
        <w:spacing w:line="240" w:lineRule="atLeas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2020年度河长制工作专项经费项目</w:t>
      </w:r>
    </w:p>
    <w:p>
      <w:pPr>
        <w:spacing w:line="240" w:lineRule="atLeas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绩效评价报告</w:t>
      </w:r>
    </w:p>
    <w:p>
      <w:pPr>
        <w:spacing w:line="240" w:lineRule="atLeast"/>
        <w:rPr>
          <w:rFonts w:eastAsia="仿宋_GB2312"/>
          <w:sz w:val="32"/>
          <w:szCs w:val="32"/>
          <w:lang w:val="zh-CN"/>
        </w:rPr>
      </w:pPr>
    </w:p>
    <w:p>
      <w:pPr>
        <w:spacing w:line="560" w:lineRule="exact"/>
        <w:ind w:firstLine="645"/>
        <w:rPr>
          <w:rFonts w:ascii="黑体" w:hAnsi="黑体" w:eastAsia="黑体" w:cs="黑体"/>
          <w:sz w:val="32"/>
          <w:szCs w:val="32"/>
        </w:rPr>
      </w:pPr>
      <w:r>
        <w:rPr>
          <w:rFonts w:hint="eastAsia" w:ascii="黑体" w:hAnsi="黑体" w:eastAsia="黑体" w:cs="黑体"/>
          <w:sz w:val="32"/>
          <w:szCs w:val="32"/>
        </w:rPr>
        <w:t>一、项目概况</w:t>
      </w:r>
    </w:p>
    <w:p>
      <w:pPr>
        <w:widowControl/>
        <w:adjustRightInd w:val="0"/>
        <w:snapToGrid w:val="0"/>
        <w:spacing w:line="560" w:lineRule="exact"/>
        <w:ind w:firstLine="640" w:firstLineChars="200"/>
        <w:jc w:val="left"/>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（一）项目基本情况。</w:t>
      </w:r>
    </w:p>
    <w:p>
      <w:pPr>
        <w:spacing w:line="560" w:lineRule="exact"/>
        <w:ind w:firstLine="640" w:firstLineChars="200"/>
        <w:rPr>
          <w:rFonts w:eastAsia="仿宋_GB2312"/>
          <w:sz w:val="32"/>
          <w:szCs w:val="32"/>
        </w:rPr>
      </w:pPr>
      <w:r>
        <w:rPr>
          <w:rFonts w:hint="eastAsia" w:eastAsia="仿宋_GB2312"/>
          <w:sz w:val="32"/>
          <w:szCs w:val="32"/>
        </w:rPr>
        <w:t>根据《攀枝花市西区全面落实河长制工作方案》（攀西委办〔2017〕43号）文件要求，全面推行河长制工作是党中央、国务院持续深化改革的一项战略决策，是落实习近平总书记绿色发展理念的一项具体行动，保障河长制经费投入。2020年度河长制支出经费主要是由河长制工作经费、河湖管理范围划定费、信息化平台服务费、河道保洁费等四大部分组成。</w:t>
      </w:r>
    </w:p>
    <w:p>
      <w:pPr>
        <w:widowControl/>
        <w:adjustRightInd w:val="0"/>
        <w:snapToGrid w:val="0"/>
        <w:spacing w:line="560" w:lineRule="exact"/>
        <w:ind w:firstLine="640" w:firstLineChars="200"/>
        <w:jc w:val="left"/>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w:t>
      </w: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val="zh-CN"/>
        </w:rPr>
        <w:t>）项目绩效目标。</w:t>
      </w:r>
    </w:p>
    <w:p>
      <w:pPr>
        <w:spacing w:line="560" w:lineRule="exact"/>
        <w:ind w:firstLine="640" w:firstLineChars="200"/>
        <w:rPr>
          <w:rFonts w:eastAsia="仿宋_GB2312"/>
          <w:sz w:val="32"/>
          <w:szCs w:val="32"/>
        </w:rPr>
      </w:pPr>
      <w:r>
        <w:rPr>
          <w:rFonts w:hint="eastAsia" w:eastAsia="仿宋_GB2312"/>
          <w:sz w:val="32"/>
          <w:szCs w:val="32"/>
        </w:rPr>
        <w:t>一是组织召开西区总河长会、西区总河长办公室主任会、西区河长制湖长制工作推进会，安排部署全年河（湖）长制工作。二是精心编制2020年河（湖）长制工作要点和三条河流年度河长制工作“四张清单”。三是率先在全市范围内完成金沙江（西区段）河道管理范围划定工作，把关河（西区段）、拉罗箐河（西区段）河道管理范围已经区政府进行通告，正在开展河道界桩、告示牌制作和安装工作，率先完成河道智慧界桩试点项目建设。四是深入开展“清河、护岸、净水、保水”四项行动，印发《深入开展2020年清河护岸净水保水四项行动实施方案》，截至目前区级河长巡河58次，镇级河长巡河153次，村级河长巡河358次，共发现问题27个（乱弃19个、乱堆8个），均完成整改。2020年，全区纳入国家考核的监测断面水质优良(达到或优于Ⅲ类)比例为100％，全区地表水水质优良（达到或优于Ⅲ类）比例为100%。</w:t>
      </w:r>
    </w:p>
    <w:p>
      <w:pPr>
        <w:spacing w:line="560" w:lineRule="exact"/>
        <w:ind w:firstLine="640" w:firstLineChars="200"/>
        <w:rPr>
          <w:rFonts w:eastAsia="仿宋_GB2312"/>
          <w:sz w:val="32"/>
          <w:szCs w:val="32"/>
        </w:rPr>
      </w:pPr>
      <w:r>
        <w:rPr>
          <w:rFonts w:hint="eastAsia" w:eastAsia="仿宋_GB2312"/>
          <w:sz w:val="32"/>
          <w:szCs w:val="32"/>
        </w:rPr>
        <w:t>全面落实河长制工作，改善辖区内三条河流的水生态环境；加强宣传，以“世界水日”“中国水周”活动为载体，广泛开展节水宣传活动，全区节水型社会建设不断深入。通过开展水土保持、节水型社会建设、河长制、水利工程建设等工作，生态环境持续改善。</w:t>
      </w:r>
    </w:p>
    <w:p>
      <w:pPr>
        <w:widowControl/>
        <w:adjustRightInd w:val="0"/>
        <w:snapToGrid w:val="0"/>
        <w:spacing w:line="560" w:lineRule="exact"/>
        <w:ind w:firstLine="640" w:firstLineChars="200"/>
        <w:jc w:val="left"/>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（三）项目自评步骤及方法。</w:t>
      </w:r>
    </w:p>
    <w:p>
      <w:pPr>
        <w:spacing w:line="560" w:lineRule="exact"/>
        <w:ind w:firstLine="640" w:firstLineChars="200"/>
        <w:rPr>
          <w:rFonts w:eastAsia="仿宋_GB2312"/>
          <w:sz w:val="32"/>
          <w:szCs w:val="32"/>
          <w:lang w:val="zh-CN"/>
        </w:rPr>
      </w:pPr>
      <w:r>
        <w:rPr>
          <w:rFonts w:hint="eastAsia" w:eastAsia="仿宋_GB2312"/>
          <w:sz w:val="32"/>
          <w:szCs w:val="32"/>
          <w:lang w:val="zh-CN"/>
        </w:rPr>
        <w:t>项目采取自评方式，按照财政下达的项目支出绩效评价指标体系，从项目决策、项目管理、项目绩效等方面做出评价。</w:t>
      </w:r>
    </w:p>
    <w:p>
      <w:pPr>
        <w:adjustRightInd w:val="0"/>
        <w:snapToGrid w:val="0"/>
        <w:spacing w:line="560" w:lineRule="exact"/>
        <w:ind w:firstLine="720"/>
        <w:rPr>
          <w:rFonts w:ascii="黑体" w:hAnsi="黑体" w:eastAsia="黑体" w:cs="黑体"/>
          <w:sz w:val="32"/>
          <w:szCs w:val="32"/>
        </w:rPr>
      </w:pPr>
      <w:r>
        <w:rPr>
          <w:rFonts w:hint="eastAsia" w:ascii="黑体" w:hAnsi="黑体" w:eastAsia="黑体" w:cs="黑体"/>
          <w:sz w:val="32"/>
          <w:szCs w:val="32"/>
        </w:rPr>
        <w:t>二、项目资金申报及使用情况</w:t>
      </w:r>
    </w:p>
    <w:p>
      <w:pPr>
        <w:widowControl/>
        <w:adjustRightInd w:val="0"/>
        <w:snapToGrid w:val="0"/>
        <w:spacing w:line="560" w:lineRule="exact"/>
        <w:ind w:firstLine="640" w:firstLineChars="200"/>
        <w:jc w:val="left"/>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（一）项目资金申报及批复情况。</w:t>
      </w:r>
    </w:p>
    <w:p>
      <w:pPr>
        <w:spacing w:line="560" w:lineRule="exact"/>
        <w:ind w:firstLine="640" w:firstLineChars="200"/>
        <w:rPr>
          <w:rFonts w:eastAsia="仿宋_GB2312"/>
          <w:sz w:val="32"/>
          <w:szCs w:val="32"/>
        </w:rPr>
      </w:pPr>
      <w:r>
        <w:rPr>
          <w:rFonts w:hint="eastAsia" w:eastAsia="仿宋_GB2312"/>
          <w:sz w:val="32"/>
          <w:szCs w:val="32"/>
        </w:rPr>
        <w:t>河长制工作专项经费项目年初申报预算是10万元，区财政预算批复下达经费预算10万元， 2020年河长制工作经费及支出10万元。</w:t>
      </w:r>
    </w:p>
    <w:p>
      <w:pPr>
        <w:widowControl/>
        <w:adjustRightInd w:val="0"/>
        <w:snapToGrid w:val="0"/>
        <w:spacing w:line="560" w:lineRule="exact"/>
        <w:ind w:firstLine="640" w:firstLineChars="200"/>
        <w:jc w:val="left"/>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（二）资金计划、到位及使用情况（可用表格形式反映）。</w:t>
      </w:r>
    </w:p>
    <w:p>
      <w:pPr>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资金计划。防汛经费资金全部由区财政预算安排。</w:t>
      </w:r>
    </w:p>
    <w:p>
      <w:pPr>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资金到位。年初预算申报的10万元已全部到位，资金到位率100%。资金到位及时，有效地保证了项目工作的正常、平稳开展。</w:t>
      </w:r>
    </w:p>
    <w:p>
      <w:pPr>
        <w:spacing w:line="560" w:lineRule="exact"/>
        <w:ind w:firstLine="640" w:firstLineChars="200"/>
        <w:rPr>
          <w:rFonts w:eastAsia="仿宋_GB2312"/>
          <w:sz w:val="32"/>
          <w:szCs w:val="32"/>
          <w:lang w:val="zh-CN"/>
        </w:rPr>
      </w:pPr>
      <w:r>
        <w:rPr>
          <w:rFonts w:eastAsia="仿宋_GB2312"/>
          <w:sz w:val="32"/>
          <w:szCs w:val="32"/>
        </w:rPr>
        <w:t>3.</w:t>
      </w:r>
      <w:r>
        <w:rPr>
          <w:rFonts w:hint="eastAsia" w:eastAsia="仿宋_GB2312"/>
          <w:sz w:val="32"/>
          <w:szCs w:val="32"/>
        </w:rPr>
        <w:t>资金使用。本项目实际到位资金10万元，实际使用资金10万元，主要用与河道日常管护、信息化平台建设、河道范围划定。</w:t>
      </w:r>
    </w:p>
    <w:p>
      <w:pPr>
        <w:widowControl/>
        <w:adjustRightInd w:val="0"/>
        <w:snapToGrid w:val="0"/>
        <w:spacing w:line="560" w:lineRule="exact"/>
        <w:ind w:firstLine="640" w:firstLineChars="200"/>
        <w:jc w:val="left"/>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（三）项目财务管理情况。</w:t>
      </w:r>
    </w:p>
    <w:p>
      <w:pPr>
        <w:spacing w:line="560" w:lineRule="exact"/>
        <w:ind w:firstLine="640" w:firstLineChars="200"/>
        <w:rPr>
          <w:rFonts w:eastAsia="仿宋_GB2312"/>
          <w:sz w:val="32"/>
          <w:szCs w:val="32"/>
        </w:rPr>
      </w:pPr>
      <w:r>
        <w:rPr>
          <w:rFonts w:hint="eastAsia" w:eastAsia="仿宋_GB2312"/>
          <w:sz w:val="32"/>
          <w:szCs w:val="32"/>
        </w:rPr>
        <w:t>西区水利局严格遵守《中华人民共和国会计法》《中华人民共和国预算法》、《专项资金管理制度》等各项规定，对项目专项资金实行单独核算、专款专用的原则，未出现专项资金被挤占、截留和挪用现象。</w:t>
      </w:r>
    </w:p>
    <w:p>
      <w:pPr>
        <w:adjustRightInd w:val="0"/>
        <w:snapToGrid w:val="0"/>
        <w:spacing w:line="560" w:lineRule="exact"/>
        <w:ind w:firstLine="720"/>
        <w:rPr>
          <w:rFonts w:ascii="黑体" w:hAnsi="黑体" w:eastAsia="黑体" w:cs="黑体"/>
          <w:sz w:val="32"/>
          <w:szCs w:val="32"/>
        </w:rPr>
      </w:pPr>
      <w:r>
        <w:rPr>
          <w:rFonts w:hint="eastAsia" w:ascii="黑体" w:hAnsi="黑体" w:eastAsia="黑体" w:cs="黑体"/>
          <w:sz w:val="32"/>
          <w:szCs w:val="32"/>
        </w:rPr>
        <w:t>三、项目实施及管理情况</w:t>
      </w:r>
    </w:p>
    <w:p>
      <w:pPr>
        <w:widowControl/>
        <w:adjustRightInd w:val="0"/>
        <w:snapToGrid w:val="0"/>
        <w:spacing w:line="560" w:lineRule="exact"/>
        <w:ind w:firstLine="640" w:firstLineChars="200"/>
        <w:jc w:val="left"/>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（一）项目组织情况。</w:t>
      </w:r>
    </w:p>
    <w:p>
      <w:pPr>
        <w:spacing w:line="560" w:lineRule="exact"/>
        <w:ind w:firstLine="480" w:firstLineChars="150"/>
        <w:rPr>
          <w:rFonts w:eastAsia="仿宋_GB2312"/>
          <w:sz w:val="32"/>
          <w:szCs w:val="32"/>
        </w:rPr>
      </w:pPr>
      <w:r>
        <w:rPr>
          <w:rFonts w:hint="eastAsia" w:eastAsia="仿宋_GB2312"/>
          <w:sz w:val="32"/>
          <w:szCs w:val="32"/>
        </w:rPr>
        <w:t>本项目属于经常性项目，由区水利局组织实施与管理，实施过程均按照西区财政批复文件要求执行。</w:t>
      </w:r>
    </w:p>
    <w:p>
      <w:pPr>
        <w:widowControl/>
        <w:adjustRightInd w:val="0"/>
        <w:snapToGrid w:val="0"/>
        <w:spacing w:line="560" w:lineRule="exact"/>
        <w:ind w:firstLine="640" w:firstLineChars="200"/>
        <w:jc w:val="left"/>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（二）项目管理情况。</w:t>
      </w:r>
    </w:p>
    <w:p>
      <w:pPr>
        <w:spacing w:line="560" w:lineRule="exact"/>
        <w:ind w:firstLine="640" w:firstLineChars="200"/>
        <w:rPr>
          <w:rFonts w:eastAsia="仿宋_GB2312"/>
          <w:sz w:val="32"/>
          <w:szCs w:val="32"/>
        </w:rPr>
      </w:pPr>
      <w:r>
        <w:rPr>
          <w:rFonts w:hint="eastAsia" w:eastAsia="仿宋_GB2312"/>
          <w:sz w:val="32"/>
          <w:szCs w:val="32"/>
        </w:rPr>
        <w:t>西区水利局严格执行区财政局下发的文件要求，项目经费由区西区水利局统一管理，采取会议讨论决定的形式，按照项目计划安排，根据实际工作需要开支，做到专款专用。同时按照财政专项资金管理办法进行了账务处理，支出严格按照相关法规进行会计核算，付款申请及审批程序合法。</w:t>
      </w:r>
    </w:p>
    <w:p>
      <w:pPr>
        <w:spacing w:line="560" w:lineRule="exact"/>
        <w:ind w:firstLine="645"/>
        <w:rPr>
          <w:rFonts w:ascii="黑体" w:hAnsi="黑体" w:eastAsia="黑体" w:cs="黑体"/>
          <w:sz w:val="32"/>
          <w:szCs w:val="32"/>
        </w:rPr>
      </w:pPr>
      <w:r>
        <w:rPr>
          <w:rFonts w:hint="eastAsia" w:ascii="黑体" w:hAnsi="黑体" w:eastAsia="黑体" w:cs="黑体"/>
          <w:sz w:val="32"/>
          <w:szCs w:val="32"/>
        </w:rPr>
        <w:t>四、项目绩效情况</w:t>
      </w:r>
      <w:r>
        <w:rPr>
          <w:rFonts w:hint="eastAsia" w:ascii="黑体" w:hAnsi="黑体" w:eastAsia="黑体" w:cs="黑体"/>
          <w:sz w:val="32"/>
          <w:szCs w:val="32"/>
        </w:rPr>
        <w:tab/>
      </w:r>
    </w:p>
    <w:p>
      <w:pPr>
        <w:widowControl/>
        <w:adjustRightInd w:val="0"/>
        <w:snapToGrid w:val="0"/>
        <w:spacing w:line="560" w:lineRule="exact"/>
        <w:ind w:firstLine="640" w:firstLineChars="200"/>
        <w:jc w:val="left"/>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（一）项目完成情况。</w:t>
      </w:r>
    </w:p>
    <w:p>
      <w:pPr>
        <w:spacing w:line="560" w:lineRule="exact"/>
        <w:ind w:firstLine="640" w:firstLineChars="200"/>
        <w:rPr>
          <w:rFonts w:eastAsia="仿宋_GB2312"/>
          <w:sz w:val="32"/>
          <w:szCs w:val="32"/>
        </w:rPr>
      </w:pPr>
      <w:r>
        <w:rPr>
          <w:rFonts w:hint="eastAsia" w:eastAsia="仿宋_GB2312"/>
          <w:sz w:val="32"/>
          <w:szCs w:val="32"/>
        </w:rPr>
        <w:t>一是组织召开西区总河长会、西区总河长办公室主任会、西区河长制湖长制工作推进会，安排部署全年河（湖）长制工作。二是精心编制2020年河（湖）长制工作要点和三条河流年度河长制工作“四张清单”。三是率先在全市范围内完成金沙江（西区段）河道管理范围划定工作，把关河（西区段）、拉罗箐河（西区段）河道管理范围已经区政府进行通告，正在开展河道界桩、告示牌制作和安装工作，率先完成河道智慧界桩试点项目建设。四是深入开展“清河、护岸、净水、保水”四项行动，印发《深入开展2020年清河护岸净水保水四项行动实施方案》，截至目前区级河长巡河58次，镇级河长巡河153次，村级河长巡河358次，共发现问题27个（乱弃19个、乱堆8个），均完成整改。2020年，全区纳入国家考核的监测断面水质优良(达到或优于Ⅲ类)比例为100％，全区地表水水质优良（达到或优于Ⅲ类）比例为100%。</w:t>
      </w:r>
    </w:p>
    <w:p>
      <w:pPr>
        <w:widowControl/>
        <w:adjustRightInd w:val="0"/>
        <w:snapToGrid w:val="0"/>
        <w:spacing w:line="560" w:lineRule="exact"/>
        <w:ind w:firstLine="640" w:firstLineChars="200"/>
        <w:jc w:val="left"/>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（二）项目效益情况。</w:t>
      </w:r>
    </w:p>
    <w:p>
      <w:pPr>
        <w:pStyle w:val="6"/>
        <w:spacing w:line="560" w:lineRule="exact"/>
        <w:ind w:firstLine="616" w:firstLineChars="200"/>
        <w:rPr>
          <w:rFonts w:hint="default" w:ascii="Times New Roman" w:hAnsi="Times New Roman" w:eastAsia="仿宋_GB2312"/>
          <w:spacing w:val="-6"/>
          <w:sz w:val="32"/>
          <w:szCs w:val="32"/>
        </w:rPr>
      </w:pPr>
      <w:r>
        <w:rPr>
          <w:rFonts w:ascii="Times New Roman" w:hAnsi="Times New Roman" w:eastAsia="仿宋_GB2312"/>
          <w:spacing w:val="-6"/>
          <w:sz w:val="32"/>
          <w:szCs w:val="32"/>
        </w:rPr>
        <w:t>通过开展水土保持、节水型社会建设、河长制、水利工程建设等工作，周边生态环境持续向好,促进经济社会可持续稳定发展。</w:t>
      </w:r>
    </w:p>
    <w:p>
      <w:pPr>
        <w:spacing w:line="560" w:lineRule="exact"/>
        <w:ind w:firstLine="640" w:firstLineChars="200"/>
        <w:rPr>
          <w:rFonts w:eastAsia="仿宋_GB2312"/>
          <w:sz w:val="32"/>
          <w:szCs w:val="32"/>
        </w:rPr>
      </w:pPr>
      <w:r>
        <w:rPr>
          <w:rFonts w:hint="eastAsia" w:eastAsia="仿宋_GB2312"/>
          <w:sz w:val="32"/>
          <w:szCs w:val="32"/>
        </w:rPr>
        <w:t>本项目依照区财政部门要求，依据充分，目标明确，程序合理；项目资金到位及时，实际使用资金10万元，未超出预算资金；项目的组织管理符合项目的特殊性要求，项目的产出基本达到目标，项目效果良好，项目的绩效基本实现。</w:t>
      </w:r>
    </w:p>
    <w:p>
      <w:pPr>
        <w:spacing w:line="560" w:lineRule="exact"/>
        <w:rPr>
          <w:rFonts w:eastAsia="仿宋_GB2312"/>
          <w:sz w:val="32"/>
          <w:szCs w:val="32"/>
        </w:rPr>
      </w:pPr>
      <w:r>
        <w:rPr>
          <w:rFonts w:hint="eastAsia" w:eastAsia="仿宋_GB2312"/>
          <w:sz w:val="32"/>
          <w:szCs w:val="32"/>
        </w:rPr>
        <w:t>综上所述，本项目绩效评价总得分为90分，评价级别为“优”。</w:t>
      </w:r>
    </w:p>
    <w:p>
      <w:pPr>
        <w:spacing w:line="600" w:lineRule="exact"/>
        <w:jc w:val="center"/>
        <w:rPr>
          <w:rFonts w:eastAsia="仿宋_GB2312"/>
          <w:sz w:val="32"/>
          <w:szCs w:val="32"/>
        </w:rPr>
      </w:pPr>
    </w:p>
    <w:p>
      <w:pPr>
        <w:spacing w:line="600" w:lineRule="exact"/>
        <w:jc w:val="center"/>
        <w:rPr>
          <w:rFonts w:eastAsia="仿宋_GB2312"/>
          <w:sz w:val="32"/>
          <w:szCs w:val="32"/>
        </w:rPr>
      </w:pPr>
      <w:r>
        <w:rPr>
          <w:rFonts w:hint="eastAsia" w:eastAsia="仿宋_GB2312"/>
          <w:sz w:val="32"/>
          <w:szCs w:val="32"/>
        </w:rPr>
        <w:t>财政支出绩效评价指标体系</w:t>
      </w:r>
    </w:p>
    <w:tbl>
      <w:tblPr>
        <w:tblStyle w:val="12"/>
        <w:tblW w:w="0" w:type="auto"/>
        <w:jc w:val="center"/>
        <w:tblLayout w:type="fixed"/>
        <w:tblCellMar>
          <w:top w:w="0" w:type="dxa"/>
          <w:left w:w="108" w:type="dxa"/>
          <w:bottom w:w="0" w:type="dxa"/>
          <w:right w:w="108" w:type="dxa"/>
        </w:tblCellMar>
      </w:tblPr>
      <w:tblGrid>
        <w:gridCol w:w="611"/>
        <w:gridCol w:w="538"/>
        <w:gridCol w:w="506"/>
        <w:gridCol w:w="529"/>
        <w:gridCol w:w="735"/>
        <w:gridCol w:w="650"/>
        <w:gridCol w:w="2506"/>
        <w:gridCol w:w="2220"/>
        <w:gridCol w:w="714"/>
      </w:tblGrid>
      <w:tr>
        <w:tblPrEx>
          <w:tblCellMar>
            <w:top w:w="0" w:type="dxa"/>
            <w:left w:w="108" w:type="dxa"/>
            <w:bottom w:w="0" w:type="dxa"/>
            <w:right w:w="108" w:type="dxa"/>
          </w:tblCellMar>
        </w:tblPrEx>
        <w:trPr>
          <w:trHeight w:val="446" w:hRule="atLeast"/>
          <w:jc w:val="center"/>
        </w:trPr>
        <w:tc>
          <w:tcPr>
            <w:tcW w:w="611" w:type="dxa"/>
            <w:tcBorders>
              <w:top w:val="single" w:color="auto" w:sz="4" w:space="0"/>
              <w:left w:val="single" w:color="auto" w:sz="4" w:space="0"/>
              <w:bottom w:val="single" w:color="000000" w:sz="4" w:space="0"/>
              <w:right w:val="single" w:color="auto" w:sz="4" w:space="0"/>
              <w:tl2br w:val="nil"/>
              <w:tr2bl w:val="nil"/>
            </w:tcBorders>
            <w:noWrap/>
            <w:vAlign w:val="center"/>
          </w:tcPr>
          <w:p>
            <w:pPr>
              <w:autoSpaceDN w:val="0"/>
              <w:spacing w:line="300" w:lineRule="exact"/>
              <w:jc w:val="center"/>
              <w:textAlignment w:val="center"/>
              <w:rPr>
                <w:rFonts w:eastAsia="仿宋_GB2312"/>
                <w:sz w:val="32"/>
                <w:szCs w:val="32"/>
              </w:rPr>
            </w:pPr>
            <w:r>
              <w:rPr>
                <w:rFonts w:hint="eastAsia" w:eastAsia="仿宋_GB2312"/>
                <w:sz w:val="32"/>
                <w:szCs w:val="32"/>
              </w:rPr>
              <w:t>一级指标</w:t>
            </w:r>
          </w:p>
        </w:tc>
        <w:tc>
          <w:tcPr>
            <w:tcW w:w="538" w:type="dxa"/>
            <w:tcBorders>
              <w:top w:val="single" w:color="auto" w:sz="4" w:space="0"/>
              <w:left w:val="single" w:color="auto" w:sz="4" w:space="0"/>
              <w:bottom w:val="single" w:color="000000" w:sz="4" w:space="0"/>
              <w:right w:val="single" w:color="auto" w:sz="4" w:space="0"/>
              <w:tl2br w:val="nil"/>
              <w:tr2bl w:val="nil"/>
            </w:tcBorders>
            <w:noWrap/>
            <w:vAlign w:val="center"/>
          </w:tcPr>
          <w:p>
            <w:pPr>
              <w:autoSpaceDN w:val="0"/>
              <w:spacing w:line="300" w:lineRule="exact"/>
              <w:jc w:val="center"/>
              <w:textAlignment w:val="center"/>
              <w:rPr>
                <w:rFonts w:eastAsia="仿宋_GB2312"/>
                <w:sz w:val="32"/>
                <w:szCs w:val="32"/>
              </w:rPr>
            </w:pPr>
          </w:p>
          <w:p>
            <w:pPr>
              <w:autoSpaceDN w:val="0"/>
              <w:spacing w:line="300" w:lineRule="exact"/>
              <w:jc w:val="center"/>
              <w:textAlignment w:val="center"/>
              <w:rPr>
                <w:rFonts w:eastAsia="仿宋_GB2312"/>
                <w:sz w:val="32"/>
                <w:szCs w:val="32"/>
              </w:rPr>
            </w:pPr>
            <w:r>
              <w:rPr>
                <w:rFonts w:hint="eastAsia" w:eastAsia="仿宋_GB2312"/>
                <w:sz w:val="32"/>
                <w:szCs w:val="32"/>
              </w:rPr>
              <w:t>分值</w:t>
            </w:r>
            <w:r>
              <w:rPr>
                <w:rFonts w:eastAsia="仿宋_GB2312"/>
                <w:sz w:val="32"/>
                <w:szCs w:val="32"/>
              </w:rPr>
              <w:drawing>
                <wp:inline distT="0" distB="0" distL="114300" distR="114300">
                  <wp:extent cx="19050" cy="19050"/>
                  <wp:effectExtent l="0" t="0" r="0" b="0"/>
                  <wp:docPr id="21" name="图片 4" descr="I:\..\..\..\..\..\..\DOCUME~1\ADMINI~1\LOCALS~1\Temp\ksohtml\clip_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descr="I:\..\..\..\..\..\..\DOCUME~1\ADMINI~1\LOCALS~1\Temp\ksohtml\clip_image1.png"/>
                          <pic:cNvPicPr>
                            <a:picLocks noChangeAspect="1"/>
                          </pic:cNvPicPr>
                        </pic:nvPicPr>
                        <pic:blipFill>
                          <a:blip r:embed="rId12"/>
                          <a:stretch>
                            <a:fillRect/>
                          </a:stretch>
                        </pic:blipFill>
                        <pic:spPr>
                          <a:xfrm>
                            <a:off x="0" y="0"/>
                            <a:ext cx="19050" cy="19050"/>
                          </a:xfrm>
                          <a:prstGeom prst="rect">
                            <a:avLst/>
                          </a:prstGeom>
                          <a:noFill/>
                          <a:ln>
                            <a:noFill/>
                          </a:ln>
                        </pic:spPr>
                      </pic:pic>
                    </a:graphicData>
                  </a:graphic>
                </wp:inline>
              </w:drawing>
            </w:r>
            <w:r>
              <w:rPr>
                <w:rFonts w:eastAsia="仿宋_GB2312"/>
                <w:sz w:val="32"/>
                <w:szCs w:val="32"/>
              </w:rPr>
              <w:drawing>
                <wp:inline distT="0" distB="0" distL="114300" distR="114300">
                  <wp:extent cx="19050" cy="19050"/>
                  <wp:effectExtent l="0" t="0" r="0" b="0"/>
                  <wp:docPr id="22" name="图片 5" descr="I:\..\..\..\..\..\..\DOCUME~1\ADMINI~1\LOCALS~1\Temp\ksohtml\clip_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descr="I:\..\..\..\..\..\..\DOCUME~1\ADMINI~1\LOCALS~1\Temp\ksohtml\clip_image2.png"/>
                          <pic:cNvPicPr>
                            <a:picLocks noChangeAspect="1"/>
                          </pic:cNvPicPr>
                        </pic:nvPicPr>
                        <pic:blipFill>
                          <a:blip r:embed="rId12"/>
                          <a:stretch>
                            <a:fillRect/>
                          </a:stretch>
                        </pic:blipFill>
                        <pic:spPr>
                          <a:xfrm>
                            <a:off x="0" y="0"/>
                            <a:ext cx="19050" cy="19050"/>
                          </a:xfrm>
                          <a:prstGeom prst="rect">
                            <a:avLst/>
                          </a:prstGeom>
                          <a:noFill/>
                          <a:ln>
                            <a:noFill/>
                          </a:ln>
                        </pic:spPr>
                      </pic:pic>
                    </a:graphicData>
                  </a:graphic>
                </wp:inline>
              </w:drawing>
            </w:r>
            <w:r>
              <w:rPr>
                <w:rFonts w:eastAsia="仿宋_GB2312"/>
                <w:sz w:val="32"/>
                <w:szCs w:val="32"/>
              </w:rPr>
              <w:drawing>
                <wp:inline distT="0" distB="0" distL="114300" distR="114300">
                  <wp:extent cx="19050" cy="19050"/>
                  <wp:effectExtent l="0" t="0" r="0" b="0"/>
                  <wp:docPr id="23" name="图片 6" descr="I:\..\..\..\..\..\..\DOCUME~1\ADMINI~1\LOCALS~1\Temp\ksohtml\clip_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 descr="I:\..\..\..\..\..\..\DOCUME~1\ADMINI~1\LOCALS~1\Temp\ksohtml\clip_image3.png"/>
                          <pic:cNvPicPr>
                            <a:picLocks noChangeAspect="1"/>
                          </pic:cNvPicPr>
                        </pic:nvPicPr>
                        <pic:blipFill>
                          <a:blip r:embed="rId12"/>
                          <a:stretch>
                            <a:fillRect/>
                          </a:stretch>
                        </pic:blipFill>
                        <pic:spPr>
                          <a:xfrm>
                            <a:off x="0" y="0"/>
                            <a:ext cx="19050" cy="19050"/>
                          </a:xfrm>
                          <a:prstGeom prst="rect">
                            <a:avLst/>
                          </a:prstGeom>
                          <a:noFill/>
                          <a:ln>
                            <a:noFill/>
                          </a:ln>
                        </pic:spPr>
                      </pic:pic>
                    </a:graphicData>
                  </a:graphic>
                </wp:inline>
              </w:drawing>
            </w:r>
            <w:r>
              <w:rPr>
                <w:rFonts w:eastAsia="仿宋_GB2312"/>
                <w:sz w:val="32"/>
                <w:szCs w:val="32"/>
              </w:rPr>
              <w:drawing>
                <wp:inline distT="0" distB="0" distL="114300" distR="114300">
                  <wp:extent cx="19050" cy="19050"/>
                  <wp:effectExtent l="0" t="0" r="0" b="0"/>
                  <wp:docPr id="24" name="图片 7" descr="I:\..\..\..\..\..\..\DOCUME~1\ADMINI~1\LOCALS~1\Temp\ksohtml\clip_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 descr="I:\..\..\..\..\..\..\DOCUME~1\ADMINI~1\LOCALS~1\Temp\ksohtml\clip_image5.png"/>
                          <pic:cNvPicPr>
                            <a:picLocks noChangeAspect="1"/>
                          </pic:cNvPicPr>
                        </pic:nvPicPr>
                        <pic:blipFill>
                          <a:blip r:embed="rId12"/>
                          <a:stretch>
                            <a:fillRect/>
                          </a:stretch>
                        </pic:blipFill>
                        <pic:spPr>
                          <a:xfrm>
                            <a:off x="0" y="0"/>
                            <a:ext cx="19050" cy="19050"/>
                          </a:xfrm>
                          <a:prstGeom prst="rect">
                            <a:avLst/>
                          </a:prstGeom>
                          <a:noFill/>
                          <a:ln>
                            <a:noFill/>
                          </a:ln>
                        </pic:spPr>
                      </pic:pic>
                    </a:graphicData>
                  </a:graphic>
                </wp:inline>
              </w:drawing>
            </w:r>
          </w:p>
        </w:tc>
        <w:tc>
          <w:tcPr>
            <w:tcW w:w="506" w:type="dxa"/>
            <w:tcBorders>
              <w:top w:val="single" w:color="auto" w:sz="4" w:space="0"/>
              <w:left w:val="single" w:color="auto" w:sz="4" w:space="0"/>
              <w:bottom w:val="single" w:color="000000" w:sz="4" w:space="0"/>
              <w:right w:val="single" w:color="auto" w:sz="4" w:space="0"/>
              <w:tl2br w:val="nil"/>
              <w:tr2bl w:val="nil"/>
            </w:tcBorders>
            <w:noWrap/>
            <w:vAlign w:val="center"/>
          </w:tcPr>
          <w:p>
            <w:pPr>
              <w:autoSpaceDN w:val="0"/>
              <w:spacing w:line="300" w:lineRule="exact"/>
              <w:jc w:val="center"/>
              <w:textAlignment w:val="center"/>
              <w:rPr>
                <w:rFonts w:eastAsia="仿宋_GB2312"/>
                <w:sz w:val="32"/>
                <w:szCs w:val="32"/>
              </w:rPr>
            </w:pPr>
            <w:r>
              <w:rPr>
                <w:rFonts w:hint="eastAsia" w:eastAsia="仿宋_GB2312"/>
                <w:sz w:val="32"/>
                <w:szCs w:val="32"/>
              </w:rPr>
              <w:t>二级指标</w:t>
            </w:r>
          </w:p>
        </w:tc>
        <w:tc>
          <w:tcPr>
            <w:tcW w:w="529" w:type="dxa"/>
            <w:tcBorders>
              <w:top w:val="single" w:color="auto" w:sz="4" w:space="0"/>
              <w:left w:val="single" w:color="auto" w:sz="4" w:space="0"/>
              <w:bottom w:val="single" w:color="000000" w:sz="4" w:space="0"/>
              <w:right w:val="single" w:color="auto" w:sz="4" w:space="0"/>
              <w:tl2br w:val="nil"/>
              <w:tr2bl w:val="nil"/>
            </w:tcBorders>
            <w:noWrap/>
            <w:vAlign w:val="center"/>
          </w:tcPr>
          <w:p>
            <w:pPr>
              <w:autoSpaceDN w:val="0"/>
              <w:spacing w:line="300" w:lineRule="exact"/>
              <w:jc w:val="center"/>
              <w:textAlignment w:val="center"/>
              <w:rPr>
                <w:rFonts w:eastAsia="仿宋_GB2312"/>
                <w:sz w:val="32"/>
                <w:szCs w:val="32"/>
              </w:rPr>
            </w:pPr>
            <w:r>
              <w:rPr>
                <w:rFonts w:hint="eastAsia" w:eastAsia="仿宋_GB2312"/>
                <w:sz w:val="32"/>
                <w:szCs w:val="32"/>
              </w:rPr>
              <w:t>分值</w:t>
            </w:r>
          </w:p>
        </w:tc>
        <w:tc>
          <w:tcPr>
            <w:tcW w:w="735" w:type="dxa"/>
            <w:tcBorders>
              <w:top w:val="single" w:color="auto" w:sz="4" w:space="0"/>
              <w:left w:val="single" w:color="auto" w:sz="4" w:space="0"/>
              <w:bottom w:val="single" w:color="000000" w:sz="4" w:space="0"/>
              <w:right w:val="single" w:color="auto" w:sz="4" w:space="0"/>
              <w:tl2br w:val="nil"/>
              <w:tr2bl w:val="nil"/>
            </w:tcBorders>
            <w:noWrap/>
            <w:vAlign w:val="center"/>
          </w:tcPr>
          <w:p>
            <w:pPr>
              <w:autoSpaceDN w:val="0"/>
              <w:spacing w:line="300" w:lineRule="exact"/>
              <w:jc w:val="center"/>
              <w:textAlignment w:val="center"/>
              <w:rPr>
                <w:rFonts w:eastAsia="仿宋_GB2312"/>
                <w:sz w:val="32"/>
                <w:szCs w:val="32"/>
              </w:rPr>
            </w:pPr>
            <w:r>
              <w:rPr>
                <w:rFonts w:hint="eastAsia" w:eastAsia="仿宋_GB2312"/>
                <w:sz w:val="32"/>
                <w:szCs w:val="32"/>
              </w:rPr>
              <w:t>三级指标</w:t>
            </w:r>
          </w:p>
        </w:tc>
        <w:tc>
          <w:tcPr>
            <w:tcW w:w="650" w:type="dxa"/>
            <w:tcBorders>
              <w:top w:val="single" w:color="auto" w:sz="4" w:space="0"/>
              <w:left w:val="single" w:color="auto" w:sz="4" w:space="0"/>
              <w:bottom w:val="single" w:color="000000" w:sz="4" w:space="0"/>
              <w:right w:val="single" w:color="auto" w:sz="4" w:space="0"/>
              <w:tl2br w:val="nil"/>
              <w:tr2bl w:val="nil"/>
            </w:tcBorders>
            <w:noWrap/>
            <w:vAlign w:val="center"/>
          </w:tcPr>
          <w:p>
            <w:pPr>
              <w:autoSpaceDN w:val="0"/>
              <w:spacing w:line="300" w:lineRule="exact"/>
              <w:jc w:val="center"/>
              <w:textAlignment w:val="center"/>
              <w:rPr>
                <w:rFonts w:eastAsia="仿宋_GB2312"/>
                <w:sz w:val="32"/>
                <w:szCs w:val="32"/>
              </w:rPr>
            </w:pPr>
            <w:r>
              <w:rPr>
                <w:rFonts w:hint="eastAsia" w:eastAsia="仿宋_GB2312"/>
                <w:sz w:val="32"/>
                <w:szCs w:val="32"/>
              </w:rPr>
              <w:t>分值</w:t>
            </w:r>
          </w:p>
        </w:tc>
        <w:tc>
          <w:tcPr>
            <w:tcW w:w="2506" w:type="dxa"/>
            <w:tcBorders>
              <w:top w:val="single" w:color="auto" w:sz="4" w:space="0"/>
              <w:left w:val="single" w:color="auto" w:sz="4" w:space="0"/>
              <w:bottom w:val="single" w:color="000000" w:sz="4" w:space="0"/>
              <w:right w:val="single" w:color="auto" w:sz="4" w:space="0"/>
              <w:tl2br w:val="nil"/>
              <w:tr2bl w:val="nil"/>
            </w:tcBorders>
            <w:noWrap/>
            <w:vAlign w:val="center"/>
          </w:tcPr>
          <w:p>
            <w:pPr>
              <w:autoSpaceDN w:val="0"/>
              <w:spacing w:line="300" w:lineRule="exact"/>
              <w:jc w:val="center"/>
              <w:textAlignment w:val="center"/>
              <w:rPr>
                <w:rFonts w:eastAsia="仿宋_GB2312"/>
                <w:sz w:val="32"/>
                <w:szCs w:val="32"/>
              </w:rPr>
            </w:pPr>
            <w:r>
              <w:rPr>
                <w:rFonts w:hint="eastAsia" w:eastAsia="仿宋_GB2312"/>
                <w:sz w:val="32"/>
                <w:szCs w:val="32"/>
              </w:rPr>
              <w:t>指标解释</w:t>
            </w:r>
          </w:p>
        </w:tc>
        <w:tc>
          <w:tcPr>
            <w:tcW w:w="2220" w:type="dxa"/>
            <w:tcBorders>
              <w:top w:val="single" w:color="auto" w:sz="4" w:space="0"/>
              <w:left w:val="single" w:color="auto" w:sz="4" w:space="0"/>
              <w:bottom w:val="single" w:color="000000" w:sz="4" w:space="0"/>
              <w:right w:val="single" w:color="auto" w:sz="4" w:space="0"/>
              <w:tl2br w:val="nil"/>
              <w:tr2bl w:val="nil"/>
            </w:tcBorders>
            <w:noWrap/>
            <w:vAlign w:val="center"/>
          </w:tcPr>
          <w:p>
            <w:pPr>
              <w:autoSpaceDN w:val="0"/>
              <w:spacing w:line="300" w:lineRule="exact"/>
              <w:jc w:val="center"/>
              <w:textAlignment w:val="center"/>
              <w:rPr>
                <w:rFonts w:eastAsia="仿宋_GB2312"/>
                <w:sz w:val="32"/>
                <w:szCs w:val="32"/>
              </w:rPr>
            </w:pPr>
            <w:r>
              <w:rPr>
                <w:rFonts w:hint="eastAsia" w:eastAsia="仿宋_GB2312"/>
                <w:sz w:val="32"/>
                <w:szCs w:val="32"/>
              </w:rPr>
              <w:t>评价标准</w:t>
            </w:r>
          </w:p>
        </w:tc>
        <w:tc>
          <w:tcPr>
            <w:tcW w:w="7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300" w:lineRule="exact"/>
              <w:jc w:val="center"/>
              <w:rPr>
                <w:rFonts w:eastAsia="仿宋_GB2312"/>
                <w:sz w:val="32"/>
                <w:szCs w:val="32"/>
              </w:rPr>
            </w:pPr>
            <w:r>
              <w:rPr>
                <w:rFonts w:hint="eastAsia" w:eastAsia="仿宋_GB2312"/>
                <w:sz w:val="32"/>
                <w:szCs w:val="32"/>
              </w:rPr>
              <w:t>实际得分</w:t>
            </w:r>
          </w:p>
        </w:tc>
      </w:tr>
      <w:tr>
        <w:tblPrEx>
          <w:tblCellMar>
            <w:top w:w="0" w:type="dxa"/>
            <w:left w:w="108" w:type="dxa"/>
            <w:bottom w:w="0" w:type="dxa"/>
            <w:right w:w="108" w:type="dxa"/>
          </w:tblCellMar>
        </w:tblPrEx>
        <w:trPr>
          <w:trHeight w:val="546" w:hRule="atLeast"/>
          <w:jc w:val="center"/>
        </w:trPr>
        <w:tc>
          <w:tcPr>
            <w:tcW w:w="611" w:type="dxa"/>
            <w:vMerge w:val="restart"/>
            <w:tcBorders>
              <w:top w:val="single" w:color="000000"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仿宋_GB2312"/>
                <w:sz w:val="32"/>
                <w:szCs w:val="32"/>
              </w:rPr>
            </w:pPr>
          </w:p>
          <w:p>
            <w:pPr>
              <w:autoSpaceDN w:val="0"/>
              <w:spacing w:line="300" w:lineRule="exact"/>
              <w:jc w:val="center"/>
              <w:textAlignment w:val="center"/>
              <w:rPr>
                <w:rFonts w:eastAsia="仿宋_GB2312"/>
                <w:sz w:val="32"/>
                <w:szCs w:val="32"/>
              </w:rPr>
            </w:pPr>
          </w:p>
          <w:p>
            <w:pPr>
              <w:autoSpaceDN w:val="0"/>
              <w:spacing w:line="300" w:lineRule="exact"/>
              <w:jc w:val="center"/>
              <w:textAlignment w:val="center"/>
              <w:rPr>
                <w:rFonts w:eastAsia="仿宋_GB2312"/>
                <w:sz w:val="32"/>
                <w:szCs w:val="32"/>
              </w:rPr>
            </w:pPr>
          </w:p>
          <w:p>
            <w:pPr>
              <w:autoSpaceDN w:val="0"/>
              <w:spacing w:line="300" w:lineRule="exact"/>
              <w:jc w:val="center"/>
              <w:textAlignment w:val="center"/>
              <w:rPr>
                <w:rFonts w:eastAsia="仿宋_GB2312"/>
                <w:sz w:val="32"/>
                <w:szCs w:val="32"/>
              </w:rPr>
            </w:pPr>
          </w:p>
          <w:p>
            <w:pPr>
              <w:autoSpaceDN w:val="0"/>
              <w:spacing w:line="300" w:lineRule="exact"/>
              <w:jc w:val="center"/>
              <w:textAlignment w:val="center"/>
              <w:rPr>
                <w:rFonts w:eastAsia="仿宋_GB2312"/>
                <w:sz w:val="32"/>
                <w:szCs w:val="32"/>
              </w:rPr>
            </w:pPr>
            <w:r>
              <w:rPr>
                <w:rFonts w:hint="eastAsia" w:eastAsia="仿宋_GB2312"/>
                <w:sz w:val="32"/>
                <w:szCs w:val="32"/>
              </w:rPr>
              <w:t>项目决策</w:t>
            </w:r>
          </w:p>
        </w:tc>
        <w:tc>
          <w:tcPr>
            <w:tcW w:w="538" w:type="dxa"/>
            <w:vMerge w:val="restart"/>
            <w:tcBorders>
              <w:top w:val="single" w:color="000000"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仿宋_GB2312"/>
                <w:sz w:val="32"/>
                <w:szCs w:val="32"/>
              </w:rPr>
            </w:pPr>
          </w:p>
          <w:p>
            <w:pPr>
              <w:autoSpaceDN w:val="0"/>
              <w:spacing w:line="300" w:lineRule="exact"/>
              <w:jc w:val="center"/>
              <w:textAlignment w:val="center"/>
              <w:rPr>
                <w:rFonts w:eastAsia="仿宋_GB2312"/>
                <w:sz w:val="32"/>
                <w:szCs w:val="32"/>
              </w:rPr>
            </w:pPr>
          </w:p>
          <w:p>
            <w:pPr>
              <w:autoSpaceDN w:val="0"/>
              <w:spacing w:line="300" w:lineRule="exact"/>
              <w:jc w:val="center"/>
              <w:textAlignment w:val="center"/>
              <w:rPr>
                <w:rFonts w:eastAsia="仿宋_GB2312"/>
                <w:sz w:val="32"/>
                <w:szCs w:val="32"/>
              </w:rPr>
            </w:pPr>
          </w:p>
          <w:p>
            <w:pPr>
              <w:autoSpaceDN w:val="0"/>
              <w:spacing w:line="300" w:lineRule="exact"/>
              <w:jc w:val="center"/>
              <w:textAlignment w:val="center"/>
              <w:rPr>
                <w:rFonts w:eastAsia="仿宋_GB2312"/>
                <w:sz w:val="32"/>
                <w:szCs w:val="32"/>
              </w:rPr>
            </w:pPr>
          </w:p>
          <w:p>
            <w:pPr>
              <w:autoSpaceDN w:val="0"/>
              <w:spacing w:line="300" w:lineRule="exact"/>
              <w:jc w:val="center"/>
              <w:textAlignment w:val="center"/>
              <w:rPr>
                <w:rFonts w:eastAsia="仿宋_GB2312"/>
                <w:sz w:val="32"/>
                <w:szCs w:val="32"/>
              </w:rPr>
            </w:pPr>
          </w:p>
          <w:p>
            <w:pPr>
              <w:autoSpaceDN w:val="0"/>
              <w:spacing w:line="300" w:lineRule="exact"/>
              <w:jc w:val="center"/>
              <w:textAlignment w:val="center"/>
              <w:rPr>
                <w:rFonts w:eastAsia="仿宋_GB2312"/>
                <w:sz w:val="32"/>
                <w:szCs w:val="32"/>
              </w:rPr>
            </w:pPr>
          </w:p>
          <w:p>
            <w:pPr>
              <w:autoSpaceDN w:val="0"/>
              <w:spacing w:line="300" w:lineRule="exact"/>
              <w:jc w:val="center"/>
              <w:textAlignment w:val="center"/>
              <w:rPr>
                <w:rFonts w:eastAsia="仿宋_GB2312"/>
                <w:sz w:val="32"/>
                <w:szCs w:val="32"/>
              </w:rPr>
            </w:pPr>
            <w:r>
              <w:rPr>
                <w:rFonts w:eastAsia="仿宋_GB2312"/>
                <w:sz w:val="32"/>
                <w:szCs w:val="32"/>
              </w:rPr>
              <w:t>20</w:t>
            </w:r>
          </w:p>
        </w:tc>
        <w:tc>
          <w:tcPr>
            <w:tcW w:w="506" w:type="dxa"/>
            <w:tcBorders>
              <w:top w:val="single" w:color="000000"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仿宋_GB2312"/>
                <w:sz w:val="32"/>
                <w:szCs w:val="32"/>
              </w:rPr>
            </w:pPr>
            <w:r>
              <w:rPr>
                <w:rFonts w:hint="eastAsia" w:eastAsia="仿宋_GB2312"/>
                <w:sz w:val="32"/>
                <w:szCs w:val="32"/>
              </w:rPr>
              <w:t>项目目标</w:t>
            </w:r>
          </w:p>
        </w:tc>
        <w:tc>
          <w:tcPr>
            <w:tcW w:w="529" w:type="dxa"/>
            <w:tcBorders>
              <w:top w:val="single" w:color="000000"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仿宋_GB2312"/>
                <w:sz w:val="32"/>
                <w:szCs w:val="32"/>
              </w:rPr>
            </w:pPr>
            <w:r>
              <w:rPr>
                <w:rFonts w:eastAsia="仿宋_GB2312"/>
                <w:sz w:val="32"/>
                <w:szCs w:val="32"/>
              </w:rPr>
              <w:t>4</w:t>
            </w:r>
          </w:p>
        </w:tc>
        <w:tc>
          <w:tcPr>
            <w:tcW w:w="735" w:type="dxa"/>
            <w:tcBorders>
              <w:top w:val="single" w:color="000000"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仿宋_GB2312"/>
                <w:sz w:val="32"/>
                <w:szCs w:val="32"/>
              </w:rPr>
            </w:pPr>
            <w:r>
              <w:rPr>
                <w:rFonts w:hint="eastAsia" w:eastAsia="仿宋_GB2312"/>
                <w:sz w:val="32"/>
                <w:szCs w:val="32"/>
              </w:rPr>
              <w:t>目标内容</w:t>
            </w:r>
          </w:p>
        </w:tc>
        <w:tc>
          <w:tcPr>
            <w:tcW w:w="650" w:type="dxa"/>
            <w:tcBorders>
              <w:top w:val="single" w:color="000000"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仿宋_GB2312"/>
                <w:sz w:val="32"/>
                <w:szCs w:val="32"/>
              </w:rPr>
            </w:pPr>
            <w:r>
              <w:rPr>
                <w:rFonts w:eastAsia="仿宋_GB2312"/>
                <w:sz w:val="32"/>
                <w:szCs w:val="32"/>
              </w:rPr>
              <w:t>4</w:t>
            </w:r>
          </w:p>
        </w:tc>
        <w:tc>
          <w:tcPr>
            <w:tcW w:w="2506" w:type="dxa"/>
            <w:tcBorders>
              <w:top w:val="single" w:color="000000"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仿宋_GB2312"/>
                <w:sz w:val="32"/>
                <w:szCs w:val="32"/>
              </w:rPr>
            </w:pPr>
            <w:r>
              <w:rPr>
                <w:rFonts w:hint="eastAsia" w:eastAsia="仿宋_GB2312"/>
                <w:sz w:val="32"/>
                <w:szCs w:val="32"/>
              </w:rPr>
              <w:t>目标是否明确、细化、量化</w:t>
            </w:r>
          </w:p>
        </w:tc>
        <w:tc>
          <w:tcPr>
            <w:tcW w:w="2220" w:type="dxa"/>
            <w:tcBorders>
              <w:top w:val="single" w:color="000000"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仿宋_GB2312"/>
                <w:sz w:val="32"/>
                <w:szCs w:val="32"/>
              </w:rPr>
            </w:pPr>
            <w:r>
              <w:rPr>
                <w:rFonts w:hint="eastAsia" w:eastAsia="仿宋_GB2312"/>
                <w:sz w:val="32"/>
                <w:szCs w:val="32"/>
              </w:rPr>
              <w:t>目标明确（</w:t>
            </w:r>
            <w:r>
              <w:rPr>
                <w:rFonts w:eastAsia="仿宋_GB2312"/>
                <w:sz w:val="32"/>
                <w:szCs w:val="32"/>
              </w:rPr>
              <w:t>1</w:t>
            </w:r>
            <w:r>
              <w:rPr>
                <w:rFonts w:hint="eastAsia" w:eastAsia="仿宋_GB2312"/>
                <w:sz w:val="32"/>
                <w:szCs w:val="32"/>
              </w:rPr>
              <w:t>分），目标细化（</w:t>
            </w:r>
            <w:r>
              <w:rPr>
                <w:rFonts w:eastAsia="仿宋_GB2312"/>
                <w:sz w:val="32"/>
                <w:szCs w:val="32"/>
              </w:rPr>
              <w:t>1</w:t>
            </w:r>
            <w:r>
              <w:rPr>
                <w:rFonts w:hint="eastAsia" w:eastAsia="仿宋_GB2312"/>
                <w:sz w:val="32"/>
                <w:szCs w:val="32"/>
              </w:rPr>
              <w:t>分），目标量化（</w:t>
            </w:r>
            <w:r>
              <w:rPr>
                <w:rFonts w:eastAsia="仿宋_GB2312"/>
                <w:sz w:val="32"/>
                <w:szCs w:val="32"/>
              </w:rPr>
              <w:t>2</w:t>
            </w:r>
            <w:r>
              <w:rPr>
                <w:rFonts w:hint="eastAsia" w:eastAsia="仿宋_GB2312"/>
                <w:sz w:val="32"/>
                <w:szCs w:val="32"/>
              </w:rPr>
              <w:t>分）</w:t>
            </w:r>
          </w:p>
        </w:tc>
        <w:tc>
          <w:tcPr>
            <w:tcW w:w="714"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仿宋_GB2312"/>
                <w:sz w:val="32"/>
                <w:szCs w:val="32"/>
              </w:rPr>
            </w:pPr>
            <w:r>
              <w:rPr>
                <w:rFonts w:eastAsia="仿宋_GB2312"/>
                <w:sz w:val="32"/>
                <w:szCs w:val="32"/>
              </w:rPr>
              <w:t>4</w:t>
            </w:r>
          </w:p>
        </w:tc>
      </w:tr>
      <w:tr>
        <w:tblPrEx>
          <w:tblCellMar>
            <w:top w:w="0" w:type="dxa"/>
            <w:left w:w="108" w:type="dxa"/>
            <w:bottom w:w="0" w:type="dxa"/>
            <w:right w:w="108" w:type="dxa"/>
          </w:tblCellMar>
        </w:tblPrEx>
        <w:trPr>
          <w:trHeight w:val="750" w:hRule="atLeast"/>
          <w:jc w:val="center"/>
        </w:trPr>
        <w:tc>
          <w:tcPr>
            <w:tcW w:w="611" w:type="dxa"/>
            <w:vMerge w:val="continue"/>
            <w:tcBorders>
              <w:top w:val="single" w:color="auto" w:sz="4" w:space="0"/>
              <w:left w:val="single" w:color="auto" w:sz="4" w:space="0"/>
              <w:bottom w:val="nil"/>
              <w:right w:val="single" w:color="auto" w:sz="4" w:space="0"/>
              <w:tl2br w:val="nil"/>
              <w:tr2bl w:val="nil"/>
            </w:tcBorders>
            <w:noWrap/>
            <w:vAlign w:val="center"/>
          </w:tcPr>
          <w:p>
            <w:pPr>
              <w:spacing w:line="300" w:lineRule="exact"/>
              <w:jc w:val="center"/>
              <w:rPr>
                <w:rFonts w:eastAsia="Arial Unicode MS"/>
                <w:sz w:val="18"/>
                <w:szCs w:val="18"/>
              </w:rPr>
            </w:pPr>
          </w:p>
        </w:tc>
        <w:tc>
          <w:tcPr>
            <w:tcW w:w="538" w:type="dxa"/>
            <w:vMerge w:val="continue"/>
            <w:tcBorders>
              <w:top w:val="single" w:color="auto" w:sz="4" w:space="0"/>
              <w:left w:val="single" w:color="auto" w:sz="4" w:space="0"/>
              <w:bottom w:val="nil"/>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p>
        </w:tc>
        <w:tc>
          <w:tcPr>
            <w:tcW w:w="506" w:type="dxa"/>
            <w:vMerge w:val="restart"/>
            <w:tcBorders>
              <w:top w:val="single" w:color="auto" w:sz="4" w:space="0"/>
              <w:left w:val="single" w:color="auto" w:sz="4" w:space="0"/>
              <w:bottom w:val="single" w:color="000000"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决策过程</w:t>
            </w:r>
          </w:p>
        </w:tc>
        <w:tc>
          <w:tcPr>
            <w:tcW w:w="529" w:type="dxa"/>
            <w:vMerge w:val="restart"/>
            <w:tcBorders>
              <w:top w:val="single" w:color="auto" w:sz="4" w:space="0"/>
              <w:left w:val="single" w:color="auto" w:sz="4" w:space="0"/>
              <w:bottom w:val="single" w:color="000000"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eastAsia="Arial Unicode MS"/>
                <w:color w:val="000000"/>
                <w:sz w:val="18"/>
                <w:szCs w:val="18"/>
              </w:rPr>
              <w:t>8</w:t>
            </w:r>
          </w:p>
        </w:tc>
        <w:tc>
          <w:tcPr>
            <w:tcW w:w="735" w:type="dxa"/>
            <w:tcBorders>
              <w:top w:val="single" w:color="auto" w:sz="4" w:space="0"/>
              <w:left w:val="single" w:color="auto" w:sz="4" w:space="0"/>
              <w:bottom w:val="single" w:color="000000"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决策依据</w:t>
            </w:r>
          </w:p>
        </w:tc>
        <w:tc>
          <w:tcPr>
            <w:tcW w:w="650" w:type="dxa"/>
            <w:tcBorders>
              <w:top w:val="single" w:color="auto" w:sz="4" w:space="0"/>
              <w:left w:val="single" w:color="auto" w:sz="4" w:space="0"/>
              <w:bottom w:val="single" w:color="000000"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eastAsia="Arial Unicode MS"/>
                <w:color w:val="000000"/>
                <w:sz w:val="18"/>
                <w:szCs w:val="18"/>
              </w:rPr>
              <w:t>3</w:t>
            </w:r>
          </w:p>
        </w:tc>
        <w:tc>
          <w:tcPr>
            <w:tcW w:w="2506" w:type="dxa"/>
            <w:tcBorders>
              <w:top w:val="single" w:color="auto" w:sz="4" w:space="0"/>
              <w:left w:val="single" w:color="auto" w:sz="4" w:space="0"/>
              <w:bottom w:val="single" w:color="000000"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项目是否符合经济社会发展规划和部门年度工作计划</w:t>
            </w:r>
            <w:r>
              <w:rPr>
                <w:rFonts w:hint="eastAsia" w:eastAsia="Malgun Gothic Semilight"/>
                <w:color w:val="000000"/>
                <w:sz w:val="18"/>
                <w:szCs w:val="18"/>
              </w:rPr>
              <w:t>；</w:t>
            </w:r>
            <w:r>
              <w:rPr>
                <w:rFonts w:hint="eastAsia" w:eastAsia="微软雅黑"/>
                <w:color w:val="000000"/>
                <w:sz w:val="18"/>
                <w:szCs w:val="18"/>
              </w:rPr>
              <w:t>是否根据需要制定中长期实施规划</w:t>
            </w:r>
          </w:p>
        </w:tc>
        <w:tc>
          <w:tcPr>
            <w:tcW w:w="2220" w:type="dxa"/>
            <w:tcBorders>
              <w:top w:val="single" w:color="auto" w:sz="4" w:space="0"/>
              <w:left w:val="single" w:color="auto" w:sz="4" w:space="0"/>
              <w:bottom w:val="single" w:color="000000"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项目符合经济社会发展规划和部门年度工作计划</w:t>
            </w:r>
            <w:r>
              <w:rPr>
                <w:rFonts w:hint="eastAsia" w:eastAsia="Malgun Gothic Semilight"/>
                <w:color w:val="000000"/>
                <w:sz w:val="18"/>
                <w:szCs w:val="18"/>
              </w:rPr>
              <w:t>（</w:t>
            </w:r>
            <w:r>
              <w:rPr>
                <w:rFonts w:eastAsia="Arial Unicode MS"/>
                <w:color w:val="000000"/>
                <w:sz w:val="18"/>
                <w:szCs w:val="18"/>
              </w:rPr>
              <w:t>2</w:t>
            </w:r>
            <w:r>
              <w:rPr>
                <w:rFonts w:hint="eastAsia" w:eastAsia="微软雅黑"/>
                <w:color w:val="000000"/>
                <w:sz w:val="18"/>
                <w:szCs w:val="18"/>
              </w:rPr>
              <w:t>分</w:t>
            </w:r>
            <w:r>
              <w:rPr>
                <w:rFonts w:hint="eastAsia" w:eastAsia="Malgun Gothic Semilight"/>
                <w:color w:val="000000"/>
                <w:sz w:val="18"/>
                <w:szCs w:val="18"/>
              </w:rPr>
              <w:t>），</w:t>
            </w:r>
            <w:r>
              <w:rPr>
                <w:rFonts w:hint="eastAsia" w:eastAsia="微软雅黑"/>
                <w:color w:val="000000"/>
                <w:sz w:val="18"/>
                <w:szCs w:val="18"/>
              </w:rPr>
              <w:t>根据需要制定中长期实施规划</w:t>
            </w:r>
            <w:r>
              <w:rPr>
                <w:rFonts w:hint="eastAsia" w:eastAsia="Malgun Gothic Semilight"/>
                <w:color w:val="000000"/>
                <w:sz w:val="18"/>
                <w:szCs w:val="18"/>
              </w:rPr>
              <w:t>（</w:t>
            </w:r>
            <w:r>
              <w:rPr>
                <w:rFonts w:eastAsia="Arial Unicode MS"/>
                <w:color w:val="000000"/>
                <w:sz w:val="18"/>
                <w:szCs w:val="18"/>
              </w:rPr>
              <w:t>1</w:t>
            </w:r>
            <w:r>
              <w:rPr>
                <w:rFonts w:hint="eastAsia" w:eastAsia="微软雅黑"/>
                <w:color w:val="000000"/>
                <w:sz w:val="18"/>
                <w:szCs w:val="18"/>
              </w:rPr>
              <w:t>分</w:t>
            </w:r>
            <w:r>
              <w:rPr>
                <w:rFonts w:hint="eastAsia" w:eastAsia="Malgun Gothic Semilight"/>
                <w:color w:val="000000"/>
                <w:sz w:val="18"/>
                <w:szCs w:val="18"/>
              </w:rPr>
              <w:t>）</w:t>
            </w:r>
          </w:p>
        </w:tc>
        <w:tc>
          <w:tcPr>
            <w:tcW w:w="714"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eastAsia="Arial Unicode MS"/>
                <w:color w:val="000000"/>
                <w:sz w:val="18"/>
                <w:szCs w:val="18"/>
              </w:rPr>
              <w:t>3</w:t>
            </w:r>
          </w:p>
        </w:tc>
      </w:tr>
      <w:tr>
        <w:tblPrEx>
          <w:tblCellMar>
            <w:top w:w="0" w:type="dxa"/>
            <w:left w:w="108" w:type="dxa"/>
            <w:bottom w:w="0" w:type="dxa"/>
            <w:right w:w="108" w:type="dxa"/>
          </w:tblCellMar>
        </w:tblPrEx>
        <w:trPr>
          <w:trHeight w:val="771" w:hRule="atLeast"/>
          <w:jc w:val="center"/>
        </w:trPr>
        <w:tc>
          <w:tcPr>
            <w:tcW w:w="611" w:type="dxa"/>
            <w:vMerge w:val="continue"/>
            <w:tcBorders>
              <w:top w:val="nil"/>
              <w:left w:val="single" w:color="auto" w:sz="4" w:space="0"/>
              <w:bottom w:val="nil"/>
              <w:right w:val="single" w:color="auto" w:sz="4" w:space="0"/>
              <w:tl2br w:val="nil"/>
              <w:tr2bl w:val="nil"/>
            </w:tcBorders>
            <w:noWrap/>
            <w:vAlign w:val="center"/>
          </w:tcPr>
          <w:p>
            <w:pPr>
              <w:spacing w:line="300" w:lineRule="exact"/>
              <w:jc w:val="center"/>
              <w:rPr>
                <w:rFonts w:eastAsia="Arial Unicode MS"/>
                <w:sz w:val="18"/>
                <w:szCs w:val="18"/>
              </w:rPr>
            </w:pPr>
          </w:p>
        </w:tc>
        <w:tc>
          <w:tcPr>
            <w:tcW w:w="538" w:type="dxa"/>
            <w:vMerge w:val="continue"/>
            <w:tcBorders>
              <w:top w:val="nil"/>
              <w:left w:val="single" w:color="auto" w:sz="4" w:space="0"/>
              <w:bottom w:val="nil"/>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p>
        </w:tc>
        <w:tc>
          <w:tcPr>
            <w:tcW w:w="506" w:type="dxa"/>
            <w:vMerge w:val="continue"/>
            <w:tcBorders>
              <w:top w:val="single" w:color="000000" w:sz="4" w:space="0"/>
              <w:left w:val="single" w:color="auto" w:sz="4" w:space="0"/>
              <w:bottom w:val="single" w:color="000000" w:sz="4" w:space="0"/>
              <w:right w:val="single" w:color="auto" w:sz="4" w:space="0"/>
              <w:tl2br w:val="nil"/>
              <w:tr2bl w:val="nil"/>
            </w:tcBorders>
            <w:noWrap/>
            <w:vAlign w:val="center"/>
          </w:tcPr>
          <w:p>
            <w:pPr>
              <w:spacing w:line="300" w:lineRule="exact"/>
              <w:jc w:val="center"/>
              <w:rPr>
                <w:rFonts w:eastAsia="Arial Unicode MS"/>
                <w:sz w:val="18"/>
                <w:szCs w:val="18"/>
              </w:rPr>
            </w:pPr>
          </w:p>
        </w:tc>
        <w:tc>
          <w:tcPr>
            <w:tcW w:w="529" w:type="dxa"/>
            <w:vMerge w:val="continue"/>
            <w:tcBorders>
              <w:top w:val="single" w:color="000000" w:sz="4" w:space="0"/>
              <w:left w:val="single" w:color="auto" w:sz="4" w:space="0"/>
              <w:bottom w:val="single" w:color="000000" w:sz="4" w:space="0"/>
              <w:right w:val="single" w:color="auto" w:sz="4" w:space="0"/>
              <w:tl2br w:val="nil"/>
              <w:tr2bl w:val="nil"/>
            </w:tcBorders>
            <w:noWrap/>
            <w:vAlign w:val="center"/>
          </w:tcPr>
          <w:p>
            <w:pPr>
              <w:spacing w:line="300" w:lineRule="exact"/>
              <w:jc w:val="center"/>
              <w:rPr>
                <w:rFonts w:eastAsia="Arial Unicode MS"/>
                <w:sz w:val="18"/>
                <w:szCs w:val="18"/>
              </w:rPr>
            </w:pPr>
          </w:p>
        </w:tc>
        <w:tc>
          <w:tcPr>
            <w:tcW w:w="735" w:type="dxa"/>
            <w:tcBorders>
              <w:top w:val="single" w:color="000000" w:sz="4" w:space="0"/>
              <w:left w:val="single" w:color="auto" w:sz="4" w:space="0"/>
              <w:bottom w:val="single" w:color="000000"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决策程序</w:t>
            </w:r>
          </w:p>
        </w:tc>
        <w:tc>
          <w:tcPr>
            <w:tcW w:w="650" w:type="dxa"/>
            <w:tcBorders>
              <w:top w:val="single" w:color="000000" w:sz="4" w:space="0"/>
              <w:left w:val="single" w:color="auto" w:sz="4" w:space="0"/>
              <w:bottom w:val="single" w:color="000000"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eastAsia="Arial Unicode MS"/>
                <w:color w:val="000000"/>
                <w:sz w:val="18"/>
                <w:szCs w:val="18"/>
              </w:rPr>
              <w:t>5</w:t>
            </w:r>
          </w:p>
        </w:tc>
        <w:tc>
          <w:tcPr>
            <w:tcW w:w="2506" w:type="dxa"/>
            <w:tcBorders>
              <w:top w:val="single" w:color="000000" w:sz="4" w:space="0"/>
              <w:left w:val="single" w:color="auto" w:sz="4" w:space="0"/>
              <w:bottom w:val="single" w:color="000000"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项目是否符合申报条件</w:t>
            </w:r>
            <w:r>
              <w:rPr>
                <w:rFonts w:hint="eastAsia" w:eastAsia="Malgun Gothic Semilight"/>
                <w:color w:val="000000"/>
                <w:sz w:val="18"/>
                <w:szCs w:val="18"/>
              </w:rPr>
              <w:t>；</w:t>
            </w:r>
            <w:r>
              <w:rPr>
                <w:rFonts w:hint="eastAsia" w:eastAsia="微软雅黑"/>
                <w:color w:val="000000"/>
                <w:sz w:val="18"/>
                <w:szCs w:val="18"/>
              </w:rPr>
              <w:t>申报</w:t>
            </w:r>
            <w:r>
              <w:rPr>
                <w:rFonts w:hint="eastAsia" w:eastAsia="Malgun Gothic Semilight"/>
                <w:color w:val="000000"/>
                <w:sz w:val="18"/>
                <w:szCs w:val="18"/>
              </w:rPr>
              <w:t>、</w:t>
            </w:r>
            <w:r>
              <w:rPr>
                <w:rFonts w:hint="eastAsia" w:eastAsia="微软雅黑"/>
                <w:color w:val="000000"/>
                <w:sz w:val="18"/>
                <w:szCs w:val="18"/>
              </w:rPr>
              <w:t>批复程序是否符合相关管理办法</w:t>
            </w:r>
            <w:r>
              <w:rPr>
                <w:rFonts w:hint="eastAsia" w:eastAsia="Malgun Gothic Semilight"/>
                <w:color w:val="000000"/>
                <w:sz w:val="18"/>
                <w:szCs w:val="18"/>
              </w:rPr>
              <w:t>；</w:t>
            </w:r>
            <w:r>
              <w:rPr>
                <w:rFonts w:hint="eastAsia" w:eastAsia="微软雅黑"/>
                <w:color w:val="000000"/>
                <w:sz w:val="18"/>
                <w:szCs w:val="18"/>
              </w:rPr>
              <w:t>项目调整是否履行相应手续</w:t>
            </w:r>
          </w:p>
        </w:tc>
        <w:tc>
          <w:tcPr>
            <w:tcW w:w="2220" w:type="dxa"/>
            <w:tcBorders>
              <w:top w:val="single" w:color="000000"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项目符合申报条件</w:t>
            </w:r>
            <w:r>
              <w:rPr>
                <w:rFonts w:hint="eastAsia" w:eastAsia="Malgun Gothic Semilight"/>
                <w:color w:val="000000"/>
                <w:sz w:val="18"/>
                <w:szCs w:val="18"/>
              </w:rPr>
              <w:t>（</w:t>
            </w:r>
            <w:r>
              <w:rPr>
                <w:rFonts w:eastAsia="Arial Unicode MS"/>
                <w:color w:val="000000"/>
                <w:sz w:val="18"/>
                <w:szCs w:val="18"/>
              </w:rPr>
              <w:t>2</w:t>
            </w:r>
            <w:r>
              <w:rPr>
                <w:rFonts w:hint="eastAsia" w:eastAsia="微软雅黑"/>
                <w:color w:val="000000"/>
                <w:sz w:val="18"/>
                <w:szCs w:val="18"/>
              </w:rPr>
              <w:t>分</w:t>
            </w:r>
            <w:r>
              <w:rPr>
                <w:rFonts w:hint="eastAsia" w:eastAsia="Malgun Gothic Semilight"/>
                <w:color w:val="000000"/>
                <w:sz w:val="18"/>
                <w:szCs w:val="18"/>
              </w:rPr>
              <w:t>），</w:t>
            </w:r>
            <w:r>
              <w:rPr>
                <w:rFonts w:hint="eastAsia" w:eastAsia="微软雅黑"/>
                <w:color w:val="000000"/>
                <w:sz w:val="18"/>
                <w:szCs w:val="18"/>
              </w:rPr>
              <w:t>申报</w:t>
            </w:r>
            <w:r>
              <w:rPr>
                <w:rFonts w:hint="eastAsia" w:eastAsia="Malgun Gothic Semilight"/>
                <w:color w:val="000000"/>
                <w:sz w:val="18"/>
                <w:szCs w:val="18"/>
              </w:rPr>
              <w:t>、</w:t>
            </w:r>
            <w:r>
              <w:rPr>
                <w:rFonts w:hint="eastAsia" w:eastAsia="微软雅黑"/>
                <w:color w:val="000000"/>
                <w:sz w:val="18"/>
                <w:szCs w:val="18"/>
              </w:rPr>
              <w:t>批复程序符合相关管理办法</w:t>
            </w:r>
            <w:r>
              <w:rPr>
                <w:rFonts w:hint="eastAsia" w:eastAsia="Malgun Gothic Semilight"/>
                <w:color w:val="000000"/>
                <w:sz w:val="18"/>
                <w:szCs w:val="18"/>
              </w:rPr>
              <w:t>（</w:t>
            </w:r>
            <w:r>
              <w:rPr>
                <w:rFonts w:eastAsia="Arial Unicode MS"/>
                <w:color w:val="000000"/>
                <w:sz w:val="18"/>
                <w:szCs w:val="18"/>
              </w:rPr>
              <w:t>2</w:t>
            </w:r>
            <w:r>
              <w:rPr>
                <w:rFonts w:hint="eastAsia" w:eastAsia="微软雅黑"/>
                <w:color w:val="000000"/>
                <w:sz w:val="18"/>
                <w:szCs w:val="18"/>
              </w:rPr>
              <w:t>分</w:t>
            </w:r>
            <w:r>
              <w:rPr>
                <w:rFonts w:hint="eastAsia" w:eastAsia="Malgun Gothic Semilight"/>
                <w:color w:val="000000"/>
                <w:sz w:val="18"/>
                <w:szCs w:val="18"/>
              </w:rPr>
              <w:t>），</w:t>
            </w:r>
            <w:r>
              <w:rPr>
                <w:rFonts w:hint="eastAsia" w:eastAsia="微软雅黑"/>
                <w:color w:val="000000"/>
                <w:sz w:val="18"/>
                <w:szCs w:val="18"/>
              </w:rPr>
              <w:t>项目实施调整履行相应手续</w:t>
            </w:r>
            <w:r>
              <w:rPr>
                <w:rFonts w:hint="eastAsia" w:eastAsia="Malgun Gothic Semilight"/>
                <w:color w:val="000000"/>
                <w:sz w:val="18"/>
                <w:szCs w:val="18"/>
              </w:rPr>
              <w:t>（</w:t>
            </w:r>
            <w:r>
              <w:rPr>
                <w:rFonts w:eastAsia="Arial Unicode MS"/>
                <w:color w:val="000000"/>
                <w:sz w:val="18"/>
                <w:szCs w:val="18"/>
              </w:rPr>
              <w:t>1</w:t>
            </w:r>
            <w:r>
              <w:rPr>
                <w:rFonts w:hint="eastAsia" w:eastAsia="微软雅黑"/>
                <w:color w:val="000000"/>
                <w:sz w:val="18"/>
                <w:szCs w:val="18"/>
              </w:rPr>
              <w:t>分</w:t>
            </w:r>
            <w:r>
              <w:rPr>
                <w:rFonts w:hint="eastAsia" w:eastAsia="Malgun Gothic Semilight"/>
                <w:color w:val="000000"/>
                <w:sz w:val="18"/>
                <w:szCs w:val="18"/>
              </w:rPr>
              <w:t>）</w:t>
            </w:r>
          </w:p>
        </w:tc>
        <w:tc>
          <w:tcPr>
            <w:tcW w:w="714"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eastAsia="Arial Unicode MS"/>
                <w:color w:val="000000"/>
                <w:sz w:val="18"/>
                <w:szCs w:val="18"/>
              </w:rPr>
              <w:t>5</w:t>
            </w:r>
          </w:p>
        </w:tc>
      </w:tr>
      <w:tr>
        <w:tblPrEx>
          <w:tblCellMar>
            <w:top w:w="0" w:type="dxa"/>
            <w:left w:w="108" w:type="dxa"/>
            <w:bottom w:w="0" w:type="dxa"/>
            <w:right w:w="108" w:type="dxa"/>
          </w:tblCellMar>
        </w:tblPrEx>
        <w:trPr>
          <w:trHeight w:val="469" w:hRule="atLeast"/>
          <w:jc w:val="center"/>
        </w:trPr>
        <w:tc>
          <w:tcPr>
            <w:tcW w:w="611" w:type="dxa"/>
            <w:vMerge w:val="continue"/>
            <w:tcBorders>
              <w:top w:val="nil"/>
              <w:left w:val="single" w:color="auto" w:sz="4" w:space="0"/>
              <w:bottom w:val="nil"/>
              <w:right w:val="single" w:color="auto" w:sz="4" w:space="0"/>
              <w:tl2br w:val="nil"/>
              <w:tr2bl w:val="nil"/>
            </w:tcBorders>
            <w:noWrap/>
            <w:vAlign w:val="center"/>
          </w:tcPr>
          <w:p>
            <w:pPr>
              <w:spacing w:line="300" w:lineRule="exact"/>
              <w:jc w:val="center"/>
              <w:rPr>
                <w:rFonts w:eastAsia="Arial Unicode MS"/>
                <w:sz w:val="18"/>
                <w:szCs w:val="18"/>
              </w:rPr>
            </w:pPr>
          </w:p>
        </w:tc>
        <w:tc>
          <w:tcPr>
            <w:tcW w:w="538" w:type="dxa"/>
            <w:vMerge w:val="continue"/>
            <w:tcBorders>
              <w:top w:val="nil"/>
              <w:left w:val="single" w:color="auto" w:sz="4" w:space="0"/>
              <w:bottom w:val="nil"/>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p>
        </w:tc>
        <w:tc>
          <w:tcPr>
            <w:tcW w:w="506" w:type="dxa"/>
            <w:vMerge w:val="restart"/>
            <w:tcBorders>
              <w:top w:val="single" w:color="000000" w:sz="4" w:space="0"/>
              <w:left w:val="single" w:color="auto" w:sz="4" w:space="0"/>
              <w:bottom w:val="nil"/>
              <w:right w:val="single" w:color="auto" w:sz="4" w:space="0"/>
              <w:tl2br w:val="nil"/>
              <w:tr2bl w:val="nil"/>
            </w:tcBorders>
            <w:noWrap/>
            <w:vAlign w:val="center"/>
          </w:tcPr>
          <w:p>
            <w:pPr>
              <w:spacing w:line="300" w:lineRule="exact"/>
              <w:jc w:val="center"/>
              <w:rPr>
                <w:rFonts w:eastAsia="Arial Unicode MS"/>
                <w:sz w:val="18"/>
                <w:szCs w:val="18"/>
              </w:rPr>
            </w:pPr>
            <w:r>
              <w:rPr>
                <w:rFonts w:hint="eastAsia" w:eastAsia="微软雅黑"/>
                <w:sz w:val="18"/>
                <w:szCs w:val="18"/>
              </w:rPr>
              <w:t>资金分配</w:t>
            </w:r>
          </w:p>
        </w:tc>
        <w:tc>
          <w:tcPr>
            <w:tcW w:w="529" w:type="dxa"/>
            <w:vMerge w:val="restart"/>
            <w:tcBorders>
              <w:top w:val="single" w:color="000000" w:sz="4" w:space="0"/>
              <w:left w:val="single" w:color="auto" w:sz="4" w:space="0"/>
              <w:bottom w:val="nil"/>
              <w:right w:val="single" w:color="auto" w:sz="4" w:space="0"/>
              <w:tl2br w:val="nil"/>
              <w:tr2bl w:val="nil"/>
            </w:tcBorders>
            <w:noWrap/>
            <w:vAlign w:val="center"/>
          </w:tcPr>
          <w:p>
            <w:pPr>
              <w:spacing w:line="300" w:lineRule="exact"/>
              <w:jc w:val="center"/>
              <w:rPr>
                <w:rFonts w:eastAsia="Arial Unicode MS"/>
                <w:sz w:val="18"/>
                <w:szCs w:val="18"/>
              </w:rPr>
            </w:pPr>
            <w:r>
              <w:rPr>
                <w:rFonts w:eastAsia="Arial Unicode MS"/>
                <w:sz w:val="18"/>
                <w:szCs w:val="18"/>
              </w:rPr>
              <w:t>8</w:t>
            </w:r>
          </w:p>
        </w:tc>
        <w:tc>
          <w:tcPr>
            <w:tcW w:w="735" w:type="dxa"/>
            <w:tcBorders>
              <w:top w:val="single" w:color="000000" w:sz="4" w:space="0"/>
              <w:left w:val="single" w:color="auto" w:sz="4" w:space="0"/>
              <w:bottom w:val="single" w:color="000000"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分配方法</w:t>
            </w:r>
          </w:p>
        </w:tc>
        <w:tc>
          <w:tcPr>
            <w:tcW w:w="650" w:type="dxa"/>
            <w:tcBorders>
              <w:top w:val="single" w:color="000000" w:sz="4" w:space="0"/>
              <w:left w:val="single" w:color="auto" w:sz="4" w:space="0"/>
              <w:bottom w:val="single" w:color="000000"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eastAsia="Arial Unicode MS"/>
                <w:color w:val="000000"/>
                <w:sz w:val="18"/>
                <w:szCs w:val="18"/>
              </w:rPr>
              <w:t>2</w:t>
            </w:r>
          </w:p>
        </w:tc>
        <w:tc>
          <w:tcPr>
            <w:tcW w:w="2506" w:type="dxa"/>
            <w:tcBorders>
              <w:top w:val="single" w:color="000000" w:sz="4" w:space="0"/>
              <w:left w:val="single" w:color="auto" w:sz="4" w:space="0"/>
              <w:bottom w:val="single" w:color="000000"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是否根据需要制定相关资金管理办法</w:t>
            </w:r>
            <w:r>
              <w:rPr>
                <w:rFonts w:hint="eastAsia" w:eastAsia="Malgun Gothic Semilight"/>
                <w:color w:val="000000"/>
                <w:sz w:val="18"/>
                <w:szCs w:val="18"/>
              </w:rPr>
              <w:t>，</w:t>
            </w:r>
            <w:r>
              <w:rPr>
                <w:rFonts w:hint="eastAsia" w:eastAsia="微软雅黑"/>
                <w:color w:val="000000"/>
                <w:sz w:val="18"/>
                <w:szCs w:val="18"/>
              </w:rPr>
              <w:t>并在管理办法中明确资金分配方法</w:t>
            </w:r>
            <w:r>
              <w:rPr>
                <w:rFonts w:hint="eastAsia" w:eastAsia="Malgun Gothic Semilight"/>
                <w:color w:val="000000"/>
                <w:sz w:val="18"/>
                <w:szCs w:val="18"/>
              </w:rPr>
              <w:t>；</w:t>
            </w:r>
            <w:r>
              <w:rPr>
                <w:rFonts w:hint="eastAsia" w:eastAsia="微软雅黑"/>
                <w:color w:val="000000"/>
                <w:sz w:val="18"/>
                <w:szCs w:val="18"/>
              </w:rPr>
              <w:t>资金分配因素是否全面</w:t>
            </w:r>
            <w:r>
              <w:rPr>
                <w:rFonts w:hint="eastAsia" w:eastAsia="Malgun Gothic Semilight"/>
                <w:color w:val="000000"/>
                <w:sz w:val="18"/>
                <w:szCs w:val="18"/>
              </w:rPr>
              <w:t>、</w:t>
            </w:r>
            <w:r>
              <w:rPr>
                <w:rFonts w:hint="eastAsia" w:eastAsia="微软雅黑"/>
                <w:color w:val="000000"/>
                <w:sz w:val="18"/>
                <w:szCs w:val="18"/>
              </w:rPr>
              <w:t>合理</w:t>
            </w:r>
          </w:p>
        </w:tc>
        <w:tc>
          <w:tcPr>
            <w:tcW w:w="2220" w:type="dxa"/>
            <w:tcBorders>
              <w:top w:val="single" w:color="000000"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办法健全</w:t>
            </w:r>
            <w:r>
              <w:rPr>
                <w:rFonts w:hint="eastAsia" w:eastAsia="Malgun Gothic Semilight"/>
                <w:color w:val="000000"/>
                <w:sz w:val="18"/>
                <w:szCs w:val="18"/>
              </w:rPr>
              <w:t>、</w:t>
            </w:r>
            <w:r>
              <w:rPr>
                <w:rFonts w:hint="eastAsia" w:eastAsia="微软雅黑"/>
                <w:color w:val="000000"/>
                <w:sz w:val="18"/>
                <w:szCs w:val="18"/>
              </w:rPr>
              <w:t>规范</w:t>
            </w:r>
            <w:r>
              <w:rPr>
                <w:rFonts w:hint="eastAsia" w:eastAsia="Malgun Gothic Semilight"/>
                <w:color w:val="000000"/>
                <w:sz w:val="18"/>
                <w:szCs w:val="18"/>
              </w:rPr>
              <w:t>（</w:t>
            </w:r>
            <w:r>
              <w:rPr>
                <w:rFonts w:eastAsia="Arial Unicode MS"/>
                <w:color w:val="000000"/>
                <w:sz w:val="18"/>
                <w:szCs w:val="18"/>
              </w:rPr>
              <w:t>1</w:t>
            </w:r>
            <w:r>
              <w:rPr>
                <w:rFonts w:hint="eastAsia" w:eastAsia="微软雅黑"/>
                <w:color w:val="000000"/>
                <w:sz w:val="18"/>
                <w:szCs w:val="18"/>
              </w:rPr>
              <w:t>分</w:t>
            </w:r>
            <w:r>
              <w:rPr>
                <w:rFonts w:hint="eastAsia" w:eastAsia="Malgun Gothic Semilight"/>
                <w:color w:val="000000"/>
                <w:sz w:val="18"/>
                <w:szCs w:val="18"/>
              </w:rPr>
              <w:t>），</w:t>
            </w:r>
            <w:r>
              <w:rPr>
                <w:rFonts w:hint="eastAsia" w:eastAsia="微软雅黑"/>
                <w:color w:val="000000"/>
                <w:sz w:val="18"/>
                <w:szCs w:val="18"/>
              </w:rPr>
              <w:t>因素选择全面</w:t>
            </w:r>
            <w:r>
              <w:rPr>
                <w:rFonts w:hint="eastAsia" w:eastAsia="Malgun Gothic Semilight"/>
                <w:color w:val="000000"/>
                <w:sz w:val="18"/>
                <w:szCs w:val="18"/>
              </w:rPr>
              <w:t>、</w:t>
            </w:r>
            <w:r>
              <w:rPr>
                <w:rFonts w:hint="eastAsia" w:eastAsia="微软雅黑"/>
                <w:color w:val="000000"/>
                <w:sz w:val="18"/>
                <w:szCs w:val="18"/>
              </w:rPr>
              <w:t>合理</w:t>
            </w:r>
            <w:r>
              <w:rPr>
                <w:rFonts w:hint="eastAsia" w:eastAsia="Malgun Gothic Semilight"/>
                <w:color w:val="000000"/>
                <w:sz w:val="18"/>
                <w:szCs w:val="18"/>
              </w:rPr>
              <w:t>（</w:t>
            </w:r>
            <w:r>
              <w:rPr>
                <w:rFonts w:eastAsia="Arial Unicode MS"/>
                <w:color w:val="000000"/>
                <w:sz w:val="18"/>
                <w:szCs w:val="18"/>
              </w:rPr>
              <w:t>1</w:t>
            </w:r>
            <w:r>
              <w:rPr>
                <w:rFonts w:hint="eastAsia" w:eastAsia="微软雅黑"/>
                <w:color w:val="000000"/>
                <w:sz w:val="18"/>
                <w:szCs w:val="18"/>
              </w:rPr>
              <w:t>分</w:t>
            </w:r>
            <w:r>
              <w:rPr>
                <w:rFonts w:hint="eastAsia" w:eastAsia="Malgun Gothic Semilight"/>
                <w:color w:val="000000"/>
                <w:sz w:val="18"/>
                <w:szCs w:val="18"/>
              </w:rPr>
              <w:t>）</w:t>
            </w:r>
          </w:p>
        </w:tc>
        <w:tc>
          <w:tcPr>
            <w:tcW w:w="714"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eastAsia="Arial Unicode MS"/>
                <w:color w:val="000000"/>
                <w:sz w:val="18"/>
                <w:szCs w:val="18"/>
              </w:rPr>
              <w:t>2</w:t>
            </w:r>
          </w:p>
        </w:tc>
      </w:tr>
      <w:tr>
        <w:tblPrEx>
          <w:tblCellMar>
            <w:top w:w="0" w:type="dxa"/>
            <w:left w:w="108" w:type="dxa"/>
            <w:bottom w:w="0" w:type="dxa"/>
            <w:right w:w="108" w:type="dxa"/>
          </w:tblCellMar>
        </w:tblPrEx>
        <w:trPr>
          <w:trHeight w:val="385" w:hRule="atLeast"/>
          <w:jc w:val="center"/>
        </w:trPr>
        <w:tc>
          <w:tcPr>
            <w:tcW w:w="611" w:type="dxa"/>
            <w:vMerge w:val="continue"/>
            <w:tcBorders>
              <w:top w:val="nil"/>
              <w:left w:val="single" w:color="auto" w:sz="4" w:space="0"/>
              <w:bottom w:val="single" w:color="000000" w:sz="4" w:space="0"/>
              <w:right w:val="single" w:color="auto" w:sz="4" w:space="0"/>
              <w:tl2br w:val="nil"/>
              <w:tr2bl w:val="nil"/>
            </w:tcBorders>
            <w:noWrap/>
            <w:vAlign w:val="center"/>
          </w:tcPr>
          <w:p>
            <w:pPr>
              <w:spacing w:line="300" w:lineRule="exact"/>
              <w:jc w:val="center"/>
              <w:rPr>
                <w:rFonts w:eastAsia="Arial Unicode MS"/>
                <w:sz w:val="18"/>
                <w:szCs w:val="18"/>
              </w:rPr>
            </w:pPr>
          </w:p>
        </w:tc>
        <w:tc>
          <w:tcPr>
            <w:tcW w:w="538" w:type="dxa"/>
            <w:vMerge w:val="continue"/>
            <w:tcBorders>
              <w:top w:val="nil"/>
              <w:left w:val="single" w:color="auto" w:sz="4" w:space="0"/>
              <w:bottom w:val="single" w:color="000000"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p>
        </w:tc>
        <w:tc>
          <w:tcPr>
            <w:tcW w:w="506" w:type="dxa"/>
            <w:vMerge w:val="continue"/>
            <w:tcBorders>
              <w:top w:val="nil"/>
              <w:left w:val="single" w:color="auto" w:sz="4" w:space="0"/>
              <w:bottom w:val="single" w:color="000000" w:sz="4" w:space="0"/>
              <w:right w:val="single" w:color="auto" w:sz="4" w:space="0"/>
              <w:tl2br w:val="nil"/>
              <w:tr2bl w:val="nil"/>
            </w:tcBorders>
            <w:noWrap/>
            <w:vAlign w:val="center"/>
          </w:tcPr>
          <w:p>
            <w:pPr>
              <w:spacing w:line="300" w:lineRule="exact"/>
              <w:jc w:val="center"/>
              <w:rPr>
                <w:rFonts w:eastAsia="Arial Unicode MS"/>
                <w:sz w:val="18"/>
                <w:szCs w:val="18"/>
              </w:rPr>
            </w:pPr>
          </w:p>
        </w:tc>
        <w:tc>
          <w:tcPr>
            <w:tcW w:w="529" w:type="dxa"/>
            <w:vMerge w:val="continue"/>
            <w:tcBorders>
              <w:top w:val="nil"/>
              <w:left w:val="single" w:color="auto" w:sz="4" w:space="0"/>
              <w:bottom w:val="single" w:color="000000" w:sz="4" w:space="0"/>
              <w:right w:val="single" w:color="auto" w:sz="4" w:space="0"/>
              <w:tl2br w:val="nil"/>
              <w:tr2bl w:val="nil"/>
            </w:tcBorders>
            <w:noWrap/>
            <w:vAlign w:val="center"/>
          </w:tcPr>
          <w:p>
            <w:pPr>
              <w:spacing w:line="300" w:lineRule="exact"/>
              <w:jc w:val="center"/>
              <w:rPr>
                <w:rFonts w:eastAsia="Arial Unicode MS"/>
                <w:sz w:val="18"/>
                <w:szCs w:val="18"/>
              </w:rPr>
            </w:pPr>
          </w:p>
        </w:tc>
        <w:tc>
          <w:tcPr>
            <w:tcW w:w="735" w:type="dxa"/>
            <w:tcBorders>
              <w:top w:val="single" w:color="000000" w:sz="4" w:space="0"/>
              <w:left w:val="single" w:color="auto" w:sz="4" w:space="0"/>
              <w:bottom w:val="single" w:color="000000"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分配结果</w:t>
            </w:r>
          </w:p>
        </w:tc>
        <w:tc>
          <w:tcPr>
            <w:tcW w:w="650" w:type="dxa"/>
            <w:tcBorders>
              <w:top w:val="single" w:color="000000" w:sz="4" w:space="0"/>
              <w:left w:val="single" w:color="auto" w:sz="4" w:space="0"/>
              <w:bottom w:val="single" w:color="000000"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eastAsia="Arial Unicode MS"/>
                <w:color w:val="000000"/>
                <w:sz w:val="18"/>
                <w:szCs w:val="18"/>
              </w:rPr>
              <w:t>6</w:t>
            </w:r>
          </w:p>
        </w:tc>
        <w:tc>
          <w:tcPr>
            <w:tcW w:w="2506" w:type="dxa"/>
            <w:tcBorders>
              <w:top w:val="single" w:color="000000" w:sz="4" w:space="0"/>
              <w:left w:val="single" w:color="auto" w:sz="4" w:space="0"/>
              <w:bottom w:val="single" w:color="000000"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资金分配是否符合相关管理办法</w:t>
            </w:r>
            <w:r>
              <w:rPr>
                <w:rFonts w:hint="eastAsia" w:eastAsia="Malgun Gothic Semilight"/>
                <w:color w:val="000000"/>
                <w:sz w:val="18"/>
                <w:szCs w:val="18"/>
              </w:rPr>
              <w:t>；</w:t>
            </w:r>
            <w:r>
              <w:rPr>
                <w:rFonts w:hint="eastAsia" w:eastAsia="微软雅黑"/>
                <w:color w:val="000000"/>
                <w:sz w:val="18"/>
                <w:szCs w:val="18"/>
              </w:rPr>
              <w:t>分配结果是否合理</w:t>
            </w:r>
          </w:p>
        </w:tc>
        <w:tc>
          <w:tcPr>
            <w:tcW w:w="2220" w:type="dxa"/>
            <w:tcBorders>
              <w:top w:val="single" w:color="000000"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项目符合相关分配方法</w:t>
            </w:r>
            <w:r>
              <w:rPr>
                <w:rFonts w:hint="eastAsia" w:eastAsia="Malgun Gothic Semilight"/>
                <w:color w:val="000000"/>
                <w:sz w:val="18"/>
                <w:szCs w:val="18"/>
              </w:rPr>
              <w:t>（</w:t>
            </w:r>
            <w:r>
              <w:rPr>
                <w:rFonts w:eastAsia="Arial Unicode MS"/>
                <w:color w:val="000000"/>
                <w:sz w:val="18"/>
                <w:szCs w:val="18"/>
              </w:rPr>
              <w:t>2</w:t>
            </w:r>
            <w:r>
              <w:rPr>
                <w:rFonts w:hint="eastAsia" w:eastAsia="微软雅黑"/>
                <w:color w:val="000000"/>
                <w:sz w:val="18"/>
                <w:szCs w:val="18"/>
              </w:rPr>
              <w:t>分</w:t>
            </w:r>
            <w:r>
              <w:rPr>
                <w:rFonts w:hint="eastAsia" w:eastAsia="Malgun Gothic Semilight"/>
                <w:color w:val="000000"/>
                <w:sz w:val="18"/>
                <w:szCs w:val="18"/>
              </w:rPr>
              <w:t>），</w:t>
            </w:r>
            <w:r>
              <w:rPr>
                <w:rFonts w:hint="eastAsia" w:eastAsia="微软雅黑"/>
                <w:color w:val="000000"/>
                <w:sz w:val="18"/>
                <w:szCs w:val="18"/>
              </w:rPr>
              <w:t>资金分配合理</w:t>
            </w:r>
            <w:r>
              <w:rPr>
                <w:rFonts w:hint="eastAsia" w:eastAsia="Malgun Gothic Semilight"/>
                <w:color w:val="000000"/>
                <w:sz w:val="18"/>
                <w:szCs w:val="18"/>
              </w:rPr>
              <w:t>（</w:t>
            </w:r>
            <w:r>
              <w:rPr>
                <w:rFonts w:eastAsia="Arial Unicode MS"/>
                <w:color w:val="000000"/>
                <w:sz w:val="18"/>
                <w:szCs w:val="18"/>
              </w:rPr>
              <w:t>4</w:t>
            </w:r>
            <w:r>
              <w:rPr>
                <w:rFonts w:hint="eastAsia" w:eastAsia="微软雅黑"/>
                <w:color w:val="000000"/>
                <w:sz w:val="18"/>
                <w:szCs w:val="18"/>
              </w:rPr>
              <w:t>分</w:t>
            </w:r>
            <w:r>
              <w:rPr>
                <w:rFonts w:hint="eastAsia" w:eastAsia="Malgun Gothic Semilight"/>
                <w:color w:val="000000"/>
                <w:sz w:val="18"/>
                <w:szCs w:val="18"/>
              </w:rPr>
              <w:t>）</w:t>
            </w:r>
          </w:p>
        </w:tc>
        <w:tc>
          <w:tcPr>
            <w:tcW w:w="714"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eastAsia="Arial Unicode MS"/>
                <w:color w:val="000000"/>
                <w:sz w:val="18"/>
                <w:szCs w:val="18"/>
              </w:rPr>
              <w:t>6</w:t>
            </w:r>
          </w:p>
        </w:tc>
      </w:tr>
      <w:tr>
        <w:tblPrEx>
          <w:tblCellMar>
            <w:top w:w="0" w:type="dxa"/>
            <w:left w:w="108" w:type="dxa"/>
            <w:bottom w:w="0" w:type="dxa"/>
            <w:right w:w="108" w:type="dxa"/>
          </w:tblCellMar>
        </w:tblPrEx>
        <w:trPr>
          <w:trHeight w:val="638" w:hRule="atLeast"/>
          <w:jc w:val="center"/>
        </w:trPr>
        <w:tc>
          <w:tcPr>
            <w:tcW w:w="611" w:type="dxa"/>
            <w:vMerge w:val="restart"/>
            <w:tcBorders>
              <w:top w:val="single" w:color="000000" w:sz="4" w:space="0"/>
              <w:left w:val="single" w:color="auto" w:sz="4" w:space="0"/>
              <w:bottom w:val="single" w:color="000000" w:sz="4" w:space="0"/>
              <w:right w:val="single" w:color="auto" w:sz="4" w:space="0"/>
              <w:tl2br w:val="nil"/>
              <w:tr2bl w:val="nil"/>
            </w:tcBorders>
            <w:noWrap/>
            <w:vAlign w:val="center"/>
          </w:tcPr>
          <w:p>
            <w:pPr>
              <w:autoSpaceDN w:val="0"/>
              <w:spacing w:line="300" w:lineRule="exact"/>
              <w:jc w:val="center"/>
              <w:textAlignment w:val="center"/>
              <w:rPr>
                <w:rFonts w:eastAsia="Arial Unicode MS"/>
                <w:sz w:val="18"/>
                <w:szCs w:val="18"/>
              </w:rPr>
            </w:pPr>
            <w:r>
              <w:rPr>
                <w:rFonts w:hint="eastAsia" w:eastAsia="微软雅黑"/>
                <w:color w:val="000000"/>
                <w:sz w:val="18"/>
                <w:szCs w:val="18"/>
              </w:rPr>
              <w:t>项目管理</w:t>
            </w:r>
          </w:p>
        </w:tc>
        <w:tc>
          <w:tcPr>
            <w:tcW w:w="538" w:type="dxa"/>
            <w:vMerge w:val="restart"/>
            <w:tcBorders>
              <w:top w:val="single" w:color="000000" w:sz="4" w:space="0"/>
              <w:left w:val="single" w:color="auto" w:sz="4" w:space="0"/>
              <w:bottom w:val="single" w:color="000000" w:sz="4" w:space="0"/>
              <w:right w:val="single" w:color="auto" w:sz="4" w:space="0"/>
              <w:tl2br w:val="nil"/>
              <w:tr2bl w:val="nil"/>
            </w:tcBorders>
            <w:noWrap/>
            <w:vAlign w:val="center"/>
          </w:tcPr>
          <w:p>
            <w:pPr>
              <w:autoSpaceDN w:val="0"/>
              <w:spacing w:line="300" w:lineRule="exact"/>
              <w:jc w:val="center"/>
              <w:textAlignment w:val="center"/>
              <w:rPr>
                <w:rFonts w:eastAsia="Arial Unicode MS"/>
                <w:sz w:val="18"/>
                <w:szCs w:val="18"/>
              </w:rPr>
            </w:pPr>
            <w:r>
              <w:rPr>
                <w:rFonts w:eastAsia="Arial Unicode MS"/>
                <w:color w:val="000000"/>
                <w:sz w:val="18"/>
                <w:szCs w:val="18"/>
              </w:rPr>
              <w:t>25</w:t>
            </w:r>
          </w:p>
        </w:tc>
        <w:tc>
          <w:tcPr>
            <w:tcW w:w="506" w:type="dxa"/>
            <w:vMerge w:val="restart"/>
            <w:tcBorders>
              <w:top w:val="single" w:color="000000" w:sz="4" w:space="0"/>
              <w:left w:val="single" w:color="auto" w:sz="4" w:space="0"/>
              <w:bottom w:val="single" w:color="000000"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资金到位</w:t>
            </w:r>
          </w:p>
        </w:tc>
        <w:tc>
          <w:tcPr>
            <w:tcW w:w="529" w:type="dxa"/>
            <w:vMerge w:val="restart"/>
            <w:tcBorders>
              <w:top w:val="single" w:color="000000" w:sz="4" w:space="0"/>
              <w:left w:val="single" w:color="auto" w:sz="4" w:space="0"/>
              <w:bottom w:val="single" w:color="000000"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eastAsia="Arial Unicode MS"/>
                <w:color w:val="000000"/>
                <w:sz w:val="18"/>
                <w:szCs w:val="18"/>
              </w:rPr>
              <w:t>5</w:t>
            </w:r>
          </w:p>
        </w:tc>
        <w:tc>
          <w:tcPr>
            <w:tcW w:w="735" w:type="dxa"/>
            <w:tcBorders>
              <w:top w:val="single" w:color="000000" w:sz="4" w:space="0"/>
              <w:left w:val="single" w:color="auto" w:sz="4" w:space="0"/>
              <w:bottom w:val="single" w:color="000000"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到位率</w:t>
            </w:r>
          </w:p>
        </w:tc>
        <w:tc>
          <w:tcPr>
            <w:tcW w:w="650" w:type="dxa"/>
            <w:tcBorders>
              <w:top w:val="single" w:color="000000" w:sz="4" w:space="0"/>
              <w:left w:val="single" w:color="auto" w:sz="4" w:space="0"/>
              <w:bottom w:val="single" w:color="000000"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eastAsia="Arial Unicode MS"/>
                <w:color w:val="000000"/>
                <w:sz w:val="18"/>
                <w:szCs w:val="18"/>
              </w:rPr>
              <w:t>3</w:t>
            </w:r>
          </w:p>
        </w:tc>
        <w:tc>
          <w:tcPr>
            <w:tcW w:w="2506" w:type="dxa"/>
            <w:tcBorders>
              <w:top w:val="single" w:color="000000" w:sz="4" w:space="0"/>
              <w:left w:val="single" w:color="auto" w:sz="4" w:space="0"/>
              <w:bottom w:val="single" w:color="000000"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pacing w:val="-4"/>
                <w:sz w:val="18"/>
                <w:szCs w:val="18"/>
              </w:rPr>
            </w:pPr>
            <w:r>
              <w:rPr>
                <w:rFonts w:hint="eastAsia" w:eastAsia="微软雅黑"/>
                <w:color w:val="000000"/>
                <w:sz w:val="18"/>
                <w:szCs w:val="18"/>
              </w:rPr>
              <w:t>实际到位</w:t>
            </w:r>
            <w:r>
              <w:rPr>
                <w:rFonts w:eastAsia="Arial Unicode MS"/>
                <w:color w:val="000000"/>
                <w:sz w:val="18"/>
                <w:szCs w:val="18"/>
              </w:rPr>
              <w:t>/</w:t>
            </w:r>
            <w:r>
              <w:rPr>
                <w:rFonts w:hint="eastAsia" w:eastAsia="微软雅黑"/>
                <w:color w:val="000000"/>
                <w:sz w:val="18"/>
                <w:szCs w:val="18"/>
              </w:rPr>
              <w:t>计划到位</w:t>
            </w:r>
            <w:r>
              <w:rPr>
                <w:rFonts w:eastAsia="Malgun Gothic Semilight"/>
                <w:color w:val="000000"/>
                <w:sz w:val="18"/>
                <w:szCs w:val="18"/>
              </w:rPr>
              <w:t>×</w:t>
            </w:r>
            <w:r>
              <w:rPr>
                <w:rFonts w:eastAsia="Arial Unicode MS"/>
                <w:color w:val="000000"/>
                <w:sz w:val="18"/>
                <w:szCs w:val="18"/>
              </w:rPr>
              <w:t>100%</w:t>
            </w:r>
          </w:p>
        </w:tc>
        <w:tc>
          <w:tcPr>
            <w:tcW w:w="2220" w:type="dxa"/>
            <w:tcBorders>
              <w:top w:val="single" w:color="000000" w:sz="4" w:space="0"/>
              <w:left w:val="single" w:color="auto" w:sz="4" w:space="0"/>
              <w:bottom w:val="single" w:color="000000"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根据项目实际到位资金占计划的比重计算得分</w:t>
            </w:r>
            <w:r>
              <w:rPr>
                <w:rFonts w:hint="eastAsia" w:eastAsia="Malgun Gothic Semilight"/>
                <w:color w:val="000000"/>
                <w:sz w:val="18"/>
                <w:szCs w:val="18"/>
              </w:rPr>
              <w:t>（</w:t>
            </w:r>
            <w:r>
              <w:rPr>
                <w:rFonts w:eastAsia="Arial Unicode MS"/>
                <w:color w:val="000000"/>
                <w:sz w:val="18"/>
                <w:szCs w:val="18"/>
              </w:rPr>
              <w:t>3</w:t>
            </w:r>
            <w:r>
              <w:rPr>
                <w:rFonts w:hint="eastAsia" w:eastAsia="微软雅黑"/>
                <w:color w:val="000000"/>
                <w:sz w:val="18"/>
                <w:szCs w:val="18"/>
              </w:rPr>
              <w:t>分</w:t>
            </w:r>
            <w:r>
              <w:rPr>
                <w:rFonts w:hint="eastAsia" w:eastAsia="Malgun Gothic Semilight"/>
                <w:color w:val="000000"/>
                <w:sz w:val="18"/>
                <w:szCs w:val="18"/>
              </w:rPr>
              <w:t>）</w:t>
            </w:r>
          </w:p>
        </w:tc>
        <w:tc>
          <w:tcPr>
            <w:tcW w:w="714"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eastAsia="Arial Unicode MS"/>
                <w:color w:val="000000"/>
                <w:sz w:val="18"/>
                <w:szCs w:val="18"/>
              </w:rPr>
              <w:t>3</w:t>
            </w:r>
          </w:p>
        </w:tc>
      </w:tr>
      <w:tr>
        <w:tblPrEx>
          <w:tblCellMar>
            <w:top w:w="0" w:type="dxa"/>
            <w:left w:w="108" w:type="dxa"/>
            <w:bottom w:w="0" w:type="dxa"/>
            <w:right w:w="108" w:type="dxa"/>
          </w:tblCellMar>
        </w:tblPrEx>
        <w:trPr>
          <w:trHeight w:val="619" w:hRule="atLeast"/>
          <w:jc w:val="center"/>
        </w:trPr>
        <w:tc>
          <w:tcPr>
            <w:tcW w:w="611" w:type="dxa"/>
            <w:vMerge w:val="continue"/>
            <w:tcBorders>
              <w:top w:val="single" w:color="000000" w:sz="4" w:space="0"/>
              <w:left w:val="single" w:color="auto" w:sz="4" w:space="0"/>
              <w:bottom w:val="single" w:color="auto" w:sz="4" w:space="0"/>
              <w:right w:val="single" w:color="auto" w:sz="4" w:space="0"/>
              <w:tl2br w:val="nil"/>
              <w:tr2bl w:val="nil"/>
            </w:tcBorders>
            <w:noWrap/>
            <w:vAlign w:val="center"/>
          </w:tcPr>
          <w:p>
            <w:pPr>
              <w:spacing w:line="300" w:lineRule="exact"/>
              <w:jc w:val="center"/>
              <w:rPr>
                <w:rFonts w:eastAsia="Arial Unicode MS"/>
                <w:sz w:val="18"/>
                <w:szCs w:val="18"/>
              </w:rPr>
            </w:pPr>
          </w:p>
        </w:tc>
        <w:tc>
          <w:tcPr>
            <w:tcW w:w="538" w:type="dxa"/>
            <w:vMerge w:val="continue"/>
            <w:tcBorders>
              <w:top w:val="single" w:color="000000" w:sz="4" w:space="0"/>
              <w:left w:val="single" w:color="auto" w:sz="4" w:space="0"/>
              <w:bottom w:val="single" w:color="auto" w:sz="4" w:space="0"/>
              <w:right w:val="single" w:color="auto" w:sz="4" w:space="0"/>
              <w:tl2br w:val="nil"/>
              <w:tr2bl w:val="nil"/>
            </w:tcBorders>
            <w:noWrap/>
            <w:vAlign w:val="center"/>
          </w:tcPr>
          <w:p>
            <w:pPr>
              <w:spacing w:line="300" w:lineRule="exact"/>
              <w:jc w:val="center"/>
              <w:rPr>
                <w:rFonts w:eastAsia="Arial Unicode MS"/>
                <w:sz w:val="18"/>
                <w:szCs w:val="18"/>
              </w:rPr>
            </w:pPr>
          </w:p>
        </w:tc>
        <w:tc>
          <w:tcPr>
            <w:tcW w:w="506" w:type="dxa"/>
            <w:vMerge w:val="continue"/>
            <w:tcBorders>
              <w:top w:val="single" w:color="000000" w:sz="4" w:space="0"/>
              <w:left w:val="single" w:color="auto" w:sz="4" w:space="0"/>
              <w:bottom w:val="single" w:color="auto" w:sz="4" w:space="0"/>
              <w:right w:val="single" w:color="auto" w:sz="4" w:space="0"/>
              <w:tl2br w:val="nil"/>
              <w:tr2bl w:val="nil"/>
            </w:tcBorders>
            <w:noWrap/>
            <w:vAlign w:val="center"/>
          </w:tcPr>
          <w:p>
            <w:pPr>
              <w:spacing w:line="300" w:lineRule="exact"/>
              <w:jc w:val="center"/>
              <w:rPr>
                <w:rFonts w:eastAsia="Arial Unicode MS"/>
                <w:sz w:val="18"/>
                <w:szCs w:val="18"/>
              </w:rPr>
            </w:pPr>
          </w:p>
        </w:tc>
        <w:tc>
          <w:tcPr>
            <w:tcW w:w="529" w:type="dxa"/>
            <w:vMerge w:val="continue"/>
            <w:tcBorders>
              <w:top w:val="single" w:color="000000" w:sz="4" w:space="0"/>
              <w:left w:val="single" w:color="auto" w:sz="4" w:space="0"/>
              <w:bottom w:val="single" w:color="auto" w:sz="4" w:space="0"/>
              <w:right w:val="single" w:color="auto" w:sz="4" w:space="0"/>
              <w:tl2br w:val="nil"/>
              <w:tr2bl w:val="nil"/>
            </w:tcBorders>
            <w:noWrap/>
            <w:vAlign w:val="center"/>
          </w:tcPr>
          <w:p>
            <w:pPr>
              <w:spacing w:line="300" w:lineRule="exact"/>
              <w:jc w:val="center"/>
              <w:rPr>
                <w:rFonts w:eastAsia="Arial Unicode MS"/>
                <w:sz w:val="18"/>
                <w:szCs w:val="18"/>
              </w:rPr>
            </w:pPr>
          </w:p>
        </w:tc>
        <w:tc>
          <w:tcPr>
            <w:tcW w:w="735" w:type="dxa"/>
            <w:tcBorders>
              <w:top w:val="single" w:color="000000"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到位时效</w:t>
            </w:r>
          </w:p>
        </w:tc>
        <w:tc>
          <w:tcPr>
            <w:tcW w:w="650" w:type="dxa"/>
            <w:tcBorders>
              <w:top w:val="single" w:color="000000" w:sz="4" w:space="0"/>
              <w:left w:val="single" w:color="auto" w:sz="4" w:space="0"/>
              <w:bottom w:val="single" w:color="000000"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eastAsia="Arial Unicode MS"/>
                <w:color w:val="000000"/>
                <w:sz w:val="18"/>
                <w:szCs w:val="18"/>
              </w:rPr>
              <w:t>2</w:t>
            </w:r>
          </w:p>
        </w:tc>
        <w:tc>
          <w:tcPr>
            <w:tcW w:w="2506" w:type="dxa"/>
            <w:tcBorders>
              <w:top w:val="single" w:color="000000" w:sz="4" w:space="0"/>
              <w:left w:val="single" w:color="auto" w:sz="4" w:space="0"/>
              <w:bottom w:val="single" w:color="000000"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pacing w:val="-4"/>
                <w:sz w:val="18"/>
                <w:szCs w:val="18"/>
              </w:rPr>
            </w:pPr>
            <w:r>
              <w:rPr>
                <w:rFonts w:hint="eastAsia" w:eastAsia="微软雅黑"/>
                <w:color w:val="000000"/>
                <w:sz w:val="18"/>
                <w:szCs w:val="18"/>
              </w:rPr>
              <w:t>资金是否及时到位</w:t>
            </w:r>
            <w:r>
              <w:rPr>
                <w:rFonts w:hint="eastAsia" w:eastAsia="Malgun Gothic Semilight"/>
                <w:color w:val="000000"/>
                <w:sz w:val="18"/>
                <w:szCs w:val="18"/>
              </w:rPr>
              <w:t>；</w:t>
            </w:r>
            <w:r>
              <w:rPr>
                <w:rFonts w:hint="eastAsia" w:eastAsia="微软雅黑"/>
                <w:color w:val="000000"/>
                <w:sz w:val="18"/>
                <w:szCs w:val="18"/>
              </w:rPr>
              <w:t>若未及时到位</w:t>
            </w:r>
            <w:r>
              <w:rPr>
                <w:rFonts w:hint="eastAsia" w:eastAsia="Malgun Gothic Semilight"/>
                <w:color w:val="000000"/>
                <w:sz w:val="18"/>
                <w:szCs w:val="18"/>
              </w:rPr>
              <w:t>，</w:t>
            </w:r>
            <w:r>
              <w:rPr>
                <w:rFonts w:hint="eastAsia" w:eastAsia="微软雅黑"/>
                <w:color w:val="000000"/>
                <w:sz w:val="18"/>
                <w:szCs w:val="18"/>
              </w:rPr>
              <w:t>是否影响项目进度</w:t>
            </w:r>
          </w:p>
        </w:tc>
        <w:tc>
          <w:tcPr>
            <w:tcW w:w="2220" w:type="dxa"/>
            <w:tcBorders>
              <w:top w:val="single" w:color="000000" w:sz="4" w:space="0"/>
              <w:left w:val="single" w:color="auto" w:sz="4" w:space="0"/>
              <w:bottom w:val="single" w:color="000000"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及时到位</w:t>
            </w:r>
            <w:r>
              <w:rPr>
                <w:rFonts w:hint="eastAsia" w:eastAsia="Malgun Gothic Semilight"/>
                <w:color w:val="000000"/>
                <w:sz w:val="18"/>
                <w:szCs w:val="18"/>
              </w:rPr>
              <w:t>（</w:t>
            </w:r>
            <w:r>
              <w:rPr>
                <w:rFonts w:eastAsia="Arial Unicode MS"/>
                <w:color w:val="000000"/>
                <w:sz w:val="18"/>
                <w:szCs w:val="18"/>
              </w:rPr>
              <w:t>2</w:t>
            </w:r>
            <w:r>
              <w:rPr>
                <w:rFonts w:hint="eastAsia" w:eastAsia="微软雅黑"/>
                <w:color w:val="000000"/>
                <w:sz w:val="18"/>
                <w:szCs w:val="18"/>
              </w:rPr>
              <w:t>分</w:t>
            </w:r>
            <w:r>
              <w:rPr>
                <w:rFonts w:hint="eastAsia" w:eastAsia="Malgun Gothic Semilight"/>
                <w:color w:val="000000"/>
                <w:sz w:val="18"/>
                <w:szCs w:val="18"/>
              </w:rPr>
              <w:t>），</w:t>
            </w:r>
            <w:r>
              <w:rPr>
                <w:rFonts w:hint="eastAsia" w:eastAsia="微软雅黑"/>
                <w:color w:val="000000"/>
                <w:sz w:val="18"/>
                <w:szCs w:val="18"/>
              </w:rPr>
              <w:t>未及时到位但未影响项目进度</w:t>
            </w:r>
            <w:r>
              <w:rPr>
                <w:rFonts w:hint="eastAsia" w:eastAsia="Malgun Gothic Semilight"/>
                <w:color w:val="000000"/>
                <w:sz w:val="18"/>
                <w:szCs w:val="18"/>
              </w:rPr>
              <w:t>（</w:t>
            </w:r>
            <w:r>
              <w:rPr>
                <w:rFonts w:eastAsia="Arial Unicode MS"/>
                <w:color w:val="000000"/>
                <w:sz w:val="18"/>
                <w:szCs w:val="18"/>
              </w:rPr>
              <w:t>1.5</w:t>
            </w:r>
            <w:r>
              <w:rPr>
                <w:rFonts w:hint="eastAsia" w:eastAsia="微软雅黑"/>
                <w:color w:val="000000"/>
                <w:sz w:val="18"/>
                <w:szCs w:val="18"/>
              </w:rPr>
              <w:t>分</w:t>
            </w:r>
            <w:r>
              <w:rPr>
                <w:rFonts w:hint="eastAsia" w:eastAsia="Malgun Gothic Semilight"/>
                <w:color w:val="000000"/>
                <w:sz w:val="18"/>
                <w:szCs w:val="18"/>
              </w:rPr>
              <w:t>），</w:t>
            </w:r>
            <w:r>
              <w:rPr>
                <w:rFonts w:hint="eastAsia" w:eastAsia="微软雅黑"/>
                <w:color w:val="000000"/>
                <w:sz w:val="18"/>
                <w:szCs w:val="18"/>
              </w:rPr>
              <w:t>未及时到位并影响项目进度</w:t>
            </w:r>
            <w:r>
              <w:rPr>
                <w:rFonts w:hint="eastAsia" w:eastAsia="Malgun Gothic Semilight"/>
                <w:color w:val="000000"/>
                <w:sz w:val="18"/>
                <w:szCs w:val="18"/>
              </w:rPr>
              <w:t>（</w:t>
            </w:r>
            <w:r>
              <w:rPr>
                <w:rFonts w:eastAsia="Arial Unicode MS"/>
                <w:color w:val="000000"/>
                <w:sz w:val="18"/>
                <w:szCs w:val="18"/>
              </w:rPr>
              <w:t>0-1</w:t>
            </w:r>
            <w:r>
              <w:rPr>
                <w:rFonts w:hint="eastAsia" w:eastAsia="微软雅黑"/>
                <w:color w:val="000000"/>
                <w:sz w:val="18"/>
                <w:szCs w:val="18"/>
              </w:rPr>
              <w:t>分</w:t>
            </w:r>
            <w:r>
              <w:rPr>
                <w:rFonts w:hint="eastAsia" w:eastAsia="Malgun Gothic Semilight"/>
                <w:color w:val="000000"/>
                <w:sz w:val="18"/>
                <w:szCs w:val="18"/>
              </w:rPr>
              <w:t>）。</w:t>
            </w:r>
          </w:p>
        </w:tc>
        <w:tc>
          <w:tcPr>
            <w:tcW w:w="714"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eastAsia="Arial Unicode MS"/>
                <w:color w:val="000000"/>
                <w:sz w:val="18"/>
                <w:szCs w:val="18"/>
              </w:rPr>
              <w:t>2</w:t>
            </w:r>
          </w:p>
        </w:tc>
      </w:tr>
      <w:tr>
        <w:tblPrEx>
          <w:tblCellMar>
            <w:top w:w="0" w:type="dxa"/>
            <w:left w:w="108" w:type="dxa"/>
            <w:bottom w:w="0" w:type="dxa"/>
            <w:right w:w="108" w:type="dxa"/>
          </w:tblCellMar>
        </w:tblPrEx>
        <w:trPr>
          <w:trHeight w:val="370" w:hRule="atLeast"/>
          <w:jc w:val="center"/>
        </w:trPr>
        <w:tc>
          <w:tcPr>
            <w:tcW w:w="61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300" w:lineRule="exact"/>
              <w:jc w:val="center"/>
              <w:rPr>
                <w:rFonts w:eastAsia="Arial Unicode MS"/>
                <w:color w:val="000000"/>
                <w:sz w:val="18"/>
                <w:szCs w:val="18"/>
              </w:rPr>
            </w:pPr>
          </w:p>
        </w:tc>
        <w:tc>
          <w:tcPr>
            <w:tcW w:w="538"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300" w:lineRule="exact"/>
              <w:jc w:val="center"/>
              <w:rPr>
                <w:rFonts w:eastAsia="Arial Unicode MS"/>
                <w:color w:val="000000"/>
                <w:sz w:val="18"/>
                <w:szCs w:val="18"/>
              </w:rPr>
            </w:pPr>
          </w:p>
        </w:tc>
        <w:tc>
          <w:tcPr>
            <w:tcW w:w="506"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资金管理</w:t>
            </w:r>
          </w:p>
        </w:tc>
        <w:tc>
          <w:tcPr>
            <w:tcW w:w="529"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eastAsia="Arial Unicode MS"/>
                <w:color w:val="000000"/>
                <w:sz w:val="18"/>
                <w:szCs w:val="18"/>
              </w:rPr>
              <w:t>10</w:t>
            </w:r>
          </w:p>
        </w:tc>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资金使用</w:t>
            </w:r>
          </w:p>
        </w:tc>
        <w:tc>
          <w:tcPr>
            <w:tcW w:w="650" w:type="dxa"/>
            <w:tcBorders>
              <w:top w:val="single" w:color="000000" w:sz="4" w:space="0"/>
              <w:left w:val="single" w:color="auto" w:sz="4" w:space="0"/>
              <w:bottom w:val="single" w:color="000000"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eastAsia="Arial Unicode MS"/>
                <w:color w:val="000000"/>
                <w:sz w:val="18"/>
                <w:szCs w:val="18"/>
              </w:rPr>
              <w:t>7</w:t>
            </w:r>
          </w:p>
        </w:tc>
        <w:tc>
          <w:tcPr>
            <w:tcW w:w="2506" w:type="dxa"/>
            <w:tcBorders>
              <w:top w:val="single" w:color="000000" w:sz="4" w:space="0"/>
              <w:left w:val="single" w:color="auto" w:sz="4" w:space="0"/>
              <w:bottom w:val="single" w:color="000000"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是否存在支出依据不合规</w:t>
            </w:r>
            <w:r>
              <w:rPr>
                <w:rFonts w:hint="eastAsia" w:eastAsia="Malgun Gothic Semilight"/>
                <w:color w:val="000000"/>
                <w:sz w:val="18"/>
                <w:szCs w:val="18"/>
              </w:rPr>
              <w:t>、</w:t>
            </w:r>
            <w:r>
              <w:rPr>
                <w:rFonts w:hint="eastAsia" w:eastAsia="微软雅黑"/>
                <w:color w:val="000000"/>
                <w:sz w:val="18"/>
                <w:szCs w:val="18"/>
              </w:rPr>
              <w:t>虚列项目支出的情况</w:t>
            </w:r>
            <w:r>
              <w:rPr>
                <w:rFonts w:hint="eastAsia" w:eastAsia="Malgun Gothic Semilight"/>
                <w:color w:val="000000"/>
                <w:sz w:val="18"/>
                <w:szCs w:val="18"/>
              </w:rPr>
              <w:t>；</w:t>
            </w:r>
            <w:r>
              <w:rPr>
                <w:rFonts w:hint="eastAsia" w:eastAsia="微软雅黑"/>
                <w:color w:val="000000"/>
                <w:sz w:val="18"/>
                <w:szCs w:val="18"/>
              </w:rPr>
              <w:t>是否存在截留</w:t>
            </w:r>
            <w:r>
              <w:rPr>
                <w:rFonts w:hint="eastAsia" w:eastAsia="Malgun Gothic Semilight"/>
                <w:color w:val="000000"/>
                <w:sz w:val="18"/>
                <w:szCs w:val="18"/>
              </w:rPr>
              <w:t>、</w:t>
            </w:r>
            <w:r>
              <w:rPr>
                <w:rFonts w:hint="eastAsia" w:eastAsia="微软雅黑"/>
                <w:color w:val="000000"/>
                <w:sz w:val="18"/>
                <w:szCs w:val="18"/>
              </w:rPr>
              <w:t>挤占</w:t>
            </w:r>
            <w:r>
              <w:rPr>
                <w:rFonts w:hint="eastAsia" w:eastAsia="Malgun Gothic Semilight"/>
                <w:color w:val="000000"/>
                <w:sz w:val="18"/>
                <w:szCs w:val="18"/>
              </w:rPr>
              <w:t>、</w:t>
            </w:r>
            <w:r>
              <w:rPr>
                <w:rFonts w:hint="eastAsia" w:eastAsia="微软雅黑"/>
                <w:color w:val="000000"/>
                <w:sz w:val="18"/>
                <w:szCs w:val="18"/>
              </w:rPr>
              <w:t>挪用项目资金情况</w:t>
            </w:r>
            <w:r>
              <w:rPr>
                <w:rFonts w:hint="eastAsia" w:eastAsia="Malgun Gothic Semilight"/>
                <w:color w:val="000000"/>
                <w:sz w:val="18"/>
                <w:szCs w:val="18"/>
              </w:rPr>
              <w:t>；</w:t>
            </w:r>
            <w:r>
              <w:rPr>
                <w:rFonts w:hint="eastAsia" w:eastAsia="微软雅黑"/>
                <w:color w:val="000000"/>
                <w:sz w:val="18"/>
                <w:szCs w:val="18"/>
              </w:rPr>
              <w:t>是否存在超标准开支情况</w:t>
            </w:r>
          </w:p>
        </w:tc>
        <w:tc>
          <w:tcPr>
            <w:tcW w:w="2220" w:type="dxa"/>
            <w:tcBorders>
              <w:top w:val="single" w:color="000000" w:sz="4" w:space="0"/>
              <w:left w:val="single" w:color="auto" w:sz="4" w:space="0"/>
              <w:bottom w:val="single" w:color="000000"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虚列</w:t>
            </w:r>
            <w:r>
              <w:rPr>
                <w:rFonts w:hint="eastAsia" w:eastAsia="Malgun Gothic Semilight"/>
                <w:color w:val="000000"/>
                <w:sz w:val="18"/>
                <w:szCs w:val="18"/>
              </w:rPr>
              <w:t>（</w:t>
            </w:r>
            <w:r>
              <w:rPr>
                <w:rFonts w:hint="eastAsia" w:eastAsia="微软雅黑"/>
                <w:color w:val="000000"/>
                <w:sz w:val="18"/>
                <w:szCs w:val="18"/>
              </w:rPr>
              <w:t>套取</w:t>
            </w:r>
            <w:r>
              <w:rPr>
                <w:rFonts w:hint="eastAsia" w:eastAsia="Malgun Gothic Semilight"/>
                <w:color w:val="000000"/>
                <w:sz w:val="18"/>
                <w:szCs w:val="18"/>
              </w:rPr>
              <w:t>）</w:t>
            </w:r>
            <w:r>
              <w:rPr>
                <w:rFonts w:hint="eastAsia" w:eastAsia="微软雅黑"/>
                <w:color w:val="000000"/>
                <w:sz w:val="18"/>
                <w:szCs w:val="18"/>
              </w:rPr>
              <w:t>扣</w:t>
            </w:r>
            <w:r>
              <w:rPr>
                <w:rFonts w:eastAsia="Arial Unicode MS"/>
                <w:color w:val="000000"/>
                <w:sz w:val="18"/>
                <w:szCs w:val="18"/>
              </w:rPr>
              <w:t>4-7</w:t>
            </w:r>
            <w:r>
              <w:rPr>
                <w:rFonts w:hint="eastAsia" w:eastAsia="微软雅黑"/>
                <w:color w:val="000000"/>
                <w:sz w:val="18"/>
                <w:szCs w:val="18"/>
              </w:rPr>
              <w:t>分</w:t>
            </w:r>
            <w:r>
              <w:rPr>
                <w:rFonts w:hint="eastAsia" w:eastAsia="Malgun Gothic Semilight"/>
                <w:color w:val="000000"/>
                <w:sz w:val="18"/>
                <w:szCs w:val="18"/>
              </w:rPr>
              <w:t>，</w:t>
            </w:r>
            <w:r>
              <w:rPr>
                <w:rFonts w:hint="eastAsia" w:eastAsia="微软雅黑"/>
                <w:color w:val="000000"/>
                <w:sz w:val="18"/>
                <w:szCs w:val="18"/>
              </w:rPr>
              <w:t>支出依据不合规扣</w:t>
            </w:r>
            <w:r>
              <w:rPr>
                <w:rFonts w:eastAsia="Arial Unicode MS"/>
                <w:color w:val="000000"/>
                <w:sz w:val="18"/>
                <w:szCs w:val="18"/>
              </w:rPr>
              <w:t>1</w:t>
            </w:r>
            <w:r>
              <w:rPr>
                <w:rFonts w:hint="eastAsia" w:eastAsia="微软雅黑"/>
                <w:color w:val="000000"/>
                <w:sz w:val="18"/>
                <w:szCs w:val="18"/>
              </w:rPr>
              <w:t>分</w:t>
            </w:r>
            <w:r>
              <w:rPr>
                <w:rFonts w:hint="eastAsia" w:eastAsia="Malgun Gothic Semilight"/>
                <w:color w:val="000000"/>
                <w:sz w:val="18"/>
                <w:szCs w:val="18"/>
              </w:rPr>
              <w:t>，</w:t>
            </w:r>
            <w:r>
              <w:rPr>
                <w:rFonts w:hint="eastAsia" w:eastAsia="微软雅黑"/>
                <w:color w:val="000000"/>
                <w:sz w:val="18"/>
                <w:szCs w:val="18"/>
              </w:rPr>
              <w:t>截留</w:t>
            </w:r>
            <w:r>
              <w:rPr>
                <w:rFonts w:hint="eastAsia" w:eastAsia="Malgun Gothic Semilight"/>
                <w:color w:val="000000"/>
                <w:sz w:val="18"/>
                <w:szCs w:val="18"/>
              </w:rPr>
              <w:t>、</w:t>
            </w:r>
            <w:r>
              <w:rPr>
                <w:rFonts w:hint="eastAsia" w:eastAsia="微软雅黑"/>
                <w:color w:val="000000"/>
                <w:sz w:val="18"/>
                <w:szCs w:val="18"/>
              </w:rPr>
              <w:t>挤占</w:t>
            </w:r>
            <w:r>
              <w:rPr>
                <w:rFonts w:hint="eastAsia" w:eastAsia="Malgun Gothic Semilight"/>
                <w:color w:val="000000"/>
                <w:sz w:val="18"/>
                <w:szCs w:val="18"/>
              </w:rPr>
              <w:t>、</w:t>
            </w:r>
            <w:r>
              <w:rPr>
                <w:rFonts w:hint="eastAsia" w:eastAsia="微软雅黑"/>
                <w:color w:val="000000"/>
                <w:sz w:val="18"/>
                <w:szCs w:val="18"/>
              </w:rPr>
              <w:t>挪用扣</w:t>
            </w:r>
            <w:r>
              <w:rPr>
                <w:rFonts w:eastAsia="Arial Unicode MS"/>
                <w:color w:val="000000"/>
                <w:sz w:val="18"/>
                <w:szCs w:val="18"/>
              </w:rPr>
              <w:t>3-6</w:t>
            </w:r>
            <w:r>
              <w:rPr>
                <w:rFonts w:hint="eastAsia" w:eastAsia="微软雅黑"/>
                <w:color w:val="000000"/>
                <w:sz w:val="18"/>
                <w:szCs w:val="18"/>
              </w:rPr>
              <w:t>分</w:t>
            </w:r>
            <w:r>
              <w:rPr>
                <w:rFonts w:hint="eastAsia" w:eastAsia="Malgun Gothic Semilight"/>
                <w:color w:val="000000"/>
                <w:sz w:val="18"/>
                <w:szCs w:val="18"/>
              </w:rPr>
              <w:t>，</w:t>
            </w:r>
            <w:r>
              <w:rPr>
                <w:rFonts w:hint="eastAsia" w:eastAsia="微软雅黑"/>
                <w:color w:val="000000"/>
                <w:sz w:val="18"/>
                <w:szCs w:val="18"/>
              </w:rPr>
              <w:t>超标准开支扣</w:t>
            </w:r>
            <w:r>
              <w:rPr>
                <w:rFonts w:eastAsia="Arial Unicode MS"/>
                <w:color w:val="000000"/>
                <w:sz w:val="18"/>
                <w:szCs w:val="18"/>
              </w:rPr>
              <w:t>2-5</w:t>
            </w:r>
            <w:r>
              <w:rPr>
                <w:rFonts w:hint="eastAsia" w:eastAsia="微软雅黑"/>
                <w:color w:val="000000"/>
                <w:sz w:val="18"/>
                <w:szCs w:val="18"/>
              </w:rPr>
              <w:t>分</w:t>
            </w:r>
          </w:p>
        </w:tc>
        <w:tc>
          <w:tcPr>
            <w:tcW w:w="714"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eastAsia="Arial Unicode MS"/>
                <w:color w:val="000000"/>
                <w:sz w:val="18"/>
                <w:szCs w:val="18"/>
              </w:rPr>
              <w:t>7</w:t>
            </w:r>
          </w:p>
        </w:tc>
      </w:tr>
      <w:tr>
        <w:tblPrEx>
          <w:tblCellMar>
            <w:top w:w="0" w:type="dxa"/>
            <w:left w:w="108" w:type="dxa"/>
            <w:bottom w:w="0" w:type="dxa"/>
            <w:right w:w="108" w:type="dxa"/>
          </w:tblCellMar>
        </w:tblPrEx>
        <w:trPr>
          <w:trHeight w:val="644" w:hRule="atLeast"/>
          <w:jc w:val="center"/>
        </w:trPr>
        <w:tc>
          <w:tcPr>
            <w:tcW w:w="61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300" w:lineRule="exact"/>
              <w:jc w:val="center"/>
              <w:rPr>
                <w:rFonts w:eastAsia="Arial Unicode MS"/>
                <w:sz w:val="18"/>
                <w:szCs w:val="18"/>
              </w:rPr>
            </w:pPr>
          </w:p>
        </w:tc>
        <w:tc>
          <w:tcPr>
            <w:tcW w:w="538"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300" w:lineRule="exact"/>
              <w:jc w:val="center"/>
              <w:rPr>
                <w:rFonts w:eastAsia="Arial Unicode MS"/>
                <w:sz w:val="18"/>
                <w:szCs w:val="18"/>
              </w:rPr>
            </w:pPr>
          </w:p>
        </w:tc>
        <w:tc>
          <w:tcPr>
            <w:tcW w:w="506"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300" w:lineRule="exact"/>
              <w:jc w:val="center"/>
              <w:rPr>
                <w:rFonts w:eastAsia="Arial Unicode MS"/>
                <w:sz w:val="18"/>
                <w:szCs w:val="18"/>
              </w:rPr>
            </w:pPr>
          </w:p>
        </w:tc>
        <w:tc>
          <w:tcPr>
            <w:tcW w:w="529"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300" w:lineRule="exact"/>
              <w:jc w:val="center"/>
              <w:rPr>
                <w:rFonts w:eastAsia="Arial Unicode MS"/>
                <w:sz w:val="18"/>
                <w:szCs w:val="18"/>
              </w:rPr>
            </w:pPr>
          </w:p>
        </w:tc>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财务管理</w:t>
            </w:r>
          </w:p>
        </w:tc>
        <w:tc>
          <w:tcPr>
            <w:tcW w:w="650" w:type="dxa"/>
            <w:tcBorders>
              <w:top w:val="single" w:color="000000"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eastAsia="Arial Unicode MS"/>
                <w:color w:val="000000"/>
                <w:sz w:val="18"/>
                <w:szCs w:val="18"/>
              </w:rPr>
              <w:t>3</w:t>
            </w:r>
          </w:p>
        </w:tc>
        <w:tc>
          <w:tcPr>
            <w:tcW w:w="2506" w:type="dxa"/>
            <w:tcBorders>
              <w:top w:val="single" w:color="000000" w:sz="4" w:space="0"/>
              <w:left w:val="single" w:color="auto" w:sz="4" w:space="0"/>
              <w:bottom w:val="single" w:color="000000"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资金管理</w:t>
            </w:r>
            <w:r>
              <w:rPr>
                <w:rFonts w:hint="eastAsia" w:eastAsia="Malgun Gothic Semilight"/>
                <w:color w:val="000000"/>
                <w:sz w:val="18"/>
                <w:szCs w:val="18"/>
              </w:rPr>
              <w:t>、</w:t>
            </w:r>
            <w:r>
              <w:rPr>
                <w:rFonts w:hint="eastAsia" w:eastAsia="微软雅黑"/>
                <w:color w:val="000000"/>
                <w:sz w:val="18"/>
                <w:szCs w:val="18"/>
              </w:rPr>
              <w:t>费用支出等制度是否健全</w:t>
            </w:r>
            <w:r>
              <w:rPr>
                <w:rFonts w:hint="eastAsia" w:eastAsia="Malgun Gothic Semilight"/>
                <w:color w:val="000000"/>
                <w:sz w:val="18"/>
                <w:szCs w:val="18"/>
              </w:rPr>
              <w:t>，</w:t>
            </w:r>
            <w:r>
              <w:rPr>
                <w:rFonts w:hint="eastAsia" w:eastAsia="微软雅黑"/>
                <w:color w:val="000000"/>
                <w:sz w:val="18"/>
                <w:szCs w:val="18"/>
              </w:rPr>
              <w:t>是否严格执行</w:t>
            </w:r>
            <w:r>
              <w:rPr>
                <w:rFonts w:hint="eastAsia" w:eastAsia="Malgun Gothic Semilight"/>
                <w:color w:val="000000"/>
                <w:sz w:val="18"/>
                <w:szCs w:val="18"/>
              </w:rPr>
              <w:t>；</w:t>
            </w:r>
            <w:r>
              <w:rPr>
                <w:rFonts w:hint="eastAsia" w:eastAsia="微软雅黑"/>
                <w:color w:val="000000"/>
                <w:sz w:val="18"/>
                <w:szCs w:val="18"/>
              </w:rPr>
              <w:t>会计核算是否规范</w:t>
            </w:r>
          </w:p>
        </w:tc>
        <w:tc>
          <w:tcPr>
            <w:tcW w:w="2220" w:type="dxa"/>
            <w:tcBorders>
              <w:top w:val="single" w:color="000000"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财务制度健全</w:t>
            </w:r>
            <w:r>
              <w:rPr>
                <w:rFonts w:hint="eastAsia" w:eastAsia="Malgun Gothic Semilight"/>
                <w:color w:val="000000"/>
                <w:sz w:val="18"/>
                <w:szCs w:val="18"/>
              </w:rPr>
              <w:t>（</w:t>
            </w:r>
            <w:r>
              <w:rPr>
                <w:rFonts w:eastAsia="Arial Unicode MS"/>
                <w:color w:val="000000"/>
                <w:sz w:val="18"/>
                <w:szCs w:val="18"/>
              </w:rPr>
              <w:t>1</w:t>
            </w:r>
            <w:r>
              <w:rPr>
                <w:rFonts w:hint="eastAsia" w:eastAsia="微软雅黑"/>
                <w:color w:val="000000"/>
                <w:sz w:val="18"/>
                <w:szCs w:val="18"/>
              </w:rPr>
              <w:t>分</w:t>
            </w:r>
            <w:r>
              <w:rPr>
                <w:rFonts w:hint="eastAsia" w:eastAsia="Malgun Gothic Semilight"/>
                <w:color w:val="000000"/>
                <w:sz w:val="18"/>
                <w:szCs w:val="18"/>
              </w:rPr>
              <w:t>），</w:t>
            </w:r>
            <w:r>
              <w:rPr>
                <w:rFonts w:hint="eastAsia" w:eastAsia="微软雅黑"/>
                <w:color w:val="000000"/>
                <w:sz w:val="18"/>
                <w:szCs w:val="18"/>
              </w:rPr>
              <w:t>严格执行制度</w:t>
            </w:r>
            <w:r>
              <w:rPr>
                <w:rFonts w:hint="eastAsia" w:eastAsia="Malgun Gothic Semilight"/>
                <w:color w:val="000000"/>
                <w:sz w:val="18"/>
                <w:szCs w:val="18"/>
              </w:rPr>
              <w:t>（</w:t>
            </w:r>
            <w:r>
              <w:rPr>
                <w:rFonts w:eastAsia="Arial Unicode MS"/>
                <w:color w:val="000000"/>
                <w:sz w:val="18"/>
                <w:szCs w:val="18"/>
              </w:rPr>
              <w:t>1</w:t>
            </w:r>
            <w:r>
              <w:rPr>
                <w:rFonts w:hint="eastAsia" w:eastAsia="微软雅黑"/>
                <w:color w:val="000000"/>
                <w:sz w:val="18"/>
                <w:szCs w:val="18"/>
              </w:rPr>
              <w:t>分</w:t>
            </w:r>
            <w:r>
              <w:rPr>
                <w:rFonts w:hint="eastAsia" w:eastAsia="Malgun Gothic Semilight"/>
                <w:color w:val="000000"/>
                <w:sz w:val="18"/>
                <w:szCs w:val="18"/>
              </w:rPr>
              <w:t>），</w:t>
            </w:r>
            <w:r>
              <w:rPr>
                <w:rFonts w:hint="eastAsia" w:eastAsia="微软雅黑"/>
                <w:color w:val="000000"/>
                <w:sz w:val="18"/>
                <w:szCs w:val="18"/>
              </w:rPr>
              <w:t>会计核算规范</w:t>
            </w:r>
            <w:r>
              <w:rPr>
                <w:rFonts w:hint="eastAsia" w:eastAsia="Malgun Gothic Semilight"/>
                <w:color w:val="000000"/>
                <w:sz w:val="18"/>
                <w:szCs w:val="18"/>
              </w:rPr>
              <w:t>（</w:t>
            </w:r>
            <w:r>
              <w:rPr>
                <w:rFonts w:eastAsia="Arial Unicode MS"/>
                <w:color w:val="000000"/>
                <w:sz w:val="18"/>
                <w:szCs w:val="18"/>
              </w:rPr>
              <w:t>1</w:t>
            </w:r>
            <w:r>
              <w:rPr>
                <w:rFonts w:hint="eastAsia" w:eastAsia="微软雅黑"/>
                <w:color w:val="000000"/>
                <w:sz w:val="18"/>
                <w:szCs w:val="18"/>
              </w:rPr>
              <w:t>分</w:t>
            </w:r>
            <w:r>
              <w:rPr>
                <w:rFonts w:hint="eastAsia" w:eastAsia="Malgun Gothic Semilight"/>
                <w:color w:val="000000"/>
                <w:sz w:val="18"/>
                <w:szCs w:val="18"/>
              </w:rPr>
              <w:t>）。</w:t>
            </w:r>
          </w:p>
        </w:tc>
        <w:tc>
          <w:tcPr>
            <w:tcW w:w="714"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eastAsia="Arial Unicode MS"/>
                <w:color w:val="000000"/>
                <w:sz w:val="18"/>
                <w:szCs w:val="18"/>
              </w:rPr>
              <w:t>2</w:t>
            </w:r>
          </w:p>
        </w:tc>
      </w:tr>
      <w:tr>
        <w:tblPrEx>
          <w:tblCellMar>
            <w:top w:w="0" w:type="dxa"/>
            <w:left w:w="108" w:type="dxa"/>
            <w:bottom w:w="0" w:type="dxa"/>
            <w:right w:w="108" w:type="dxa"/>
          </w:tblCellMar>
        </w:tblPrEx>
        <w:trPr>
          <w:trHeight w:val="376" w:hRule="atLeast"/>
          <w:jc w:val="center"/>
        </w:trPr>
        <w:tc>
          <w:tcPr>
            <w:tcW w:w="61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300" w:lineRule="exact"/>
              <w:jc w:val="center"/>
              <w:rPr>
                <w:rFonts w:eastAsia="Arial Unicode MS"/>
                <w:sz w:val="18"/>
                <w:szCs w:val="18"/>
              </w:rPr>
            </w:pPr>
          </w:p>
        </w:tc>
        <w:tc>
          <w:tcPr>
            <w:tcW w:w="538"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300" w:lineRule="exact"/>
              <w:jc w:val="center"/>
              <w:rPr>
                <w:rFonts w:eastAsia="Arial Unicode MS"/>
                <w:sz w:val="18"/>
                <w:szCs w:val="18"/>
              </w:rPr>
            </w:pPr>
          </w:p>
        </w:tc>
        <w:tc>
          <w:tcPr>
            <w:tcW w:w="506"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组织实施</w:t>
            </w:r>
          </w:p>
        </w:tc>
        <w:tc>
          <w:tcPr>
            <w:tcW w:w="529"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eastAsia="Arial Unicode MS"/>
                <w:color w:val="000000"/>
                <w:sz w:val="18"/>
                <w:szCs w:val="18"/>
              </w:rPr>
              <w:t>10</w:t>
            </w:r>
          </w:p>
        </w:tc>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组织机构</w:t>
            </w:r>
          </w:p>
        </w:tc>
        <w:tc>
          <w:tcPr>
            <w:tcW w:w="650"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eastAsia="Arial Unicode MS"/>
                <w:color w:val="000000"/>
                <w:sz w:val="18"/>
                <w:szCs w:val="18"/>
              </w:rPr>
              <w:t>1</w:t>
            </w:r>
          </w:p>
        </w:tc>
        <w:tc>
          <w:tcPr>
            <w:tcW w:w="2506" w:type="dxa"/>
            <w:tcBorders>
              <w:top w:val="single" w:color="000000"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机构是否健全</w:t>
            </w:r>
            <w:r>
              <w:rPr>
                <w:rFonts w:hint="eastAsia" w:eastAsia="Malgun Gothic Semilight"/>
                <w:color w:val="000000"/>
                <w:sz w:val="18"/>
                <w:szCs w:val="18"/>
              </w:rPr>
              <w:t>、</w:t>
            </w:r>
            <w:r>
              <w:rPr>
                <w:rFonts w:hint="eastAsia" w:eastAsia="微软雅黑"/>
                <w:color w:val="000000"/>
                <w:sz w:val="18"/>
                <w:szCs w:val="18"/>
              </w:rPr>
              <w:t>分工是否明确</w:t>
            </w:r>
          </w:p>
        </w:tc>
        <w:tc>
          <w:tcPr>
            <w:tcW w:w="2220" w:type="dxa"/>
            <w:tcBorders>
              <w:top w:val="single" w:color="000000" w:sz="4" w:space="0"/>
              <w:left w:val="single" w:color="auto" w:sz="4" w:space="0"/>
              <w:bottom w:val="single" w:color="000000"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机构健全</w:t>
            </w:r>
            <w:r>
              <w:rPr>
                <w:rFonts w:hint="eastAsia" w:eastAsia="Malgun Gothic Semilight"/>
                <w:color w:val="000000"/>
                <w:sz w:val="18"/>
                <w:szCs w:val="18"/>
              </w:rPr>
              <w:t>、</w:t>
            </w:r>
            <w:r>
              <w:rPr>
                <w:rFonts w:hint="eastAsia" w:eastAsia="微软雅黑"/>
                <w:color w:val="000000"/>
                <w:sz w:val="18"/>
                <w:szCs w:val="18"/>
              </w:rPr>
              <w:t>分工明确</w:t>
            </w:r>
            <w:r>
              <w:rPr>
                <w:rFonts w:hint="eastAsia" w:eastAsia="Malgun Gothic Semilight"/>
                <w:color w:val="000000"/>
                <w:sz w:val="18"/>
                <w:szCs w:val="18"/>
              </w:rPr>
              <w:t>（</w:t>
            </w:r>
            <w:r>
              <w:rPr>
                <w:rFonts w:eastAsia="Arial Unicode MS"/>
                <w:color w:val="000000"/>
                <w:sz w:val="18"/>
                <w:szCs w:val="18"/>
              </w:rPr>
              <w:t>1</w:t>
            </w:r>
            <w:r>
              <w:rPr>
                <w:rFonts w:hint="eastAsia" w:eastAsia="微软雅黑"/>
                <w:color w:val="000000"/>
                <w:sz w:val="18"/>
                <w:szCs w:val="18"/>
              </w:rPr>
              <w:t>分</w:t>
            </w:r>
            <w:r>
              <w:rPr>
                <w:rFonts w:hint="eastAsia" w:eastAsia="Malgun Gothic Semilight"/>
                <w:color w:val="000000"/>
                <w:sz w:val="18"/>
                <w:szCs w:val="18"/>
              </w:rPr>
              <w:t>）</w:t>
            </w:r>
          </w:p>
        </w:tc>
        <w:tc>
          <w:tcPr>
            <w:tcW w:w="714"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eastAsia="Arial Unicode MS"/>
                <w:color w:val="000000"/>
                <w:sz w:val="18"/>
                <w:szCs w:val="18"/>
              </w:rPr>
              <w:t>1</w:t>
            </w:r>
          </w:p>
        </w:tc>
      </w:tr>
      <w:tr>
        <w:tblPrEx>
          <w:tblCellMar>
            <w:top w:w="0" w:type="dxa"/>
            <w:left w:w="108" w:type="dxa"/>
            <w:bottom w:w="0" w:type="dxa"/>
            <w:right w:w="108" w:type="dxa"/>
          </w:tblCellMar>
        </w:tblPrEx>
        <w:trPr>
          <w:trHeight w:val="585" w:hRule="atLeast"/>
          <w:jc w:val="center"/>
        </w:trPr>
        <w:tc>
          <w:tcPr>
            <w:tcW w:w="61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300" w:lineRule="exact"/>
              <w:jc w:val="center"/>
              <w:rPr>
                <w:rFonts w:eastAsia="Arial Unicode MS"/>
                <w:sz w:val="18"/>
                <w:szCs w:val="18"/>
              </w:rPr>
            </w:pPr>
          </w:p>
        </w:tc>
        <w:tc>
          <w:tcPr>
            <w:tcW w:w="538"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300" w:lineRule="exact"/>
              <w:jc w:val="center"/>
              <w:rPr>
                <w:rFonts w:eastAsia="Arial Unicode MS"/>
                <w:sz w:val="18"/>
                <w:szCs w:val="18"/>
              </w:rPr>
            </w:pPr>
          </w:p>
        </w:tc>
        <w:tc>
          <w:tcPr>
            <w:tcW w:w="506"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300" w:lineRule="exact"/>
              <w:jc w:val="center"/>
              <w:rPr>
                <w:rFonts w:eastAsia="Arial Unicode MS"/>
                <w:sz w:val="18"/>
                <w:szCs w:val="18"/>
              </w:rPr>
            </w:pPr>
          </w:p>
        </w:tc>
        <w:tc>
          <w:tcPr>
            <w:tcW w:w="529"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300" w:lineRule="exact"/>
              <w:jc w:val="center"/>
              <w:rPr>
                <w:rFonts w:eastAsia="Arial Unicode MS"/>
                <w:sz w:val="18"/>
                <w:szCs w:val="18"/>
              </w:rPr>
            </w:pPr>
          </w:p>
        </w:tc>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管理制度</w:t>
            </w:r>
          </w:p>
        </w:tc>
        <w:tc>
          <w:tcPr>
            <w:tcW w:w="650"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eastAsia="Arial Unicode MS"/>
                <w:color w:val="000000"/>
                <w:sz w:val="18"/>
                <w:szCs w:val="18"/>
              </w:rPr>
              <w:t>9</w:t>
            </w:r>
          </w:p>
        </w:tc>
        <w:tc>
          <w:tcPr>
            <w:tcW w:w="2506"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是否建立健全项目管理制度</w:t>
            </w:r>
            <w:r>
              <w:rPr>
                <w:rFonts w:hint="eastAsia" w:eastAsia="Malgun Gothic Semilight"/>
                <w:color w:val="000000"/>
                <w:sz w:val="18"/>
                <w:szCs w:val="18"/>
              </w:rPr>
              <w:t>；</w:t>
            </w:r>
            <w:r>
              <w:rPr>
                <w:rFonts w:hint="eastAsia" w:eastAsia="微软雅黑"/>
                <w:color w:val="000000"/>
                <w:sz w:val="18"/>
                <w:szCs w:val="18"/>
              </w:rPr>
              <w:t>是否严格执行相关项目管理制度</w:t>
            </w:r>
          </w:p>
        </w:tc>
        <w:tc>
          <w:tcPr>
            <w:tcW w:w="2220" w:type="dxa"/>
            <w:tcBorders>
              <w:top w:val="single" w:color="000000" w:sz="4" w:space="0"/>
              <w:left w:val="single" w:color="auto" w:sz="4" w:space="0"/>
              <w:bottom w:val="single" w:color="000000"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建立健全项目管理制度</w:t>
            </w:r>
            <w:r>
              <w:rPr>
                <w:rFonts w:hint="eastAsia" w:eastAsia="Malgun Gothic Semilight"/>
                <w:color w:val="000000"/>
                <w:sz w:val="18"/>
                <w:szCs w:val="18"/>
              </w:rPr>
              <w:t>（</w:t>
            </w:r>
            <w:r>
              <w:rPr>
                <w:rFonts w:eastAsia="Arial Unicode MS"/>
                <w:color w:val="000000"/>
                <w:sz w:val="18"/>
                <w:szCs w:val="18"/>
              </w:rPr>
              <w:t>2</w:t>
            </w:r>
            <w:r>
              <w:rPr>
                <w:rFonts w:hint="eastAsia" w:eastAsia="微软雅黑"/>
                <w:color w:val="000000"/>
                <w:sz w:val="18"/>
                <w:szCs w:val="18"/>
              </w:rPr>
              <w:t>分</w:t>
            </w:r>
            <w:r>
              <w:rPr>
                <w:rFonts w:hint="eastAsia" w:eastAsia="Malgun Gothic Semilight"/>
                <w:color w:val="000000"/>
                <w:sz w:val="18"/>
                <w:szCs w:val="18"/>
              </w:rPr>
              <w:t>）；</w:t>
            </w:r>
            <w:r>
              <w:rPr>
                <w:rFonts w:hint="eastAsia" w:eastAsia="微软雅黑"/>
                <w:color w:val="000000"/>
                <w:sz w:val="18"/>
                <w:szCs w:val="18"/>
              </w:rPr>
              <w:t>严格执行相关项目管理制度</w:t>
            </w:r>
            <w:r>
              <w:rPr>
                <w:rFonts w:hint="eastAsia" w:eastAsia="Malgun Gothic Semilight"/>
                <w:color w:val="000000"/>
                <w:sz w:val="18"/>
                <w:szCs w:val="18"/>
              </w:rPr>
              <w:t>（</w:t>
            </w:r>
            <w:r>
              <w:rPr>
                <w:rFonts w:eastAsia="Arial Unicode MS"/>
                <w:color w:val="000000"/>
                <w:sz w:val="18"/>
                <w:szCs w:val="18"/>
              </w:rPr>
              <w:t>7</w:t>
            </w:r>
            <w:r>
              <w:rPr>
                <w:rFonts w:hint="eastAsia" w:eastAsia="微软雅黑"/>
                <w:color w:val="000000"/>
                <w:sz w:val="18"/>
                <w:szCs w:val="18"/>
              </w:rPr>
              <w:t>分</w:t>
            </w:r>
            <w:r>
              <w:rPr>
                <w:rFonts w:hint="eastAsia" w:eastAsia="Malgun Gothic Semilight"/>
                <w:color w:val="000000"/>
                <w:sz w:val="18"/>
                <w:szCs w:val="18"/>
              </w:rPr>
              <w:t>）</w:t>
            </w:r>
          </w:p>
        </w:tc>
        <w:tc>
          <w:tcPr>
            <w:tcW w:w="714"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eastAsia="Arial Unicode MS"/>
                <w:color w:val="000000"/>
                <w:sz w:val="18"/>
                <w:szCs w:val="18"/>
              </w:rPr>
              <w:t>8</w:t>
            </w:r>
          </w:p>
        </w:tc>
      </w:tr>
      <w:tr>
        <w:tblPrEx>
          <w:tblCellMar>
            <w:top w:w="0" w:type="dxa"/>
            <w:left w:w="108" w:type="dxa"/>
            <w:bottom w:w="0" w:type="dxa"/>
            <w:right w:w="108" w:type="dxa"/>
          </w:tblCellMar>
        </w:tblPrEx>
        <w:trPr>
          <w:trHeight w:val="313" w:hRule="atLeast"/>
          <w:jc w:val="center"/>
        </w:trPr>
        <w:tc>
          <w:tcPr>
            <w:tcW w:w="61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sz w:val="18"/>
                <w:szCs w:val="18"/>
              </w:rPr>
            </w:pPr>
            <w:r>
              <w:rPr>
                <w:rFonts w:hint="eastAsia" w:eastAsia="微软雅黑"/>
                <w:color w:val="000000"/>
                <w:sz w:val="18"/>
                <w:szCs w:val="18"/>
              </w:rPr>
              <w:t>项目绩效</w:t>
            </w:r>
          </w:p>
        </w:tc>
        <w:tc>
          <w:tcPr>
            <w:tcW w:w="538"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sz w:val="18"/>
                <w:szCs w:val="18"/>
              </w:rPr>
            </w:pPr>
            <w:r>
              <w:rPr>
                <w:rFonts w:eastAsia="Arial Unicode MS"/>
                <w:color w:val="000000"/>
                <w:sz w:val="18"/>
                <w:szCs w:val="18"/>
              </w:rPr>
              <w:t>55</w:t>
            </w:r>
          </w:p>
        </w:tc>
        <w:tc>
          <w:tcPr>
            <w:tcW w:w="506"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项目产出</w:t>
            </w:r>
          </w:p>
        </w:tc>
        <w:tc>
          <w:tcPr>
            <w:tcW w:w="529"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eastAsia="Arial Unicode MS"/>
                <w:color w:val="000000"/>
                <w:sz w:val="18"/>
                <w:szCs w:val="18"/>
              </w:rPr>
              <w:t>15</w:t>
            </w:r>
          </w:p>
        </w:tc>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产出数量</w:t>
            </w:r>
          </w:p>
        </w:tc>
        <w:tc>
          <w:tcPr>
            <w:tcW w:w="650"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eastAsia="Arial Unicode MS"/>
                <w:color w:val="000000"/>
                <w:sz w:val="18"/>
                <w:szCs w:val="18"/>
              </w:rPr>
              <w:t>5</w:t>
            </w:r>
          </w:p>
        </w:tc>
        <w:tc>
          <w:tcPr>
            <w:tcW w:w="2506" w:type="dxa"/>
            <w:tcBorders>
              <w:top w:val="single" w:color="auto" w:sz="4" w:space="0"/>
              <w:left w:val="single" w:color="auto" w:sz="4" w:space="0"/>
              <w:bottom w:val="single" w:color="000000"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项目产出数量是否达到绩效目标</w:t>
            </w:r>
          </w:p>
        </w:tc>
        <w:tc>
          <w:tcPr>
            <w:tcW w:w="2220" w:type="dxa"/>
            <w:tcBorders>
              <w:top w:val="single" w:color="000000"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对照年初或调整后的绩效目标评价产出数量</w:t>
            </w:r>
            <w:r>
              <w:rPr>
                <w:rFonts w:hint="eastAsia" w:eastAsia="Malgun Gothic Semilight"/>
                <w:color w:val="000000"/>
                <w:sz w:val="18"/>
                <w:szCs w:val="18"/>
              </w:rPr>
              <w:t>（</w:t>
            </w:r>
            <w:r>
              <w:rPr>
                <w:rFonts w:hint="eastAsia" w:eastAsia="微软雅黑"/>
                <w:color w:val="000000"/>
                <w:sz w:val="18"/>
                <w:szCs w:val="18"/>
              </w:rPr>
              <w:t>按优</w:t>
            </w:r>
            <w:r>
              <w:rPr>
                <w:rFonts w:eastAsia="Arial Unicode MS"/>
                <w:color w:val="000000"/>
                <w:sz w:val="18"/>
                <w:szCs w:val="18"/>
              </w:rPr>
              <w:t>5</w:t>
            </w:r>
            <w:r>
              <w:rPr>
                <w:rFonts w:hint="eastAsia" w:eastAsia="微软雅黑"/>
                <w:color w:val="000000"/>
                <w:sz w:val="18"/>
                <w:szCs w:val="18"/>
              </w:rPr>
              <w:t>分</w:t>
            </w:r>
            <w:r>
              <w:rPr>
                <w:rFonts w:hint="eastAsia" w:eastAsia="Malgun Gothic Semilight"/>
                <w:color w:val="000000"/>
                <w:sz w:val="18"/>
                <w:szCs w:val="18"/>
              </w:rPr>
              <w:t>、</w:t>
            </w:r>
            <w:r>
              <w:rPr>
                <w:rFonts w:hint="eastAsia" w:eastAsia="微软雅黑"/>
                <w:color w:val="000000"/>
                <w:sz w:val="18"/>
                <w:szCs w:val="18"/>
              </w:rPr>
              <w:t>良</w:t>
            </w:r>
            <w:r>
              <w:rPr>
                <w:rFonts w:eastAsia="Arial Unicode MS"/>
                <w:color w:val="000000"/>
                <w:sz w:val="18"/>
                <w:szCs w:val="18"/>
              </w:rPr>
              <w:t>3</w:t>
            </w:r>
            <w:r>
              <w:rPr>
                <w:rFonts w:hint="eastAsia" w:eastAsia="微软雅黑"/>
                <w:color w:val="000000"/>
                <w:sz w:val="18"/>
                <w:szCs w:val="18"/>
              </w:rPr>
              <w:t>分</w:t>
            </w:r>
            <w:r>
              <w:rPr>
                <w:rFonts w:hint="eastAsia" w:eastAsia="Malgun Gothic Semilight"/>
                <w:color w:val="000000"/>
                <w:sz w:val="18"/>
                <w:szCs w:val="18"/>
              </w:rPr>
              <w:t>、</w:t>
            </w:r>
            <w:r>
              <w:rPr>
                <w:rFonts w:hint="eastAsia" w:eastAsia="微软雅黑"/>
                <w:color w:val="000000"/>
                <w:sz w:val="18"/>
                <w:szCs w:val="18"/>
              </w:rPr>
              <w:t>中</w:t>
            </w:r>
            <w:r>
              <w:rPr>
                <w:rFonts w:eastAsia="Arial Unicode MS"/>
                <w:color w:val="000000"/>
                <w:sz w:val="18"/>
                <w:szCs w:val="18"/>
              </w:rPr>
              <w:t>2</w:t>
            </w:r>
            <w:r>
              <w:rPr>
                <w:rFonts w:hint="eastAsia" w:eastAsia="微软雅黑"/>
                <w:color w:val="000000"/>
                <w:sz w:val="18"/>
                <w:szCs w:val="18"/>
              </w:rPr>
              <w:t>分</w:t>
            </w:r>
            <w:r>
              <w:rPr>
                <w:rFonts w:hint="eastAsia" w:eastAsia="Malgun Gothic Semilight"/>
                <w:color w:val="000000"/>
                <w:sz w:val="18"/>
                <w:szCs w:val="18"/>
              </w:rPr>
              <w:t>、</w:t>
            </w:r>
            <w:r>
              <w:rPr>
                <w:rFonts w:hint="eastAsia" w:eastAsia="微软雅黑"/>
                <w:color w:val="000000"/>
                <w:sz w:val="18"/>
                <w:szCs w:val="18"/>
              </w:rPr>
              <w:t>差</w:t>
            </w:r>
            <w:r>
              <w:rPr>
                <w:rFonts w:eastAsia="Arial Unicode MS"/>
                <w:color w:val="000000"/>
                <w:sz w:val="18"/>
                <w:szCs w:val="18"/>
              </w:rPr>
              <w:t>1</w:t>
            </w:r>
            <w:r>
              <w:rPr>
                <w:rFonts w:hint="eastAsia" w:eastAsia="微软雅黑"/>
                <w:color w:val="000000"/>
                <w:sz w:val="18"/>
                <w:szCs w:val="18"/>
              </w:rPr>
              <w:t>分进行评分</w:t>
            </w:r>
            <w:r>
              <w:rPr>
                <w:rFonts w:hint="eastAsia" w:eastAsia="Malgun Gothic Semilight"/>
                <w:color w:val="000000"/>
                <w:sz w:val="18"/>
                <w:szCs w:val="18"/>
              </w:rPr>
              <w:t>）</w:t>
            </w:r>
          </w:p>
        </w:tc>
        <w:tc>
          <w:tcPr>
            <w:tcW w:w="714"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eastAsia="Arial Unicode MS"/>
                <w:color w:val="000000"/>
                <w:sz w:val="18"/>
                <w:szCs w:val="18"/>
              </w:rPr>
              <w:t>5</w:t>
            </w:r>
          </w:p>
        </w:tc>
      </w:tr>
      <w:tr>
        <w:tblPrEx>
          <w:tblCellMar>
            <w:top w:w="0" w:type="dxa"/>
            <w:left w:w="108" w:type="dxa"/>
            <w:bottom w:w="0" w:type="dxa"/>
            <w:right w:w="108" w:type="dxa"/>
          </w:tblCellMar>
        </w:tblPrEx>
        <w:trPr>
          <w:trHeight w:val="481" w:hRule="atLeast"/>
          <w:jc w:val="center"/>
        </w:trPr>
        <w:tc>
          <w:tcPr>
            <w:tcW w:w="61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300" w:lineRule="exact"/>
              <w:jc w:val="center"/>
              <w:rPr>
                <w:rFonts w:eastAsia="Arial Unicode MS"/>
                <w:sz w:val="18"/>
                <w:szCs w:val="18"/>
              </w:rPr>
            </w:pPr>
          </w:p>
        </w:tc>
        <w:tc>
          <w:tcPr>
            <w:tcW w:w="538"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300" w:lineRule="exact"/>
              <w:jc w:val="center"/>
              <w:rPr>
                <w:rFonts w:eastAsia="Arial Unicode MS"/>
                <w:sz w:val="18"/>
                <w:szCs w:val="18"/>
              </w:rPr>
            </w:pPr>
          </w:p>
        </w:tc>
        <w:tc>
          <w:tcPr>
            <w:tcW w:w="506"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300" w:lineRule="exact"/>
              <w:jc w:val="center"/>
              <w:rPr>
                <w:rFonts w:eastAsia="Arial Unicode MS"/>
                <w:sz w:val="18"/>
                <w:szCs w:val="18"/>
              </w:rPr>
            </w:pPr>
          </w:p>
        </w:tc>
        <w:tc>
          <w:tcPr>
            <w:tcW w:w="529"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300" w:lineRule="exact"/>
              <w:jc w:val="center"/>
              <w:rPr>
                <w:rFonts w:eastAsia="Arial Unicode MS"/>
                <w:sz w:val="18"/>
                <w:szCs w:val="18"/>
              </w:rPr>
            </w:pPr>
          </w:p>
        </w:tc>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产出质量</w:t>
            </w:r>
          </w:p>
        </w:tc>
        <w:tc>
          <w:tcPr>
            <w:tcW w:w="650"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eastAsia="Arial Unicode MS"/>
                <w:color w:val="000000"/>
                <w:sz w:val="18"/>
                <w:szCs w:val="18"/>
              </w:rPr>
              <w:t>4</w:t>
            </w:r>
          </w:p>
        </w:tc>
        <w:tc>
          <w:tcPr>
            <w:tcW w:w="2506" w:type="dxa"/>
            <w:tcBorders>
              <w:top w:val="single" w:color="000000" w:sz="4" w:space="0"/>
              <w:left w:val="single" w:color="auto" w:sz="4" w:space="0"/>
              <w:bottom w:val="single" w:color="000000" w:sz="4" w:space="0"/>
              <w:right w:val="single" w:color="000000"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项目产出质量是否达到绩效目标</w:t>
            </w:r>
          </w:p>
        </w:tc>
        <w:tc>
          <w:tcPr>
            <w:tcW w:w="2220" w:type="dxa"/>
            <w:tcBorders>
              <w:top w:val="single" w:color="000000" w:sz="4" w:space="0"/>
              <w:left w:val="single" w:color="000000"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对照年初或调整后的绩效目标评价产出质量</w:t>
            </w:r>
            <w:r>
              <w:rPr>
                <w:rFonts w:hint="eastAsia" w:eastAsia="Malgun Gothic Semilight"/>
                <w:color w:val="000000"/>
                <w:sz w:val="18"/>
                <w:szCs w:val="18"/>
              </w:rPr>
              <w:t>（</w:t>
            </w:r>
            <w:r>
              <w:rPr>
                <w:rFonts w:hint="eastAsia" w:eastAsia="微软雅黑"/>
                <w:color w:val="000000"/>
                <w:sz w:val="18"/>
                <w:szCs w:val="18"/>
              </w:rPr>
              <w:t>按优</w:t>
            </w:r>
            <w:r>
              <w:rPr>
                <w:rFonts w:eastAsia="Arial Unicode MS"/>
                <w:color w:val="000000"/>
                <w:sz w:val="18"/>
                <w:szCs w:val="18"/>
              </w:rPr>
              <w:t>4</w:t>
            </w:r>
            <w:r>
              <w:rPr>
                <w:rFonts w:hint="eastAsia" w:eastAsia="微软雅黑"/>
                <w:color w:val="000000"/>
                <w:sz w:val="18"/>
                <w:szCs w:val="18"/>
              </w:rPr>
              <w:t>分</w:t>
            </w:r>
            <w:r>
              <w:rPr>
                <w:rFonts w:hint="eastAsia" w:eastAsia="Malgun Gothic Semilight"/>
                <w:color w:val="000000"/>
                <w:sz w:val="18"/>
                <w:szCs w:val="18"/>
              </w:rPr>
              <w:t>、</w:t>
            </w:r>
            <w:r>
              <w:rPr>
                <w:rFonts w:hint="eastAsia" w:eastAsia="微软雅黑"/>
                <w:color w:val="000000"/>
                <w:sz w:val="18"/>
                <w:szCs w:val="18"/>
              </w:rPr>
              <w:t>良</w:t>
            </w:r>
            <w:r>
              <w:rPr>
                <w:rFonts w:eastAsia="Arial Unicode MS"/>
                <w:color w:val="000000"/>
                <w:sz w:val="18"/>
                <w:szCs w:val="18"/>
              </w:rPr>
              <w:t>3</w:t>
            </w:r>
            <w:r>
              <w:rPr>
                <w:rFonts w:hint="eastAsia" w:eastAsia="微软雅黑"/>
                <w:color w:val="000000"/>
                <w:sz w:val="18"/>
                <w:szCs w:val="18"/>
              </w:rPr>
              <w:t>分</w:t>
            </w:r>
            <w:r>
              <w:rPr>
                <w:rFonts w:hint="eastAsia" w:eastAsia="Malgun Gothic Semilight"/>
                <w:color w:val="000000"/>
                <w:sz w:val="18"/>
                <w:szCs w:val="18"/>
              </w:rPr>
              <w:t>、</w:t>
            </w:r>
            <w:r>
              <w:rPr>
                <w:rFonts w:hint="eastAsia" w:eastAsia="微软雅黑"/>
                <w:color w:val="000000"/>
                <w:sz w:val="18"/>
                <w:szCs w:val="18"/>
              </w:rPr>
              <w:t>中</w:t>
            </w:r>
            <w:r>
              <w:rPr>
                <w:rFonts w:eastAsia="Arial Unicode MS"/>
                <w:color w:val="000000"/>
                <w:sz w:val="18"/>
                <w:szCs w:val="18"/>
              </w:rPr>
              <w:t>2</w:t>
            </w:r>
            <w:r>
              <w:rPr>
                <w:rFonts w:hint="eastAsia" w:eastAsia="微软雅黑"/>
                <w:color w:val="000000"/>
                <w:sz w:val="18"/>
                <w:szCs w:val="18"/>
              </w:rPr>
              <w:t>分</w:t>
            </w:r>
            <w:r>
              <w:rPr>
                <w:rFonts w:hint="eastAsia" w:eastAsia="Malgun Gothic Semilight"/>
                <w:color w:val="000000"/>
                <w:sz w:val="18"/>
                <w:szCs w:val="18"/>
              </w:rPr>
              <w:t>、</w:t>
            </w:r>
            <w:r>
              <w:rPr>
                <w:rFonts w:hint="eastAsia" w:eastAsia="微软雅黑"/>
                <w:color w:val="000000"/>
                <w:sz w:val="18"/>
                <w:szCs w:val="18"/>
              </w:rPr>
              <w:t>差</w:t>
            </w:r>
            <w:r>
              <w:rPr>
                <w:rFonts w:eastAsia="Arial Unicode MS"/>
                <w:color w:val="000000"/>
                <w:sz w:val="18"/>
                <w:szCs w:val="18"/>
              </w:rPr>
              <w:t>1</w:t>
            </w:r>
            <w:r>
              <w:rPr>
                <w:rFonts w:hint="eastAsia" w:eastAsia="微软雅黑"/>
                <w:color w:val="000000"/>
                <w:sz w:val="18"/>
                <w:szCs w:val="18"/>
              </w:rPr>
              <w:t>分进行评分</w:t>
            </w:r>
            <w:r>
              <w:rPr>
                <w:rFonts w:hint="eastAsia" w:eastAsia="Malgun Gothic Semilight"/>
                <w:color w:val="000000"/>
                <w:sz w:val="18"/>
                <w:szCs w:val="18"/>
              </w:rPr>
              <w:t>）</w:t>
            </w:r>
          </w:p>
        </w:tc>
        <w:tc>
          <w:tcPr>
            <w:tcW w:w="714"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eastAsia="Arial Unicode MS"/>
                <w:color w:val="000000"/>
                <w:sz w:val="18"/>
                <w:szCs w:val="18"/>
              </w:rPr>
              <w:t>3</w:t>
            </w:r>
          </w:p>
        </w:tc>
      </w:tr>
      <w:tr>
        <w:tblPrEx>
          <w:tblCellMar>
            <w:top w:w="0" w:type="dxa"/>
            <w:left w:w="108" w:type="dxa"/>
            <w:bottom w:w="0" w:type="dxa"/>
            <w:right w:w="108" w:type="dxa"/>
          </w:tblCellMar>
        </w:tblPrEx>
        <w:trPr>
          <w:trHeight w:val="376" w:hRule="atLeast"/>
          <w:jc w:val="center"/>
        </w:trPr>
        <w:tc>
          <w:tcPr>
            <w:tcW w:w="611" w:type="dxa"/>
            <w:vMerge w:val="continue"/>
            <w:tcBorders>
              <w:top w:val="single" w:color="auto" w:sz="4" w:space="0"/>
              <w:left w:val="single" w:color="auto" w:sz="4" w:space="0"/>
              <w:bottom w:val="single" w:color="000000" w:sz="4" w:space="0"/>
              <w:right w:val="single" w:color="auto" w:sz="4" w:space="0"/>
              <w:tl2br w:val="nil"/>
              <w:tr2bl w:val="nil"/>
            </w:tcBorders>
            <w:noWrap/>
            <w:vAlign w:val="center"/>
          </w:tcPr>
          <w:p>
            <w:pPr>
              <w:spacing w:line="300" w:lineRule="exact"/>
              <w:jc w:val="center"/>
              <w:rPr>
                <w:rFonts w:eastAsia="Arial Unicode MS"/>
                <w:color w:val="000000"/>
                <w:sz w:val="18"/>
                <w:szCs w:val="18"/>
              </w:rPr>
            </w:pPr>
          </w:p>
        </w:tc>
        <w:tc>
          <w:tcPr>
            <w:tcW w:w="538" w:type="dxa"/>
            <w:vMerge w:val="continue"/>
            <w:tcBorders>
              <w:top w:val="single" w:color="auto" w:sz="4" w:space="0"/>
              <w:left w:val="single" w:color="auto" w:sz="4" w:space="0"/>
              <w:bottom w:val="single" w:color="000000" w:sz="4" w:space="0"/>
              <w:right w:val="single" w:color="auto" w:sz="4" w:space="0"/>
              <w:tl2br w:val="nil"/>
              <w:tr2bl w:val="nil"/>
            </w:tcBorders>
            <w:noWrap/>
            <w:vAlign w:val="center"/>
          </w:tcPr>
          <w:p>
            <w:pPr>
              <w:spacing w:line="300" w:lineRule="exact"/>
              <w:jc w:val="center"/>
              <w:rPr>
                <w:rFonts w:eastAsia="Arial Unicode MS"/>
                <w:color w:val="000000"/>
                <w:sz w:val="18"/>
                <w:szCs w:val="18"/>
              </w:rPr>
            </w:pPr>
          </w:p>
        </w:tc>
        <w:tc>
          <w:tcPr>
            <w:tcW w:w="506"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300" w:lineRule="exact"/>
              <w:jc w:val="center"/>
              <w:rPr>
                <w:rFonts w:eastAsia="Arial Unicode MS"/>
                <w:color w:val="000000"/>
                <w:sz w:val="18"/>
                <w:szCs w:val="18"/>
              </w:rPr>
            </w:pPr>
          </w:p>
        </w:tc>
        <w:tc>
          <w:tcPr>
            <w:tcW w:w="529"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300" w:lineRule="exact"/>
              <w:jc w:val="center"/>
              <w:rPr>
                <w:rFonts w:eastAsia="Arial Unicode MS"/>
                <w:color w:val="000000"/>
                <w:sz w:val="18"/>
                <w:szCs w:val="18"/>
              </w:rPr>
            </w:pPr>
          </w:p>
        </w:tc>
        <w:tc>
          <w:tcPr>
            <w:tcW w:w="735" w:type="dxa"/>
            <w:tcBorders>
              <w:top w:val="single" w:color="auto" w:sz="4" w:space="0"/>
              <w:left w:val="single" w:color="auto" w:sz="4" w:space="0"/>
              <w:bottom w:val="single" w:color="000000" w:sz="4" w:space="0"/>
              <w:right w:val="single" w:color="000000"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产出时效</w:t>
            </w:r>
          </w:p>
        </w:tc>
        <w:tc>
          <w:tcPr>
            <w:tcW w:w="650" w:type="dxa"/>
            <w:tcBorders>
              <w:top w:val="single" w:color="auto" w:sz="4" w:space="0"/>
              <w:left w:val="single" w:color="000000" w:sz="4" w:space="0"/>
              <w:bottom w:val="single" w:color="000000" w:sz="4" w:space="0"/>
              <w:right w:val="single" w:color="000000"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eastAsia="Arial Unicode MS"/>
                <w:color w:val="000000"/>
                <w:sz w:val="18"/>
                <w:szCs w:val="18"/>
              </w:rPr>
              <w:t>3</w:t>
            </w:r>
          </w:p>
        </w:tc>
        <w:tc>
          <w:tcPr>
            <w:tcW w:w="2506"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项目产出时效是否达到绩效目标</w:t>
            </w:r>
          </w:p>
        </w:tc>
        <w:tc>
          <w:tcPr>
            <w:tcW w:w="2220" w:type="dxa"/>
            <w:tcBorders>
              <w:top w:val="single" w:color="000000" w:sz="4" w:space="0"/>
              <w:left w:val="single" w:color="000000" w:sz="4" w:space="0"/>
              <w:bottom w:val="single" w:color="000000"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对照年初或调整后的绩效目标评价产出时效</w:t>
            </w:r>
            <w:r>
              <w:rPr>
                <w:rFonts w:hint="eastAsia" w:eastAsia="Malgun Gothic Semilight"/>
                <w:color w:val="000000"/>
                <w:sz w:val="18"/>
                <w:szCs w:val="18"/>
              </w:rPr>
              <w:t>（</w:t>
            </w:r>
            <w:r>
              <w:rPr>
                <w:rFonts w:hint="eastAsia" w:eastAsia="微软雅黑"/>
                <w:color w:val="000000"/>
                <w:sz w:val="18"/>
                <w:szCs w:val="18"/>
              </w:rPr>
              <w:t>按优</w:t>
            </w:r>
            <w:r>
              <w:rPr>
                <w:rFonts w:eastAsia="Arial Unicode MS"/>
                <w:color w:val="000000"/>
                <w:sz w:val="18"/>
                <w:szCs w:val="18"/>
              </w:rPr>
              <w:t>3</w:t>
            </w:r>
            <w:r>
              <w:rPr>
                <w:rFonts w:hint="eastAsia" w:eastAsia="微软雅黑"/>
                <w:color w:val="000000"/>
                <w:sz w:val="18"/>
                <w:szCs w:val="18"/>
              </w:rPr>
              <w:t>分</w:t>
            </w:r>
            <w:r>
              <w:rPr>
                <w:rFonts w:hint="eastAsia" w:eastAsia="Malgun Gothic Semilight"/>
                <w:color w:val="000000"/>
                <w:sz w:val="18"/>
                <w:szCs w:val="18"/>
              </w:rPr>
              <w:t>、</w:t>
            </w:r>
            <w:r>
              <w:rPr>
                <w:rFonts w:hint="eastAsia" w:eastAsia="微软雅黑"/>
                <w:color w:val="000000"/>
                <w:sz w:val="18"/>
                <w:szCs w:val="18"/>
              </w:rPr>
              <w:t>良</w:t>
            </w:r>
            <w:r>
              <w:rPr>
                <w:rFonts w:eastAsia="Arial Unicode MS"/>
                <w:color w:val="000000"/>
                <w:sz w:val="18"/>
                <w:szCs w:val="18"/>
              </w:rPr>
              <w:t>2</w:t>
            </w:r>
            <w:r>
              <w:rPr>
                <w:rFonts w:hint="eastAsia" w:eastAsia="微软雅黑"/>
                <w:color w:val="000000"/>
                <w:sz w:val="18"/>
                <w:szCs w:val="18"/>
              </w:rPr>
              <w:t>分</w:t>
            </w:r>
            <w:r>
              <w:rPr>
                <w:rFonts w:hint="eastAsia" w:eastAsia="Malgun Gothic Semilight"/>
                <w:color w:val="000000"/>
                <w:sz w:val="18"/>
                <w:szCs w:val="18"/>
              </w:rPr>
              <w:t>、</w:t>
            </w:r>
            <w:r>
              <w:rPr>
                <w:rFonts w:hint="eastAsia" w:eastAsia="微软雅黑"/>
                <w:color w:val="000000"/>
                <w:sz w:val="18"/>
                <w:szCs w:val="18"/>
              </w:rPr>
              <w:t>中</w:t>
            </w:r>
            <w:r>
              <w:rPr>
                <w:rFonts w:eastAsia="Arial Unicode MS"/>
                <w:color w:val="000000"/>
                <w:sz w:val="18"/>
                <w:szCs w:val="18"/>
              </w:rPr>
              <w:t>1</w:t>
            </w:r>
            <w:r>
              <w:rPr>
                <w:rFonts w:hint="eastAsia" w:eastAsia="微软雅黑"/>
                <w:color w:val="000000"/>
                <w:sz w:val="18"/>
                <w:szCs w:val="18"/>
              </w:rPr>
              <w:t>分</w:t>
            </w:r>
            <w:r>
              <w:rPr>
                <w:rFonts w:hint="eastAsia" w:eastAsia="Malgun Gothic Semilight"/>
                <w:color w:val="000000"/>
                <w:sz w:val="18"/>
                <w:szCs w:val="18"/>
              </w:rPr>
              <w:t>、</w:t>
            </w:r>
            <w:r>
              <w:rPr>
                <w:rFonts w:hint="eastAsia" w:eastAsia="微软雅黑"/>
                <w:color w:val="000000"/>
                <w:sz w:val="18"/>
                <w:szCs w:val="18"/>
              </w:rPr>
              <w:t>差</w:t>
            </w:r>
            <w:r>
              <w:rPr>
                <w:rFonts w:eastAsia="Arial Unicode MS"/>
                <w:color w:val="000000"/>
                <w:sz w:val="18"/>
                <w:szCs w:val="18"/>
              </w:rPr>
              <w:t>0</w:t>
            </w:r>
            <w:r>
              <w:rPr>
                <w:rFonts w:hint="eastAsia" w:eastAsia="微软雅黑"/>
                <w:color w:val="000000"/>
                <w:sz w:val="18"/>
                <w:szCs w:val="18"/>
              </w:rPr>
              <w:t>分进行评分</w:t>
            </w:r>
            <w:r>
              <w:rPr>
                <w:rFonts w:hint="eastAsia" w:eastAsia="Malgun Gothic Semilight"/>
                <w:color w:val="000000"/>
                <w:sz w:val="18"/>
                <w:szCs w:val="18"/>
              </w:rPr>
              <w:t>）</w:t>
            </w:r>
          </w:p>
        </w:tc>
        <w:tc>
          <w:tcPr>
            <w:tcW w:w="714"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eastAsia="Arial Unicode MS"/>
                <w:color w:val="000000"/>
                <w:sz w:val="18"/>
                <w:szCs w:val="18"/>
              </w:rPr>
              <w:t>2</w:t>
            </w:r>
          </w:p>
        </w:tc>
      </w:tr>
      <w:tr>
        <w:tblPrEx>
          <w:tblCellMar>
            <w:top w:w="0" w:type="dxa"/>
            <w:left w:w="108" w:type="dxa"/>
            <w:bottom w:w="0" w:type="dxa"/>
            <w:right w:w="108" w:type="dxa"/>
          </w:tblCellMar>
        </w:tblPrEx>
        <w:trPr>
          <w:trHeight w:val="376" w:hRule="atLeast"/>
          <w:jc w:val="center"/>
        </w:trPr>
        <w:tc>
          <w:tcPr>
            <w:tcW w:w="611" w:type="dxa"/>
            <w:vMerge w:val="continue"/>
            <w:tcBorders>
              <w:top w:val="single" w:color="000000" w:sz="4" w:space="0"/>
              <w:left w:val="single" w:color="auto" w:sz="4" w:space="0"/>
              <w:bottom w:val="single" w:color="000000" w:sz="4" w:space="0"/>
              <w:right w:val="single" w:color="auto" w:sz="4" w:space="0"/>
              <w:tl2br w:val="nil"/>
              <w:tr2bl w:val="nil"/>
            </w:tcBorders>
            <w:noWrap/>
            <w:vAlign w:val="center"/>
          </w:tcPr>
          <w:p>
            <w:pPr>
              <w:spacing w:line="300" w:lineRule="exact"/>
              <w:jc w:val="center"/>
              <w:rPr>
                <w:rFonts w:eastAsia="Arial Unicode MS"/>
                <w:sz w:val="18"/>
                <w:szCs w:val="18"/>
              </w:rPr>
            </w:pPr>
          </w:p>
        </w:tc>
        <w:tc>
          <w:tcPr>
            <w:tcW w:w="538" w:type="dxa"/>
            <w:vMerge w:val="continue"/>
            <w:tcBorders>
              <w:top w:val="single" w:color="000000" w:sz="4" w:space="0"/>
              <w:left w:val="single" w:color="auto" w:sz="4" w:space="0"/>
              <w:bottom w:val="single" w:color="000000" w:sz="4" w:space="0"/>
              <w:right w:val="single" w:color="auto" w:sz="4" w:space="0"/>
              <w:tl2br w:val="nil"/>
              <w:tr2bl w:val="nil"/>
            </w:tcBorders>
            <w:noWrap/>
            <w:vAlign w:val="center"/>
          </w:tcPr>
          <w:p>
            <w:pPr>
              <w:spacing w:line="300" w:lineRule="exact"/>
              <w:jc w:val="center"/>
              <w:rPr>
                <w:rFonts w:eastAsia="Arial Unicode MS"/>
                <w:sz w:val="18"/>
                <w:szCs w:val="18"/>
              </w:rPr>
            </w:pPr>
          </w:p>
        </w:tc>
        <w:tc>
          <w:tcPr>
            <w:tcW w:w="506"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300" w:lineRule="exact"/>
              <w:jc w:val="center"/>
              <w:rPr>
                <w:rFonts w:eastAsia="Arial Unicode MS"/>
                <w:sz w:val="18"/>
                <w:szCs w:val="18"/>
              </w:rPr>
            </w:pPr>
          </w:p>
        </w:tc>
        <w:tc>
          <w:tcPr>
            <w:tcW w:w="529"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300" w:lineRule="exact"/>
              <w:jc w:val="center"/>
              <w:rPr>
                <w:rFonts w:eastAsia="Arial Unicode MS"/>
                <w:sz w:val="18"/>
                <w:szCs w:val="18"/>
              </w:rPr>
            </w:pPr>
          </w:p>
        </w:tc>
        <w:tc>
          <w:tcPr>
            <w:tcW w:w="735" w:type="dxa"/>
            <w:tcBorders>
              <w:top w:val="single" w:color="000000" w:sz="4" w:space="0"/>
              <w:left w:val="single" w:color="auto" w:sz="4" w:space="0"/>
              <w:bottom w:val="single" w:color="000000" w:sz="4" w:space="0"/>
              <w:right w:val="single" w:color="000000"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产出成本</w:t>
            </w:r>
          </w:p>
        </w:tc>
        <w:tc>
          <w:tcPr>
            <w:tcW w:w="6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eastAsia="Arial Unicode MS"/>
                <w:color w:val="000000"/>
                <w:sz w:val="18"/>
                <w:szCs w:val="18"/>
              </w:rPr>
              <w:t>3</w:t>
            </w:r>
          </w:p>
        </w:tc>
        <w:tc>
          <w:tcPr>
            <w:tcW w:w="2506"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项目产出成本是否按绩效目标控制</w:t>
            </w:r>
          </w:p>
        </w:tc>
        <w:tc>
          <w:tcPr>
            <w:tcW w:w="2220" w:type="dxa"/>
            <w:tcBorders>
              <w:top w:val="single" w:color="000000" w:sz="4" w:space="0"/>
              <w:left w:val="single" w:color="000000" w:sz="4" w:space="0"/>
              <w:bottom w:val="single" w:color="000000"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对照年初或调整后的绩效目标评价产出成本</w:t>
            </w:r>
            <w:r>
              <w:rPr>
                <w:rFonts w:hint="eastAsia" w:eastAsia="Malgun Gothic Semilight"/>
                <w:color w:val="000000"/>
                <w:sz w:val="18"/>
                <w:szCs w:val="18"/>
              </w:rPr>
              <w:t>（</w:t>
            </w:r>
            <w:r>
              <w:rPr>
                <w:rFonts w:hint="eastAsia" w:eastAsia="微软雅黑"/>
                <w:color w:val="000000"/>
                <w:sz w:val="18"/>
                <w:szCs w:val="18"/>
              </w:rPr>
              <w:t>按优</w:t>
            </w:r>
            <w:r>
              <w:rPr>
                <w:rFonts w:eastAsia="Arial Unicode MS"/>
                <w:color w:val="000000"/>
                <w:sz w:val="18"/>
                <w:szCs w:val="18"/>
              </w:rPr>
              <w:t>3</w:t>
            </w:r>
            <w:r>
              <w:rPr>
                <w:rFonts w:hint="eastAsia" w:eastAsia="微软雅黑"/>
                <w:color w:val="000000"/>
                <w:sz w:val="18"/>
                <w:szCs w:val="18"/>
              </w:rPr>
              <w:t>分</w:t>
            </w:r>
            <w:r>
              <w:rPr>
                <w:rFonts w:hint="eastAsia" w:eastAsia="Malgun Gothic Semilight"/>
                <w:color w:val="000000"/>
                <w:sz w:val="18"/>
                <w:szCs w:val="18"/>
              </w:rPr>
              <w:t>、</w:t>
            </w:r>
            <w:r>
              <w:rPr>
                <w:rFonts w:hint="eastAsia" w:eastAsia="微软雅黑"/>
                <w:color w:val="000000"/>
                <w:sz w:val="18"/>
                <w:szCs w:val="18"/>
              </w:rPr>
              <w:t>良</w:t>
            </w:r>
            <w:r>
              <w:rPr>
                <w:rFonts w:eastAsia="Arial Unicode MS"/>
                <w:color w:val="000000"/>
                <w:sz w:val="18"/>
                <w:szCs w:val="18"/>
              </w:rPr>
              <w:t>2</w:t>
            </w:r>
            <w:r>
              <w:rPr>
                <w:rFonts w:hint="eastAsia" w:eastAsia="微软雅黑"/>
                <w:color w:val="000000"/>
                <w:sz w:val="18"/>
                <w:szCs w:val="18"/>
              </w:rPr>
              <w:t>分</w:t>
            </w:r>
            <w:r>
              <w:rPr>
                <w:rFonts w:hint="eastAsia" w:eastAsia="Malgun Gothic Semilight"/>
                <w:color w:val="000000"/>
                <w:sz w:val="18"/>
                <w:szCs w:val="18"/>
              </w:rPr>
              <w:t>、</w:t>
            </w:r>
            <w:r>
              <w:rPr>
                <w:rFonts w:hint="eastAsia" w:eastAsia="微软雅黑"/>
                <w:color w:val="000000"/>
                <w:sz w:val="18"/>
                <w:szCs w:val="18"/>
              </w:rPr>
              <w:t>中</w:t>
            </w:r>
            <w:r>
              <w:rPr>
                <w:rFonts w:eastAsia="Arial Unicode MS"/>
                <w:color w:val="000000"/>
                <w:sz w:val="18"/>
                <w:szCs w:val="18"/>
              </w:rPr>
              <w:t>1</w:t>
            </w:r>
            <w:r>
              <w:rPr>
                <w:rFonts w:hint="eastAsia" w:eastAsia="微软雅黑"/>
                <w:color w:val="000000"/>
                <w:sz w:val="18"/>
                <w:szCs w:val="18"/>
              </w:rPr>
              <w:t>分</w:t>
            </w:r>
            <w:r>
              <w:rPr>
                <w:rFonts w:hint="eastAsia" w:eastAsia="Malgun Gothic Semilight"/>
                <w:color w:val="000000"/>
                <w:sz w:val="18"/>
                <w:szCs w:val="18"/>
              </w:rPr>
              <w:t>、</w:t>
            </w:r>
            <w:r>
              <w:rPr>
                <w:rFonts w:hint="eastAsia" w:eastAsia="微软雅黑"/>
                <w:color w:val="000000"/>
                <w:sz w:val="18"/>
                <w:szCs w:val="18"/>
              </w:rPr>
              <w:t>差</w:t>
            </w:r>
            <w:r>
              <w:rPr>
                <w:rFonts w:eastAsia="Arial Unicode MS"/>
                <w:color w:val="000000"/>
                <w:sz w:val="18"/>
                <w:szCs w:val="18"/>
              </w:rPr>
              <w:t>0</w:t>
            </w:r>
            <w:r>
              <w:rPr>
                <w:rFonts w:hint="eastAsia" w:eastAsia="微软雅黑"/>
                <w:color w:val="000000"/>
                <w:sz w:val="18"/>
                <w:szCs w:val="18"/>
              </w:rPr>
              <w:t>分进行评分</w:t>
            </w:r>
            <w:r>
              <w:rPr>
                <w:rFonts w:hint="eastAsia" w:eastAsia="Malgun Gothic Semilight"/>
                <w:color w:val="000000"/>
                <w:sz w:val="18"/>
                <w:szCs w:val="18"/>
              </w:rPr>
              <w:t>）</w:t>
            </w:r>
          </w:p>
        </w:tc>
        <w:tc>
          <w:tcPr>
            <w:tcW w:w="714"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eastAsia="Arial Unicode MS"/>
                <w:color w:val="000000"/>
                <w:sz w:val="18"/>
                <w:szCs w:val="18"/>
              </w:rPr>
              <w:t>3</w:t>
            </w:r>
          </w:p>
        </w:tc>
      </w:tr>
      <w:tr>
        <w:tblPrEx>
          <w:tblCellMar>
            <w:top w:w="0" w:type="dxa"/>
            <w:left w:w="108" w:type="dxa"/>
            <w:bottom w:w="0" w:type="dxa"/>
            <w:right w:w="108" w:type="dxa"/>
          </w:tblCellMar>
        </w:tblPrEx>
        <w:trPr>
          <w:trHeight w:val="428" w:hRule="atLeast"/>
          <w:jc w:val="center"/>
        </w:trPr>
        <w:tc>
          <w:tcPr>
            <w:tcW w:w="611" w:type="dxa"/>
            <w:vMerge w:val="continue"/>
            <w:tcBorders>
              <w:top w:val="single" w:color="000000" w:sz="4" w:space="0"/>
              <w:left w:val="single" w:color="auto" w:sz="4" w:space="0"/>
              <w:bottom w:val="single" w:color="000000" w:sz="4" w:space="0"/>
              <w:right w:val="single" w:color="auto" w:sz="4" w:space="0"/>
              <w:tl2br w:val="nil"/>
              <w:tr2bl w:val="nil"/>
            </w:tcBorders>
            <w:noWrap/>
            <w:vAlign w:val="center"/>
          </w:tcPr>
          <w:p>
            <w:pPr>
              <w:spacing w:line="300" w:lineRule="exact"/>
              <w:jc w:val="center"/>
              <w:rPr>
                <w:rFonts w:eastAsia="Arial Unicode MS"/>
                <w:sz w:val="18"/>
                <w:szCs w:val="18"/>
              </w:rPr>
            </w:pPr>
          </w:p>
        </w:tc>
        <w:tc>
          <w:tcPr>
            <w:tcW w:w="538" w:type="dxa"/>
            <w:vMerge w:val="continue"/>
            <w:tcBorders>
              <w:top w:val="single" w:color="000000" w:sz="4" w:space="0"/>
              <w:left w:val="single" w:color="auto" w:sz="4" w:space="0"/>
              <w:bottom w:val="single" w:color="000000" w:sz="4" w:space="0"/>
              <w:right w:val="single" w:color="auto" w:sz="4" w:space="0"/>
              <w:tl2br w:val="nil"/>
              <w:tr2bl w:val="nil"/>
            </w:tcBorders>
            <w:noWrap/>
            <w:vAlign w:val="center"/>
          </w:tcPr>
          <w:p>
            <w:pPr>
              <w:spacing w:line="300" w:lineRule="exact"/>
              <w:jc w:val="center"/>
              <w:rPr>
                <w:rFonts w:eastAsia="Arial Unicode MS"/>
                <w:sz w:val="18"/>
                <w:szCs w:val="18"/>
              </w:rPr>
            </w:pPr>
          </w:p>
        </w:tc>
        <w:tc>
          <w:tcPr>
            <w:tcW w:w="506" w:type="dxa"/>
            <w:vMerge w:val="restart"/>
            <w:tcBorders>
              <w:top w:val="single" w:color="auto" w:sz="4" w:space="0"/>
              <w:left w:val="single" w:color="auto" w:sz="4" w:space="0"/>
              <w:bottom w:val="single" w:color="auto" w:sz="4" w:space="0"/>
              <w:right w:val="single" w:color="000000" w:sz="4" w:space="0"/>
              <w:tl2br w:val="nil"/>
              <w:tr2bl w:val="nil"/>
            </w:tcBorders>
            <w:noWrap/>
            <w:vAlign w:val="center"/>
          </w:tcPr>
          <w:p>
            <w:pPr>
              <w:autoSpaceDN w:val="0"/>
              <w:spacing w:line="300" w:lineRule="exact"/>
              <w:jc w:val="center"/>
              <w:textAlignment w:val="center"/>
              <w:rPr>
                <w:rFonts w:eastAsia="Arial Unicode MS"/>
                <w:sz w:val="18"/>
                <w:szCs w:val="18"/>
              </w:rPr>
            </w:pPr>
            <w:r>
              <w:rPr>
                <w:rFonts w:hint="eastAsia" w:eastAsia="微软雅黑"/>
                <w:color w:val="000000"/>
                <w:sz w:val="18"/>
                <w:szCs w:val="18"/>
              </w:rPr>
              <w:t>项目效果</w:t>
            </w:r>
          </w:p>
        </w:tc>
        <w:tc>
          <w:tcPr>
            <w:tcW w:w="529" w:type="dxa"/>
            <w:vMerge w:val="restart"/>
            <w:tcBorders>
              <w:top w:val="single" w:color="auto" w:sz="4" w:space="0"/>
              <w:left w:val="single" w:color="000000" w:sz="4" w:space="0"/>
              <w:bottom w:val="single" w:color="auto" w:sz="4" w:space="0"/>
              <w:right w:val="single" w:color="000000" w:sz="4" w:space="0"/>
              <w:tl2br w:val="nil"/>
              <w:tr2bl w:val="nil"/>
            </w:tcBorders>
            <w:noWrap/>
            <w:vAlign w:val="center"/>
          </w:tcPr>
          <w:p>
            <w:pPr>
              <w:autoSpaceDN w:val="0"/>
              <w:spacing w:line="300" w:lineRule="exact"/>
              <w:jc w:val="center"/>
              <w:textAlignment w:val="center"/>
              <w:rPr>
                <w:rFonts w:eastAsia="Arial Unicode MS"/>
                <w:sz w:val="18"/>
                <w:szCs w:val="18"/>
              </w:rPr>
            </w:pPr>
            <w:r>
              <w:rPr>
                <w:rFonts w:eastAsia="Arial Unicode MS"/>
                <w:color w:val="000000"/>
                <w:sz w:val="18"/>
                <w:szCs w:val="18"/>
              </w:rPr>
              <w:t>40</w:t>
            </w:r>
          </w:p>
        </w:tc>
        <w:tc>
          <w:tcPr>
            <w:tcW w:w="735"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经济效益</w:t>
            </w:r>
          </w:p>
        </w:tc>
        <w:tc>
          <w:tcPr>
            <w:tcW w:w="6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eastAsia="Arial Unicode MS"/>
                <w:color w:val="000000"/>
                <w:sz w:val="18"/>
                <w:szCs w:val="18"/>
              </w:rPr>
              <w:t>8</w:t>
            </w:r>
          </w:p>
        </w:tc>
        <w:tc>
          <w:tcPr>
            <w:tcW w:w="2506"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项目实施是否产生直接或间接经济效益</w:t>
            </w:r>
          </w:p>
        </w:tc>
        <w:tc>
          <w:tcPr>
            <w:tcW w:w="2220" w:type="dxa"/>
            <w:tcBorders>
              <w:top w:val="single" w:color="000000" w:sz="4" w:space="0"/>
              <w:left w:val="single" w:color="000000" w:sz="4" w:space="0"/>
              <w:bottom w:val="single" w:color="000000"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对照年初或调整后的绩效目标评价经济效益</w:t>
            </w:r>
            <w:r>
              <w:rPr>
                <w:rFonts w:hint="eastAsia" w:eastAsia="Malgun Gothic Semilight"/>
                <w:color w:val="000000"/>
                <w:sz w:val="18"/>
                <w:szCs w:val="18"/>
              </w:rPr>
              <w:t>（</w:t>
            </w:r>
            <w:r>
              <w:rPr>
                <w:rFonts w:eastAsia="微软雅黑"/>
                <w:color w:val="000000"/>
                <w:sz w:val="18"/>
                <w:szCs w:val="18"/>
              </w:rPr>
              <w:t>8</w:t>
            </w:r>
            <w:r>
              <w:rPr>
                <w:rFonts w:hint="eastAsia" w:eastAsia="微软雅黑"/>
                <w:color w:val="000000"/>
                <w:sz w:val="18"/>
                <w:szCs w:val="18"/>
              </w:rPr>
              <w:t>分</w:t>
            </w:r>
            <w:r>
              <w:rPr>
                <w:rFonts w:hint="eastAsia" w:eastAsia="Malgun Gothic Semilight"/>
                <w:color w:val="000000"/>
                <w:sz w:val="18"/>
                <w:szCs w:val="18"/>
              </w:rPr>
              <w:t>）</w:t>
            </w:r>
          </w:p>
        </w:tc>
        <w:tc>
          <w:tcPr>
            <w:tcW w:w="714"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eastAsia="Arial Unicode MS"/>
                <w:color w:val="000000"/>
                <w:sz w:val="18"/>
                <w:szCs w:val="18"/>
              </w:rPr>
              <w:t>6</w:t>
            </w:r>
          </w:p>
        </w:tc>
      </w:tr>
      <w:tr>
        <w:tblPrEx>
          <w:tblCellMar>
            <w:top w:w="0" w:type="dxa"/>
            <w:left w:w="108" w:type="dxa"/>
            <w:bottom w:w="0" w:type="dxa"/>
            <w:right w:w="108" w:type="dxa"/>
          </w:tblCellMar>
        </w:tblPrEx>
        <w:trPr>
          <w:trHeight w:val="397" w:hRule="atLeast"/>
          <w:jc w:val="center"/>
        </w:trPr>
        <w:tc>
          <w:tcPr>
            <w:tcW w:w="611" w:type="dxa"/>
            <w:vMerge w:val="continue"/>
            <w:tcBorders>
              <w:top w:val="single" w:color="000000" w:sz="4" w:space="0"/>
              <w:left w:val="single" w:color="auto" w:sz="4" w:space="0"/>
              <w:bottom w:val="single" w:color="000000" w:sz="4" w:space="0"/>
              <w:right w:val="single" w:color="auto" w:sz="4" w:space="0"/>
              <w:tl2br w:val="nil"/>
              <w:tr2bl w:val="nil"/>
            </w:tcBorders>
            <w:noWrap/>
            <w:vAlign w:val="center"/>
          </w:tcPr>
          <w:p>
            <w:pPr>
              <w:spacing w:line="300" w:lineRule="exact"/>
              <w:jc w:val="center"/>
              <w:rPr>
                <w:rFonts w:eastAsia="Arial Unicode MS"/>
                <w:sz w:val="18"/>
                <w:szCs w:val="18"/>
              </w:rPr>
            </w:pPr>
          </w:p>
        </w:tc>
        <w:tc>
          <w:tcPr>
            <w:tcW w:w="538" w:type="dxa"/>
            <w:vMerge w:val="continue"/>
            <w:tcBorders>
              <w:top w:val="single" w:color="000000" w:sz="4" w:space="0"/>
              <w:left w:val="single" w:color="auto" w:sz="4" w:space="0"/>
              <w:bottom w:val="single" w:color="000000" w:sz="4" w:space="0"/>
              <w:right w:val="single" w:color="auto" w:sz="4" w:space="0"/>
              <w:tl2br w:val="nil"/>
              <w:tr2bl w:val="nil"/>
            </w:tcBorders>
            <w:noWrap/>
            <w:vAlign w:val="center"/>
          </w:tcPr>
          <w:p>
            <w:pPr>
              <w:spacing w:line="300" w:lineRule="exact"/>
              <w:jc w:val="center"/>
              <w:rPr>
                <w:rFonts w:eastAsia="Arial Unicode MS"/>
                <w:sz w:val="18"/>
                <w:szCs w:val="18"/>
              </w:rPr>
            </w:pPr>
          </w:p>
        </w:tc>
        <w:tc>
          <w:tcPr>
            <w:tcW w:w="506" w:type="dxa"/>
            <w:vMerge w:val="continue"/>
            <w:tcBorders>
              <w:top w:val="single" w:color="auto" w:sz="4" w:space="0"/>
              <w:left w:val="single" w:color="auto" w:sz="4" w:space="0"/>
              <w:bottom w:val="single" w:color="auto" w:sz="4" w:space="0"/>
              <w:right w:val="single" w:color="000000" w:sz="4" w:space="0"/>
              <w:tl2br w:val="nil"/>
              <w:tr2bl w:val="nil"/>
            </w:tcBorders>
            <w:noWrap/>
            <w:vAlign w:val="center"/>
          </w:tcPr>
          <w:p>
            <w:pPr>
              <w:spacing w:line="300" w:lineRule="exact"/>
              <w:jc w:val="center"/>
              <w:rPr>
                <w:rFonts w:eastAsia="Arial Unicode MS"/>
                <w:sz w:val="18"/>
                <w:szCs w:val="18"/>
              </w:rPr>
            </w:pPr>
          </w:p>
        </w:tc>
        <w:tc>
          <w:tcPr>
            <w:tcW w:w="529" w:type="dxa"/>
            <w:vMerge w:val="continue"/>
            <w:tcBorders>
              <w:top w:val="single" w:color="auto" w:sz="4" w:space="0"/>
              <w:left w:val="single" w:color="000000" w:sz="4" w:space="0"/>
              <w:bottom w:val="single" w:color="auto" w:sz="4" w:space="0"/>
              <w:right w:val="single" w:color="000000" w:sz="4" w:space="0"/>
              <w:tl2br w:val="nil"/>
              <w:tr2bl w:val="nil"/>
            </w:tcBorders>
            <w:noWrap/>
            <w:vAlign w:val="center"/>
          </w:tcPr>
          <w:p>
            <w:pPr>
              <w:spacing w:line="300" w:lineRule="exact"/>
              <w:jc w:val="center"/>
              <w:rPr>
                <w:rFonts w:eastAsia="Arial Unicode MS"/>
                <w:sz w:val="18"/>
                <w:szCs w:val="18"/>
              </w:rPr>
            </w:pPr>
          </w:p>
        </w:tc>
        <w:tc>
          <w:tcPr>
            <w:tcW w:w="735"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社会效益</w:t>
            </w:r>
          </w:p>
        </w:tc>
        <w:tc>
          <w:tcPr>
            <w:tcW w:w="6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eastAsia="Arial Unicode MS"/>
                <w:color w:val="000000"/>
                <w:sz w:val="18"/>
                <w:szCs w:val="18"/>
              </w:rPr>
              <w:t>8</w:t>
            </w:r>
          </w:p>
        </w:tc>
        <w:tc>
          <w:tcPr>
            <w:tcW w:w="2506"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项目实施是否产生社会综合效益</w:t>
            </w:r>
          </w:p>
        </w:tc>
        <w:tc>
          <w:tcPr>
            <w:tcW w:w="2220" w:type="dxa"/>
            <w:tcBorders>
              <w:top w:val="single" w:color="000000" w:sz="4" w:space="0"/>
              <w:left w:val="single" w:color="000000" w:sz="4" w:space="0"/>
              <w:bottom w:val="single" w:color="000000"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pacing w:val="-4"/>
                <w:sz w:val="18"/>
                <w:szCs w:val="18"/>
              </w:rPr>
              <w:t>对照年初或调整后申报的绩效目标评价社会效益</w:t>
            </w:r>
            <w:r>
              <w:rPr>
                <w:rFonts w:hint="eastAsia" w:eastAsia="微软雅黑"/>
                <w:color w:val="000000"/>
                <w:sz w:val="18"/>
                <w:szCs w:val="18"/>
              </w:rPr>
              <w:t>（8分</w:t>
            </w:r>
            <w:r>
              <w:rPr>
                <w:rFonts w:hint="eastAsia" w:eastAsia="Malgun Gothic Semilight"/>
                <w:color w:val="000000"/>
                <w:sz w:val="18"/>
                <w:szCs w:val="18"/>
              </w:rPr>
              <w:t>）</w:t>
            </w:r>
          </w:p>
        </w:tc>
        <w:tc>
          <w:tcPr>
            <w:tcW w:w="714"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eastAsia="Arial Unicode MS"/>
                <w:color w:val="000000"/>
                <w:sz w:val="18"/>
                <w:szCs w:val="18"/>
              </w:rPr>
              <w:t>7</w:t>
            </w:r>
          </w:p>
        </w:tc>
      </w:tr>
      <w:tr>
        <w:tblPrEx>
          <w:tblCellMar>
            <w:top w:w="0" w:type="dxa"/>
            <w:left w:w="108" w:type="dxa"/>
            <w:bottom w:w="0" w:type="dxa"/>
            <w:right w:w="108" w:type="dxa"/>
          </w:tblCellMar>
        </w:tblPrEx>
        <w:trPr>
          <w:trHeight w:val="438" w:hRule="atLeast"/>
          <w:jc w:val="center"/>
        </w:trPr>
        <w:tc>
          <w:tcPr>
            <w:tcW w:w="611" w:type="dxa"/>
            <w:vMerge w:val="continue"/>
            <w:tcBorders>
              <w:top w:val="single" w:color="000000" w:sz="4" w:space="0"/>
              <w:left w:val="single" w:color="auto" w:sz="4" w:space="0"/>
              <w:bottom w:val="single" w:color="000000" w:sz="4" w:space="0"/>
              <w:right w:val="single" w:color="auto" w:sz="4" w:space="0"/>
              <w:tl2br w:val="nil"/>
              <w:tr2bl w:val="nil"/>
            </w:tcBorders>
            <w:noWrap/>
            <w:vAlign w:val="center"/>
          </w:tcPr>
          <w:p>
            <w:pPr>
              <w:spacing w:line="300" w:lineRule="exact"/>
              <w:jc w:val="center"/>
              <w:rPr>
                <w:rFonts w:eastAsia="Arial Unicode MS"/>
                <w:sz w:val="18"/>
                <w:szCs w:val="18"/>
              </w:rPr>
            </w:pPr>
          </w:p>
        </w:tc>
        <w:tc>
          <w:tcPr>
            <w:tcW w:w="538" w:type="dxa"/>
            <w:vMerge w:val="continue"/>
            <w:tcBorders>
              <w:top w:val="single" w:color="000000" w:sz="4" w:space="0"/>
              <w:left w:val="single" w:color="auto" w:sz="4" w:space="0"/>
              <w:bottom w:val="single" w:color="000000" w:sz="4" w:space="0"/>
              <w:right w:val="single" w:color="auto" w:sz="4" w:space="0"/>
              <w:tl2br w:val="nil"/>
              <w:tr2bl w:val="nil"/>
            </w:tcBorders>
            <w:noWrap/>
            <w:vAlign w:val="center"/>
          </w:tcPr>
          <w:p>
            <w:pPr>
              <w:spacing w:line="300" w:lineRule="exact"/>
              <w:jc w:val="center"/>
              <w:rPr>
                <w:rFonts w:eastAsia="Arial Unicode MS"/>
                <w:sz w:val="18"/>
                <w:szCs w:val="18"/>
              </w:rPr>
            </w:pPr>
          </w:p>
        </w:tc>
        <w:tc>
          <w:tcPr>
            <w:tcW w:w="506" w:type="dxa"/>
            <w:vMerge w:val="continue"/>
            <w:tcBorders>
              <w:top w:val="single" w:color="auto" w:sz="4" w:space="0"/>
              <w:left w:val="single" w:color="auto" w:sz="4" w:space="0"/>
              <w:bottom w:val="single" w:color="auto" w:sz="4" w:space="0"/>
              <w:right w:val="single" w:color="000000" w:sz="4" w:space="0"/>
              <w:tl2br w:val="nil"/>
              <w:tr2bl w:val="nil"/>
            </w:tcBorders>
            <w:noWrap/>
            <w:vAlign w:val="center"/>
          </w:tcPr>
          <w:p>
            <w:pPr>
              <w:spacing w:line="300" w:lineRule="exact"/>
              <w:jc w:val="center"/>
              <w:rPr>
                <w:rFonts w:eastAsia="Arial Unicode MS"/>
                <w:color w:val="000000"/>
                <w:sz w:val="18"/>
                <w:szCs w:val="18"/>
              </w:rPr>
            </w:pPr>
          </w:p>
        </w:tc>
        <w:tc>
          <w:tcPr>
            <w:tcW w:w="529" w:type="dxa"/>
            <w:vMerge w:val="continue"/>
            <w:tcBorders>
              <w:top w:val="single" w:color="auto" w:sz="4" w:space="0"/>
              <w:left w:val="single" w:color="000000" w:sz="4" w:space="0"/>
              <w:bottom w:val="single" w:color="auto" w:sz="4" w:space="0"/>
              <w:right w:val="single" w:color="000000" w:sz="4" w:space="0"/>
              <w:tl2br w:val="nil"/>
              <w:tr2bl w:val="nil"/>
            </w:tcBorders>
            <w:noWrap/>
            <w:vAlign w:val="center"/>
          </w:tcPr>
          <w:p>
            <w:pPr>
              <w:spacing w:line="300" w:lineRule="exact"/>
              <w:jc w:val="center"/>
              <w:rPr>
                <w:rFonts w:eastAsia="Arial Unicode MS"/>
                <w:color w:val="000000"/>
                <w:sz w:val="18"/>
                <w:szCs w:val="18"/>
              </w:rPr>
            </w:pPr>
          </w:p>
        </w:tc>
        <w:tc>
          <w:tcPr>
            <w:tcW w:w="735"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环境效益</w:t>
            </w:r>
          </w:p>
        </w:tc>
        <w:tc>
          <w:tcPr>
            <w:tcW w:w="6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eastAsia="Arial Unicode MS"/>
                <w:color w:val="000000"/>
                <w:sz w:val="18"/>
                <w:szCs w:val="18"/>
              </w:rPr>
              <w:t>8</w:t>
            </w:r>
          </w:p>
        </w:tc>
        <w:tc>
          <w:tcPr>
            <w:tcW w:w="2506"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项目实施是否对环境产生积极或消极影响</w:t>
            </w:r>
          </w:p>
        </w:tc>
        <w:tc>
          <w:tcPr>
            <w:tcW w:w="2220" w:type="dxa"/>
            <w:tcBorders>
              <w:top w:val="single" w:color="000000" w:sz="4" w:space="0"/>
              <w:left w:val="single" w:color="000000" w:sz="4" w:space="0"/>
              <w:bottom w:val="single" w:color="000000"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对照年初或调整后申报的绩效目标评价环境效益</w:t>
            </w:r>
            <w:r>
              <w:rPr>
                <w:rFonts w:hint="eastAsia" w:eastAsia="Malgun Gothic Semilight"/>
                <w:color w:val="000000"/>
                <w:sz w:val="18"/>
                <w:szCs w:val="18"/>
              </w:rPr>
              <w:t>（</w:t>
            </w:r>
            <w:r>
              <w:rPr>
                <w:rFonts w:eastAsia="微软雅黑"/>
                <w:color w:val="000000"/>
                <w:sz w:val="18"/>
                <w:szCs w:val="18"/>
              </w:rPr>
              <w:t>8</w:t>
            </w:r>
            <w:r>
              <w:rPr>
                <w:rFonts w:hint="eastAsia" w:eastAsia="微软雅黑"/>
                <w:color w:val="000000"/>
                <w:sz w:val="18"/>
                <w:szCs w:val="18"/>
              </w:rPr>
              <w:t>分</w:t>
            </w:r>
            <w:r>
              <w:rPr>
                <w:rFonts w:hint="eastAsia" w:eastAsia="Malgun Gothic Semilight"/>
                <w:color w:val="000000"/>
                <w:sz w:val="18"/>
                <w:szCs w:val="18"/>
              </w:rPr>
              <w:t>）</w:t>
            </w:r>
          </w:p>
        </w:tc>
        <w:tc>
          <w:tcPr>
            <w:tcW w:w="714"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eastAsia="Arial Unicode MS"/>
                <w:color w:val="000000"/>
                <w:sz w:val="18"/>
                <w:szCs w:val="18"/>
              </w:rPr>
              <w:t>6</w:t>
            </w:r>
          </w:p>
        </w:tc>
      </w:tr>
      <w:tr>
        <w:tblPrEx>
          <w:tblCellMar>
            <w:top w:w="0" w:type="dxa"/>
            <w:left w:w="108" w:type="dxa"/>
            <w:bottom w:w="0" w:type="dxa"/>
            <w:right w:w="108" w:type="dxa"/>
          </w:tblCellMar>
        </w:tblPrEx>
        <w:trPr>
          <w:trHeight w:val="417" w:hRule="atLeast"/>
          <w:jc w:val="center"/>
        </w:trPr>
        <w:tc>
          <w:tcPr>
            <w:tcW w:w="611" w:type="dxa"/>
            <w:vMerge w:val="continue"/>
            <w:tcBorders>
              <w:top w:val="single" w:color="000000" w:sz="4" w:space="0"/>
              <w:left w:val="single" w:color="auto" w:sz="4" w:space="0"/>
              <w:bottom w:val="single" w:color="000000" w:sz="4" w:space="0"/>
              <w:right w:val="single" w:color="auto" w:sz="4" w:space="0"/>
              <w:tl2br w:val="nil"/>
              <w:tr2bl w:val="nil"/>
            </w:tcBorders>
            <w:noWrap/>
            <w:vAlign w:val="center"/>
          </w:tcPr>
          <w:p>
            <w:pPr>
              <w:spacing w:line="300" w:lineRule="exact"/>
              <w:jc w:val="center"/>
              <w:rPr>
                <w:rFonts w:eastAsia="Arial Unicode MS"/>
                <w:sz w:val="18"/>
                <w:szCs w:val="18"/>
              </w:rPr>
            </w:pPr>
          </w:p>
        </w:tc>
        <w:tc>
          <w:tcPr>
            <w:tcW w:w="538" w:type="dxa"/>
            <w:vMerge w:val="continue"/>
            <w:tcBorders>
              <w:top w:val="single" w:color="000000" w:sz="4" w:space="0"/>
              <w:left w:val="single" w:color="auto" w:sz="4" w:space="0"/>
              <w:bottom w:val="single" w:color="000000" w:sz="4" w:space="0"/>
              <w:right w:val="single" w:color="auto" w:sz="4" w:space="0"/>
              <w:tl2br w:val="nil"/>
              <w:tr2bl w:val="nil"/>
            </w:tcBorders>
            <w:noWrap/>
            <w:vAlign w:val="center"/>
          </w:tcPr>
          <w:p>
            <w:pPr>
              <w:spacing w:line="300" w:lineRule="exact"/>
              <w:jc w:val="center"/>
              <w:rPr>
                <w:rFonts w:eastAsia="Arial Unicode MS"/>
                <w:sz w:val="18"/>
                <w:szCs w:val="18"/>
              </w:rPr>
            </w:pPr>
          </w:p>
        </w:tc>
        <w:tc>
          <w:tcPr>
            <w:tcW w:w="506" w:type="dxa"/>
            <w:vMerge w:val="continue"/>
            <w:tcBorders>
              <w:top w:val="single" w:color="auto" w:sz="4" w:space="0"/>
              <w:left w:val="single" w:color="auto" w:sz="4" w:space="0"/>
              <w:bottom w:val="single" w:color="auto" w:sz="4" w:space="0"/>
              <w:right w:val="single" w:color="000000" w:sz="4" w:space="0"/>
              <w:tl2br w:val="nil"/>
              <w:tr2bl w:val="nil"/>
            </w:tcBorders>
            <w:noWrap/>
            <w:vAlign w:val="center"/>
          </w:tcPr>
          <w:p>
            <w:pPr>
              <w:spacing w:line="300" w:lineRule="exact"/>
              <w:jc w:val="center"/>
              <w:rPr>
                <w:rFonts w:eastAsia="Arial Unicode MS"/>
                <w:sz w:val="18"/>
                <w:szCs w:val="18"/>
              </w:rPr>
            </w:pPr>
          </w:p>
        </w:tc>
        <w:tc>
          <w:tcPr>
            <w:tcW w:w="529" w:type="dxa"/>
            <w:vMerge w:val="continue"/>
            <w:tcBorders>
              <w:top w:val="single" w:color="auto" w:sz="4" w:space="0"/>
              <w:left w:val="single" w:color="000000" w:sz="4" w:space="0"/>
              <w:bottom w:val="single" w:color="auto" w:sz="4" w:space="0"/>
              <w:right w:val="single" w:color="000000" w:sz="4" w:space="0"/>
              <w:tl2br w:val="nil"/>
              <w:tr2bl w:val="nil"/>
            </w:tcBorders>
            <w:noWrap/>
            <w:vAlign w:val="center"/>
          </w:tcPr>
          <w:p>
            <w:pPr>
              <w:spacing w:line="300" w:lineRule="exact"/>
              <w:jc w:val="center"/>
              <w:rPr>
                <w:rFonts w:eastAsia="Arial Unicode MS"/>
                <w:sz w:val="18"/>
                <w:szCs w:val="18"/>
              </w:rPr>
            </w:pPr>
          </w:p>
        </w:tc>
        <w:tc>
          <w:tcPr>
            <w:tcW w:w="735"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可持续影响</w:t>
            </w:r>
          </w:p>
        </w:tc>
        <w:tc>
          <w:tcPr>
            <w:tcW w:w="6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eastAsia="Arial Unicode MS"/>
                <w:color w:val="000000"/>
                <w:sz w:val="18"/>
                <w:szCs w:val="18"/>
              </w:rPr>
              <w:t>8</w:t>
            </w:r>
          </w:p>
        </w:tc>
        <w:tc>
          <w:tcPr>
            <w:tcW w:w="2506"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项目实施对人</w:t>
            </w:r>
            <w:r>
              <w:rPr>
                <w:rFonts w:hint="eastAsia" w:eastAsia="Malgun Gothic Semilight"/>
                <w:color w:val="000000"/>
                <w:sz w:val="18"/>
                <w:szCs w:val="18"/>
              </w:rPr>
              <w:t>、</w:t>
            </w:r>
            <w:r>
              <w:rPr>
                <w:rFonts w:hint="eastAsia" w:eastAsia="微软雅黑"/>
                <w:color w:val="000000"/>
                <w:sz w:val="18"/>
                <w:szCs w:val="18"/>
              </w:rPr>
              <w:t>自然</w:t>
            </w:r>
            <w:r>
              <w:rPr>
                <w:rFonts w:hint="eastAsia" w:eastAsia="Malgun Gothic Semilight"/>
                <w:color w:val="000000"/>
                <w:sz w:val="18"/>
                <w:szCs w:val="18"/>
              </w:rPr>
              <w:t>、</w:t>
            </w:r>
            <w:r>
              <w:rPr>
                <w:rFonts w:hint="eastAsia" w:eastAsia="微软雅黑"/>
                <w:color w:val="000000"/>
                <w:sz w:val="18"/>
                <w:szCs w:val="18"/>
              </w:rPr>
              <w:t>资源是否带来可持续影响</w:t>
            </w:r>
          </w:p>
        </w:tc>
        <w:tc>
          <w:tcPr>
            <w:tcW w:w="2220" w:type="dxa"/>
            <w:tcBorders>
              <w:top w:val="single" w:color="000000" w:sz="4" w:space="0"/>
              <w:left w:val="single" w:color="000000"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pacing w:val="-4"/>
                <w:sz w:val="18"/>
                <w:szCs w:val="18"/>
              </w:rPr>
            </w:pPr>
            <w:r>
              <w:rPr>
                <w:rFonts w:hint="eastAsia" w:eastAsia="微软雅黑"/>
                <w:color w:val="000000"/>
                <w:sz w:val="18"/>
                <w:szCs w:val="18"/>
              </w:rPr>
              <w:t>对照年初或调整后申报的绩效目标评价可持续影响</w:t>
            </w:r>
            <w:r>
              <w:rPr>
                <w:rFonts w:hint="eastAsia" w:eastAsia="Malgun Gothic Semilight"/>
                <w:color w:val="000000"/>
                <w:sz w:val="18"/>
                <w:szCs w:val="18"/>
              </w:rPr>
              <w:t>（</w:t>
            </w:r>
            <w:r>
              <w:rPr>
                <w:rFonts w:eastAsia="微软雅黑"/>
                <w:color w:val="000000"/>
                <w:sz w:val="18"/>
                <w:szCs w:val="18"/>
              </w:rPr>
              <w:t>8</w:t>
            </w:r>
            <w:r>
              <w:rPr>
                <w:rFonts w:hint="eastAsia" w:eastAsia="微软雅黑"/>
                <w:color w:val="000000"/>
                <w:sz w:val="18"/>
                <w:szCs w:val="18"/>
              </w:rPr>
              <w:t>分</w:t>
            </w:r>
            <w:r>
              <w:rPr>
                <w:rFonts w:hint="eastAsia" w:eastAsia="Malgun Gothic Semilight"/>
                <w:color w:val="000000"/>
                <w:sz w:val="18"/>
                <w:szCs w:val="18"/>
              </w:rPr>
              <w:t>）</w:t>
            </w:r>
          </w:p>
        </w:tc>
        <w:tc>
          <w:tcPr>
            <w:tcW w:w="714"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eastAsia="Arial Unicode MS"/>
                <w:color w:val="000000"/>
                <w:sz w:val="18"/>
                <w:szCs w:val="18"/>
              </w:rPr>
              <w:t>8</w:t>
            </w:r>
          </w:p>
        </w:tc>
      </w:tr>
      <w:tr>
        <w:tblPrEx>
          <w:tblCellMar>
            <w:top w:w="0" w:type="dxa"/>
            <w:left w:w="108" w:type="dxa"/>
            <w:bottom w:w="0" w:type="dxa"/>
            <w:right w:w="108" w:type="dxa"/>
          </w:tblCellMar>
        </w:tblPrEx>
        <w:trPr>
          <w:trHeight w:val="397" w:hRule="atLeast"/>
          <w:jc w:val="center"/>
        </w:trPr>
        <w:tc>
          <w:tcPr>
            <w:tcW w:w="611" w:type="dxa"/>
            <w:vMerge w:val="continue"/>
            <w:tcBorders>
              <w:top w:val="single" w:color="000000" w:sz="4" w:space="0"/>
              <w:left w:val="single" w:color="auto" w:sz="4" w:space="0"/>
              <w:bottom w:val="single" w:color="000000" w:sz="4" w:space="0"/>
              <w:right w:val="single" w:color="auto" w:sz="4" w:space="0"/>
              <w:tl2br w:val="nil"/>
              <w:tr2bl w:val="nil"/>
            </w:tcBorders>
            <w:noWrap/>
            <w:vAlign w:val="center"/>
          </w:tcPr>
          <w:p>
            <w:pPr>
              <w:spacing w:line="300" w:lineRule="exact"/>
              <w:jc w:val="center"/>
              <w:rPr>
                <w:rFonts w:eastAsia="Arial Unicode MS"/>
                <w:sz w:val="18"/>
                <w:szCs w:val="18"/>
              </w:rPr>
            </w:pPr>
          </w:p>
        </w:tc>
        <w:tc>
          <w:tcPr>
            <w:tcW w:w="538" w:type="dxa"/>
            <w:vMerge w:val="continue"/>
            <w:tcBorders>
              <w:top w:val="single" w:color="000000" w:sz="4" w:space="0"/>
              <w:left w:val="single" w:color="auto" w:sz="4" w:space="0"/>
              <w:bottom w:val="single" w:color="000000" w:sz="4" w:space="0"/>
              <w:right w:val="single" w:color="auto" w:sz="4" w:space="0"/>
              <w:tl2br w:val="nil"/>
              <w:tr2bl w:val="nil"/>
            </w:tcBorders>
            <w:noWrap/>
            <w:vAlign w:val="center"/>
          </w:tcPr>
          <w:p>
            <w:pPr>
              <w:spacing w:line="300" w:lineRule="exact"/>
              <w:jc w:val="center"/>
              <w:rPr>
                <w:rFonts w:eastAsia="Arial Unicode MS"/>
                <w:sz w:val="18"/>
                <w:szCs w:val="18"/>
              </w:rPr>
            </w:pPr>
          </w:p>
        </w:tc>
        <w:tc>
          <w:tcPr>
            <w:tcW w:w="506" w:type="dxa"/>
            <w:vMerge w:val="continue"/>
            <w:tcBorders>
              <w:top w:val="single" w:color="auto" w:sz="4" w:space="0"/>
              <w:left w:val="single" w:color="auto" w:sz="4" w:space="0"/>
              <w:bottom w:val="single" w:color="auto" w:sz="4" w:space="0"/>
              <w:right w:val="single" w:color="000000" w:sz="4" w:space="0"/>
              <w:tl2br w:val="nil"/>
              <w:tr2bl w:val="nil"/>
            </w:tcBorders>
            <w:noWrap/>
            <w:vAlign w:val="center"/>
          </w:tcPr>
          <w:p>
            <w:pPr>
              <w:spacing w:line="300" w:lineRule="exact"/>
              <w:jc w:val="center"/>
              <w:rPr>
                <w:rFonts w:eastAsia="Arial Unicode MS"/>
                <w:sz w:val="18"/>
                <w:szCs w:val="18"/>
              </w:rPr>
            </w:pPr>
          </w:p>
        </w:tc>
        <w:tc>
          <w:tcPr>
            <w:tcW w:w="529" w:type="dxa"/>
            <w:vMerge w:val="continue"/>
            <w:tcBorders>
              <w:top w:val="single" w:color="auto" w:sz="4" w:space="0"/>
              <w:left w:val="single" w:color="000000" w:sz="4" w:space="0"/>
              <w:bottom w:val="single" w:color="auto" w:sz="4" w:space="0"/>
              <w:right w:val="single" w:color="000000" w:sz="4" w:space="0"/>
              <w:tl2br w:val="nil"/>
              <w:tr2bl w:val="nil"/>
            </w:tcBorders>
            <w:noWrap/>
            <w:vAlign w:val="center"/>
          </w:tcPr>
          <w:p>
            <w:pPr>
              <w:spacing w:line="300" w:lineRule="exact"/>
              <w:jc w:val="center"/>
              <w:rPr>
                <w:rFonts w:eastAsia="Arial Unicode MS"/>
                <w:sz w:val="18"/>
                <w:szCs w:val="18"/>
              </w:rPr>
            </w:pPr>
          </w:p>
        </w:tc>
        <w:tc>
          <w:tcPr>
            <w:tcW w:w="735"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服务对象</w:t>
            </w:r>
          </w:p>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满意度</w:t>
            </w:r>
          </w:p>
        </w:tc>
        <w:tc>
          <w:tcPr>
            <w:tcW w:w="6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eastAsia="Arial Unicode MS"/>
                <w:color w:val="000000"/>
                <w:sz w:val="18"/>
                <w:szCs w:val="18"/>
              </w:rPr>
              <w:t>8</w:t>
            </w:r>
          </w:p>
        </w:tc>
        <w:tc>
          <w:tcPr>
            <w:tcW w:w="2506"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项目预期服务对象对项目实施的满意程度</w:t>
            </w:r>
          </w:p>
        </w:tc>
        <w:tc>
          <w:tcPr>
            <w:tcW w:w="2220" w:type="dxa"/>
            <w:tcBorders>
              <w:top w:val="single" w:color="000000" w:sz="4" w:space="0"/>
              <w:left w:val="single" w:color="000000" w:sz="4" w:space="0"/>
              <w:bottom w:val="single" w:color="000000"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hint="eastAsia" w:eastAsia="微软雅黑"/>
                <w:color w:val="000000"/>
                <w:sz w:val="18"/>
                <w:szCs w:val="18"/>
              </w:rPr>
              <w:t>对照年初或调整后申报的绩效目标评价服务对象满意度</w:t>
            </w:r>
            <w:r>
              <w:rPr>
                <w:rFonts w:hint="eastAsia" w:eastAsia="Malgun Gothic Semilight"/>
                <w:color w:val="000000"/>
                <w:sz w:val="18"/>
                <w:szCs w:val="18"/>
              </w:rPr>
              <w:t>（</w:t>
            </w:r>
            <w:r>
              <w:rPr>
                <w:rFonts w:eastAsia="微软雅黑"/>
                <w:color w:val="000000"/>
                <w:sz w:val="18"/>
                <w:szCs w:val="18"/>
              </w:rPr>
              <w:t>8</w:t>
            </w:r>
            <w:r>
              <w:rPr>
                <w:rFonts w:hint="eastAsia" w:eastAsia="微软雅黑"/>
                <w:color w:val="000000"/>
                <w:sz w:val="18"/>
                <w:szCs w:val="18"/>
              </w:rPr>
              <w:t>分</w:t>
            </w:r>
            <w:r>
              <w:rPr>
                <w:rFonts w:hint="eastAsia" w:eastAsia="Malgun Gothic Semilight"/>
                <w:color w:val="000000"/>
                <w:sz w:val="18"/>
                <w:szCs w:val="18"/>
              </w:rPr>
              <w:t>）</w:t>
            </w:r>
          </w:p>
        </w:tc>
        <w:tc>
          <w:tcPr>
            <w:tcW w:w="714"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eastAsia="Arial Unicode MS"/>
                <w:color w:val="000000"/>
                <w:sz w:val="18"/>
                <w:szCs w:val="18"/>
              </w:rPr>
              <w:t>7</w:t>
            </w:r>
          </w:p>
        </w:tc>
      </w:tr>
      <w:tr>
        <w:tblPrEx>
          <w:tblCellMar>
            <w:top w:w="0" w:type="dxa"/>
            <w:left w:w="108" w:type="dxa"/>
            <w:bottom w:w="0" w:type="dxa"/>
            <w:right w:w="108" w:type="dxa"/>
          </w:tblCellMar>
        </w:tblPrEx>
        <w:trPr>
          <w:trHeight w:val="447" w:hRule="atLeast"/>
          <w:jc w:val="center"/>
        </w:trPr>
        <w:tc>
          <w:tcPr>
            <w:tcW w:w="611"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N w:val="0"/>
              <w:spacing w:line="300" w:lineRule="exact"/>
              <w:jc w:val="center"/>
              <w:textAlignment w:val="center"/>
              <w:rPr>
                <w:rFonts w:eastAsia="Arial Unicode MS"/>
                <w:sz w:val="18"/>
                <w:szCs w:val="18"/>
              </w:rPr>
            </w:pPr>
            <w:r>
              <w:rPr>
                <w:rFonts w:hint="eastAsia" w:eastAsia="微软雅黑"/>
                <w:b/>
                <w:color w:val="000000"/>
                <w:sz w:val="18"/>
                <w:szCs w:val="18"/>
              </w:rPr>
              <w:t>总分</w:t>
            </w:r>
          </w:p>
        </w:tc>
        <w:tc>
          <w:tcPr>
            <w:tcW w:w="5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N w:val="0"/>
              <w:spacing w:line="300" w:lineRule="exact"/>
              <w:jc w:val="center"/>
              <w:textAlignment w:val="center"/>
              <w:rPr>
                <w:rFonts w:eastAsia="Arial Unicode MS"/>
                <w:sz w:val="18"/>
                <w:szCs w:val="18"/>
              </w:rPr>
            </w:pPr>
            <w:r>
              <w:rPr>
                <w:rFonts w:eastAsia="Arial Unicode MS"/>
                <w:b/>
                <w:color w:val="000000"/>
                <w:sz w:val="18"/>
                <w:szCs w:val="18"/>
              </w:rPr>
              <w:t>100</w:t>
            </w:r>
          </w:p>
        </w:tc>
        <w:tc>
          <w:tcPr>
            <w:tcW w:w="506" w:type="dxa"/>
            <w:tcBorders>
              <w:top w:val="single" w:color="auto" w:sz="4" w:space="0"/>
              <w:left w:val="single" w:color="000000" w:sz="4" w:space="0"/>
              <w:bottom w:val="single" w:color="auto" w:sz="4" w:space="0"/>
              <w:right w:val="single" w:color="000000" w:sz="4" w:space="0"/>
              <w:tl2br w:val="nil"/>
              <w:tr2bl w:val="nil"/>
            </w:tcBorders>
            <w:noWrap/>
            <w:vAlign w:val="center"/>
          </w:tcPr>
          <w:p>
            <w:pPr>
              <w:autoSpaceDN w:val="0"/>
              <w:spacing w:line="300" w:lineRule="exact"/>
              <w:jc w:val="center"/>
              <w:textAlignment w:val="center"/>
              <w:rPr>
                <w:rFonts w:eastAsia="Arial Unicode MS"/>
                <w:sz w:val="18"/>
                <w:szCs w:val="18"/>
              </w:rPr>
            </w:pPr>
          </w:p>
        </w:tc>
        <w:tc>
          <w:tcPr>
            <w:tcW w:w="529" w:type="dxa"/>
            <w:tcBorders>
              <w:top w:val="single" w:color="auto" w:sz="4" w:space="0"/>
              <w:left w:val="single" w:color="000000" w:sz="4" w:space="0"/>
              <w:bottom w:val="single" w:color="auto" w:sz="4" w:space="0"/>
              <w:right w:val="single" w:color="000000" w:sz="4" w:space="0"/>
              <w:tl2br w:val="nil"/>
              <w:tr2bl w:val="nil"/>
            </w:tcBorders>
            <w:noWrap/>
            <w:vAlign w:val="center"/>
          </w:tcPr>
          <w:p>
            <w:pPr>
              <w:autoSpaceDN w:val="0"/>
              <w:spacing w:line="300" w:lineRule="exact"/>
              <w:jc w:val="center"/>
              <w:textAlignment w:val="center"/>
              <w:rPr>
                <w:rFonts w:eastAsia="Arial Unicode MS"/>
                <w:sz w:val="18"/>
                <w:szCs w:val="18"/>
              </w:rPr>
            </w:pPr>
            <w:r>
              <w:rPr>
                <w:rFonts w:eastAsia="Arial Unicode MS"/>
                <w:b/>
                <w:color w:val="000000"/>
                <w:sz w:val="18"/>
                <w:szCs w:val="18"/>
              </w:rPr>
              <w:t>100</w:t>
            </w:r>
          </w:p>
        </w:tc>
        <w:tc>
          <w:tcPr>
            <w:tcW w:w="735"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p>
        </w:tc>
        <w:tc>
          <w:tcPr>
            <w:tcW w:w="6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r>
              <w:rPr>
                <w:rFonts w:eastAsia="Arial Unicode MS"/>
                <w:b/>
                <w:color w:val="000000"/>
                <w:sz w:val="18"/>
                <w:szCs w:val="18"/>
              </w:rPr>
              <w:t>100</w:t>
            </w:r>
          </w:p>
        </w:tc>
        <w:tc>
          <w:tcPr>
            <w:tcW w:w="2506"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p>
        </w:tc>
        <w:tc>
          <w:tcPr>
            <w:tcW w:w="2220" w:type="dxa"/>
            <w:tcBorders>
              <w:top w:val="single" w:color="000000" w:sz="4" w:space="0"/>
              <w:left w:val="single" w:color="000000"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color w:val="000000"/>
                <w:sz w:val="18"/>
                <w:szCs w:val="18"/>
              </w:rPr>
            </w:pPr>
          </w:p>
        </w:tc>
        <w:tc>
          <w:tcPr>
            <w:tcW w:w="714"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N w:val="0"/>
              <w:spacing w:line="300" w:lineRule="exact"/>
              <w:jc w:val="center"/>
              <w:textAlignment w:val="center"/>
              <w:rPr>
                <w:rFonts w:eastAsia="Arial Unicode MS"/>
                <w:b/>
                <w:color w:val="000000"/>
                <w:sz w:val="18"/>
                <w:szCs w:val="18"/>
              </w:rPr>
            </w:pPr>
            <w:r>
              <w:rPr>
                <w:rFonts w:eastAsia="Arial Unicode MS"/>
                <w:b/>
                <w:color w:val="000000"/>
                <w:sz w:val="18"/>
                <w:szCs w:val="18"/>
              </w:rPr>
              <w:t>90</w:t>
            </w:r>
          </w:p>
        </w:tc>
      </w:tr>
    </w:tbl>
    <w:p>
      <w:pPr>
        <w:spacing w:line="4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（二）存在的问题。</w:t>
      </w:r>
    </w:p>
    <w:p>
      <w:pPr>
        <w:spacing w:line="460" w:lineRule="exact"/>
        <w:ind w:firstLine="640" w:firstLineChars="200"/>
        <w:rPr>
          <w:rFonts w:eastAsia="仿宋_GB2312"/>
          <w:sz w:val="32"/>
          <w:szCs w:val="32"/>
        </w:rPr>
      </w:pPr>
      <w:r>
        <w:rPr>
          <w:rFonts w:hint="eastAsia" w:eastAsia="仿宋_GB2312"/>
          <w:sz w:val="32"/>
          <w:szCs w:val="32"/>
        </w:rPr>
        <w:t>无</w:t>
      </w:r>
    </w:p>
    <w:p>
      <w:pPr>
        <w:spacing w:line="4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（三）相关建议。</w:t>
      </w:r>
    </w:p>
    <w:p>
      <w:pPr>
        <w:spacing w:line="460" w:lineRule="exact"/>
        <w:ind w:firstLine="640" w:firstLineChars="200"/>
      </w:pPr>
      <w:r>
        <w:rPr>
          <w:rFonts w:hint="eastAsia" w:eastAsia="仿宋_GB2312"/>
          <w:sz w:val="32"/>
          <w:szCs w:val="32"/>
        </w:rPr>
        <w:t>无</w:t>
      </w:r>
    </w:p>
    <w:p>
      <w:pPr>
        <w:spacing w:line="560" w:lineRule="exact"/>
        <w:outlineLvl w:val="0"/>
        <w:rPr>
          <w:rStyle w:val="15"/>
          <w:rFonts w:ascii="黑体" w:hAnsi="黑体" w:eastAsia="黑体"/>
          <w:b w:val="0"/>
          <w:szCs w:val="24"/>
        </w:rPr>
      </w:pPr>
    </w:p>
    <w:p>
      <w:pPr>
        <w:spacing w:line="560" w:lineRule="exact"/>
        <w:jc w:val="center"/>
        <w:outlineLvl w:val="0"/>
        <w:rPr>
          <w:rStyle w:val="15"/>
          <w:rFonts w:ascii="黑体" w:hAnsi="黑体" w:eastAsia="黑体"/>
          <w:b w:val="0"/>
          <w:szCs w:val="24"/>
        </w:rPr>
      </w:pPr>
      <w:bookmarkStart w:id="60" w:name="_Toc15396618"/>
      <w:r>
        <w:rPr>
          <w:rFonts w:hint="eastAsia" w:ascii="黑体" w:hAnsi="黑体" w:eastAsia="黑体"/>
          <w:color w:val="000000"/>
          <w:sz w:val="44"/>
          <w:szCs w:val="44"/>
        </w:rPr>
        <w:t>第</w:t>
      </w:r>
      <w:r>
        <w:rPr>
          <w:rStyle w:val="15"/>
          <w:rFonts w:hint="eastAsia" w:ascii="黑体" w:hAnsi="黑体" w:eastAsia="黑体"/>
          <w:b w:val="0"/>
          <w:szCs w:val="24"/>
        </w:rPr>
        <w:t>五部分 附表</w:t>
      </w:r>
      <w:bookmarkEnd w:id="58"/>
      <w:bookmarkEnd w:id="60"/>
    </w:p>
    <w:p>
      <w:pPr>
        <w:spacing w:line="560" w:lineRule="exact"/>
        <w:jc w:val="center"/>
        <w:outlineLvl w:val="0"/>
        <w:rPr>
          <w:rFonts w:ascii="仿宋" w:hAnsi="仿宋" w:eastAsia="仿宋"/>
          <w:b/>
          <w:color w:val="000000"/>
          <w:sz w:val="44"/>
          <w:szCs w:val="44"/>
        </w:rPr>
      </w:pPr>
    </w:p>
    <w:p>
      <w:pPr>
        <w:pStyle w:val="2"/>
        <w:spacing w:line="560" w:lineRule="exact"/>
        <w:ind w:firstLine="640" w:firstLineChars="200"/>
        <w:rPr>
          <w:rFonts w:ascii="仿宋" w:hAnsi="仿宋" w:eastAsia="仿宋"/>
          <w:color w:val="000000"/>
        </w:rPr>
      </w:pPr>
      <w:bookmarkStart w:id="61" w:name="_Toc15396619"/>
      <w:r>
        <w:rPr>
          <w:rFonts w:hint="eastAsia" w:ascii="仿宋" w:hAnsi="仿宋" w:eastAsia="仿宋"/>
          <w:b w:val="0"/>
          <w:color w:val="000000"/>
        </w:rPr>
        <w:t>一、收</w:t>
      </w:r>
      <w:r>
        <w:rPr>
          <w:rStyle w:val="16"/>
          <w:rFonts w:hint="eastAsia" w:ascii="仿宋" w:hAnsi="仿宋" w:eastAsia="仿宋"/>
          <w:b w:val="0"/>
          <w:bCs w:val="0"/>
        </w:rPr>
        <w:t>入支出决算总表</w:t>
      </w:r>
      <w:bookmarkEnd w:id="61"/>
    </w:p>
    <w:p>
      <w:pPr>
        <w:pStyle w:val="2"/>
        <w:spacing w:line="560" w:lineRule="exact"/>
        <w:ind w:firstLine="640" w:firstLineChars="200"/>
        <w:rPr>
          <w:rFonts w:ascii="仿宋" w:hAnsi="仿宋" w:eastAsia="仿宋"/>
          <w:color w:val="000000"/>
        </w:rPr>
      </w:pPr>
      <w:bookmarkStart w:id="62" w:name="_Toc15396620"/>
      <w:r>
        <w:rPr>
          <w:rFonts w:hint="eastAsia" w:ascii="仿宋" w:hAnsi="仿宋" w:eastAsia="仿宋"/>
          <w:b w:val="0"/>
          <w:color w:val="000000"/>
        </w:rPr>
        <w:t>二、收</w:t>
      </w:r>
      <w:r>
        <w:rPr>
          <w:rStyle w:val="16"/>
          <w:rFonts w:hint="eastAsia" w:ascii="仿宋" w:hAnsi="仿宋" w:eastAsia="仿宋"/>
          <w:b w:val="0"/>
          <w:bCs w:val="0"/>
        </w:rPr>
        <w:t>入决算表</w:t>
      </w:r>
      <w:bookmarkEnd w:id="62"/>
    </w:p>
    <w:p>
      <w:pPr>
        <w:pStyle w:val="2"/>
        <w:spacing w:line="560" w:lineRule="exact"/>
        <w:ind w:firstLine="640" w:firstLineChars="200"/>
        <w:rPr>
          <w:rFonts w:ascii="仿宋" w:hAnsi="仿宋" w:eastAsia="仿宋"/>
          <w:color w:val="000000"/>
        </w:rPr>
      </w:pPr>
      <w:bookmarkStart w:id="63" w:name="_Toc15396621"/>
      <w:r>
        <w:rPr>
          <w:rStyle w:val="16"/>
          <w:rFonts w:hint="eastAsia" w:ascii="仿宋" w:hAnsi="仿宋" w:eastAsia="仿宋"/>
          <w:b w:val="0"/>
          <w:bCs w:val="0"/>
        </w:rPr>
        <w:t>三、</w:t>
      </w:r>
      <w:r>
        <w:rPr>
          <w:rFonts w:hint="eastAsia" w:ascii="仿宋" w:hAnsi="仿宋" w:eastAsia="仿宋"/>
          <w:b w:val="0"/>
          <w:color w:val="000000"/>
        </w:rPr>
        <w:t>支</w:t>
      </w:r>
      <w:r>
        <w:rPr>
          <w:rStyle w:val="16"/>
          <w:rFonts w:hint="eastAsia" w:ascii="仿宋" w:hAnsi="仿宋" w:eastAsia="仿宋"/>
          <w:b w:val="0"/>
          <w:bCs w:val="0"/>
        </w:rPr>
        <w:t>出决算表</w:t>
      </w:r>
      <w:bookmarkEnd w:id="63"/>
    </w:p>
    <w:p>
      <w:pPr>
        <w:pStyle w:val="2"/>
        <w:spacing w:line="560" w:lineRule="exact"/>
        <w:ind w:firstLine="640" w:firstLineChars="200"/>
        <w:rPr>
          <w:rFonts w:ascii="仿宋" w:hAnsi="仿宋" w:eastAsia="仿宋"/>
          <w:b w:val="0"/>
          <w:color w:val="000000"/>
        </w:rPr>
      </w:pPr>
      <w:bookmarkStart w:id="64" w:name="_Toc15396622"/>
      <w:r>
        <w:rPr>
          <w:rStyle w:val="16"/>
          <w:rFonts w:hint="eastAsia" w:ascii="仿宋" w:hAnsi="仿宋" w:eastAsia="仿宋"/>
          <w:b w:val="0"/>
          <w:bCs w:val="0"/>
        </w:rPr>
        <w:t>四、</w:t>
      </w:r>
      <w:r>
        <w:rPr>
          <w:rFonts w:hint="eastAsia" w:ascii="仿宋" w:hAnsi="仿宋" w:eastAsia="仿宋"/>
          <w:b w:val="0"/>
          <w:color w:val="000000"/>
        </w:rPr>
        <w:t>财</w:t>
      </w:r>
      <w:r>
        <w:rPr>
          <w:rStyle w:val="16"/>
          <w:rFonts w:hint="eastAsia" w:ascii="仿宋" w:hAnsi="仿宋" w:eastAsia="仿宋"/>
          <w:b w:val="0"/>
          <w:bCs w:val="0"/>
        </w:rPr>
        <w:t>政拨款收入支出决算总表</w:t>
      </w:r>
      <w:bookmarkEnd w:id="64"/>
    </w:p>
    <w:p>
      <w:pPr>
        <w:pStyle w:val="2"/>
        <w:spacing w:line="560" w:lineRule="exact"/>
        <w:ind w:firstLine="640" w:firstLineChars="200"/>
        <w:rPr>
          <w:rStyle w:val="16"/>
          <w:rFonts w:ascii="仿宋" w:hAnsi="仿宋" w:eastAsia="仿宋"/>
          <w:b w:val="0"/>
          <w:bCs w:val="0"/>
        </w:rPr>
      </w:pPr>
      <w:bookmarkStart w:id="65" w:name="_Toc15396623"/>
      <w:r>
        <w:rPr>
          <w:rStyle w:val="16"/>
          <w:rFonts w:hint="eastAsia" w:ascii="仿宋" w:hAnsi="仿宋" w:eastAsia="仿宋"/>
          <w:b w:val="0"/>
          <w:bCs w:val="0"/>
        </w:rPr>
        <w:t>五、</w:t>
      </w:r>
      <w:r>
        <w:rPr>
          <w:rFonts w:hint="eastAsia" w:ascii="仿宋" w:hAnsi="仿宋" w:eastAsia="仿宋"/>
          <w:b w:val="0"/>
          <w:color w:val="000000"/>
        </w:rPr>
        <w:t>财</w:t>
      </w:r>
      <w:r>
        <w:rPr>
          <w:rStyle w:val="16"/>
          <w:rFonts w:hint="eastAsia" w:ascii="仿宋" w:hAnsi="仿宋" w:eastAsia="仿宋"/>
          <w:b w:val="0"/>
          <w:bCs w:val="0"/>
        </w:rPr>
        <w:t>政拨款支出决算明细表</w:t>
      </w:r>
      <w:bookmarkEnd w:id="65"/>
      <w:bookmarkStart w:id="66" w:name="_Toc15396624"/>
    </w:p>
    <w:p>
      <w:pPr>
        <w:pStyle w:val="2"/>
        <w:spacing w:line="560" w:lineRule="exact"/>
        <w:ind w:firstLine="640" w:firstLineChars="200"/>
        <w:rPr>
          <w:rFonts w:ascii="仿宋" w:hAnsi="仿宋" w:eastAsia="仿宋"/>
          <w:color w:val="000000"/>
        </w:rPr>
      </w:pPr>
      <w:r>
        <w:rPr>
          <w:rStyle w:val="16"/>
          <w:rFonts w:hint="eastAsia" w:ascii="仿宋" w:hAnsi="仿宋" w:eastAsia="仿宋"/>
          <w:b w:val="0"/>
          <w:bCs w:val="0"/>
        </w:rPr>
        <w:t>六、</w:t>
      </w:r>
      <w:r>
        <w:rPr>
          <w:rFonts w:hint="eastAsia" w:ascii="仿宋" w:hAnsi="仿宋" w:eastAsia="仿宋"/>
          <w:b w:val="0"/>
          <w:color w:val="000000"/>
        </w:rPr>
        <w:t>一</w:t>
      </w:r>
      <w:r>
        <w:rPr>
          <w:rStyle w:val="16"/>
          <w:rFonts w:hint="eastAsia" w:ascii="仿宋" w:hAnsi="仿宋" w:eastAsia="仿宋"/>
          <w:b w:val="0"/>
          <w:bCs w:val="0"/>
        </w:rPr>
        <w:t>般公共预算财政拨款支出决算表</w:t>
      </w:r>
      <w:bookmarkEnd w:id="66"/>
    </w:p>
    <w:p>
      <w:pPr>
        <w:pStyle w:val="2"/>
        <w:spacing w:line="560" w:lineRule="exact"/>
        <w:ind w:firstLine="640" w:firstLineChars="200"/>
        <w:rPr>
          <w:rFonts w:ascii="仿宋" w:hAnsi="仿宋" w:eastAsia="仿宋"/>
          <w:color w:val="000000"/>
        </w:rPr>
      </w:pPr>
      <w:bookmarkStart w:id="67" w:name="_Toc15396625"/>
      <w:r>
        <w:rPr>
          <w:rStyle w:val="16"/>
          <w:rFonts w:hint="eastAsia" w:ascii="仿宋" w:hAnsi="仿宋" w:eastAsia="仿宋"/>
          <w:b w:val="0"/>
          <w:bCs w:val="0"/>
        </w:rPr>
        <w:t>七、</w:t>
      </w:r>
      <w:r>
        <w:rPr>
          <w:rFonts w:hint="eastAsia" w:ascii="仿宋" w:hAnsi="仿宋" w:eastAsia="仿宋"/>
          <w:b w:val="0"/>
          <w:color w:val="000000"/>
        </w:rPr>
        <w:t>一</w:t>
      </w:r>
      <w:r>
        <w:rPr>
          <w:rStyle w:val="16"/>
          <w:rFonts w:hint="eastAsia" w:ascii="仿宋" w:hAnsi="仿宋" w:eastAsia="仿宋"/>
          <w:b w:val="0"/>
          <w:bCs w:val="0"/>
        </w:rPr>
        <w:t>般公共预算财政拨款支出决算明细表</w:t>
      </w:r>
      <w:bookmarkEnd w:id="67"/>
    </w:p>
    <w:p>
      <w:pPr>
        <w:pStyle w:val="2"/>
        <w:spacing w:line="560" w:lineRule="exact"/>
        <w:ind w:firstLine="640" w:firstLineChars="200"/>
        <w:rPr>
          <w:rFonts w:ascii="仿宋" w:hAnsi="仿宋" w:eastAsia="仿宋"/>
          <w:color w:val="000000"/>
        </w:rPr>
      </w:pPr>
      <w:bookmarkStart w:id="68" w:name="_Toc15396626"/>
      <w:r>
        <w:rPr>
          <w:rStyle w:val="16"/>
          <w:rFonts w:hint="eastAsia" w:ascii="仿宋" w:hAnsi="仿宋" w:eastAsia="仿宋"/>
          <w:b w:val="0"/>
          <w:bCs w:val="0"/>
        </w:rPr>
        <w:t>八、</w:t>
      </w:r>
      <w:r>
        <w:rPr>
          <w:rFonts w:hint="eastAsia" w:ascii="仿宋" w:hAnsi="仿宋" w:eastAsia="仿宋"/>
          <w:b w:val="0"/>
          <w:color w:val="000000"/>
        </w:rPr>
        <w:t>一</w:t>
      </w:r>
      <w:r>
        <w:rPr>
          <w:rStyle w:val="16"/>
          <w:rFonts w:hint="eastAsia" w:ascii="仿宋" w:hAnsi="仿宋" w:eastAsia="仿宋"/>
          <w:b w:val="0"/>
          <w:bCs w:val="0"/>
        </w:rPr>
        <w:t>般公共预算财政拨款基本支出决算表</w:t>
      </w:r>
      <w:bookmarkEnd w:id="68"/>
    </w:p>
    <w:p>
      <w:pPr>
        <w:pStyle w:val="2"/>
        <w:spacing w:line="560" w:lineRule="exact"/>
        <w:ind w:firstLine="640" w:firstLineChars="200"/>
        <w:rPr>
          <w:rFonts w:ascii="仿宋" w:hAnsi="仿宋" w:eastAsia="仿宋"/>
          <w:color w:val="000000"/>
        </w:rPr>
      </w:pPr>
      <w:bookmarkStart w:id="69" w:name="_Toc15396627"/>
      <w:r>
        <w:rPr>
          <w:rStyle w:val="16"/>
          <w:rFonts w:hint="eastAsia" w:ascii="仿宋" w:hAnsi="仿宋" w:eastAsia="仿宋"/>
          <w:b w:val="0"/>
          <w:bCs w:val="0"/>
        </w:rPr>
        <w:t>九、</w:t>
      </w:r>
      <w:r>
        <w:rPr>
          <w:rFonts w:hint="eastAsia" w:ascii="仿宋" w:hAnsi="仿宋" w:eastAsia="仿宋"/>
          <w:b w:val="0"/>
          <w:color w:val="000000"/>
        </w:rPr>
        <w:t>一</w:t>
      </w:r>
      <w:r>
        <w:rPr>
          <w:rStyle w:val="16"/>
          <w:rFonts w:hint="eastAsia" w:ascii="仿宋" w:hAnsi="仿宋" w:eastAsia="仿宋"/>
          <w:b w:val="0"/>
          <w:bCs w:val="0"/>
        </w:rPr>
        <w:t>般公共预算财政拨款项目支出决算表</w:t>
      </w:r>
      <w:bookmarkEnd w:id="69"/>
    </w:p>
    <w:p>
      <w:pPr>
        <w:pStyle w:val="2"/>
        <w:spacing w:line="560" w:lineRule="exact"/>
        <w:ind w:firstLine="640" w:firstLineChars="200"/>
        <w:rPr>
          <w:rFonts w:ascii="仿宋" w:hAnsi="仿宋" w:eastAsia="仿宋"/>
          <w:color w:val="000000"/>
        </w:rPr>
      </w:pPr>
      <w:bookmarkStart w:id="70" w:name="_Toc15396628"/>
      <w:r>
        <w:rPr>
          <w:rStyle w:val="16"/>
          <w:rFonts w:hint="eastAsia" w:ascii="仿宋" w:hAnsi="仿宋" w:eastAsia="仿宋"/>
          <w:b w:val="0"/>
          <w:bCs w:val="0"/>
        </w:rPr>
        <w:t>十、</w:t>
      </w:r>
      <w:r>
        <w:rPr>
          <w:rFonts w:hint="eastAsia" w:ascii="仿宋" w:hAnsi="仿宋" w:eastAsia="仿宋"/>
          <w:b w:val="0"/>
          <w:color w:val="000000"/>
        </w:rPr>
        <w:t>一</w:t>
      </w:r>
      <w:r>
        <w:rPr>
          <w:rStyle w:val="16"/>
          <w:rFonts w:hint="eastAsia" w:ascii="仿宋" w:hAnsi="仿宋" w:eastAsia="仿宋"/>
          <w:b w:val="0"/>
          <w:bCs w:val="0"/>
        </w:rPr>
        <w:t>般公共预算财政拨款“三公”经费支出决算表</w:t>
      </w:r>
      <w:bookmarkEnd w:id="70"/>
    </w:p>
    <w:p>
      <w:pPr>
        <w:pStyle w:val="2"/>
        <w:spacing w:line="560" w:lineRule="exact"/>
        <w:ind w:firstLine="640" w:firstLineChars="200"/>
        <w:rPr>
          <w:rFonts w:ascii="仿宋" w:hAnsi="仿宋" w:eastAsia="仿宋"/>
          <w:color w:val="000000"/>
        </w:rPr>
      </w:pPr>
      <w:bookmarkStart w:id="71" w:name="_Toc15396629"/>
      <w:r>
        <w:rPr>
          <w:rStyle w:val="16"/>
          <w:rFonts w:hint="eastAsia" w:ascii="仿宋" w:hAnsi="仿宋" w:eastAsia="仿宋"/>
          <w:b w:val="0"/>
          <w:bCs w:val="0"/>
        </w:rPr>
        <w:t>十一、</w:t>
      </w:r>
      <w:r>
        <w:rPr>
          <w:rFonts w:hint="eastAsia" w:ascii="仿宋" w:hAnsi="仿宋" w:eastAsia="仿宋"/>
          <w:b w:val="0"/>
          <w:color w:val="000000"/>
        </w:rPr>
        <w:t>政</w:t>
      </w:r>
      <w:r>
        <w:rPr>
          <w:rStyle w:val="16"/>
          <w:rFonts w:hint="eastAsia" w:ascii="仿宋" w:hAnsi="仿宋" w:eastAsia="仿宋"/>
          <w:b w:val="0"/>
          <w:bCs w:val="0"/>
        </w:rPr>
        <w:t>府性基金预算财政拨款收入支出决算表</w:t>
      </w:r>
      <w:bookmarkEnd w:id="71"/>
    </w:p>
    <w:p>
      <w:pPr>
        <w:pStyle w:val="2"/>
        <w:spacing w:line="560" w:lineRule="exact"/>
        <w:ind w:firstLine="640" w:firstLineChars="200"/>
        <w:rPr>
          <w:rFonts w:ascii="仿宋" w:hAnsi="仿宋" w:eastAsia="仿宋"/>
          <w:color w:val="000000"/>
        </w:rPr>
      </w:pPr>
      <w:bookmarkStart w:id="72" w:name="_Toc15396630"/>
      <w:r>
        <w:rPr>
          <w:rStyle w:val="16"/>
          <w:rFonts w:hint="eastAsia" w:ascii="仿宋" w:hAnsi="仿宋" w:eastAsia="仿宋"/>
          <w:b w:val="0"/>
          <w:bCs w:val="0"/>
        </w:rPr>
        <w:t>十二、</w:t>
      </w:r>
      <w:r>
        <w:rPr>
          <w:rFonts w:hint="eastAsia" w:ascii="仿宋" w:hAnsi="仿宋" w:eastAsia="仿宋"/>
          <w:b w:val="0"/>
          <w:color w:val="000000"/>
        </w:rPr>
        <w:t>政</w:t>
      </w:r>
      <w:r>
        <w:rPr>
          <w:rStyle w:val="16"/>
          <w:rFonts w:hint="eastAsia" w:ascii="仿宋" w:hAnsi="仿宋" w:eastAsia="仿宋"/>
          <w:b w:val="0"/>
          <w:bCs w:val="0"/>
        </w:rPr>
        <w:t>府性基金预算财政拨款“三公”经费支出决算表</w:t>
      </w:r>
      <w:bookmarkEnd w:id="72"/>
    </w:p>
    <w:p>
      <w:pPr>
        <w:pStyle w:val="2"/>
        <w:spacing w:line="560" w:lineRule="exact"/>
        <w:ind w:firstLine="640" w:firstLineChars="200"/>
        <w:rPr>
          <w:rFonts w:ascii="仿宋" w:hAnsi="仿宋" w:eastAsia="仿宋"/>
          <w:color w:val="000000"/>
        </w:rPr>
      </w:pPr>
      <w:bookmarkStart w:id="73" w:name="_Toc15396631"/>
      <w:r>
        <w:rPr>
          <w:rStyle w:val="16"/>
          <w:rFonts w:hint="eastAsia" w:ascii="仿宋" w:hAnsi="仿宋" w:eastAsia="仿宋"/>
          <w:b w:val="0"/>
          <w:bCs w:val="0"/>
        </w:rPr>
        <w:t>十三、</w:t>
      </w:r>
      <w:r>
        <w:rPr>
          <w:rFonts w:hint="eastAsia" w:ascii="仿宋" w:hAnsi="仿宋" w:eastAsia="仿宋"/>
          <w:b w:val="0"/>
          <w:color w:val="000000"/>
        </w:rPr>
        <w:t>国</w:t>
      </w:r>
      <w:r>
        <w:rPr>
          <w:rStyle w:val="16"/>
          <w:rFonts w:hint="eastAsia" w:ascii="仿宋" w:hAnsi="仿宋" w:eastAsia="仿宋"/>
          <w:b w:val="0"/>
          <w:bCs w:val="0"/>
        </w:rPr>
        <w:t>有资本经营预算财政拨款支出决算表</w:t>
      </w:r>
      <w:bookmarkEnd w:id="73"/>
    </w:p>
    <w:p>
      <w:pPr>
        <w:pStyle w:val="2"/>
        <w:ind w:firstLine="643" w:firstLineChars="200"/>
      </w:pPr>
    </w:p>
    <w:p>
      <w:pPr>
        <w:ind w:firstLine="420" w:firstLineChars="200"/>
      </w:pPr>
    </w:p>
    <w:p/>
    <w:sectPr>
      <w:footerReference r:id="rId3" w:type="default"/>
      <w:pgSz w:w="11906" w:h="16838"/>
      <w:pgMar w:top="2098" w:right="1474" w:bottom="1984" w:left="1587" w:header="851" w:footer="1417"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Malgun Gothic Semilight">
    <w:panose1 w:val="020B0502040204020203"/>
    <w:charset w:val="86"/>
    <w:family w:val="swiss"/>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49" o:spid="_x0000_s2049"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path/>
          <v:fill on="f" focussize="0,0"/>
          <v:stroke on="f" weight="0.5pt" joinstyle="miter"/>
          <v:imagedata o:title=""/>
          <o:lock v:ext="edit"/>
          <v:textbox inset="0mm,0mm,0mm,0mm" style="mso-fit-shape-to-text:t;">
            <w:txbxContent>
              <w:p>
                <w:pPr>
                  <w:pStyle w:val="8"/>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- 17 -</w:t>
                </w:r>
                <w:r>
                  <w:rPr>
                    <w:rFonts w:hint="eastAsia" w:asciiTheme="majorEastAsia" w:hAnsiTheme="majorEastAsia" w:eastAsiaTheme="majorEastAsia" w:cstheme="maj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5A9C0"/>
    <w:multiLevelType w:val="multilevel"/>
    <w:tmpl w:val="A2E5A9C0"/>
    <w:lvl w:ilvl="0" w:tentative="0">
      <w:start w:val="2"/>
      <w:numFmt w:val="chineseCounting"/>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
    <w:nsid w:val="E2FA047D"/>
    <w:multiLevelType w:val="multilevel"/>
    <w:tmpl w:val="E2FA047D"/>
    <w:lvl w:ilvl="0" w:tentative="0">
      <w:start w:val="3"/>
      <w:numFmt w:val="chineseCounting"/>
      <w:suff w:val="space"/>
      <w:lvlText w:val="第%1部分"/>
      <w:lvlJc w:val="left"/>
      <w:rPr>
        <w:rFonts w:hint="default" w:cs="Times New Roman"/>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2">
    <w:nsid w:val="274D3001"/>
    <w:multiLevelType w:val="multilevel"/>
    <w:tmpl w:val="274D3001"/>
    <w:lvl w:ilvl="0" w:tentative="0">
      <w:start w:val="2"/>
      <w:numFmt w:val="chineseCounting"/>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gxMDQ1ZDU5MjBkMzE3MWYyZjUwMTQwNWE4ZGQ5ZTkifQ=="/>
  </w:docVars>
  <w:rsids>
    <w:rsidRoot w:val="3BEB4F1E"/>
    <w:rsid w:val="000228AC"/>
    <w:rsid w:val="00494EE5"/>
    <w:rsid w:val="00767B10"/>
    <w:rsid w:val="00B04D61"/>
    <w:rsid w:val="0C3955C2"/>
    <w:rsid w:val="0E513260"/>
    <w:rsid w:val="35511EE2"/>
    <w:rsid w:val="3BEB4F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16"/>
    <w:unhideWhenUsed/>
    <w:qFormat/>
    <w:uiPriority w:val="9"/>
    <w:pPr>
      <w:keepNext/>
      <w:keepLines/>
      <w:spacing w:before="260" w:after="260" w:line="416" w:lineRule="auto"/>
      <w:outlineLvl w:val="1"/>
    </w:pPr>
    <w:rPr>
      <w:rFonts w:ascii="Cambria" w:hAnsi="Cambria"/>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Salutation"/>
    <w:basedOn w:val="1"/>
    <w:next w:val="1"/>
    <w:unhideWhenUsed/>
    <w:qFormat/>
    <w:uiPriority w:val="99"/>
  </w:style>
  <w:style w:type="paragraph" w:styleId="5">
    <w:name w:val="Body Text"/>
    <w:basedOn w:val="1"/>
    <w:unhideWhenUsed/>
    <w:qFormat/>
    <w:uiPriority w:val="99"/>
    <w:pPr>
      <w:spacing w:beforeLines="30"/>
    </w:pPr>
    <w:rPr>
      <w:rFonts w:hint="eastAsia" w:ascii="仿宋_GB2312" w:eastAsia="仿宋_GB2312"/>
      <w:kern w:val="0"/>
      <w:sz w:val="24"/>
      <w:szCs w:val="20"/>
    </w:rPr>
  </w:style>
  <w:style w:type="paragraph" w:styleId="6">
    <w:name w:val="Plain Text"/>
    <w:basedOn w:val="1"/>
    <w:unhideWhenUsed/>
    <w:qFormat/>
    <w:uiPriority w:val="0"/>
    <w:rPr>
      <w:rFonts w:hint="eastAsia" w:ascii="宋体" w:hAnsi="Courier New"/>
    </w:rPr>
  </w:style>
  <w:style w:type="paragraph" w:styleId="7">
    <w:name w:val="Balloon Text"/>
    <w:basedOn w:val="1"/>
    <w:link w:val="19"/>
    <w:uiPriority w:val="0"/>
    <w:rPr>
      <w:sz w:val="18"/>
      <w:szCs w:val="18"/>
    </w:rPr>
  </w:style>
  <w:style w:type="paragraph" w:styleId="8">
    <w:name w:val="footer"/>
    <w:basedOn w:val="1"/>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Hyperlink"/>
    <w:basedOn w:val="13"/>
    <w:unhideWhenUsed/>
    <w:qFormat/>
    <w:uiPriority w:val="99"/>
    <w:rPr>
      <w:rFonts w:cs="Times New Roman"/>
      <w:color w:val="0000FF"/>
      <w:u w:val="single"/>
    </w:rPr>
  </w:style>
  <w:style w:type="character" w:customStyle="1" w:styleId="15">
    <w:name w:val="标题 1 Char"/>
    <w:basedOn w:val="13"/>
    <w:link w:val="3"/>
    <w:qFormat/>
    <w:locked/>
    <w:uiPriority w:val="9"/>
    <w:rPr>
      <w:b/>
      <w:bCs/>
      <w:kern w:val="44"/>
      <w:sz w:val="44"/>
      <w:szCs w:val="44"/>
    </w:rPr>
  </w:style>
  <w:style w:type="character" w:customStyle="1" w:styleId="16">
    <w:name w:val="标题 2 Char"/>
    <w:basedOn w:val="13"/>
    <w:link w:val="2"/>
    <w:qFormat/>
    <w:locked/>
    <w:uiPriority w:val="9"/>
    <w:rPr>
      <w:rFonts w:ascii="Cambria" w:hAnsi="Cambria"/>
      <w:b/>
      <w:bCs/>
      <w:sz w:val="32"/>
      <w:szCs w:val="32"/>
    </w:rPr>
  </w:style>
  <w:style w:type="paragraph" w:styleId="17">
    <w:name w:val="List Paragraph"/>
    <w:basedOn w:val="1"/>
    <w:unhideWhenUsed/>
    <w:qFormat/>
    <w:uiPriority w:val="34"/>
    <w:pPr>
      <w:ind w:firstLine="420" w:firstLineChars="200"/>
    </w:pPr>
  </w:style>
  <w:style w:type="paragraph" w:customStyle="1" w:styleId="18">
    <w:name w:val="Default"/>
    <w:unhideWhenUsed/>
    <w:qFormat/>
    <w:uiPriority w:val="99"/>
    <w:pPr>
      <w:widowControl w:val="0"/>
      <w:autoSpaceDE w:val="0"/>
      <w:autoSpaceDN w:val="0"/>
      <w:adjustRightInd w:val="0"/>
    </w:pPr>
    <w:rPr>
      <w:rFonts w:hint="eastAsia" w:ascii="仿宋" w:hAnsi="Calibri" w:eastAsia="仿宋" w:cs="仿宋"/>
      <w:color w:val="000000"/>
      <w:sz w:val="24"/>
      <w:szCs w:val="24"/>
      <w:lang w:val="en-US" w:eastAsia="zh-CN" w:bidi="ar-SA"/>
    </w:rPr>
  </w:style>
  <w:style w:type="character" w:customStyle="1" w:styleId="19">
    <w:name w:val="批注框文本 Char"/>
    <w:basedOn w:val="13"/>
    <w:link w:val="7"/>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17691</Words>
  <Characters>19527</Characters>
  <Lines>145</Lines>
  <Paragraphs>41</Paragraphs>
  <TotalTime>16</TotalTime>
  <ScaleCrop>false</ScaleCrop>
  <LinksUpToDate>false</LinksUpToDate>
  <CharactersWithSpaces>19555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2021-10-27T01:54:00Z</dcterms:created>
  <dc:creator>admin</dc:creator>
  <cp:lastModifiedBy>爱在浪漫中舞蹈</cp:lastModifiedBy>
  <dcterms:modified xsi:type="dcterms:W3CDTF">2023-07-14T08:02:22Z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AFFCE1F29B624BDA844F8A3845AD309C</vt:lpwstr>
  </property>
</Properties>
</file>