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96597"/>
      <w:bookmarkStart w:id="5" w:name="_Toc29909"/>
      <w:bookmarkStart w:id="6" w:name="_Toc15377425"/>
      <w:bookmarkStart w:id="120" w:name="_GoBack"/>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96476"/>
      <w:bookmarkStart w:id="9" w:name="_Toc16180"/>
      <w:bookmarkStart w:id="10" w:name="_Toc15377426"/>
      <w:bookmarkStart w:id="11" w:name="_Toc15377194"/>
      <w:bookmarkStart w:id="12" w:name="_Toc15396598"/>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lang w:eastAsia="zh-CN"/>
        </w:rPr>
        <w:t>攀枝花市西区陶家渡街道办事处</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bookmarkEnd w:id="120"/>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3"/>
      </w:pPr>
      <w:r>
        <w:rPr>
          <w:rFonts w:hint="eastAsia"/>
        </w:rPr>
        <w:t>公开时间：2020年</w:t>
      </w:r>
      <w:r>
        <w:rPr>
          <w:rFonts w:hint="eastAsia"/>
          <w:lang w:val="en-US" w:eastAsia="zh-CN"/>
        </w:rPr>
        <w:t>11</w:t>
      </w:r>
      <w:r>
        <w:rPr>
          <w:rFonts w:hint="eastAsia"/>
        </w:rPr>
        <w:t>月</w:t>
      </w:r>
      <w:r>
        <w:rPr>
          <w:rFonts w:hint="eastAsia"/>
          <w:lang w:val="en-US" w:eastAsia="zh-CN"/>
        </w:rPr>
        <w:t>20</w:t>
      </w:r>
      <w:r>
        <w:rPr>
          <w:rFonts w:hint="eastAsia"/>
        </w:rPr>
        <w:t>日</w:t>
      </w:r>
    </w:p>
    <w:p/>
    <w:sdt>
      <w:sdtPr>
        <w:rPr>
          <w:rFonts w:ascii="宋体" w:hAnsi="宋体" w:eastAsia="宋体" w:cs="Times New Roman"/>
          <w:kern w:val="2"/>
          <w:sz w:val="21"/>
          <w:szCs w:val="24"/>
          <w:lang w:val="en-US" w:eastAsia="zh-CN" w:bidi="ar-SA"/>
        </w:rPr>
        <w:id w:val="1474727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3"/>
            <w:tabs>
              <w:tab w:val="right" w:leader="dot" w:pos="8306"/>
            </w:tabs>
          </w:pPr>
          <w:r>
            <w:fldChar w:fldCharType="begin"/>
          </w:r>
          <w:r>
            <w:instrText xml:space="preserve">TOC \o "1-3" \h \u </w:instrText>
          </w:r>
          <w:r>
            <w:fldChar w:fldCharType="separate"/>
          </w:r>
          <w:r>
            <w:fldChar w:fldCharType="begin"/>
          </w:r>
          <w:r>
            <w:instrText xml:space="preserve"> HYPERLINK \l _Toc29909 </w:instrText>
          </w:r>
          <w:r>
            <w:fldChar w:fldCharType="separate"/>
          </w:r>
          <w:r>
            <w:rPr>
              <w:rFonts w:ascii="黑体" w:hAnsi="黑体" w:eastAsia="黑体"/>
              <w:szCs w:val="72"/>
            </w:rPr>
            <w:t>201</w:t>
          </w:r>
          <w:r>
            <w:rPr>
              <w:rFonts w:hint="eastAsia" w:ascii="黑体" w:hAnsi="黑体" w:eastAsia="黑体"/>
              <w:szCs w:val="72"/>
            </w:rPr>
            <w:t>9</w:t>
          </w:r>
          <w:r>
            <w:rPr>
              <w:rFonts w:hint="eastAsia" w:ascii="方正小标宋简体" w:hAnsi="宋体" w:eastAsia="方正小标宋简体"/>
              <w:szCs w:val="72"/>
            </w:rPr>
            <w:t>年度</w:t>
          </w:r>
          <w:r>
            <w:tab/>
          </w:r>
          <w:r>
            <w:fldChar w:fldCharType="begin"/>
          </w:r>
          <w:r>
            <w:instrText xml:space="preserve"> PAGEREF _Toc29909 </w:instrText>
          </w:r>
          <w:r>
            <w:fldChar w:fldCharType="separate"/>
          </w:r>
          <w:r>
            <w:t>1</w:t>
          </w:r>
          <w:r>
            <w:fldChar w:fldCharType="end"/>
          </w:r>
          <w:r>
            <w:fldChar w:fldCharType="end"/>
          </w:r>
        </w:p>
        <w:p>
          <w:pPr>
            <w:pStyle w:val="33"/>
            <w:tabs>
              <w:tab w:val="right" w:leader="dot" w:pos="8306"/>
            </w:tabs>
          </w:pPr>
          <w:r>
            <w:fldChar w:fldCharType="begin"/>
          </w:r>
          <w:r>
            <w:instrText xml:space="preserve"> HYPERLINK \l _Toc16180 </w:instrText>
          </w:r>
          <w:r>
            <w:fldChar w:fldCharType="separate"/>
          </w:r>
          <w:r>
            <w:rPr>
              <w:rFonts w:hint="eastAsia" w:ascii="方正小标宋简体" w:hAnsi="宋体" w:eastAsia="方正小标宋简体"/>
              <w:szCs w:val="72"/>
            </w:rPr>
            <w:t>四川省</w:t>
          </w:r>
          <w:r>
            <w:rPr>
              <w:rFonts w:hint="eastAsia" w:ascii="方正小标宋简体" w:hAnsi="宋体" w:eastAsia="方正小标宋简体"/>
              <w:szCs w:val="72"/>
              <w:lang w:eastAsia="zh-CN"/>
            </w:rPr>
            <w:t>攀枝花市西区陶家渡街道办事处</w:t>
          </w:r>
          <w:r>
            <w:rPr>
              <w:rFonts w:hint="eastAsia" w:ascii="方正小标宋简体" w:hAnsi="宋体" w:eastAsia="方正小标宋简体"/>
              <w:szCs w:val="72"/>
            </w:rPr>
            <w:t>部门决算</w:t>
          </w:r>
          <w:r>
            <w:tab/>
          </w:r>
          <w:r>
            <w:fldChar w:fldCharType="begin"/>
          </w:r>
          <w:r>
            <w:instrText xml:space="preserve"> PAGEREF _Toc16180 </w:instrText>
          </w:r>
          <w:r>
            <w:fldChar w:fldCharType="separate"/>
          </w:r>
          <w:r>
            <w:t>1</w:t>
          </w:r>
          <w:r>
            <w:fldChar w:fldCharType="end"/>
          </w:r>
          <w:r>
            <w:fldChar w:fldCharType="end"/>
          </w:r>
        </w:p>
        <w:p>
          <w:pPr>
            <w:pStyle w:val="33"/>
            <w:tabs>
              <w:tab w:val="right" w:leader="dot" w:pos="8306"/>
            </w:tabs>
          </w:pPr>
          <w:r>
            <w:fldChar w:fldCharType="begin"/>
          </w:r>
          <w:r>
            <w:instrText xml:space="preserve"> HYPERLINK \l _Toc16454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_Toc16454 </w:instrText>
          </w:r>
          <w:r>
            <w:fldChar w:fldCharType="separate"/>
          </w:r>
          <w:r>
            <w:t>4</w:t>
          </w:r>
          <w:r>
            <w:fldChar w:fldCharType="end"/>
          </w:r>
          <w:r>
            <w:fldChar w:fldCharType="end"/>
          </w:r>
        </w:p>
        <w:p>
          <w:pPr>
            <w:pStyle w:val="34"/>
            <w:tabs>
              <w:tab w:val="right" w:leader="dot" w:pos="8306"/>
            </w:tabs>
          </w:pPr>
          <w:r>
            <w:fldChar w:fldCharType="begin"/>
          </w:r>
          <w:r>
            <w:instrText xml:space="preserve"> HYPERLINK \l _Toc26352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_Toc26352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_Toc22018 </w:instrText>
          </w:r>
          <w:r>
            <w:fldChar w:fldCharType="separate"/>
          </w:r>
          <w:r>
            <w:rPr>
              <w:rFonts w:hint="eastAsia" w:ascii="仿宋" w:hAnsi="仿宋" w:eastAsia="仿宋"/>
              <w:bCs/>
              <w:szCs w:val="32"/>
            </w:rPr>
            <w:t>（一）主要职能。</w:t>
          </w:r>
          <w:r>
            <w:tab/>
          </w:r>
          <w:r>
            <w:fldChar w:fldCharType="begin"/>
          </w:r>
          <w:r>
            <w:instrText xml:space="preserve"> PAGEREF _Toc22018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_Toc32144 </w:instrText>
          </w:r>
          <w:r>
            <w:fldChar w:fldCharType="separate"/>
          </w:r>
          <w:r>
            <w:rPr>
              <w:rFonts w:hint="eastAsia" w:ascii="仿宋" w:hAnsi="仿宋" w:eastAsia="仿宋"/>
              <w:bCs/>
              <w:szCs w:val="32"/>
            </w:rPr>
            <w:t>（二）</w:t>
          </w:r>
          <w:r>
            <w:rPr>
              <w:rFonts w:ascii="仿宋" w:hAnsi="仿宋" w:eastAsia="仿宋"/>
              <w:bCs/>
              <w:szCs w:val="32"/>
            </w:rPr>
            <w:t>201</w:t>
          </w:r>
          <w:r>
            <w:rPr>
              <w:rFonts w:hint="eastAsia" w:ascii="仿宋" w:hAnsi="仿宋" w:eastAsia="仿宋"/>
              <w:bCs/>
              <w:szCs w:val="32"/>
            </w:rPr>
            <w:t>9年重点工作完成情况。</w:t>
          </w:r>
          <w:r>
            <w:tab/>
          </w:r>
          <w:r>
            <w:fldChar w:fldCharType="begin"/>
          </w:r>
          <w:r>
            <w:instrText xml:space="preserve"> PAGEREF _Toc32144 </w:instrText>
          </w:r>
          <w:r>
            <w:fldChar w:fldCharType="separate"/>
          </w:r>
          <w:r>
            <w:t>4</w:t>
          </w:r>
          <w:r>
            <w:fldChar w:fldCharType="end"/>
          </w:r>
          <w:r>
            <w:fldChar w:fldCharType="end"/>
          </w:r>
        </w:p>
        <w:p>
          <w:pPr>
            <w:pStyle w:val="34"/>
            <w:tabs>
              <w:tab w:val="right" w:leader="dot" w:pos="8306"/>
            </w:tabs>
          </w:pPr>
          <w:r>
            <w:fldChar w:fldCharType="begin"/>
          </w:r>
          <w:r>
            <w:instrText xml:space="preserve"> HYPERLINK \l _Toc3786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_Toc3786 </w:instrText>
          </w:r>
          <w:r>
            <w:fldChar w:fldCharType="separate"/>
          </w:r>
          <w:r>
            <w:t>7</w:t>
          </w:r>
          <w:r>
            <w:fldChar w:fldCharType="end"/>
          </w:r>
          <w:r>
            <w:fldChar w:fldCharType="end"/>
          </w:r>
        </w:p>
        <w:p>
          <w:pPr>
            <w:pStyle w:val="33"/>
            <w:tabs>
              <w:tab w:val="right" w:leader="dot" w:pos="8306"/>
            </w:tabs>
          </w:pPr>
          <w:r>
            <w:fldChar w:fldCharType="begin"/>
          </w:r>
          <w:r>
            <w:instrText xml:space="preserve"> HYPERLINK \l _Toc20701 </w:instrText>
          </w:r>
          <w:r>
            <w:fldChar w:fldCharType="separate"/>
          </w:r>
          <w:r>
            <w:rPr>
              <w:rFonts w:hint="eastAsia" w:ascii="黑体" w:hAnsi="黑体" w:eastAsia="黑体"/>
            </w:rPr>
            <w:t xml:space="preserve">第二部分 </w:t>
          </w:r>
          <w:r>
            <w:rPr>
              <w:rFonts w:hint="eastAsia" w:ascii="黑体" w:hAnsi="黑体" w:eastAsia="黑体"/>
              <w:bCs w:val="0"/>
            </w:rPr>
            <w:t>2019年度部门决算情况说明</w:t>
          </w:r>
          <w:r>
            <w:tab/>
          </w:r>
          <w:r>
            <w:fldChar w:fldCharType="begin"/>
          </w:r>
          <w:r>
            <w:instrText xml:space="preserve"> PAGEREF _Toc20701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_Toc16653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_Toc16653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_Toc17969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_Toc17969 </w:instrText>
          </w:r>
          <w:r>
            <w:fldChar w:fldCharType="separate"/>
          </w:r>
          <w:r>
            <w:t>8</w:t>
          </w:r>
          <w:r>
            <w:fldChar w:fldCharType="end"/>
          </w:r>
          <w:r>
            <w:fldChar w:fldCharType="end"/>
          </w:r>
        </w:p>
        <w:p>
          <w:pPr>
            <w:pStyle w:val="34"/>
            <w:tabs>
              <w:tab w:val="right" w:leader="dot" w:pos="8306"/>
            </w:tabs>
          </w:pPr>
          <w:r>
            <w:fldChar w:fldCharType="begin"/>
          </w:r>
          <w:r>
            <w:instrText xml:space="preserve"> HYPERLINK \l _Toc270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_Toc270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_Toc3984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_Toc3984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_Toc15904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_Toc15904 </w:instrText>
          </w:r>
          <w:r>
            <w:fldChar w:fldCharType="separate"/>
          </w:r>
          <w:r>
            <w:t>10</w:t>
          </w:r>
          <w:r>
            <w:fldChar w:fldCharType="end"/>
          </w:r>
          <w:r>
            <w:fldChar w:fldCharType="end"/>
          </w:r>
        </w:p>
        <w:p>
          <w:pPr>
            <w:pStyle w:val="35"/>
            <w:tabs>
              <w:tab w:val="right" w:leader="dot" w:pos="8306"/>
            </w:tabs>
          </w:pPr>
          <w:r>
            <w:fldChar w:fldCharType="begin"/>
          </w:r>
          <w:r>
            <w:instrText xml:space="preserve"> HYPERLINK \l _Toc21338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_Toc21338 </w:instrText>
          </w:r>
          <w:r>
            <w:fldChar w:fldCharType="separate"/>
          </w:r>
          <w:r>
            <w:t>10</w:t>
          </w:r>
          <w:r>
            <w:fldChar w:fldCharType="end"/>
          </w:r>
          <w:r>
            <w:fldChar w:fldCharType="end"/>
          </w:r>
        </w:p>
        <w:p>
          <w:pPr>
            <w:pStyle w:val="35"/>
            <w:tabs>
              <w:tab w:val="right" w:leader="dot" w:pos="8306"/>
            </w:tabs>
          </w:pPr>
          <w:r>
            <w:fldChar w:fldCharType="begin"/>
          </w:r>
          <w:r>
            <w:instrText xml:space="preserve"> HYPERLINK \l _Toc18079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_Toc18079 </w:instrText>
          </w:r>
          <w:r>
            <w:fldChar w:fldCharType="separate"/>
          </w:r>
          <w:r>
            <w:t>11</w:t>
          </w:r>
          <w:r>
            <w:fldChar w:fldCharType="end"/>
          </w:r>
          <w:r>
            <w:fldChar w:fldCharType="end"/>
          </w:r>
        </w:p>
        <w:p>
          <w:pPr>
            <w:pStyle w:val="35"/>
            <w:tabs>
              <w:tab w:val="right" w:leader="dot" w:pos="8306"/>
            </w:tabs>
          </w:pPr>
          <w:r>
            <w:fldChar w:fldCharType="begin"/>
          </w:r>
          <w:r>
            <w:instrText xml:space="preserve"> HYPERLINK \l _Toc21221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_Toc21221 </w:instrText>
          </w:r>
          <w:r>
            <w:fldChar w:fldCharType="separate"/>
          </w:r>
          <w:r>
            <w:t>11</w:t>
          </w:r>
          <w:r>
            <w:fldChar w:fldCharType="end"/>
          </w:r>
          <w:r>
            <w:fldChar w:fldCharType="end"/>
          </w:r>
        </w:p>
        <w:p>
          <w:pPr>
            <w:pStyle w:val="34"/>
            <w:tabs>
              <w:tab w:val="right" w:leader="dot" w:pos="8306"/>
            </w:tabs>
          </w:pPr>
          <w:r>
            <w:fldChar w:fldCharType="begin"/>
          </w:r>
          <w:r>
            <w:instrText xml:space="preserve"> HYPERLINK \l _Toc15972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_Toc15972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_Toc20947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_Toc20947 </w:instrText>
          </w:r>
          <w:r>
            <w:fldChar w:fldCharType="separate"/>
          </w:r>
          <w:r>
            <w:t>14</w:t>
          </w:r>
          <w:r>
            <w:fldChar w:fldCharType="end"/>
          </w:r>
          <w:r>
            <w:fldChar w:fldCharType="end"/>
          </w:r>
        </w:p>
        <w:p>
          <w:pPr>
            <w:pStyle w:val="35"/>
            <w:tabs>
              <w:tab w:val="right" w:leader="dot" w:pos="8306"/>
            </w:tabs>
          </w:pPr>
          <w:r>
            <w:fldChar w:fldCharType="begin"/>
          </w:r>
          <w:r>
            <w:instrText xml:space="preserve"> HYPERLINK \l _Toc3216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_Toc3216 </w:instrText>
          </w:r>
          <w:r>
            <w:fldChar w:fldCharType="separate"/>
          </w:r>
          <w:r>
            <w:t>14</w:t>
          </w:r>
          <w:r>
            <w:fldChar w:fldCharType="end"/>
          </w:r>
          <w:r>
            <w:fldChar w:fldCharType="end"/>
          </w:r>
        </w:p>
        <w:p>
          <w:pPr>
            <w:pStyle w:val="35"/>
            <w:tabs>
              <w:tab w:val="right" w:leader="dot" w:pos="8306"/>
            </w:tabs>
          </w:pPr>
          <w:r>
            <w:fldChar w:fldCharType="begin"/>
          </w:r>
          <w:r>
            <w:instrText xml:space="preserve"> HYPERLINK \l _Toc16233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_Toc16233 </w:instrText>
          </w:r>
          <w:r>
            <w:fldChar w:fldCharType="separate"/>
          </w:r>
          <w:r>
            <w:t>15</w:t>
          </w:r>
          <w:r>
            <w:fldChar w:fldCharType="end"/>
          </w:r>
          <w:r>
            <w:fldChar w:fldCharType="end"/>
          </w:r>
        </w:p>
        <w:p>
          <w:pPr>
            <w:pStyle w:val="34"/>
            <w:tabs>
              <w:tab w:val="right" w:leader="dot" w:pos="8306"/>
            </w:tabs>
          </w:pPr>
          <w:r>
            <w:fldChar w:fldCharType="begin"/>
          </w:r>
          <w:r>
            <w:instrText xml:space="preserve"> HYPERLINK \l _Toc30496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_Toc30496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_Toc13033 </w:instrText>
          </w:r>
          <w:r>
            <w:fldChar w:fldCharType="separate"/>
          </w:r>
          <w:r>
            <w:rPr>
              <w:rFonts w:hint="eastAsia" w:ascii="黑体" w:hAnsi="黑体" w:eastAsia="黑体"/>
            </w:rPr>
            <w:t>九、 国有资本经营预算支出决算情况说明</w:t>
          </w:r>
          <w:r>
            <w:tab/>
          </w:r>
          <w:r>
            <w:fldChar w:fldCharType="begin"/>
          </w:r>
          <w:r>
            <w:instrText xml:space="preserve"> PAGEREF _Toc13033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_Toc7096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_Toc7096 </w:instrText>
          </w:r>
          <w:r>
            <w:fldChar w:fldCharType="separate"/>
          </w:r>
          <w:r>
            <w:t>16</w:t>
          </w:r>
          <w:r>
            <w:fldChar w:fldCharType="end"/>
          </w:r>
          <w:r>
            <w:fldChar w:fldCharType="end"/>
          </w:r>
        </w:p>
        <w:p>
          <w:pPr>
            <w:pStyle w:val="35"/>
            <w:tabs>
              <w:tab w:val="right" w:leader="dot" w:pos="8306"/>
            </w:tabs>
          </w:pPr>
          <w:r>
            <w:fldChar w:fldCharType="begin"/>
          </w:r>
          <w:r>
            <w:instrText xml:space="preserve"> HYPERLINK \l _Toc32250 </w:instrText>
          </w:r>
          <w:r>
            <w:fldChar w:fldCharType="separate"/>
          </w:r>
          <w:r>
            <w:rPr>
              <w:rFonts w:hint="eastAsia" w:ascii="仿宋" w:hAnsi="仿宋" w:eastAsia="仿宋"/>
              <w:szCs w:val="32"/>
            </w:rPr>
            <w:t>（一）机关运行经费支出情况</w:t>
          </w:r>
          <w:r>
            <w:tab/>
          </w:r>
          <w:r>
            <w:fldChar w:fldCharType="begin"/>
          </w:r>
          <w:r>
            <w:instrText xml:space="preserve"> PAGEREF _Toc32250 </w:instrText>
          </w:r>
          <w:r>
            <w:fldChar w:fldCharType="separate"/>
          </w:r>
          <w:r>
            <w:t>16</w:t>
          </w:r>
          <w:r>
            <w:fldChar w:fldCharType="end"/>
          </w:r>
          <w:r>
            <w:fldChar w:fldCharType="end"/>
          </w:r>
        </w:p>
        <w:p>
          <w:pPr>
            <w:pStyle w:val="35"/>
            <w:tabs>
              <w:tab w:val="right" w:leader="dot" w:pos="8306"/>
            </w:tabs>
          </w:pPr>
          <w:r>
            <w:fldChar w:fldCharType="begin"/>
          </w:r>
          <w:r>
            <w:instrText xml:space="preserve"> HYPERLINK \l _Toc28050 </w:instrText>
          </w:r>
          <w:r>
            <w:fldChar w:fldCharType="separate"/>
          </w:r>
          <w:r>
            <w:rPr>
              <w:rFonts w:hint="eastAsia" w:ascii="仿宋" w:hAnsi="仿宋" w:eastAsia="仿宋"/>
              <w:szCs w:val="32"/>
            </w:rPr>
            <w:t>（二）政府采购支出情况</w:t>
          </w:r>
          <w:r>
            <w:tab/>
          </w:r>
          <w:r>
            <w:fldChar w:fldCharType="begin"/>
          </w:r>
          <w:r>
            <w:instrText xml:space="preserve"> PAGEREF _Toc28050 </w:instrText>
          </w:r>
          <w:r>
            <w:fldChar w:fldCharType="separate"/>
          </w:r>
          <w:r>
            <w:t>17</w:t>
          </w:r>
          <w:r>
            <w:fldChar w:fldCharType="end"/>
          </w:r>
          <w:r>
            <w:fldChar w:fldCharType="end"/>
          </w:r>
        </w:p>
        <w:p>
          <w:pPr>
            <w:pStyle w:val="35"/>
            <w:tabs>
              <w:tab w:val="right" w:leader="dot" w:pos="8306"/>
            </w:tabs>
          </w:pPr>
          <w:r>
            <w:fldChar w:fldCharType="begin"/>
          </w:r>
          <w:r>
            <w:instrText xml:space="preserve"> HYPERLINK \l _Toc22110 </w:instrText>
          </w:r>
          <w:r>
            <w:fldChar w:fldCharType="separate"/>
          </w:r>
          <w:r>
            <w:rPr>
              <w:rFonts w:hint="eastAsia" w:ascii="仿宋" w:hAnsi="仿宋" w:eastAsia="仿宋"/>
              <w:szCs w:val="32"/>
            </w:rPr>
            <w:t>（三）国有资产占有使用情况</w:t>
          </w:r>
          <w:r>
            <w:tab/>
          </w:r>
          <w:r>
            <w:fldChar w:fldCharType="begin"/>
          </w:r>
          <w:r>
            <w:instrText xml:space="preserve"> PAGEREF _Toc22110 </w:instrText>
          </w:r>
          <w:r>
            <w:fldChar w:fldCharType="separate"/>
          </w:r>
          <w:r>
            <w:t>17</w:t>
          </w:r>
          <w:r>
            <w:fldChar w:fldCharType="end"/>
          </w:r>
          <w:r>
            <w:fldChar w:fldCharType="end"/>
          </w:r>
        </w:p>
        <w:p>
          <w:pPr>
            <w:pStyle w:val="35"/>
            <w:tabs>
              <w:tab w:val="right" w:leader="dot" w:pos="8306"/>
            </w:tabs>
          </w:pPr>
          <w:r>
            <w:fldChar w:fldCharType="begin"/>
          </w:r>
          <w:r>
            <w:instrText xml:space="preserve"> HYPERLINK \l _Toc17714 </w:instrText>
          </w:r>
          <w:r>
            <w:fldChar w:fldCharType="separate"/>
          </w:r>
          <w:r>
            <w:rPr>
              <w:rFonts w:hint="eastAsia" w:ascii="仿宋" w:hAnsi="仿宋" w:eastAsia="仿宋"/>
              <w:szCs w:val="32"/>
            </w:rPr>
            <w:t>（四）预算绩效管理情况。</w:t>
          </w:r>
          <w:r>
            <w:tab/>
          </w:r>
          <w:r>
            <w:fldChar w:fldCharType="begin"/>
          </w:r>
          <w:r>
            <w:instrText xml:space="preserve"> PAGEREF _Toc17714 </w:instrText>
          </w:r>
          <w:r>
            <w:fldChar w:fldCharType="separate"/>
          </w:r>
          <w:r>
            <w:t>17</w:t>
          </w:r>
          <w:r>
            <w:fldChar w:fldCharType="end"/>
          </w:r>
          <w:r>
            <w:fldChar w:fldCharType="end"/>
          </w:r>
        </w:p>
        <w:p>
          <w:pPr>
            <w:pStyle w:val="33"/>
            <w:tabs>
              <w:tab w:val="right" w:leader="dot" w:pos="8306"/>
            </w:tabs>
          </w:pPr>
          <w:r>
            <w:fldChar w:fldCharType="begin"/>
          </w:r>
          <w:r>
            <w:instrText xml:space="preserve"> HYPERLINK \l _Toc19778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_Toc19778 </w:instrText>
          </w:r>
          <w:r>
            <w:fldChar w:fldCharType="separate"/>
          </w:r>
          <w:r>
            <w:t>25</w:t>
          </w:r>
          <w:r>
            <w:fldChar w:fldCharType="end"/>
          </w:r>
          <w:r>
            <w:fldChar w:fldCharType="end"/>
          </w:r>
        </w:p>
        <w:p>
          <w:pPr>
            <w:pStyle w:val="33"/>
            <w:tabs>
              <w:tab w:val="right" w:leader="dot" w:pos="8306"/>
            </w:tabs>
          </w:pPr>
          <w:r>
            <w:fldChar w:fldCharType="begin"/>
          </w:r>
          <w:r>
            <w:instrText xml:space="preserve"> HYPERLINK \l _Toc1753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_Toc1753 </w:instrText>
          </w:r>
          <w:r>
            <w:fldChar w:fldCharType="separate"/>
          </w:r>
          <w:r>
            <w:t>30</w:t>
          </w:r>
          <w:r>
            <w:fldChar w:fldCharType="end"/>
          </w:r>
          <w:r>
            <w:fldChar w:fldCharType="end"/>
          </w:r>
        </w:p>
        <w:p>
          <w:pPr>
            <w:pStyle w:val="33"/>
            <w:tabs>
              <w:tab w:val="right" w:leader="dot" w:pos="8306"/>
            </w:tabs>
          </w:pPr>
          <w:r>
            <w:fldChar w:fldCharType="begin"/>
          </w:r>
          <w:r>
            <w:instrText xml:space="preserve"> HYPERLINK \l _Toc13931 </w:instrText>
          </w:r>
          <w:r>
            <w:fldChar w:fldCharType="separate"/>
          </w:r>
          <w:r>
            <w:rPr>
              <w:rFonts w:hint="eastAsia" w:ascii="黑体" w:hAnsi="黑体" w:eastAsia="黑体" w:cs="黑体"/>
              <w:szCs w:val="32"/>
            </w:rPr>
            <w:t>附件1</w:t>
          </w:r>
          <w:r>
            <w:tab/>
          </w:r>
          <w:r>
            <w:fldChar w:fldCharType="begin"/>
          </w:r>
          <w:r>
            <w:instrText xml:space="preserve"> PAGEREF _Toc13931 </w:instrText>
          </w:r>
          <w:r>
            <w:fldChar w:fldCharType="separate"/>
          </w:r>
          <w:r>
            <w:t>30</w:t>
          </w:r>
          <w:r>
            <w:fldChar w:fldCharType="end"/>
          </w:r>
          <w:r>
            <w:fldChar w:fldCharType="end"/>
          </w:r>
        </w:p>
        <w:p>
          <w:pPr>
            <w:pStyle w:val="33"/>
            <w:tabs>
              <w:tab w:val="right" w:leader="dot" w:pos="8306"/>
            </w:tabs>
            <w:rPr>
              <w:rFonts w:hint="default" w:ascii="黑体" w:hAnsi="黑体" w:eastAsia="宋体" w:cs="黑体"/>
              <w:lang w:val="en-US" w:eastAsia="zh-CN"/>
            </w:rPr>
          </w:pPr>
          <w:r>
            <w:rPr>
              <w:rFonts w:hint="eastAsia" w:ascii="黑体" w:hAnsi="黑体" w:eastAsia="黑体" w:cs="黑体"/>
              <w:lang w:val="en-US" w:eastAsia="zh-CN"/>
            </w:rPr>
            <w:t>附件2</w:t>
          </w:r>
          <w:r>
            <w:tab/>
          </w:r>
          <w:r>
            <w:rPr>
              <w:rFonts w:hint="eastAsia"/>
              <w:lang w:val="en-US" w:eastAsia="zh-CN"/>
            </w:rPr>
            <w:t>32</w:t>
          </w:r>
        </w:p>
        <w:p>
          <w:pPr>
            <w:pStyle w:val="33"/>
            <w:tabs>
              <w:tab w:val="right" w:leader="dot" w:pos="8306"/>
            </w:tabs>
          </w:pPr>
          <w:r>
            <w:fldChar w:fldCharType="begin"/>
          </w:r>
          <w:r>
            <w:instrText xml:space="preserve"> HYPERLINK \l _Toc23972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_Toc23972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_Toc9567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_Toc9567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_Toc14445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_Toc14445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_Toc6455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_Toc6455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_Toc24298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_Toc24298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_Toc29644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_Toc29644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_Toc26789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_Toc26789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_Toc32588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_Toc32588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_Toc27832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_Toc27832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_Toc7550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_Toc7550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_Toc14460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_Toc14460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_Toc22087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_Toc22087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_Toc3201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_Toc3201 </w:instrText>
          </w:r>
          <w:r>
            <w:fldChar w:fldCharType="separate"/>
          </w:r>
          <w:r>
            <w:t>40</w:t>
          </w:r>
          <w:r>
            <w:fldChar w:fldCharType="end"/>
          </w:r>
          <w:r>
            <w:fldChar w:fldCharType="end"/>
          </w:r>
        </w:p>
        <w:p>
          <w:pPr>
            <w:pStyle w:val="34"/>
            <w:tabs>
              <w:tab w:val="right" w:leader="dot" w:pos="8306"/>
            </w:tabs>
          </w:pPr>
          <w:r>
            <w:fldChar w:fldCharType="begin"/>
          </w:r>
          <w:r>
            <w:instrText xml:space="preserve"> HYPERLINK \l _Toc26412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_Toc26412 </w:instrText>
          </w:r>
          <w:r>
            <w:fldChar w:fldCharType="separate"/>
          </w:r>
          <w:r>
            <w:t>40</w:t>
          </w:r>
          <w:r>
            <w:fldChar w:fldCharType="end"/>
          </w:r>
          <w:r>
            <w:fldChar w:fldCharType="end"/>
          </w:r>
        </w:p>
        <w:p>
          <w:r>
            <w:fldChar w:fldCharType="end"/>
          </w:r>
        </w:p>
      </w:sdtContent>
    </w:sdt>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6"/>
        <w:jc w:val="center"/>
        <w:rPr>
          <w:rStyle w:val="27"/>
          <w:rFonts w:ascii="黑体" w:hAnsi="黑体" w:eastAsia="黑体"/>
          <w:b/>
          <w:bCs w:val="0"/>
        </w:rPr>
      </w:pPr>
      <w:bookmarkStart w:id="16" w:name="_Toc16454"/>
      <w:r>
        <w:rPr>
          <w:rFonts w:hint="eastAsia" w:ascii="黑体" w:hAnsi="黑体" w:eastAsia="黑体"/>
          <w:b w:val="0"/>
        </w:rPr>
        <w:t xml:space="preserve">第一部分 </w:t>
      </w:r>
      <w:r>
        <w:rPr>
          <w:rStyle w:val="27"/>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7"/>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8"/>
          <w:rFonts w:ascii="仿宋" w:hAnsi="仿宋" w:eastAsia="仿宋"/>
          <w:b w:val="0"/>
          <w:bCs w:val="0"/>
        </w:rPr>
      </w:pPr>
      <w:bookmarkStart w:id="17" w:name="_Toc15377197"/>
      <w:bookmarkStart w:id="18" w:name="_Toc15396600"/>
      <w:bookmarkStart w:id="19" w:name="_Toc26352"/>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7"/>
      <w:bookmarkEnd w:id="18"/>
      <w:bookmarkEnd w:id="19"/>
    </w:p>
    <w:p>
      <w:pPr>
        <w:pStyle w:val="3"/>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5378445"/>
      <w:bookmarkStart w:id="21" w:name="_Toc15377198"/>
      <w:bookmarkStart w:id="22" w:name="_Toc22018"/>
      <w:r>
        <w:rPr>
          <w:rFonts w:hint="eastAsia" w:ascii="仿宋" w:hAnsi="仿宋" w:eastAsia="仿宋"/>
          <w:bCs/>
          <w:color w:val="000000"/>
          <w:sz w:val="32"/>
          <w:szCs w:val="32"/>
        </w:rPr>
        <w:t>（一）主要职能。</w:t>
      </w:r>
      <w:bookmarkEnd w:id="20"/>
      <w:bookmarkEnd w:id="21"/>
      <w:bookmarkEnd w:id="22"/>
    </w:p>
    <w:p>
      <w:pPr>
        <w:snapToGrid w:val="0"/>
        <w:spacing w:line="600" w:lineRule="atLeast"/>
        <w:ind w:firstLine="624" w:firstLineChars="200"/>
        <w:rPr>
          <w:rFonts w:hint="eastAsia" w:ascii="仿宋_GB2312" w:hAnsi="仿宋" w:eastAsia="仿宋_GB2312"/>
          <w:spacing w:val="-4"/>
          <w:sz w:val="32"/>
          <w:szCs w:val="32"/>
        </w:rPr>
      </w:pPr>
      <w:r>
        <w:rPr>
          <w:rFonts w:hint="eastAsia" w:ascii="仿宋_GB2312" w:hAnsi="仿宋" w:eastAsia="仿宋_GB2312"/>
          <w:spacing w:val="-4"/>
          <w:sz w:val="32"/>
          <w:szCs w:val="32"/>
        </w:rPr>
        <w:t>陶家渡街道办事处是西区人民政府的派出机构，其主要职能是：</w:t>
      </w:r>
    </w:p>
    <w:p>
      <w:pPr>
        <w:snapToGrid w:val="0"/>
        <w:spacing w:line="600" w:lineRule="atLeast"/>
        <w:ind w:firstLine="627" w:firstLineChars="201"/>
        <w:rPr>
          <w:rFonts w:hint="eastAsia" w:ascii="仿宋_GB2312" w:hAnsi="仿宋" w:eastAsia="仿宋_GB2312"/>
          <w:spacing w:val="-4"/>
          <w:sz w:val="32"/>
          <w:szCs w:val="32"/>
        </w:rPr>
      </w:pPr>
      <w:r>
        <w:rPr>
          <w:rFonts w:hint="eastAsia" w:ascii="仿宋_GB2312" w:hAnsi="仿宋" w:eastAsia="仿宋_GB2312"/>
          <w:spacing w:val="-4"/>
          <w:sz w:val="32"/>
          <w:szCs w:val="32"/>
        </w:rPr>
        <w:t>1.宣传贯彻党的路线、方针、政策和国家的法律、法规，执行区委、区政府的决议、决定；组织党员群众保证区委、区政府各项任务在辖区内顺利实施。</w:t>
      </w:r>
    </w:p>
    <w:p>
      <w:pPr>
        <w:snapToGrid w:val="0"/>
        <w:spacing w:line="600" w:lineRule="atLeast"/>
        <w:ind w:firstLine="627" w:firstLineChars="201"/>
        <w:rPr>
          <w:rFonts w:hint="eastAsia" w:ascii="仿宋_GB2312" w:hAnsi="仿宋" w:eastAsia="仿宋_GB2312"/>
          <w:spacing w:val="-4"/>
          <w:sz w:val="32"/>
          <w:szCs w:val="32"/>
        </w:rPr>
      </w:pPr>
      <w:r>
        <w:rPr>
          <w:rFonts w:hint="eastAsia" w:ascii="仿宋_GB2312" w:hAnsi="仿宋" w:eastAsia="仿宋_GB2312"/>
          <w:spacing w:val="-4"/>
          <w:sz w:val="32"/>
          <w:szCs w:val="32"/>
        </w:rPr>
        <w:t>2.代表西区人民政府授权对本辖区内的政府职能管理权。</w:t>
      </w:r>
    </w:p>
    <w:p>
      <w:pPr>
        <w:snapToGrid w:val="0"/>
        <w:spacing w:line="600" w:lineRule="atLeast"/>
        <w:ind w:firstLine="627" w:firstLineChars="201"/>
        <w:rPr>
          <w:rFonts w:hint="eastAsia" w:ascii="仿宋_GB2312" w:hAnsi="仿宋" w:eastAsia="仿宋_GB2312"/>
          <w:spacing w:val="-4"/>
          <w:sz w:val="32"/>
          <w:szCs w:val="32"/>
        </w:rPr>
      </w:pPr>
      <w:r>
        <w:rPr>
          <w:rFonts w:hint="eastAsia" w:ascii="仿宋_GB2312" w:hAnsi="仿宋" w:eastAsia="仿宋_GB2312"/>
          <w:spacing w:val="-4"/>
          <w:sz w:val="32"/>
          <w:szCs w:val="32"/>
        </w:rPr>
        <w:t>3.负责本辖区内精神文明建设、社会治安综合治理、爱国卫生、计划生育、普及法律知识等工作，做好民政、妇联、司法、城建、卫生保健、武装等工作，配合市、区有关部门搞好城市规划、土地、环保、卫生、园林绿化等工作。组织、协调、引导发展街办经济，不断壮大街办的经济实力。</w:t>
      </w:r>
    </w:p>
    <w:p>
      <w:pPr>
        <w:snapToGrid w:val="0"/>
        <w:spacing w:line="600" w:lineRule="atLeast"/>
        <w:ind w:firstLine="627" w:firstLineChars="201"/>
        <w:rPr>
          <w:rFonts w:hint="eastAsia" w:ascii="仿宋_GB2312" w:hAnsi="仿宋" w:eastAsia="仿宋_GB2312"/>
          <w:spacing w:val="-4"/>
          <w:sz w:val="32"/>
          <w:szCs w:val="32"/>
        </w:rPr>
      </w:pPr>
      <w:r>
        <w:rPr>
          <w:rFonts w:hint="eastAsia" w:ascii="仿宋_GB2312" w:hAnsi="仿宋" w:eastAsia="仿宋_GB2312"/>
          <w:spacing w:val="-4"/>
          <w:sz w:val="32"/>
          <w:szCs w:val="32"/>
        </w:rPr>
        <w:t>4.按照《城市居民委员会组织法》的要求，组建辖区居民委员会，并指导、帮助、支持社区居民委员会的工作。</w:t>
      </w:r>
    </w:p>
    <w:p>
      <w:pPr>
        <w:snapToGrid w:val="0"/>
        <w:spacing w:line="600" w:lineRule="atLeast"/>
        <w:ind w:firstLine="627" w:firstLineChars="201"/>
        <w:rPr>
          <w:rFonts w:hint="eastAsia" w:ascii="仿宋_GB2312" w:hAnsi="仿宋" w:eastAsia="仿宋_GB2312"/>
          <w:spacing w:val="-4"/>
          <w:sz w:val="32"/>
          <w:szCs w:val="32"/>
        </w:rPr>
      </w:pPr>
      <w:r>
        <w:rPr>
          <w:rFonts w:hint="eastAsia" w:ascii="仿宋_GB2312" w:hAnsi="仿宋" w:eastAsia="仿宋_GB2312"/>
          <w:spacing w:val="-4"/>
          <w:sz w:val="32"/>
          <w:szCs w:val="32"/>
        </w:rPr>
        <w:t>5.反映居民的意见和要求，发挥政府联系居民的桥梁和纽带作用。</w:t>
      </w:r>
    </w:p>
    <w:p>
      <w:pPr>
        <w:snapToGrid w:val="0"/>
        <w:spacing w:line="600" w:lineRule="atLeast"/>
        <w:ind w:firstLine="627" w:firstLineChars="201"/>
        <w:rPr>
          <w:rFonts w:hint="eastAsia" w:ascii="仿宋" w:hAnsi="仿宋" w:eastAsia="仿宋"/>
          <w:bCs/>
          <w:color w:val="000000"/>
          <w:sz w:val="32"/>
          <w:szCs w:val="32"/>
        </w:rPr>
      </w:pPr>
      <w:r>
        <w:rPr>
          <w:rFonts w:hint="eastAsia" w:ascii="仿宋_GB2312" w:hAnsi="仿宋" w:eastAsia="仿宋_GB2312"/>
          <w:spacing w:val="-4"/>
          <w:sz w:val="32"/>
          <w:szCs w:val="32"/>
        </w:rPr>
        <w:t>6.承办区政府交办的其他工作。</w:t>
      </w:r>
    </w:p>
    <w:p>
      <w:pPr>
        <w:pStyle w:val="3"/>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3" w:name="_Toc15378446"/>
      <w:bookmarkStart w:id="24" w:name="_Toc32144"/>
      <w:bookmarkStart w:id="25"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陶家渡街道办事处具体完成情况：</w:t>
      </w:r>
    </w:p>
    <w:p>
      <w:pPr>
        <w:keepNext w:val="0"/>
        <w:keepLines w:val="0"/>
        <w:pageBreakBefore w:val="0"/>
        <w:widowControl w:val="0"/>
        <w:numPr>
          <w:ilvl w:val="0"/>
          <w:numId w:val="1"/>
        </w:numPr>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建方面。2019年，陶家渡街道开展“不忘初心、牢记使命”主题教育。制定“不忘初心、牢记使命”的调查研究工作方案和任务推进表，发放问卷200余份，征求意见建议32条。开展“服务三五家普通群众、带动十几人爱党报国”活动，成立退役军人志愿服务队，通过“1+3”结对认亲，帮扶困难群众100余人次。采取“1+N”方式，整合工、青、团、妇等群团组织力量和辖区企业资源，引导地企共建成员参与社会治理和社区服务。全年，组织党工委中心组学习14次、党员学习日活动12次、党员义工日活动4次，讲党课10次，观看爱国主义影片3次。《四川党的建设》“精神文明网”“百姓生活网”采用党建工作交流材料3篇；市委组织部采用军地共建经验交流材料1篇；《攀枝花日报》、非钒钛度APP采用党建新闻报道9篇。</w:t>
      </w:r>
      <w:r>
        <w:rPr>
          <w:rFonts w:hint="eastAsia" w:ascii="仿宋_GB2312" w:hAnsi="仿宋_GB2312" w:eastAsia="仿宋_GB2312" w:cs="仿宋_GB2312"/>
          <w:sz w:val="32"/>
          <w:szCs w:val="32"/>
        </w:rPr>
        <w:t>在辖区居民中经过抽样调查满意度，均达到基本满意及以上。</w:t>
      </w:r>
    </w:p>
    <w:p>
      <w:pPr>
        <w:keepNext w:val="0"/>
        <w:keepLines w:val="0"/>
        <w:pageBreakBefore w:val="0"/>
        <w:widowControl w:val="0"/>
        <w:numPr>
          <w:ilvl w:val="0"/>
          <w:numId w:val="1"/>
        </w:numPr>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宣传方面。2019年 3月6日，陶家渡街道在渡江公园开展“三八”妇女维权周法制宣传教育活动。活动包括《中华人民共和国反家庭暴力法》《中华人民共和国婚姻法》《中华人民共和国妇女权益保障法》及禁毒防艾、儿童保护等宣传。活动发放宣传资料500余份，受益居民700余人。5月28日，陶家渡街道在辖区内人员密集场所开展“预防野生菌中毒”宣传。活动张贴“预防野生菌中毒知识”海报60余张，发放“预防野生菌中毒知识宣传单”400余份。全年，出动宣传人员300余人次，开展宣传活动20余次，内容包括妇女儿童及青少年法制教育、食品安全、文明城市创建、健康知识、6·26禁毒、12·4国家宪法日等宣传，受益居民1.5万余人。</w:t>
      </w:r>
      <w:r>
        <w:rPr>
          <w:rFonts w:hint="eastAsia" w:ascii="仿宋_GB2312" w:hAnsi="仿宋_GB2312" w:eastAsia="仿宋_GB2312" w:cs="仿宋_GB2312"/>
          <w:sz w:val="32"/>
          <w:szCs w:val="32"/>
        </w:rPr>
        <w:t>在辖区居民中经过抽样调查满意度，均达到基本满意及以上。</w:t>
      </w:r>
    </w:p>
    <w:p>
      <w:pPr>
        <w:keepNext w:val="0"/>
        <w:keepLines w:val="0"/>
        <w:pageBreakBefore w:val="0"/>
        <w:widowControl w:val="0"/>
        <w:numPr>
          <w:ilvl w:val="0"/>
          <w:numId w:val="1"/>
        </w:numPr>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培训方面。2019年7月19日，陶家渡街道在街道会议室召开2019年度防洪防汛培训会。街道机关干部、社区主要领导、隐患区监测人员、应急队伍等20余人参训。经济安全管理办公室负责人孙博讲解地质灾害监测方法、防灾和救灾知识，安排2019年防汛减灾工作，要求社区、街道值班人员落实24小时值班值守制度。7月25日，开展住院护理补贴培训，街道和社区工作人员10余人参训。中国人寿攀枝花分公司专业讲师伍淑芳介绍住院护理补贴政策、适用范围、理赔流程，现场讲解操作流程，并答疑解惑。全年，陶家渡街道开展培训10余次，内容包括党建、计生、安全、困难人员救助等，累计280余人参训。</w:t>
      </w:r>
      <w:r>
        <w:rPr>
          <w:rFonts w:hint="eastAsia" w:ascii="仿宋_GB2312" w:hAnsi="仿宋_GB2312" w:eastAsia="仿宋_GB2312" w:cs="仿宋_GB2312"/>
          <w:sz w:val="32"/>
          <w:szCs w:val="32"/>
        </w:rPr>
        <w:t>在辖区居民中经过抽样调查满意度，均达到基本满意及以上。</w:t>
      </w:r>
    </w:p>
    <w:p>
      <w:pPr>
        <w:keepNext w:val="0"/>
        <w:keepLines w:val="0"/>
        <w:pageBreakBefore w:val="0"/>
        <w:widowControl w:val="0"/>
        <w:numPr>
          <w:ilvl w:val="0"/>
          <w:numId w:val="1"/>
        </w:numPr>
        <w:kinsoku/>
        <w:wordWrap/>
        <w:overflowPunct/>
        <w:topLinePunct w:val="0"/>
        <w:autoSpaceDE/>
        <w:autoSpaceDN/>
        <w:bidi w:val="0"/>
        <w:adjustRightInd/>
        <w:snapToGrid/>
        <w:spacing w:line="353" w:lineRule="auto"/>
        <w:ind w:firstLine="640" w:firstLineChars="200"/>
        <w:textAlignment w:val="auto"/>
        <w:rPr>
          <w:rFonts w:hint="eastAsia" w:ascii="仿宋" w:hAnsi="仿宋" w:eastAsia="仿宋"/>
          <w:bCs/>
          <w:color w:val="000000"/>
          <w:sz w:val="32"/>
          <w:szCs w:val="32"/>
        </w:rPr>
      </w:pPr>
      <w:r>
        <w:rPr>
          <w:rFonts w:hint="eastAsia" w:ascii="仿宋_GB2312" w:hAnsi="仿宋_GB2312" w:eastAsia="仿宋_GB2312" w:cs="仿宋_GB2312"/>
          <w:sz w:val="32"/>
          <w:szCs w:val="32"/>
          <w:lang w:eastAsia="zh-CN"/>
        </w:rPr>
        <w:t>调研方面。2019年1月15日，区委常委、区委政法委书记周兴调研陶家渡街道综治、维稳、信访、防邪等工作。听取街道工作情况汇报，实地查看视频监控室。周兴要求街道保持工作韧性，持续扎实推进工作；加强网格员、楼栋长、“五老”志愿者队伍建设，发挥基层队伍参与社会管理的作用；完善矛盾纠纷多元化解机制，防止“民转刑”案件发生；正视人口流失、经济功能弱化等客观形势，提前谋划，将工作重心转移至社会管理和服务上，推进矿区社会治理。</w:t>
      </w:r>
      <w:r>
        <w:rPr>
          <w:rFonts w:hint="eastAsia" w:ascii="仿宋_GB2312" w:hAnsi="仿宋_GB2312" w:eastAsia="仿宋_GB2312" w:cs="仿宋_GB2312"/>
          <w:sz w:val="32"/>
          <w:szCs w:val="32"/>
        </w:rPr>
        <w:t>在辖区居民中经过抽样调查满意度，均达到基本满意及以上。</w:t>
      </w:r>
    </w:p>
    <w:p>
      <w:pPr>
        <w:pStyle w:val="7"/>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8"/>
          <w:b w:val="0"/>
          <w:bCs w:val="0"/>
        </w:rPr>
      </w:pPr>
      <w:bookmarkStart w:id="26" w:name="_Toc15377200"/>
      <w:bookmarkStart w:id="27" w:name="_Toc3786"/>
      <w:bookmarkStart w:id="28"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6"/>
      <w:bookmarkEnd w:id="27"/>
      <w:bookmarkEnd w:id="28"/>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攀枝花市西区陶家渡街道办事处</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pStyle w:val="3"/>
        <w:keepNext w:val="0"/>
        <w:keepLines w:val="0"/>
        <w:pageBreakBefore w:val="0"/>
        <w:widowControl w:val="0"/>
        <w:kinsoku/>
        <w:wordWrap/>
        <w:overflowPunct/>
        <w:topLinePunct w:val="0"/>
        <w:autoSpaceDE/>
        <w:autoSpaceDN/>
        <w:bidi w:val="0"/>
        <w:adjustRightInd w:val="0"/>
        <w:snapToGrid w:val="0"/>
        <w:spacing w:before="93"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hAnsi="仿宋_GB2312" w:cs="仿宋_GB2312"/>
          <w:color w:val="000000"/>
          <w:sz w:val="32"/>
          <w:szCs w:val="32"/>
          <w:lang w:eastAsia="zh-CN"/>
        </w:rPr>
        <w:t>攀枝花市</w:t>
      </w:r>
      <w:r>
        <w:rPr>
          <w:rFonts w:hint="eastAsia" w:ascii="仿宋_GB2312" w:hAnsi="仿宋_GB2312" w:eastAsia="仿宋_GB2312" w:cs="仿宋_GB2312"/>
          <w:sz w:val="32"/>
          <w:szCs w:val="32"/>
          <w:lang w:eastAsia="zh-CN"/>
        </w:rPr>
        <w:t>西区陶家渡街道办事处</w:t>
      </w:r>
      <w:r>
        <w:rPr>
          <w:rFonts w:hint="eastAsia" w:ascii="仿宋_GB2312" w:hAnsi="仿宋_GB2312" w:eastAsia="仿宋_GB2312" w:cs="仿宋_GB2312"/>
          <w:color w:val="000000"/>
          <w:sz w:val="32"/>
          <w:szCs w:val="32"/>
        </w:rPr>
        <w:t>2019年度部门决算编制范围的二级预算单位包括：</w:t>
      </w:r>
    </w:p>
    <w:p>
      <w:pPr>
        <w:pStyle w:val="3"/>
        <w:keepNext w:val="0"/>
        <w:keepLines w:val="0"/>
        <w:pageBreakBefore w:val="0"/>
        <w:widowControl w:val="0"/>
        <w:kinsoku/>
        <w:wordWrap/>
        <w:overflowPunct/>
        <w:topLinePunct w:val="0"/>
        <w:autoSpaceDE/>
        <w:autoSpaceDN/>
        <w:bidi w:val="0"/>
        <w:adjustRightInd w:val="0"/>
        <w:snapToGrid w:val="0"/>
        <w:spacing w:before="93"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无。</w:t>
      </w:r>
    </w:p>
    <w:p>
      <w:pPr>
        <w:pStyle w:val="6"/>
        <w:ind w:right="440"/>
        <w:jc w:val="right"/>
        <w:rPr>
          <w:rStyle w:val="27"/>
          <w:rFonts w:ascii="黑体" w:hAnsi="黑体" w:eastAsia="黑体"/>
          <w:b w:val="0"/>
          <w:bCs w:val="0"/>
        </w:rPr>
      </w:pPr>
      <w:bookmarkStart w:id="29" w:name="_Toc20701"/>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9"/>
      <w:bookmarkEnd w:id="30"/>
      <w:bookmarkEnd w:id="31"/>
    </w:p>
    <w:p/>
    <w:p>
      <w:pPr>
        <w:pStyle w:val="26"/>
        <w:numPr>
          <w:ilvl w:val="0"/>
          <w:numId w:val="2"/>
        </w:numPr>
        <w:spacing w:line="600" w:lineRule="exact"/>
        <w:ind w:firstLineChars="0"/>
        <w:outlineLvl w:val="1"/>
        <w:rPr>
          <w:rStyle w:val="28"/>
          <w:rFonts w:ascii="黑体" w:hAnsi="黑体" w:eastAsia="黑体"/>
          <w:b w:val="0"/>
        </w:rPr>
      </w:pPr>
      <w:bookmarkStart w:id="32" w:name="_Toc16653"/>
      <w:bookmarkStart w:id="33" w:name="_Toc15377205"/>
      <w:bookmarkStart w:id="34"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2"/>
      <w:bookmarkEnd w:id="33"/>
      <w:bookmarkEnd w:id="34"/>
    </w:p>
    <w:p>
      <w:pPr>
        <w:spacing w:line="353" w:lineRule="auto"/>
        <w:ind w:firstLine="640" w:firstLineChars="200"/>
      </w:pPr>
      <w:r>
        <w:rPr>
          <w:rFonts w:hint="eastAsia" w:ascii="仿宋_GB2312" w:hAnsi="仿宋_GB2312" w:eastAsia="仿宋_GB2312" w:cs="仿宋_GB2312"/>
          <w:color w:val="000000"/>
          <w:sz w:val="32"/>
          <w:szCs w:val="32"/>
        </w:rPr>
        <w:t>2019年度收</w:t>
      </w:r>
      <w:r>
        <w:rPr>
          <w:rFonts w:hint="eastAsia" w:ascii="仿宋_GB2312" w:hAnsi="仿宋_GB2312" w:eastAsia="仿宋_GB2312" w:cs="仿宋_GB2312"/>
          <w:color w:val="000000"/>
          <w:sz w:val="32"/>
          <w:szCs w:val="32"/>
          <w:lang w:eastAsia="zh-CN"/>
        </w:rPr>
        <w:t>入总计</w:t>
      </w:r>
      <w:r>
        <w:rPr>
          <w:rFonts w:hint="eastAsia" w:ascii="仿宋_GB2312" w:hAnsi="仿宋_GB2312" w:eastAsia="仿宋_GB2312" w:cs="仿宋_GB2312"/>
          <w:color w:val="000000"/>
          <w:sz w:val="32"/>
          <w:szCs w:val="32"/>
          <w:lang w:val="en-US" w:eastAsia="zh-CN"/>
        </w:rPr>
        <w:t>521.09</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568.94</w:t>
      </w:r>
      <w:r>
        <w:rPr>
          <w:rFonts w:hint="eastAsia" w:ascii="仿宋_GB2312" w:hAnsi="仿宋_GB2312" w:eastAsia="仿宋_GB2312" w:cs="仿宋_GB2312"/>
          <w:color w:val="000000"/>
          <w:sz w:val="32"/>
          <w:szCs w:val="32"/>
        </w:rPr>
        <w:t>万元。与2018年相比，收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39.13万元</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总计增加</w:t>
      </w:r>
      <w:r>
        <w:rPr>
          <w:rFonts w:hint="eastAsia" w:ascii="仿宋_GB2312" w:hAnsi="仿宋_GB2312" w:eastAsia="仿宋_GB2312" w:cs="仿宋_GB2312"/>
          <w:color w:val="000000"/>
          <w:sz w:val="32"/>
          <w:szCs w:val="32"/>
          <w:lang w:val="en-US" w:eastAsia="zh-CN"/>
        </w:rPr>
        <w:t>42.09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收入</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8.11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，支出增长</w:t>
      </w:r>
      <w:r>
        <w:rPr>
          <w:rFonts w:hint="eastAsia" w:ascii="仿宋_GB2312" w:hAnsi="仿宋_GB2312" w:eastAsia="仿宋_GB2312" w:cs="仿宋_GB2312"/>
          <w:color w:val="000000"/>
          <w:sz w:val="32"/>
          <w:szCs w:val="32"/>
          <w:lang w:val="en-US" w:eastAsia="zh-CN"/>
        </w:rPr>
        <w:t>7.98%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新增人员、正常增资和工作任务的增加。</w:t>
      </w:r>
    </w:p>
    <w:p>
      <w:pPr>
        <w:pStyle w:val="2"/>
        <w:rPr>
          <w:rFonts w:ascii="仿宋" w:hAnsi="仿宋" w:eastAsia="仿宋"/>
          <w:color w:val="000000"/>
          <w:sz w:val="32"/>
          <w:szCs w:val="32"/>
        </w:rPr>
      </w:pPr>
      <w:r>
        <w:rPr>
          <w:rFonts w:hint="eastAsia" w:eastAsia="仿宋_GB2312"/>
          <w:lang w:eastAsia="zh-CN"/>
        </w:rPr>
        <w:drawing>
          <wp:inline distT="0" distB="0" distL="114300" distR="114300">
            <wp:extent cx="4572000" cy="2743200"/>
            <wp:effectExtent l="0" t="0" r="0" b="0"/>
            <wp:docPr id="2" name="图片 2" descr="收、支决算总计变动情况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支决算总计变动情况图"/>
                    <pic:cNvPicPr>
                      <a:picLocks noChangeAspect="1"/>
                    </pic:cNvPicPr>
                  </pic:nvPicPr>
                  <pic:blipFill>
                    <a:blip r:embed="rId6"/>
                    <a:stretch>
                      <a:fillRect/>
                    </a:stretch>
                  </pic:blipFill>
                  <pic:spPr>
                    <a:xfrm>
                      <a:off x="0" y="0"/>
                      <a:ext cx="4572000" cy="2743200"/>
                    </a:xfrm>
                    <a:prstGeom prst="rect">
                      <a:avLst/>
                    </a:prstGeom>
                  </pic:spPr>
                </pic:pic>
              </a:graphicData>
            </a:graphic>
          </wp:inline>
        </w:drawing>
      </w:r>
    </w:p>
    <w:p>
      <w:pPr>
        <w:spacing w:line="600" w:lineRule="exact"/>
        <w:ind w:firstLine="640" w:firstLineChars="200"/>
      </w:pPr>
      <w:r>
        <w:rPr>
          <w:rFonts w:hint="eastAsia" w:ascii="仿宋_GB2312" w:hAnsi="仿宋_GB2312" w:eastAsia="仿宋_GB2312" w:cs="仿宋_GB2312"/>
          <w:color w:val="000000" w:themeColor="text1"/>
          <w:sz w:val="32"/>
          <w:szCs w:val="32"/>
        </w:rPr>
        <w:t>（图1：收、支决算总计变动情况图）</w:t>
      </w:r>
    </w:p>
    <w:p>
      <w:pPr>
        <w:pStyle w:val="26"/>
        <w:numPr>
          <w:ilvl w:val="0"/>
          <w:numId w:val="2"/>
        </w:numPr>
        <w:spacing w:line="600" w:lineRule="exact"/>
        <w:ind w:firstLineChars="0"/>
        <w:outlineLvl w:val="1"/>
        <w:rPr>
          <w:rStyle w:val="28"/>
          <w:rFonts w:ascii="黑体" w:hAnsi="黑体" w:eastAsia="黑体"/>
          <w:b w:val="0"/>
        </w:rPr>
      </w:pPr>
      <w:bookmarkStart w:id="35" w:name="_Toc15396604"/>
      <w:bookmarkStart w:id="36" w:name="_Toc15377206"/>
      <w:bookmarkStart w:id="37" w:name="_Toc17969"/>
      <w:r>
        <w:rPr>
          <w:rFonts w:hint="eastAsia" w:ascii="黑体" w:hAnsi="黑体" w:eastAsia="黑体"/>
          <w:color w:val="000000"/>
          <w:sz w:val="32"/>
          <w:szCs w:val="32"/>
        </w:rPr>
        <w:t>收</w:t>
      </w:r>
      <w:r>
        <w:rPr>
          <w:rStyle w:val="28"/>
          <w:rFonts w:hint="eastAsia" w:ascii="黑体" w:hAnsi="黑体" w:eastAsia="黑体"/>
          <w:b w:val="0"/>
        </w:rPr>
        <w:t>入决算情况说明</w:t>
      </w:r>
      <w:bookmarkEnd w:id="35"/>
      <w:bookmarkEnd w:id="36"/>
      <w:bookmarkEnd w:id="37"/>
    </w:p>
    <w:p>
      <w:pPr>
        <w:spacing w:line="600" w:lineRule="exact"/>
        <w:ind w:firstLine="640" w:firstLineChars="200"/>
        <w:outlineLvl w:val="1"/>
        <w:rPr>
          <w:rFonts w:hint="eastAsia" w:ascii="仿宋_GB2312" w:hAnsi="仿宋_GB2312" w:eastAsia="仿宋_GB2312" w:cs="仿宋_GB2312"/>
          <w:color w:val="000000"/>
          <w:sz w:val="32"/>
          <w:szCs w:val="32"/>
        </w:rPr>
      </w:pPr>
      <w:bookmarkStart w:id="38" w:name="_Toc2779"/>
      <w:r>
        <w:rPr>
          <w:rFonts w:hint="eastAsia" w:ascii="仿宋_GB2312" w:hAnsi="仿宋_GB2312" w:eastAsia="仿宋_GB2312" w:cs="仿宋_GB2312"/>
          <w:color w:val="000000"/>
          <w:sz w:val="32"/>
          <w:szCs w:val="32"/>
        </w:rPr>
        <w:t>2019年本年收入合计</w:t>
      </w:r>
      <w:r>
        <w:rPr>
          <w:rFonts w:hint="eastAsia" w:ascii="仿宋_GB2312" w:hAnsi="仿宋_GB2312" w:eastAsia="仿宋_GB2312" w:cs="仿宋_GB2312"/>
          <w:color w:val="000000"/>
          <w:sz w:val="32"/>
          <w:szCs w:val="32"/>
          <w:lang w:val="en-US" w:eastAsia="zh-CN"/>
        </w:rPr>
        <w:t>521.09</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519.15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99.62</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1.94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0.38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rPr>
        <w:t>上级补助收入</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bookmarkEnd w:id="38"/>
    </w:p>
    <w:p>
      <w:pPr>
        <w:spacing w:line="240" w:lineRule="auto"/>
        <w:ind w:firstLine="640" w:firstLineChars="200"/>
        <w:outlineLvl w:val="9"/>
        <w:rPr>
          <w:rFonts w:hint="eastAsia" w:ascii="仿宋" w:hAnsi="仿宋" w:eastAsia="仿宋"/>
          <w:color w:val="000000" w:themeColor="text1"/>
          <w:sz w:val="32"/>
          <w:szCs w:val="32"/>
        </w:rPr>
      </w:pPr>
      <w:r>
        <w:rPr>
          <w:rFonts w:hint="eastAsia" w:ascii="仿宋" w:hAnsi="仿宋" w:eastAsia="仿宋"/>
          <w:color w:val="000000"/>
          <w:sz w:val="32"/>
          <w:szCs w:val="32"/>
          <w:lang w:eastAsia="zh-CN"/>
        </w:rPr>
        <w:drawing>
          <wp:inline distT="0" distB="0" distL="114300" distR="114300">
            <wp:extent cx="4629150" cy="2790825"/>
            <wp:effectExtent l="0" t="0" r="0" b="9525"/>
            <wp:docPr id="3" name="图片 3" descr="收入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收入决算结构图"/>
                    <pic:cNvPicPr>
                      <a:picLocks noChangeAspect="1"/>
                    </pic:cNvPicPr>
                  </pic:nvPicPr>
                  <pic:blipFill>
                    <a:blip r:embed="rId7"/>
                    <a:stretch>
                      <a:fillRect/>
                    </a:stretch>
                  </pic:blipFill>
                  <pic:spPr>
                    <a:xfrm>
                      <a:off x="0" y="0"/>
                      <a:ext cx="4629150" cy="2790825"/>
                    </a:xfrm>
                    <a:prstGeom prst="rect">
                      <a:avLst/>
                    </a:prstGeom>
                  </pic:spPr>
                </pic:pic>
              </a:graphicData>
            </a:graphic>
          </wp:inline>
        </w:drawing>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rPr>
        <w:t>（图2：收入决算结构图）</w:t>
      </w:r>
    </w:p>
    <w:p>
      <w:pPr>
        <w:pStyle w:val="26"/>
        <w:numPr>
          <w:ilvl w:val="0"/>
          <w:numId w:val="2"/>
        </w:numPr>
        <w:spacing w:line="600" w:lineRule="exact"/>
        <w:ind w:firstLineChars="0"/>
        <w:outlineLvl w:val="1"/>
        <w:rPr>
          <w:rStyle w:val="28"/>
          <w:rFonts w:ascii="黑体" w:hAnsi="黑体" w:eastAsia="黑体"/>
          <w:b w:val="0"/>
        </w:rPr>
      </w:pPr>
      <w:bookmarkStart w:id="39" w:name="_Toc270"/>
      <w:bookmarkStart w:id="40" w:name="_Toc15377207"/>
      <w:bookmarkStart w:id="41"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39"/>
      <w:bookmarkEnd w:id="40"/>
      <w:bookmarkEnd w:id="41"/>
    </w:p>
    <w:p>
      <w:pPr>
        <w:spacing w:line="600" w:lineRule="exact"/>
        <w:ind w:firstLine="640" w:firstLineChars="200"/>
        <w:outlineLvl w:val="1"/>
        <w:rPr>
          <w:rFonts w:hint="eastAsia" w:ascii="仿宋_GB2312" w:hAnsi="仿宋_GB2312" w:eastAsia="仿宋_GB2312" w:cs="仿宋_GB2312"/>
          <w:color w:val="000000"/>
          <w:sz w:val="32"/>
          <w:szCs w:val="32"/>
        </w:rPr>
      </w:pPr>
      <w:bookmarkStart w:id="42" w:name="_Toc20628"/>
      <w:r>
        <w:rPr>
          <w:rFonts w:hint="eastAsia" w:ascii="仿宋_GB2312" w:hAnsi="仿宋_GB2312" w:eastAsia="仿宋_GB2312" w:cs="仿宋_GB2312"/>
          <w:color w:val="000000"/>
          <w:sz w:val="32"/>
          <w:szCs w:val="32"/>
        </w:rPr>
        <w:t>2019年本年支出合计</w:t>
      </w:r>
      <w:r>
        <w:rPr>
          <w:rFonts w:hint="eastAsia" w:ascii="仿宋_GB2312" w:hAnsi="仿宋_GB2312" w:eastAsia="仿宋_GB2312" w:cs="仿宋_GB2312"/>
          <w:color w:val="000000"/>
          <w:sz w:val="32"/>
          <w:szCs w:val="32"/>
          <w:lang w:val="en-US" w:eastAsia="zh-CN"/>
        </w:rPr>
        <w:t>568.94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438.66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77.1</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130.28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22.9</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bookmarkEnd w:id="42"/>
    </w:p>
    <w:p>
      <w:pPr>
        <w:pStyle w:val="2"/>
        <w:rPr>
          <w:rFonts w:hint="eastAsia" w:eastAsia="仿宋"/>
          <w:lang w:eastAsia="zh-CN"/>
        </w:rPr>
      </w:pPr>
      <w:r>
        <w:rPr>
          <w:rFonts w:hint="eastAsia" w:eastAsia="仿宋"/>
          <w:lang w:eastAsia="zh-CN"/>
        </w:rPr>
        <w:drawing>
          <wp:inline distT="0" distB="0" distL="114300" distR="114300">
            <wp:extent cx="4600575" cy="2781300"/>
            <wp:effectExtent l="0" t="0" r="9525" b="0"/>
            <wp:docPr id="4" name="图片 4" descr="支出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支出决算结构图"/>
                    <pic:cNvPicPr>
                      <a:picLocks noChangeAspect="1"/>
                    </pic:cNvPicPr>
                  </pic:nvPicPr>
                  <pic:blipFill>
                    <a:blip r:embed="rId8"/>
                    <a:stretch>
                      <a:fillRect/>
                    </a:stretch>
                  </pic:blipFill>
                  <pic:spPr>
                    <a:xfrm>
                      <a:off x="0" y="0"/>
                      <a:ext cx="4600575" cy="2781300"/>
                    </a:xfrm>
                    <a:prstGeom prst="rect">
                      <a:avLst/>
                    </a:prstGeom>
                  </pic:spPr>
                </pic:pic>
              </a:graphicData>
            </a:graphic>
          </wp:inline>
        </w:drawing>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（图3：支出决算结构图）</w:t>
      </w:r>
    </w:p>
    <w:p>
      <w:pPr>
        <w:spacing w:line="600" w:lineRule="exact"/>
        <w:ind w:firstLine="640" w:firstLineChars="200"/>
        <w:outlineLvl w:val="1"/>
        <w:rPr>
          <w:rStyle w:val="28"/>
          <w:rFonts w:ascii="黑体" w:hAnsi="黑体" w:eastAsia="黑体"/>
          <w:b w:val="0"/>
        </w:rPr>
      </w:pPr>
      <w:bookmarkStart w:id="43" w:name="_Toc15377208"/>
      <w:bookmarkStart w:id="44" w:name="_Toc3984"/>
      <w:bookmarkStart w:id="45"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3"/>
      <w:bookmarkEnd w:id="44"/>
      <w:bookmarkEnd w:id="45"/>
    </w:p>
    <w:p>
      <w:pPr>
        <w:spacing w:line="353" w:lineRule="auto"/>
        <w:ind w:firstLine="640" w:firstLineChars="200"/>
      </w:pPr>
      <w:r>
        <w:rPr>
          <w:rFonts w:hint="eastAsia" w:ascii="仿宋_GB2312" w:hAnsi="仿宋_GB2312" w:eastAsia="仿宋_GB2312" w:cs="仿宋_GB2312"/>
          <w:color w:val="000000"/>
          <w:sz w:val="32"/>
          <w:szCs w:val="32"/>
        </w:rPr>
        <w:t>2019年财政拨款收</w:t>
      </w:r>
      <w:r>
        <w:rPr>
          <w:rFonts w:hint="eastAsia" w:ascii="仿宋_GB2312" w:hAnsi="仿宋_GB2312" w:eastAsia="仿宋_GB2312" w:cs="仿宋_GB2312"/>
          <w:color w:val="000000"/>
          <w:sz w:val="32"/>
          <w:szCs w:val="32"/>
          <w:lang w:eastAsia="zh-CN"/>
        </w:rPr>
        <w:t>入总计</w:t>
      </w:r>
      <w:r>
        <w:rPr>
          <w:rFonts w:hint="eastAsia" w:ascii="仿宋_GB2312" w:hAnsi="仿宋_GB2312" w:eastAsia="仿宋_GB2312" w:cs="仿宋_GB2312"/>
          <w:color w:val="000000"/>
          <w:sz w:val="32"/>
          <w:szCs w:val="32"/>
          <w:lang w:val="en-US" w:eastAsia="zh-CN"/>
        </w:rPr>
        <w:t>521.09</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568.94</w:t>
      </w:r>
      <w:r>
        <w:rPr>
          <w:rFonts w:hint="eastAsia" w:ascii="仿宋_GB2312" w:hAnsi="仿宋_GB2312" w:eastAsia="仿宋_GB2312" w:cs="仿宋_GB2312"/>
          <w:color w:val="000000"/>
          <w:sz w:val="32"/>
          <w:szCs w:val="32"/>
        </w:rPr>
        <w:t>万元。与2018年相比，收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39.13万元</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总计增加</w:t>
      </w:r>
      <w:r>
        <w:rPr>
          <w:rFonts w:hint="eastAsia" w:ascii="仿宋_GB2312" w:hAnsi="仿宋_GB2312" w:eastAsia="仿宋_GB2312" w:cs="仿宋_GB2312"/>
          <w:color w:val="000000"/>
          <w:sz w:val="32"/>
          <w:szCs w:val="32"/>
          <w:lang w:val="en-US" w:eastAsia="zh-CN"/>
        </w:rPr>
        <w:t>42.09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收入</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8.11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，支出增长</w:t>
      </w:r>
      <w:r>
        <w:rPr>
          <w:rFonts w:hint="eastAsia" w:ascii="仿宋_GB2312" w:hAnsi="仿宋_GB2312" w:eastAsia="仿宋_GB2312" w:cs="仿宋_GB2312"/>
          <w:color w:val="000000"/>
          <w:sz w:val="32"/>
          <w:szCs w:val="32"/>
          <w:lang w:val="en-US" w:eastAsia="zh-CN"/>
        </w:rPr>
        <w:t>7.98%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新增人员、正常增资和工作任务的增加。</w:t>
      </w:r>
    </w:p>
    <w:p>
      <w:pPr>
        <w:spacing w:line="240" w:lineRule="auto"/>
        <w:ind w:firstLine="640"/>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4610100" cy="2800350"/>
            <wp:effectExtent l="0" t="0" r="0" b="0"/>
            <wp:docPr id="5" name="图片 5" descr="财政拨款收、支决算总计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财政拨款收、支决算总计变动情况"/>
                    <pic:cNvPicPr>
                      <a:picLocks noChangeAspect="1"/>
                    </pic:cNvPicPr>
                  </pic:nvPicPr>
                  <pic:blipFill>
                    <a:blip r:embed="rId9"/>
                    <a:stretch>
                      <a:fillRect/>
                    </a:stretch>
                  </pic:blipFill>
                  <pic:spPr>
                    <a:xfrm>
                      <a:off x="0" y="0"/>
                      <a:ext cx="4610100" cy="2800350"/>
                    </a:xfrm>
                    <a:prstGeom prst="rect">
                      <a:avLst/>
                    </a:prstGeom>
                  </pic:spPr>
                </pic:pic>
              </a:graphicData>
            </a:graphic>
          </wp:inline>
        </w:drawing>
      </w:r>
    </w:p>
    <w:p>
      <w:pPr>
        <w:spacing w:line="600" w:lineRule="exact"/>
        <w:ind w:firstLine="640" w:firstLineChars="200"/>
        <w:rPr>
          <w:rFonts w:ascii="仿宋" w:hAnsi="仿宋" w:eastAsia="仿宋"/>
          <w:b/>
          <w:color w:val="00B050"/>
          <w:sz w:val="32"/>
          <w:szCs w:val="32"/>
        </w:rPr>
      </w:pPr>
      <w:r>
        <w:rPr>
          <w:rFonts w:hint="eastAsia" w:ascii="仿宋_GB2312" w:hAnsi="仿宋_GB2312" w:eastAsia="仿宋_GB2312" w:cs="仿宋_GB2312"/>
          <w:color w:val="000000" w:themeColor="text1"/>
          <w:sz w:val="32"/>
          <w:szCs w:val="32"/>
        </w:rPr>
        <w:t>（图4：财政拨款收、支决算总计变动情况）</w:t>
      </w:r>
    </w:p>
    <w:p>
      <w:pPr>
        <w:spacing w:line="600" w:lineRule="exact"/>
        <w:ind w:firstLine="640" w:firstLineChars="200"/>
        <w:outlineLvl w:val="1"/>
        <w:rPr>
          <w:rStyle w:val="28"/>
          <w:rFonts w:ascii="黑体" w:hAnsi="黑体" w:eastAsia="黑体"/>
          <w:b w:val="0"/>
        </w:rPr>
      </w:pPr>
      <w:bookmarkStart w:id="46" w:name="_Toc15904"/>
      <w:bookmarkStart w:id="47" w:name="_Toc15396607"/>
      <w:bookmarkStart w:id="4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bookmarkStart w:id="50" w:name="_Toc21338"/>
      <w:r>
        <w:rPr>
          <w:rFonts w:hint="eastAsia" w:ascii="仿宋" w:hAnsi="仿宋" w:eastAsia="仿宋"/>
          <w:b/>
          <w:color w:val="000000"/>
          <w:sz w:val="32"/>
          <w:szCs w:val="32"/>
        </w:rPr>
        <w:t>（一）一般公共预算财政拨款支出决算总体情况</w:t>
      </w:r>
      <w:bookmarkEnd w:id="49"/>
      <w:bookmarkEnd w:id="50"/>
    </w:p>
    <w:p>
      <w:pPr>
        <w:spacing w:line="353"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2019年一般公共预算财政拨款支出</w:t>
      </w:r>
      <w:r>
        <w:rPr>
          <w:rFonts w:hint="eastAsia" w:ascii="仿宋_GB2312" w:hAnsi="仿宋_GB2312" w:eastAsia="仿宋_GB2312" w:cs="仿宋_GB2312"/>
          <w:color w:val="000000"/>
          <w:sz w:val="32"/>
          <w:szCs w:val="32"/>
          <w:lang w:val="en-US" w:eastAsia="zh-CN"/>
        </w:rPr>
        <w:t>565.43</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99.38</w:t>
      </w:r>
      <w:r>
        <w:rPr>
          <w:rFonts w:hint="eastAsia" w:ascii="仿宋_GB2312" w:hAnsi="仿宋_GB2312" w:eastAsia="仿宋_GB2312" w:cs="仿宋_GB2312"/>
          <w:color w:val="000000"/>
          <w:sz w:val="32"/>
          <w:szCs w:val="32"/>
        </w:rPr>
        <w:t>%。与2018年相比，一般公共预算财政拨款</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38.58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7.32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主要变动原因是新增人员、正常增资和工作任务的增加。</w:t>
      </w:r>
    </w:p>
    <w:p>
      <w:pPr>
        <w:pStyle w:val="2"/>
        <w:rPr>
          <w:rFonts w:hint="eastAsia" w:eastAsia="仿宋_GB2312"/>
          <w:lang w:eastAsia="zh-CN"/>
        </w:rPr>
      </w:pPr>
      <w:r>
        <w:rPr>
          <w:rFonts w:hint="eastAsia" w:eastAsia="仿宋_GB2312"/>
          <w:lang w:eastAsia="zh-CN"/>
        </w:rPr>
        <w:drawing>
          <wp:inline distT="0" distB="0" distL="114300" distR="114300">
            <wp:extent cx="4572000" cy="2743200"/>
            <wp:effectExtent l="0" t="0" r="0" b="0"/>
            <wp:docPr id="6" name="图片 6" descr="一般公共预算财政拨款支出决算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变动情况"/>
                    <pic:cNvPicPr>
                      <a:picLocks noChangeAspect="1"/>
                    </pic:cNvPicPr>
                  </pic:nvPicPr>
                  <pic:blipFill>
                    <a:blip r:embed="rId10"/>
                    <a:stretch>
                      <a:fillRect/>
                    </a:stretch>
                  </pic:blipFill>
                  <pic:spPr>
                    <a:xfrm>
                      <a:off x="0" y="0"/>
                      <a:ext cx="4572000" cy="2743200"/>
                    </a:xfrm>
                    <a:prstGeom prst="rect">
                      <a:avLst/>
                    </a:prstGeom>
                  </pic:spPr>
                </pic:pic>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51" w:name="_Toc15377211"/>
      <w:bookmarkStart w:id="52" w:name="_Toc18079"/>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themeColor="text1"/>
          <w:sz w:val="32"/>
          <w:szCs w:val="32"/>
          <w:lang w:val="en-US" w:eastAsia="zh-CN"/>
        </w:rPr>
        <w:t>565.43</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一般公共服务（类）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451.65</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79.87</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教育支出（类）</w:t>
      </w:r>
      <w:r>
        <w:rPr>
          <w:rFonts w:hint="eastAsia" w:ascii="仿宋_GB2312" w:hAnsi="仿宋_GB2312" w:eastAsia="仿宋_GB2312" w:cs="仿宋_GB2312"/>
          <w:b/>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科学技术（类）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文化旅游体育与传媒（类）支出</w:t>
      </w:r>
      <w:r>
        <w:rPr>
          <w:rFonts w:hint="eastAsia" w:ascii="仿宋_GB2312" w:hAnsi="仿宋_GB2312" w:eastAsia="仿宋_GB2312" w:cs="仿宋_GB2312"/>
          <w:b/>
          <w:bCs/>
          <w:color w:val="000000" w:themeColor="text1"/>
          <w:sz w:val="32"/>
          <w:szCs w:val="32"/>
          <w:lang w:val="en-US" w:eastAsia="zh-CN"/>
        </w:rPr>
        <w:t>0.19</w:t>
      </w:r>
      <w:r>
        <w:rPr>
          <w:rFonts w:hint="eastAsia" w:ascii="仿宋_GB2312" w:hAnsi="仿宋_GB2312" w:eastAsia="仿宋_GB2312" w:cs="仿宋_GB2312"/>
          <w:b/>
          <w:bCs/>
          <w:color w:val="000000" w:themeColor="text1"/>
          <w:sz w:val="32"/>
          <w:szCs w:val="32"/>
        </w:rPr>
        <w:t>万元，占</w:t>
      </w:r>
      <w:r>
        <w:rPr>
          <w:rFonts w:hint="eastAsia" w:ascii="仿宋_GB2312" w:hAnsi="仿宋_GB2312" w:eastAsia="仿宋_GB2312" w:cs="仿宋_GB2312"/>
          <w:b/>
          <w:bCs/>
          <w:color w:val="000000" w:themeColor="text1"/>
          <w:sz w:val="32"/>
          <w:szCs w:val="32"/>
          <w:lang w:val="en-US" w:eastAsia="zh-CN"/>
        </w:rPr>
        <w:t>0.03</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社会保障和就业（类）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21.15</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3.74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卫生健康支出</w:t>
      </w:r>
      <w:r>
        <w:rPr>
          <w:rFonts w:hint="eastAsia" w:ascii="仿宋_GB2312" w:hAnsi="仿宋_GB2312" w:eastAsia="仿宋_GB2312" w:cs="仿宋_GB2312"/>
          <w:color w:val="000000" w:themeColor="text1"/>
          <w:sz w:val="32"/>
          <w:szCs w:val="32"/>
          <w:lang w:val="en-US" w:eastAsia="zh-CN"/>
        </w:rPr>
        <w:t>12.34</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2.18</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住房保障支出</w:t>
      </w:r>
      <w:r>
        <w:rPr>
          <w:rFonts w:hint="eastAsia" w:ascii="仿宋_GB2312" w:hAnsi="仿宋_GB2312" w:eastAsia="仿宋_GB2312" w:cs="仿宋_GB2312"/>
          <w:color w:val="000000" w:themeColor="text1"/>
          <w:sz w:val="32"/>
          <w:szCs w:val="32"/>
          <w:lang w:val="en-US" w:eastAsia="zh-CN"/>
        </w:rPr>
        <w:t>21.59</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3.81</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bCs/>
          <w:color w:val="000000" w:themeColor="text1"/>
          <w:sz w:val="32"/>
          <w:szCs w:val="32"/>
          <w:lang w:eastAsia="zh-CN"/>
        </w:rPr>
        <w:t>城乡社区支出</w:t>
      </w:r>
      <w:r>
        <w:rPr>
          <w:rFonts w:hint="eastAsia" w:ascii="仿宋_GB2312" w:hAnsi="仿宋_GB2312" w:eastAsia="仿宋_GB2312" w:cs="仿宋_GB2312"/>
          <w:color w:val="000000" w:themeColor="text1"/>
          <w:sz w:val="32"/>
          <w:szCs w:val="32"/>
          <w:lang w:val="en-US" w:eastAsia="zh-CN"/>
        </w:rPr>
        <w:t>29.21万元，占5.16%</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bCs/>
          <w:color w:val="000000" w:themeColor="text1"/>
          <w:sz w:val="32"/>
          <w:szCs w:val="32"/>
          <w:lang w:eastAsia="zh-CN"/>
        </w:rPr>
        <w:t>农林水支出</w:t>
      </w:r>
      <w:r>
        <w:rPr>
          <w:rFonts w:hint="eastAsia" w:ascii="仿宋_GB2312" w:hAnsi="仿宋_GB2312" w:eastAsia="仿宋_GB2312" w:cs="仿宋_GB2312"/>
          <w:color w:val="000000" w:themeColor="text1"/>
          <w:sz w:val="32"/>
          <w:szCs w:val="32"/>
          <w:lang w:val="en-US" w:eastAsia="zh-CN"/>
        </w:rPr>
        <w:t>4.3万元，占0.79%</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bCs/>
          <w:color w:val="000000" w:themeColor="text1"/>
          <w:sz w:val="32"/>
          <w:szCs w:val="32"/>
          <w:lang w:eastAsia="zh-CN"/>
        </w:rPr>
        <w:t>灾害防治及应急管理支出</w:t>
      </w:r>
      <w:r>
        <w:rPr>
          <w:rFonts w:hint="eastAsia" w:ascii="仿宋_GB2312" w:hAnsi="仿宋_GB2312" w:eastAsia="仿宋_GB2312" w:cs="仿宋_GB2312"/>
          <w:color w:val="000000" w:themeColor="text1"/>
          <w:sz w:val="32"/>
          <w:szCs w:val="32"/>
          <w:lang w:val="en-US" w:eastAsia="zh-CN"/>
        </w:rPr>
        <w:t>25万元，占4.42%</w:t>
      </w:r>
      <w:r>
        <w:rPr>
          <w:rFonts w:hint="eastAsia" w:ascii="仿宋_GB2312" w:hAnsi="仿宋_GB2312" w:eastAsia="仿宋_GB2312" w:cs="仿宋_GB2312"/>
          <w:color w:val="000000" w:themeColor="text1"/>
          <w:sz w:val="32"/>
          <w:szCs w:val="32"/>
        </w:rPr>
        <w:t>。</w:t>
      </w:r>
    </w:p>
    <w:p>
      <w:pPr>
        <w:spacing w:line="240" w:lineRule="auto"/>
        <w:ind w:firstLine="64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inline distT="0" distB="0" distL="114300" distR="114300">
            <wp:extent cx="4600575" cy="2743200"/>
            <wp:effectExtent l="0" t="0" r="9525" b="0"/>
            <wp:docPr id="1" name="图片 1" descr="一般公共预算财政拨款支出决算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般公共预算财政拨款支出决算结构"/>
                    <pic:cNvPicPr>
                      <a:picLocks noChangeAspect="1"/>
                    </pic:cNvPicPr>
                  </pic:nvPicPr>
                  <pic:blipFill>
                    <a:blip r:embed="rId11"/>
                    <a:stretch>
                      <a:fillRect/>
                    </a:stretch>
                  </pic:blipFill>
                  <pic:spPr>
                    <a:xfrm>
                      <a:off x="0" y="0"/>
                      <a:ext cx="4600575" cy="2743200"/>
                    </a:xfrm>
                    <a:prstGeom prst="rect">
                      <a:avLst/>
                    </a:prstGeom>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53" w:name="_Toc21221"/>
      <w:bookmarkStart w:id="54" w:name="_Toc15377212"/>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2"/>
        <w:rPr>
          <w:rFonts w:ascii="仿宋" w:hAnsi="仿宋" w:eastAsia="仿宋"/>
          <w:color w:val="FF0000"/>
          <w:sz w:val="32"/>
          <w:szCs w:val="32"/>
        </w:rPr>
      </w:pPr>
      <w:bookmarkStart w:id="55" w:name="_Toc15378460"/>
      <w:bookmarkStart w:id="56" w:name="_Toc15377444"/>
      <w:bookmarkStart w:id="57" w:name="_Toc16126"/>
      <w:bookmarkStart w:id="58"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565.43</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rPr>
        <w:t>1.一般公共服务（类）政府办公厅（室）及相关机构事务（款）行政运行（项）: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79.42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 xml:space="preserve"> </w:t>
      </w:r>
      <w:r>
        <w:rPr>
          <w:rStyle w:val="16"/>
          <w:rFonts w:hint="eastAsia" w:ascii="仿宋_GB2312" w:hAnsi="仿宋_GB2312" w:eastAsia="仿宋_GB2312" w:cs="仿宋_GB2312"/>
          <w:bCs/>
          <w:color w:val="000000"/>
          <w:sz w:val="32"/>
          <w:szCs w:val="32"/>
          <w:lang w:val="en-US" w:eastAsia="zh-CN"/>
        </w:rPr>
        <w:t>2</w:t>
      </w:r>
      <w:r>
        <w:rPr>
          <w:rStyle w:val="16"/>
          <w:rFonts w:hint="eastAsia" w:ascii="仿宋_GB2312" w:hAnsi="仿宋_GB2312" w:eastAsia="仿宋_GB2312" w:cs="仿宋_GB2312"/>
          <w:bCs/>
          <w:color w:val="000000"/>
          <w:sz w:val="32"/>
          <w:szCs w:val="32"/>
        </w:rPr>
        <w:t>.一般公共服务（类）政府办公厅（室）及相关机构事务（款）</w:t>
      </w:r>
      <w:r>
        <w:rPr>
          <w:rStyle w:val="16"/>
          <w:rFonts w:hint="eastAsia" w:ascii="仿宋_GB2312" w:hAnsi="仿宋_GB2312" w:eastAsia="仿宋_GB2312" w:cs="仿宋_GB2312"/>
          <w:bCs/>
          <w:color w:val="000000"/>
          <w:sz w:val="32"/>
          <w:szCs w:val="32"/>
          <w:lang w:eastAsia="zh-CN"/>
        </w:rPr>
        <w:t>一般行政管理事务</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61.2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 xml:space="preserve"> </w:t>
      </w:r>
      <w:r>
        <w:rPr>
          <w:rStyle w:val="16"/>
          <w:rFonts w:hint="eastAsia" w:ascii="仿宋_GB2312" w:hAnsi="仿宋_GB2312" w:eastAsia="仿宋_GB2312" w:cs="仿宋_GB2312"/>
          <w:bCs/>
          <w:color w:val="000000"/>
          <w:sz w:val="32"/>
          <w:szCs w:val="32"/>
          <w:lang w:val="en-US" w:eastAsia="zh-CN"/>
        </w:rPr>
        <w:t>3</w:t>
      </w:r>
      <w:r>
        <w:rPr>
          <w:rStyle w:val="16"/>
          <w:rFonts w:hint="eastAsia" w:ascii="仿宋_GB2312" w:hAnsi="仿宋_GB2312" w:eastAsia="仿宋_GB2312" w:cs="仿宋_GB2312"/>
          <w:bCs/>
          <w:color w:val="000000"/>
          <w:sz w:val="32"/>
          <w:szCs w:val="32"/>
        </w:rPr>
        <w:t>.一般公共服务（类）政府办公厅（室）及相关机构事务（款）</w:t>
      </w:r>
      <w:r>
        <w:rPr>
          <w:rStyle w:val="16"/>
          <w:rFonts w:hint="eastAsia" w:ascii="仿宋_GB2312" w:hAnsi="仿宋_GB2312" w:eastAsia="仿宋_GB2312" w:cs="仿宋_GB2312"/>
          <w:bCs/>
          <w:color w:val="000000"/>
          <w:sz w:val="32"/>
          <w:szCs w:val="32"/>
          <w:lang w:eastAsia="zh-CN"/>
        </w:rPr>
        <w:t>事业运行</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115.11</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4</w:t>
      </w:r>
      <w:r>
        <w:rPr>
          <w:rStyle w:val="16"/>
          <w:rFonts w:hint="eastAsia" w:ascii="仿宋_GB2312" w:hAnsi="仿宋_GB2312" w:eastAsia="仿宋_GB2312" w:cs="仿宋_GB2312"/>
          <w:bCs/>
          <w:color w:val="000000"/>
          <w:sz w:val="32"/>
          <w:szCs w:val="32"/>
        </w:rPr>
        <w:t>.一般公共服务（类）政府办公厅（室）及相关机构事务（款）其他政府办公厅（室）及相关机构事务支出（项）: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189.25</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_GB2312" w:hAnsi="仿宋_GB2312" w:eastAsia="仿宋_GB2312" w:cs="仿宋_GB2312"/>
          <w:b w:val="0"/>
          <w:bCs/>
          <w:color w:val="000000"/>
          <w:sz w:val="32"/>
          <w:szCs w:val="32"/>
        </w:rPr>
      </w:pPr>
      <w:r>
        <w:rPr>
          <w:rFonts w:hint="default" w:ascii="仿宋_GB2312" w:hAnsi="仿宋_GB2312" w:eastAsia="仿宋_GB2312" w:cs="仿宋_GB2312"/>
          <w:sz w:val="32"/>
          <w:szCs w:val="32"/>
          <w:lang w:val="en-US" w:eastAsia="zh-CN"/>
        </w:rPr>
        <w:t xml:space="preserve"> </w:t>
      </w:r>
      <w:r>
        <w:rPr>
          <w:rStyle w:val="16"/>
          <w:rFonts w:hint="eastAsia" w:ascii="仿宋_GB2312" w:hAnsi="仿宋_GB2312" w:eastAsia="仿宋_GB2312" w:cs="仿宋_GB2312"/>
          <w:bCs/>
          <w:color w:val="000000"/>
          <w:sz w:val="32"/>
          <w:szCs w:val="32"/>
          <w:lang w:val="en-US" w:eastAsia="zh-CN"/>
        </w:rPr>
        <w:t>5</w:t>
      </w:r>
      <w:r>
        <w:rPr>
          <w:rStyle w:val="16"/>
          <w:rFonts w:hint="eastAsia" w:ascii="仿宋_GB2312" w:hAnsi="仿宋_GB2312" w:eastAsia="仿宋_GB2312" w:cs="仿宋_GB2312"/>
          <w:bCs/>
          <w:color w:val="000000"/>
          <w:sz w:val="32"/>
          <w:szCs w:val="32"/>
        </w:rPr>
        <w:t>.一般公共服务（类）</w:t>
      </w:r>
      <w:r>
        <w:rPr>
          <w:rStyle w:val="16"/>
          <w:rFonts w:hint="eastAsia" w:ascii="仿宋_GB2312" w:hAnsi="仿宋_GB2312" w:eastAsia="仿宋_GB2312" w:cs="仿宋_GB2312"/>
          <w:bCs/>
          <w:color w:val="000000"/>
          <w:sz w:val="32"/>
          <w:szCs w:val="32"/>
          <w:lang w:eastAsia="zh-CN"/>
        </w:rPr>
        <w:t>统计信息事务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专项普查活动</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5.52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6</w:t>
      </w:r>
      <w:r>
        <w:rPr>
          <w:rStyle w:val="16"/>
          <w:rFonts w:hint="eastAsia" w:ascii="仿宋_GB2312" w:hAnsi="仿宋_GB2312" w:eastAsia="仿宋_GB2312" w:cs="仿宋_GB2312"/>
          <w:bCs/>
          <w:color w:val="000000"/>
          <w:sz w:val="32"/>
          <w:szCs w:val="32"/>
        </w:rPr>
        <w:t>.一般公共服务（类）</w:t>
      </w:r>
      <w:r>
        <w:rPr>
          <w:rStyle w:val="16"/>
          <w:rFonts w:hint="eastAsia" w:ascii="仿宋_GB2312" w:hAnsi="仿宋_GB2312" w:eastAsia="仿宋_GB2312" w:cs="仿宋_GB2312"/>
          <w:bCs/>
          <w:color w:val="000000"/>
          <w:sz w:val="32"/>
          <w:szCs w:val="32"/>
          <w:lang w:eastAsia="zh-CN"/>
        </w:rPr>
        <w:t>财务事务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其他财政事务支出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1.13</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仿宋_GB2312" w:hAnsi="仿宋_GB2312" w:eastAsia="仿宋_GB2312" w:cs="仿宋_GB2312"/>
          <w:sz w:val="32"/>
          <w:szCs w:val="32"/>
          <w:lang w:val="en-US" w:eastAsia="zh-CN"/>
        </w:rPr>
      </w:pPr>
      <w:r>
        <w:rPr>
          <w:rStyle w:val="16"/>
          <w:rFonts w:hint="eastAsia" w:ascii="仿宋_GB2312" w:hAnsi="仿宋_GB2312" w:eastAsia="仿宋_GB2312" w:cs="仿宋_GB2312"/>
          <w:bCs/>
          <w:color w:val="000000"/>
          <w:sz w:val="32"/>
          <w:szCs w:val="32"/>
          <w:lang w:val="en-US" w:eastAsia="zh-CN"/>
        </w:rPr>
        <w:t>7</w:t>
      </w:r>
      <w:r>
        <w:rPr>
          <w:rStyle w:val="16"/>
          <w:rFonts w:hint="eastAsia" w:ascii="仿宋_GB2312" w:hAnsi="仿宋_GB2312" w:eastAsia="仿宋_GB2312" w:cs="仿宋_GB2312"/>
          <w:bCs/>
          <w:color w:val="000000"/>
          <w:sz w:val="32"/>
          <w:szCs w:val="32"/>
        </w:rPr>
        <w:t>.一般公共服务（类）</w:t>
      </w:r>
      <w:r>
        <w:rPr>
          <w:rStyle w:val="16"/>
          <w:rFonts w:hint="eastAsia" w:ascii="仿宋_GB2312" w:hAnsi="仿宋_GB2312" w:eastAsia="仿宋_GB2312" w:cs="仿宋_GB2312"/>
          <w:bCs/>
          <w:color w:val="000000"/>
          <w:sz w:val="32"/>
          <w:szCs w:val="32"/>
          <w:lang w:eastAsia="zh-CN"/>
        </w:rPr>
        <w:t>其他共产党事务支出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一般行政管理事务</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0.02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8</w:t>
      </w:r>
      <w:r>
        <w:rPr>
          <w:rStyle w:val="16"/>
          <w:rFonts w:hint="eastAsia" w:ascii="仿宋_GB2312" w:hAnsi="仿宋_GB2312" w:eastAsia="仿宋_GB2312" w:cs="仿宋_GB2312"/>
          <w:bCs/>
          <w:color w:val="000000"/>
          <w:sz w:val="32"/>
          <w:szCs w:val="32"/>
        </w:rPr>
        <w:t>.文化旅游体育与传媒（类）</w:t>
      </w:r>
      <w:r>
        <w:rPr>
          <w:rStyle w:val="16"/>
          <w:rFonts w:hint="eastAsia" w:ascii="仿宋_GB2312" w:hAnsi="仿宋_GB2312" w:eastAsia="仿宋_GB2312" w:cs="仿宋_GB2312"/>
          <w:bCs/>
          <w:color w:val="000000"/>
          <w:sz w:val="32"/>
          <w:szCs w:val="32"/>
          <w:lang w:eastAsia="zh-CN"/>
        </w:rPr>
        <w:t>其他文化旅游体育与传媒</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宣传文化发展专项支出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0.19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9</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eastAsia="zh-CN"/>
        </w:rPr>
        <w:t>行政事业单位离退休</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未归口管理的行政单位离退休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3.27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10</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eastAsia="zh-CN"/>
        </w:rPr>
        <w:t>行政事业单位离退休</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机关事业单位基本养老保险缴费支出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17.69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Style w:val="16"/>
          <w:rFonts w:hint="eastAsia" w:ascii="仿宋_GB2312" w:hAnsi="仿宋_GB2312" w:eastAsia="仿宋_GB2312" w:cs="仿宋_GB2312"/>
          <w:bCs/>
          <w:color w:val="000000"/>
          <w:sz w:val="32"/>
          <w:szCs w:val="32"/>
          <w:lang w:val="en-US" w:eastAsia="zh-CN"/>
        </w:rPr>
        <w:t>11</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eastAsia="zh-CN"/>
        </w:rPr>
        <w:t>特困人员救助供养</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城市特困人员救助供养支出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0.2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12</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rPr>
        <w:t>卫生健康</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行政单位医疗</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3.52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13</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rPr>
        <w:t>卫生健康</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事业单位医疗</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7.26</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14</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rPr>
        <w:t>卫生健康</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公务员医疗补助</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1.56</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15</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lang w:eastAsia="zh-CN"/>
        </w:rPr>
        <w:t>城乡社区支出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城乡社区管理事务支出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其他城乡社区管理事务支出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25.65</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16</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lang w:eastAsia="zh-CN"/>
        </w:rPr>
        <w:t>城乡社区支出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城乡社区公共设施</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eastAsia="zh-CN"/>
        </w:rPr>
        <w:t>其他城乡社区公共设施支出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3.56</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rPr>
      </w:pPr>
      <w:r>
        <w:rPr>
          <w:rStyle w:val="16"/>
          <w:rFonts w:hint="eastAsia" w:ascii="仿宋_GB2312" w:hAnsi="仿宋_GB2312" w:eastAsia="仿宋_GB2312" w:cs="仿宋_GB2312"/>
          <w:bCs/>
          <w:color w:val="000000"/>
          <w:sz w:val="32"/>
          <w:szCs w:val="32"/>
          <w:lang w:val="en-US" w:eastAsia="zh-CN"/>
        </w:rPr>
        <w:t>1</w:t>
      </w:r>
      <w:r>
        <w:rPr>
          <w:rStyle w:val="16"/>
          <w:rFonts w:hint="eastAsia" w:hAnsi="仿宋_GB2312" w:cs="仿宋_GB2312"/>
          <w:bCs/>
          <w:color w:val="000000"/>
          <w:sz w:val="32"/>
          <w:szCs w:val="32"/>
          <w:lang w:val="en-US" w:eastAsia="zh-CN"/>
        </w:rPr>
        <w:t>7</w:t>
      </w:r>
      <w:r>
        <w:rPr>
          <w:rStyle w:val="16"/>
          <w:rFonts w:hint="eastAsia" w:ascii="仿宋_GB2312" w:hAnsi="仿宋_GB2312" w:eastAsia="仿宋_GB2312" w:cs="仿宋_GB2312"/>
          <w:bCs/>
          <w:color w:val="000000"/>
          <w:sz w:val="32"/>
          <w:szCs w:val="32"/>
        </w:rPr>
        <w:t>.</w:t>
      </w:r>
      <w:r>
        <w:rPr>
          <w:rFonts w:hint="eastAsia" w:hAnsi="仿宋_GB2312" w:cs="仿宋_GB2312"/>
          <w:b/>
          <w:bCs/>
          <w:color w:val="000000" w:themeColor="text1"/>
          <w:sz w:val="32"/>
          <w:szCs w:val="32"/>
          <w:lang w:eastAsia="zh-CN"/>
        </w:rPr>
        <w:t>农林水</w:t>
      </w:r>
      <w:r>
        <w:rPr>
          <w:rFonts w:hint="eastAsia" w:ascii="仿宋_GB2312" w:hAnsi="仿宋_GB2312" w:eastAsia="仿宋_GB2312" w:cs="仿宋_GB2312"/>
          <w:b/>
          <w:bCs/>
          <w:color w:val="000000" w:themeColor="text1"/>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hAnsi="仿宋_GB2312" w:cs="仿宋_GB2312"/>
          <w:bCs/>
          <w:color w:val="000000"/>
          <w:sz w:val="32"/>
          <w:szCs w:val="32"/>
          <w:lang w:eastAsia="zh-CN"/>
        </w:rPr>
        <w:t>农村综合改革</w:t>
      </w:r>
      <w:r>
        <w:rPr>
          <w:rStyle w:val="16"/>
          <w:rFonts w:hint="eastAsia" w:ascii="仿宋_GB2312" w:hAnsi="仿宋_GB2312" w:eastAsia="仿宋_GB2312" w:cs="仿宋_GB2312"/>
          <w:bCs/>
          <w:color w:val="000000"/>
          <w:sz w:val="32"/>
          <w:szCs w:val="32"/>
        </w:rPr>
        <w:t>（款）</w:t>
      </w:r>
      <w:r>
        <w:rPr>
          <w:rStyle w:val="16"/>
          <w:rFonts w:hint="eastAsia" w:hAnsi="仿宋_GB2312" w:cs="仿宋_GB2312"/>
          <w:bCs/>
          <w:color w:val="000000"/>
          <w:sz w:val="32"/>
          <w:szCs w:val="32"/>
          <w:lang w:eastAsia="zh-CN"/>
        </w:rPr>
        <w:t>对村民委员会和村党支部的补助</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hAnsi="仿宋_GB2312" w:cs="仿宋_GB2312"/>
          <w:b w:val="0"/>
          <w:bCs/>
          <w:color w:val="000000"/>
          <w:sz w:val="32"/>
          <w:szCs w:val="32"/>
          <w:lang w:val="en-US" w:eastAsia="zh-CN"/>
        </w:rPr>
        <w:t>4.3</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1</w:t>
      </w:r>
      <w:r>
        <w:rPr>
          <w:rStyle w:val="16"/>
          <w:rFonts w:hint="eastAsia" w:hAnsi="仿宋_GB2312" w:cs="仿宋_GB2312"/>
          <w:bCs/>
          <w:color w:val="000000"/>
          <w:sz w:val="32"/>
          <w:szCs w:val="32"/>
          <w:lang w:val="en-US" w:eastAsia="zh-CN"/>
        </w:rPr>
        <w:t>8</w:t>
      </w:r>
      <w:r>
        <w:rPr>
          <w:rStyle w:val="16"/>
          <w:rFonts w:hint="eastAsia" w:ascii="仿宋_GB2312" w:hAnsi="仿宋_GB2312" w:eastAsia="仿宋_GB2312" w:cs="仿宋_GB2312"/>
          <w:bCs/>
          <w:color w:val="000000"/>
          <w:sz w:val="32"/>
          <w:szCs w:val="32"/>
        </w:rPr>
        <w:t>.</w:t>
      </w:r>
      <w:r>
        <w:rPr>
          <w:rFonts w:hint="eastAsia" w:hAnsi="仿宋_GB2312" w:cs="仿宋_GB2312"/>
          <w:b/>
          <w:bCs/>
          <w:color w:val="000000" w:themeColor="text1"/>
          <w:sz w:val="32"/>
          <w:szCs w:val="32"/>
          <w:lang w:eastAsia="zh-CN"/>
        </w:rPr>
        <w:t>住房保障</w:t>
      </w:r>
      <w:r>
        <w:rPr>
          <w:rFonts w:hint="eastAsia" w:ascii="仿宋_GB2312" w:hAnsi="仿宋_GB2312" w:eastAsia="仿宋_GB2312" w:cs="仿宋_GB2312"/>
          <w:b/>
          <w:bCs/>
          <w:color w:val="000000" w:themeColor="text1"/>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hAnsi="仿宋_GB2312" w:cs="仿宋_GB2312"/>
          <w:bCs/>
          <w:color w:val="000000"/>
          <w:sz w:val="32"/>
          <w:szCs w:val="32"/>
          <w:lang w:eastAsia="zh-CN"/>
        </w:rPr>
        <w:t>住房改革指出</w:t>
      </w:r>
      <w:r>
        <w:rPr>
          <w:rStyle w:val="16"/>
          <w:rFonts w:hint="eastAsia" w:ascii="仿宋_GB2312" w:hAnsi="仿宋_GB2312" w:eastAsia="仿宋_GB2312" w:cs="仿宋_GB2312"/>
          <w:bCs/>
          <w:color w:val="000000"/>
          <w:sz w:val="32"/>
          <w:szCs w:val="32"/>
        </w:rPr>
        <w:t>（款）</w:t>
      </w:r>
      <w:r>
        <w:rPr>
          <w:rStyle w:val="16"/>
          <w:rFonts w:hint="eastAsia" w:hAnsi="仿宋_GB2312" w:cs="仿宋_GB2312"/>
          <w:bCs/>
          <w:color w:val="000000"/>
          <w:sz w:val="32"/>
          <w:szCs w:val="32"/>
          <w:lang w:eastAsia="zh-CN"/>
        </w:rPr>
        <w:t>住房公积金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hAnsi="仿宋_GB2312" w:cs="仿宋_GB2312"/>
          <w:b w:val="0"/>
          <w:bCs/>
          <w:color w:val="000000"/>
          <w:sz w:val="32"/>
          <w:szCs w:val="32"/>
          <w:lang w:val="en-US" w:eastAsia="zh-CN"/>
        </w:rPr>
        <w:t>21.59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color w:val="000000"/>
          <w:sz w:val="32"/>
          <w:szCs w:val="32"/>
        </w:rPr>
      </w:pPr>
      <w:r>
        <w:rPr>
          <w:rStyle w:val="16"/>
          <w:rFonts w:hint="eastAsia" w:ascii="仿宋_GB2312" w:hAnsi="仿宋_GB2312" w:eastAsia="仿宋_GB2312" w:cs="仿宋_GB2312"/>
          <w:bCs/>
          <w:color w:val="000000"/>
          <w:sz w:val="32"/>
          <w:szCs w:val="32"/>
          <w:lang w:val="en-US" w:eastAsia="zh-CN"/>
        </w:rPr>
        <w:t>1</w:t>
      </w:r>
      <w:r>
        <w:rPr>
          <w:rStyle w:val="16"/>
          <w:rFonts w:hint="eastAsia" w:hAnsi="仿宋_GB2312" w:cs="仿宋_GB2312"/>
          <w:bCs/>
          <w:color w:val="000000"/>
          <w:sz w:val="32"/>
          <w:szCs w:val="32"/>
          <w:lang w:val="en-US" w:eastAsia="zh-CN"/>
        </w:rPr>
        <w:t>9</w:t>
      </w:r>
      <w:r>
        <w:rPr>
          <w:rStyle w:val="16"/>
          <w:rFonts w:hint="eastAsia" w:ascii="仿宋_GB2312" w:hAnsi="仿宋_GB2312" w:eastAsia="仿宋_GB2312" w:cs="仿宋_GB2312"/>
          <w:bCs/>
          <w:color w:val="000000"/>
          <w:sz w:val="32"/>
          <w:szCs w:val="32"/>
        </w:rPr>
        <w:t>.</w:t>
      </w:r>
      <w:r>
        <w:rPr>
          <w:rFonts w:hint="eastAsia" w:hAnsi="仿宋_GB2312" w:cs="仿宋_GB2312"/>
          <w:b/>
          <w:bCs/>
          <w:color w:val="000000" w:themeColor="text1"/>
          <w:sz w:val="32"/>
          <w:szCs w:val="32"/>
          <w:lang w:eastAsia="zh-CN"/>
        </w:rPr>
        <w:t>灾害防治及应急管理</w:t>
      </w:r>
      <w:r>
        <w:rPr>
          <w:rFonts w:hint="eastAsia" w:ascii="仿宋_GB2312" w:hAnsi="仿宋_GB2312" w:eastAsia="仿宋_GB2312" w:cs="仿宋_GB2312"/>
          <w:b/>
          <w:bCs/>
          <w:color w:val="000000" w:themeColor="text1"/>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hAnsi="仿宋_GB2312" w:cs="仿宋_GB2312"/>
          <w:bCs/>
          <w:color w:val="000000"/>
          <w:sz w:val="32"/>
          <w:szCs w:val="32"/>
          <w:lang w:eastAsia="zh-CN"/>
        </w:rPr>
        <w:t>应急管理事务</w:t>
      </w:r>
      <w:r>
        <w:rPr>
          <w:rStyle w:val="16"/>
          <w:rFonts w:hint="eastAsia" w:ascii="仿宋_GB2312" w:hAnsi="仿宋_GB2312" w:eastAsia="仿宋_GB2312" w:cs="仿宋_GB2312"/>
          <w:bCs/>
          <w:color w:val="000000"/>
          <w:sz w:val="32"/>
          <w:szCs w:val="32"/>
        </w:rPr>
        <w:t>（款）</w:t>
      </w:r>
      <w:r>
        <w:rPr>
          <w:rStyle w:val="16"/>
          <w:rFonts w:hint="eastAsia" w:hAnsi="仿宋_GB2312" w:cs="仿宋_GB2312"/>
          <w:bCs/>
          <w:color w:val="000000"/>
          <w:sz w:val="32"/>
          <w:szCs w:val="32"/>
          <w:lang w:eastAsia="zh-CN"/>
        </w:rPr>
        <w:t>安全监管</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hAnsi="仿宋_GB2312" w:cs="仿宋_GB2312"/>
          <w:b w:val="0"/>
          <w:bCs/>
          <w:color w:val="000000"/>
          <w:sz w:val="32"/>
          <w:szCs w:val="32"/>
          <w:lang w:val="en-US" w:eastAsia="zh-CN"/>
        </w:rPr>
        <w:t>25</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8"/>
        </w:rPr>
      </w:pPr>
      <w:bookmarkStart w:id="59" w:name="_Toc15396608"/>
      <w:bookmarkStart w:id="60" w:name="_Toc15972"/>
      <w:bookmarkStart w:id="6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9"/>
      <w:bookmarkEnd w:id="60"/>
      <w:bookmarkEnd w:id="61"/>
      <w:r>
        <w:rPr>
          <w:rStyle w:val="28"/>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w:t>
      </w:r>
      <w:r>
        <w:rPr>
          <w:rFonts w:hint="eastAsia" w:ascii="仿宋_GB2312" w:hAnsi="仿宋_GB2312" w:eastAsia="仿宋_GB2312" w:cs="仿宋_GB2312"/>
          <w:color w:val="000000"/>
          <w:sz w:val="32"/>
          <w:szCs w:val="32"/>
          <w:lang w:val="en-US" w:eastAsia="zh-CN"/>
        </w:rPr>
        <w:t>438.66</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403.84</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eastAsia="仿宋_GB2312" w:cs="仿宋_GB2312"/>
          <w:color w:val="000000"/>
          <w:sz w:val="32"/>
          <w:szCs w:val="32"/>
          <w:lang w:val="en-US" w:eastAsia="zh-CN"/>
        </w:rPr>
        <w:t>34.82</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62" w:name="_Toc15377215"/>
      <w:bookmarkStart w:id="63" w:name="_Toc15396609"/>
      <w:bookmarkStart w:id="64" w:name="_Toc20947"/>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color w:val="000000"/>
          <w:sz w:val="32"/>
          <w:szCs w:val="32"/>
        </w:rPr>
      </w:pPr>
      <w:bookmarkStart w:id="65" w:name="_Toc15377216"/>
      <w:bookmarkStart w:id="66" w:name="_Toc3216"/>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2019年“三公”经费财政拨款支出决算为</w:t>
      </w:r>
      <w:r>
        <w:rPr>
          <w:rFonts w:hint="eastAsia" w:ascii="仿宋_GB2312" w:hAnsi="仿宋_GB2312" w:eastAsia="仿宋_GB2312" w:cs="仿宋_GB2312"/>
          <w:color w:val="000000"/>
          <w:sz w:val="32"/>
          <w:szCs w:val="32"/>
          <w:lang w:val="en-US" w:eastAsia="zh-CN"/>
        </w:rPr>
        <w:t>2.47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98.8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小于预算数的原因是街办车辆维护多方比价，选择最优惠的定点维修单位，减少了维修费用</w:t>
      </w:r>
      <w:r>
        <w:rPr>
          <w:rFonts w:hint="eastAsia" w:ascii="仿宋_GB2312" w:hAnsi="仿宋_GB2312" w:eastAsia="仿宋_GB2312" w:cs="仿宋_GB2312"/>
          <w:color w:val="000000"/>
          <w:sz w:val="32"/>
          <w:szCs w:val="32"/>
        </w:rPr>
        <w:t>。</w:t>
      </w:r>
    </w:p>
    <w:p>
      <w:pPr>
        <w:spacing w:line="600" w:lineRule="exact"/>
        <w:ind w:firstLine="640"/>
        <w:outlineLvl w:val="2"/>
        <w:rPr>
          <w:rFonts w:ascii="仿宋" w:hAnsi="仿宋" w:eastAsia="仿宋"/>
          <w:b/>
          <w:color w:val="000000"/>
          <w:sz w:val="32"/>
          <w:szCs w:val="32"/>
        </w:rPr>
      </w:pPr>
      <w:bookmarkStart w:id="67" w:name="_Toc15377217"/>
      <w:bookmarkStart w:id="68" w:name="_Toc16233"/>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2.47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%。具体情况如下：</w:t>
      </w:r>
    </w:p>
    <w:p>
      <w:pPr>
        <w:pStyle w:val="2"/>
        <w:rPr>
          <w:rFonts w:hint="eastAsia" w:eastAsia="仿宋"/>
          <w:lang w:eastAsia="zh-CN"/>
        </w:rPr>
      </w:pPr>
      <w:r>
        <w:rPr>
          <w:rFonts w:hint="eastAsia" w:eastAsia="仿宋"/>
          <w:lang w:eastAsia="zh-CN"/>
        </w:rPr>
        <w:drawing>
          <wp:inline distT="0" distB="0" distL="114300" distR="114300">
            <wp:extent cx="4629150" cy="2790825"/>
            <wp:effectExtent l="0" t="0" r="0" b="9525"/>
            <wp:docPr id="7" name="图片 7" descr="“三公”经费财政拨款支出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公”经费财政拨款支出结构"/>
                    <pic:cNvPicPr>
                      <a:picLocks noChangeAspect="1"/>
                    </pic:cNvPicPr>
                  </pic:nvPicPr>
                  <pic:blipFill>
                    <a:blip r:embed="rId12"/>
                    <a:stretch>
                      <a:fillRect/>
                    </a:stretch>
                  </pic:blipFill>
                  <pic:spPr>
                    <a:xfrm>
                      <a:off x="0" y="0"/>
                      <a:ext cx="4629150" cy="2790825"/>
                    </a:xfrm>
                    <a:prstGeom prst="rect">
                      <a:avLst/>
                    </a:prstGeom>
                  </pic:spPr>
                </pic:pic>
              </a:graphicData>
            </a:graphic>
          </wp:inline>
        </w:drawing>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w:t>
      </w:r>
    </w:p>
    <w:p>
      <w:pPr>
        <w:numPr>
          <w:ilvl w:val="0"/>
          <w:numId w:val="3"/>
        </w:num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2.47</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98.8</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、皮卡车</w:t>
      </w:r>
      <w:r>
        <w:rPr>
          <w:rFonts w:hint="eastAsia" w:ascii="仿宋_GB2312" w:eastAsia="仿宋_GB2312"/>
          <w:color w:val="000000"/>
          <w:sz w:val="32"/>
          <w:szCs w:val="32"/>
          <w:lang w:val="en-US" w:eastAsia="zh-CN"/>
        </w:rPr>
        <w:t>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2.47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街道日常工作事务开展</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_GB2312" w:hAnsi="仿宋_GB2312" w:eastAsia="仿宋_GB2312" w:cs="仿宋_GB2312"/>
          <w:b w:val="0"/>
          <w:bCs/>
          <w:color w:val="000000"/>
          <w:sz w:val="32"/>
          <w:szCs w:val="32"/>
        </w:rPr>
        <w:t>完成预算</w:t>
      </w:r>
      <w:r>
        <w:rPr>
          <w:rStyle w:val="16"/>
          <w:rFonts w:hint="eastAsia" w:ascii="仿宋_GB2312" w:hAnsi="仿宋_GB2312" w:eastAsia="仿宋_GB2312" w:cs="仿宋_GB2312"/>
          <w:b w:val="0"/>
          <w:bCs/>
          <w:color w:val="000000"/>
          <w:sz w:val="32"/>
          <w:szCs w:val="32"/>
          <w:lang w:val="en-US" w:eastAsia="zh-CN"/>
        </w:rPr>
        <w:t>0</w:t>
      </w:r>
      <w:r>
        <w:rPr>
          <w:rStyle w:val="16"/>
          <w:rFonts w:hint="eastAsia" w:ascii="仿宋_GB2312" w:hAnsi="仿宋_GB2312" w:eastAsia="仿宋_GB2312" w:cs="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_GB2312" w:hAnsi="仿宋_GB2312" w:eastAsia="仿宋_GB2312" w:cs="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bookmarkStart w:id="69" w:name="_Toc15396610"/>
      <w:bookmarkStart w:id="70" w:name="_Toc15377218"/>
    </w:p>
    <w:p>
      <w:pPr>
        <w:spacing w:line="600" w:lineRule="exact"/>
        <w:ind w:firstLine="640"/>
        <w:outlineLvl w:val="1"/>
        <w:rPr>
          <w:rStyle w:val="28"/>
          <w:rFonts w:ascii="黑体" w:hAnsi="黑体" w:eastAsia="黑体"/>
        </w:rPr>
      </w:pPr>
      <w:bookmarkStart w:id="71" w:name="_Toc30496"/>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w:t>
      </w:r>
    </w:p>
    <w:p>
      <w:pPr>
        <w:numPr>
          <w:ilvl w:val="0"/>
          <w:numId w:val="4"/>
        </w:numPr>
        <w:spacing w:line="600" w:lineRule="exact"/>
        <w:ind w:firstLine="640"/>
        <w:outlineLvl w:val="1"/>
        <w:rPr>
          <w:rStyle w:val="28"/>
          <w:rFonts w:ascii="黑体" w:hAnsi="黑体" w:eastAsia="黑体"/>
          <w:b w:val="0"/>
        </w:rPr>
      </w:pPr>
      <w:bookmarkStart w:id="72" w:name="_Toc15396611"/>
      <w:bookmarkStart w:id="73" w:name="_Toc15377219"/>
      <w:bookmarkStart w:id="74" w:name="_Toc13033"/>
      <w:r>
        <w:rPr>
          <w:rStyle w:val="28"/>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rPr>
      </w:pPr>
      <w:bookmarkStart w:id="75" w:name="_Toc15377221"/>
      <w:bookmarkStart w:id="76" w:name="_Toc7096"/>
      <w:bookmarkStart w:id="77"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olor w:val="000000"/>
          <w:sz w:val="32"/>
          <w:szCs w:val="32"/>
        </w:rPr>
      </w:pPr>
      <w:bookmarkStart w:id="78" w:name="_Toc32250"/>
      <w:bookmarkStart w:id="79" w:name="_Toc15377222"/>
      <w:r>
        <w:rPr>
          <w:rFonts w:hint="eastAsia" w:ascii="仿宋" w:hAnsi="仿宋" w:eastAsia="仿宋"/>
          <w:b/>
          <w:color w:val="000000"/>
          <w:sz w:val="32"/>
          <w:szCs w:val="32"/>
        </w:rPr>
        <w:t>（一）机关运行经费支出情况</w:t>
      </w:r>
      <w:bookmarkEnd w:id="78"/>
      <w:bookmarkEnd w:id="7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西区陶家渡街道办事处</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34.82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17.67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103</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人员增加导致经费使用上涨。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15377223"/>
      <w:bookmarkStart w:id="81" w:name="_Toc28050"/>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西区陶家渡街道办事</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4.51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4.51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2" w:name="_Toc15377224"/>
      <w:bookmarkStart w:id="83" w:name="_Toc22110"/>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西区陶家渡街道办事</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4" w:name="_Toc17714"/>
      <w:r>
        <w:rPr>
          <w:rFonts w:hint="eastAsia" w:ascii="仿宋" w:hAnsi="仿宋" w:eastAsia="仿宋"/>
          <w:b/>
          <w:color w:val="000000"/>
          <w:sz w:val="32"/>
          <w:szCs w:val="32"/>
        </w:rPr>
        <w:t>（四）预算绩效管理情况。</w:t>
      </w:r>
      <w:bookmarkEnd w:id="8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根据预算绩效管理要求，本部门（单位）在年初预算编制阶段，组织对基层政权事业专项和社会管理专项项目、“人大代表之家”建设经费项目、网格化信息建设管理经费项目等</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个开展了预算事前绩效评估，对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年部门整体支出开展绩效自评，从评价情况来看我街办整体支出的经济性和时效性都明显增强，切实提升了街办的整体支出效益，有力推动了街办相关工作的开展，基本实现了预算绩效管理工作目标。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本部门在2019年度部门决算中反映“基层政权事业专项经费（含基层人民武装业务费）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社会管理专项经费（包含人民防空、安全生产等）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“租车费”</w:t>
      </w:r>
      <w:r>
        <w:rPr>
          <w:rFonts w:hint="eastAsia" w:ascii="仿宋_GB2312" w:hAnsi="仿宋_GB2312" w:eastAsia="仿宋_GB2312" w:cs="仿宋_GB2312"/>
          <w:sz w:val="32"/>
          <w:szCs w:val="32"/>
          <w:lang w:eastAsia="zh-CN"/>
        </w:rPr>
        <w:t>“特困人员王连仉分散供养经费”“2019年安全社区建设专项资金”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（1）社会管理专项经费项目绩效目标完成情况综述。项目全年预算数</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13.57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99.77</w:t>
      </w:r>
      <w:r>
        <w:rPr>
          <w:rFonts w:hint="eastAsia" w:ascii="仿宋_GB2312" w:hAnsi="仿宋_GB2312" w:eastAsia="仿宋_GB2312" w:cs="仿宋_GB2312"/>
          <w:sz w:val="32"/>
          <w:szCs w:val="32"/>
        </w:rPr>
        <w:t>%。通过项目实施，保障了计划生育、民政、劳动保障、经济、安全、综治维稳、科普、文化、武装、司法、城乡环境综合治理、环保、文明城市创建、棚户区改造等专项工作顺利推进，顺利完成年度专项工作考核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基层政权事业专项经费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%。通过项目实施，保障使基层单位的办公条件得以保障，确保各项工作顺利开展。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租车费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出行安全，促进工作开展。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特困人员王连仉分散供养经费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%。通过项目实施，完成特困人员王连仉分散供养工作。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2019年安全社区建设专项资金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%。通过项目实施，有效遏制街面抢夺、抢劫、打架斗殴、入室盗窃、敲盗机动车等影响人民群众安全感的违法犯罪案件</w:t>
      </w:r>
      <w:r>
        <w:rPr>
          <w:rFonts w:hint="eastAsia" w:ascii="仿宋_GB2312" w:hAnsi="仿宋_GB2312" w:eastAsia="仿宋_GB2312" w:cs="仿宋_GB2312"/>
          <w:sz w:val="32"/>
          <w:szCs w:val="32"/>
          <w:lang w:eastAsia="zh-CN"/>
        </w:rPr>
        <w:t>，积极构建安全社区网络。</w:t>
      </w:r>
    </w:p>
    <w:tbl>
      <w:tblPr>
        <w:tblStyle w:val="18"/>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Theme="minorEastAsia" w:hAnsiTheme="minorEastAsia" w:eastAsiaTheme="minorEastAsia" w:cstheme="minorEastAsia"/>
                <w:sz w:val="24"/>
                <w:szCs w:val="24"/>
              </w:rPr>
              <w:t>社会管理专项经费（包含人民防空、安全生产等）</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攀枝花市西区陶家渡街道办事处</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13.57</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13.57</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全面完成经济、安全、环境整治等各项工作任务</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较好的完成了年初设定的目标</w:t>
            </w:r>
            <w:r>
              <w:rPr>
                <w:rFonts w:hint="eastAsia" w:ascii="宋体" w:hAnsi="宋体" w:cs="宋体"/>
                <w:color w:val="000000"/>
                <w:sz w:val="24"/>
                <w:lang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重点工作完成率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进度达标率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成本控制额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成本控制在136000元以内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安全和环保工作无重大事故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按照工作计划已完成</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bl>
    <w:p>
      <w:pPr>
        <w:spacing w:line="580" w:lineRule="exact"/>
        <w:ind w:left="630"/>
        <w:rPr>
          <w:rFonts w:ascii="仿宋_GB2312" w:hAnsi="仿宋_GB2312" w:eastAsia="仿宋_GB2312" w:cs="仿宋_GB2312"/>
          <w:sz w:val="32"/>
          <w:szCs w:val="32"/>
        </w:rPr>
      </w:pPr>
    </w:p>
    <w:tbl>
      <w:tblPr>
        <w:tblStyle w:val="18"/>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基层政权事业专项经费（含基层人民武装业务费）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攀枝花市西区陶家渡街道办事处</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8.45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8.45</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为办公和服务群众做好保障工作</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较好的完成了年初设定的目标</w:t>
            </w:r>
            <w:r>
              <w:rPr>
                <w:rFonts w:hint="eastAsia" w:ascii="宋体" w:hAnsi="宋体" w:cs="宋体"/>
                <w:color w:val="000000"/>
                <w:sz w:val="24"/>
                <w:lang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房屋、办公设备等正常使用保障率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设备使用年限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不低于规定值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成本控制额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成本控制在</w:t>
            </w:r>
            <w:r>
              <w:rPr>
                <w:rFonts w:hint="eastAsia" w:ascii="宋体" w:hAnsi="宋体" w:cs="宋体"/>
                <w:color w:val="000000"/>
                <w:sz w:val="24"/>
                <w:lang w:val="en-US" w:eastAsia="zh-CN"/>
              </w:rPr>
              <w:t>85000</w:t>
            </w:r>
            <w:r>
              <w:rPr>
                <w:rFonts w:hint="eastAsia" w:ascii="宋体" w:hAnsi="宋体" w:cs="宋体"/>
                <w:color w:val="000000"/>
                <w:sz w:val="24"/>
              </w:rPr>
              <w:t>元以内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各项工作保障率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Theme="minorEastAsia" w:hAnsiTheme="minorEastAsia" w:eastAsiaTheme="minorEastAsia" w:cstheme="minorEastAsia"/>
                <w:sz w:val="24"/>
                <w:szCs w:val="24"/>
                <w:lang w:eastAsia="zh-CN"/>
              </w:rPr>
              <w:t>租车费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攀枝花市西区陶家渡街道办事处</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保障出行安全，促进工作开展。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较好的完成了年初设定的目标</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应急等重要工作出行保障率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车辆的规范使用率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全年无使用超标车辆情况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无使用超标车辆情况</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成本控制额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成本控制在</w:t>
            </w:r>
            <w:r>
              <w:rPr>
                <w:rFonts w:hint="eastAsia" w:ascii="宋体" w:hAnsi="宋体" w:cs="宋体"/>
                <w:color w:val="000000"/>
                <w:sz w:val="24"/>
                <w:lang w:val="en-US" w:eastAsia="zh-CN"/>
              </w:rPr>
              <w:t>5000</w:t>
            </w:r>
            <w:r>
              <w:rPr>
                <w:rFonts w:hint="eastAsia" w:ascii="宋体" w:hAnsi="宋体" w:cs="宋体"/>
                <w:color w:val="000000"/>
                <w:sz w:val="24"/>
              </w:rPr>
              <w:t>元以内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民生工作出行保障率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Theme="minorEastAsia" w:hAnsiTheme="minorEastAsia" w:eastAsiaTheme="minorEastAsia" w:cstheme="minorEastAsia"/>
                <w:sz w:val="24"/>
                <w:szCs w:val="24"/>
              </w:rPr>
              <w:t>特困人员王连仉分散供养经费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攀枝花市西区陶家渡街道办事处</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0.2</w:t>
            </w:r>
          </w:p>
        </w:tc>
      </w:tr>
      <w:tr>
        <w:tblPrEx>
          <w:tblLayout w:type="fixed"/>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0.2</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完成特困人员王连仉分散供养工作</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较好的完成了年初设定的目标</w:t>
            </w:r>
            <w:r>
              <w:rPr>
                <w:rFonts w:hint="eastAsia" w:ascii="宋体" w:hAnsi="宋体" w:cs="宋体"/>
                <w:color w:val="000000"/>
                <w:sz w:val="24"/>
                <w:lang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特困人员王连仉分散供养工作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慰问特困人员1次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2次</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特困人员王连仉分散供养工作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将惠民政策落到实处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4"/>
                <w:lang w:eastAsia="zh-CN"/>
              </w:rPr>
            </w:pPr>
            <w:r>
              <w:rPr>
                <w:rFonts w:hint="eastAsia" w:ascii="宋体" w:hAnsi="宋体" w:cs="宋体"/>
                <w:color w:val="000000"/>
                <w:sz w:val="24"/>
              </w:rPr>
              <w:t>特困人员王连仉分散供养工作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sz w:val="24"/>
                <w:lang w:val="en-US" w:eastAsia="zh-CN"/>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成本控制额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经费主要用于王连仉分散供养服务费，共计3813.04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成本控制在3813.04以内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特困人员王连仉分散供养工作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做好民生民计工作，提升群众幸福指数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按照工作计划已完成</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Theme="minorEastAsia" w:hAnsiTheme="minorEastAsia" w:eastAsiaTheme="minorEastAsia" w:cstheme="minorEastAsia"/>
                <w:sz w:val="24"/>
                <w:szCs w:val="24"/>
              </w:rPr>
              <w:t>2019年安全社区建设专项资金</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攀枝花市西区陶家渡街道办事处</w:t>
            </w:r>
          </w:p>
        </w:tc>
      </w:tr>
      <w:tr>
        <w:tblPrEx>
          <w:tblLayout w:type="fixed"/>
          <w:tblCellMar>
            <w:top w:w="0" w:type="dxa"/>
            <w:left w:w="0" w:type="dxa"/>
            <w:bottom w:w="0" w:type="dxa"/>
            <w:right w:w="0" w:type="dxa"/>
          </w:tblCellMar>
        </w:tblPrEx>
        <w:trPr>
          <w:trHeight w:val="289"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积极构建安全社区网络</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较好的完成了年初设定的目标</w:t>
            </w:r>
            <w:r>
              <w:rPr>
                <w:rFonts w:hint="eastAsia" w:ascii="宋体" w:hAnsi="宋体" w:cs="宋体"/>
                <w:color w:val="000000"/>
                <w:sz w:val="24"/>
                <w:lang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安全社区建设工作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开展定期巡查200次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共开展定期巡查200余次，组织治安巡逻队开展专项巡逻20次</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安全社区建设工作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有效遏制街面抢夺、抢劫、打架斗殴、入室盗窃、敲盗机动车等影响人民群众安全感的违法犯罪案件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安全社区建设工作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按照工作计划已完成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安全社区建设工作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经费主要用于安全社区建设工作，共计250000元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成本控制在250000元以内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安全社区建设工作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促进社会稳定、健康发展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按照工作计划已完成</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抽样调查满意度达到基本满意以上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抽样调查满意度为满意</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攀枝花市西区</w:t>
      </w:r>
      <w:r>
        <w:rPr>
          <w:rFonts w:hint="eastAsia" w:ascii="仿宋_GB2312" w:hAnsi="仿宋_GB2312" w:eastAsia="仿宋_GB2312" w:cs="仿宋_GB2312"/>
          <w:sz w:val="32"/>
          <w:szCs w:val="32"/>
        </w:rPr>
        <w:t>陶家渡街道办事处2019年部门整体支出绩效评价报告》见附件（附件1）。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zh-CN" w:eastAsia="zh-CN"/>
        </w:rPr>
        <w:t>基层组织和公共服务运行补助资金及社区办公经费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攀枝花市西区</w:t>
      </w:r>
      <w:r>
        <w:rPr>
          <w:rFonts w:hint="eastAsia" w:ascii="仿宋_GB2312" w:hAnsi="仿宋_GB2312" w:eastAsia="仿宋_GB2312" w:cs="仿宋_GB2312"/>
          <w:sz w:val="32"/>
          <w:szCs w:val="32"/>
        </w:rPr>
        <w:t>陶家渡街道办事处项目</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年绩效评价报告》见附件（附件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85" w:name="_Toc15396613"/>
      <w:bookmarkStart w:id="86" w:name="_Toc15377225"/>
      <w:bookmarkStart w:id="87" w:name="_Toc19778"/>
      <w:r>
        <w:rPr>
          <w:rFonts w:hint="eastAsia" w:ascii="黑体" w:hAnsi="黑体" w:eastAsia="黑体"/>
          <w:color w:val="000000"/>
          <w:sz w:val="44"/>
          <w:szCs w:val="44"/>
        </w:rPr>
        <w:t>名</w:t>
      </w:r>
      <w:r>
        <w:rPr>
          <w:rStyle w:val="27"/>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bookmarkStart w:id="88" w:name="_Toc15377226"/>
      <w:r>
        <w:rPr>
          <w:rFonts w:hint="eastAsia" w:ascii="仿宋_GB2312" w:eastAsia="仿宋_GB2312"/>
          <w:sz w:val="32"/>
          <w:szCs w:val="32"/>
        </w:rPr>
        <w:t>1.财政拨款收入：指单位从同级财政部门取得的财政预算资金。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6.年初结转和结余：指以前年度尚未完成、结转到本年按有关规定继续使用的资金。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9.一般公共服务（类）政府办公厅（室）及相关机构事务（款）行政运行（项）：指行政单位的基本支出。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10.一般公共服务（类）政府办公厅（室）及相关机构事务（款）</w:t>
      </w:r>
      <w:r>
        <w:rPr>
          <w:rFonts w:hint="eastAsia" w:ascii="仿宋_GB2312" w:eastAsia="仿宋_GB2312"/>
          <w:sz w:val="32"/>
          <w:szCs w:val="32"/>
          <w:lang w:eastAsia="zh-CN"/>
        </w:rPr>
        <w:t>一般行政管理事务</w:t>
      </w:r>
      <w:r>
        <w:rPr>
          <w:rFonts w:hint="eastAsia" w:ascii="仿宋_GB2312" w:eastAsia="仿宋_GB2312"/>
          <w:sz w:val="32"/>
          <w:szCs w:val="32"/>
        </w:rPr>
        <w:t>（项）：指</w:t>
      </w:r>
      <w:r>
        <w:rPr>
          <w:rFonts w:hint="eastAsia" w:ascii="仿宋_GB2312" w:eastAsia="仿宋_GB2312"/>
          <w:sz w:val="32"/>
          <w:szCs w:val="32"/>
          <w:lang w:eastAsia="zh-CN"/>
        </w:rPr>
        <w:t>行政</w:t>
      </w:r>
      <w:r>
        <w:rPr>
          <w:rFonts w:hint="eastAsia" w:ascii="仿宋_GB2312" w:eastAsia="仿宋_GB2312"/>
          <w:sz w:val="32"/>
          <w:szCs w:val="32"/>
        </w:rPr>
        <w:t>单位</w:t>
      </w:r>
      <w:r>
        <w:rPr>
          <w:rFonts w:hint="eastAsia" w:ascii="仿宋_GB2312" w:eastAsia="仿宋_GB2312"/>
          <w:sz w:val="32"/>
          <w:szCs w:val="32"/>
          <w:lang w:eastAsia="zh-CN"/>
        </w:rPr>
        <w:t>未单独设置项级科目的其他项目</w:t>
      </w:r>
      <w:r>
        <w:rPr>
          <w:rFonts w:hint="eastAsia" w:ascii="仿宋_GB2312" w:eastAsia="仿宋_GB2312"/>
          <w:sz w:val="32"/>
          <w:szCs w:val="32"/>
        </w:rPr>
        <w:t>支出。</w:t>
      </w:r>
    </w:p>
    <w:p>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信访事物</w:t>
      </w:r>
      <w:r>
        <w:rPr>
          <w:rFonts w:hint="eastAsia" w:ascii="仿宋_GB2312" w:eastAsia="仿宋_GB2312"/>
          <w:sz w:val="32"/>
          <w:szCs w:val="32"/>
        </w:rPr>
        <w:t>（项）：指</w:t>
      </w:r>
      <w:r>
        <w:rPr>
          <w:rFonts w:hint="eastAsia" w:ascii="仿宋_GB2312" w:eastAsia="仿宋_GB2312"/>
          <w:sz w:val="32"/>
          <w:szCs w:val="32"/>
          <w:lang w:eastAsia="zh-CN"/>
        </w:rPr>
        <w:t>各级政府用于接待群众来信来访方面的</w:t>
      </w:r>
      <w:r>
        <w:rPr>
          <w:rFonts w:hint="eastAsia" w:ascii="仿宋_GB2312" w:eastAsia="仿宋_GB2312"/>
          <w:sz w:val="32"/>
          <w:szCs w:val="32"/>
        </w:rPr>
        <w:t>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一般公共服务（类）政府办公厅（室）及相关机构事务（款）事业运行（项）：指事业单位的基本支出。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.一般公共服务（类）政府办公厅（室）及相关机构事务（款）其他政府办公厅（室）及相关机构事务支出（项）：指除上述项目以外的其他政府办公厅及相关机构事务支出。</w:t>
      </w:r>
    </w:p>
    <w:p>
      <w:pPr>
        <w:pStyle w:val="25"/>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14.</w:t>
      </w:r>
      <w:r>
        <w:rPr>
          <w:rFonts w:hint="eastAsia" w:ascii="仿宋_GB2312" w:eastAsia="仿宋_GB2312"/>
          <w:sz w:val="32"/>
          <w:szCs w:val="32"/>
        </w:rPr>
        <w:t>一般公共服务（类）</w:t>
      </w:r>
      <w:r>
        <w:rPr>
          <w:rFonts w:hint="eastAsia" w:ascii="仿宋_GB2312" w:eastAsia="仿宋_GB2312"/>
          <w:sz w:val="32"/>
          <w:szCs w:val="32"/>
          <w:lang w:eastAsia="zh-CN"/>
        </w:rPr>
        <w:t>其他一般公共服务支出</w:t>
      </w:r>
      <w:r>
        <w:rPr>
          <w:rFonts w:hint="eastAsia" w:ascii="仿宋_GB2312" w:eastAsia="仿宋_GB2312"/>
          <w:sz w:val="32"/>
          <w:szCs w:val="32"/>
        </w:rPr>
        <w:t>（款）其他</w:t>
      </w:r>
      <w:r>
        <w:rPr>
          <w:rFonts w:hint="eastAsia" w:ascii="仿宋_GB2312" w:eastAsia="仿宋_GB2312"/>
          <w:sz w:val="32"/>
          <w:szCs w:val="32"/>
          <w:lang w:eastAsia="zh-CN"/>
        </w:rPr>
        <w:t>一般公共服务支出</w:t>
      </w:r>
      <w:r>
        <w:rPr>
          <w:rFonts w:hint="eastAsia" w:ascii="仿宋_GB2312" w:eastAsia="仿宋_GB2312"/>
          <w:sz w:val="32"/>
          <w:szCs w:val="32"/>
        </w:rPr>
        <w:t>（项）：指</w:t>
      </w:r>
      <w:r>
        <w:rPr>
          <w:rFonts w:hint="eastAsia" w:ascii="仿宋_GB2312" w:eastAsia="仿宋_GB2312"/>
          <w:sz w:val="32"/>
          <w:szCs w:val="32"/>
          <w:lang w:eastAsia="zh-CN"/>
        </w:rPr>
        <w:t>除上述项目以外的其他一般公共服务支出。</w:t>
      </w:r>
    </w:p>
    <w:p>
      <w:pPr>
        <w:pStyle w:val="25"/>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15.公共安全支出（类）其他公共安全支出（款）其他公共安全支出（项）:</w:t>
      </w:r>
      <w:r>
        <w:rPr>
          <w:rFonts w:hint="eastAsia" w:ascii="仿宋_GB2312" w:eastAsia="仿宋_GB2312"/>
          <w:sz w:val="32"/>
          <w:szCs w:val="32"/>
        </w:rPr>
        <w:t>指</w:t>
      </w:r>
      <w:r>
        <w:rPr>
          <w:rFonts w:hint="eastAsia" w:ascii="仿宋_GB2312" w:eastAsia="仿宋_GB2312"/>
          <w:sz w:val="32"/>
          <w:szCs w:val="32"/>
          <w:lang w:eastAsia="zh-CN"/>
        </w:rPr>
        <w:t>除上述项目以外的其他用于公共安全方面的支出。</w:t>
      </w:r>
    </w:p>
    <w:p>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16.文化体育与传媒支出（类）其他文化体育与传媒支出（款）宣传文化发展专项支出（项）:指按照国家有关政策支持宣传文化单位发展的专项支出。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.社会保障和就业支出（类）行政事业单位离退休（款）未归口管理的行政单位离退休（项）：指未实行归口管理的行政单位（包括实行公务员管理的事业单位）开支的离退休支出。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.社会保障和就业支出（类）行政事业单位离退休（款）机关事业单位基本养老保险缴费支出（项）：指机关事业单位实施养老保险制度由单位缴纳的基本养老保险费支出。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.社会保障和就业支出（类）</w:t>
      </w:r>
      <w:r>
        <w:rPr>
          <w:rFonts w:hint="eastAsia" w:ascii="仿宋_GB2312" w:eastAsia="仿宋_GB2312"/>
          <w:sz w:val="32"/>
          <w:szCs w:val="32"/>
          <w:lang w:eastAsia="zh-CN"/>
        </w:rPr>
        <w:t>抚恤</w:t>
      </w:r>
      <w:r>
        <w:rPr>
          <w:rFonts w:hint="eastAsia" w:ascii="仿宋_GB2312" w:eastAsia="仿宋_GB2312"/>
          <w:sz w:val="32"/>
          <w:szCs w:val="32"/>
        </w:rPr>
        <w:t>（款）</w:t>
      </w:r>
      <w:r>
        <w:rPr>
          <w:rFonts w:hint="eastAsia" w:ascii="仿宋_GB2312" w:eastAsia="仿宋_GB2312"/>
          <w:sz w:val="32"/>
          <w:szCs w:val="32"/>
          <w:lang w:eastAsia="zh-CN"/>
        </w:rPr>
        <w:t>死亡抚恤</w:t>
      </w:r>
      <w:r>
        <w:rPr>
          <w:rFonts w:hint="eastAsia" w:ascii="仿宋_GB2312" w:eastAsia="仿宋_GB2312"/>
          <w:sz w:val="32"/>
          <w:szCs w:val="32"/>
        </w:rPr>
        <w:t>（项）：指</w:t>
      </w:r>
      <w:r>
        <w:rPr>
          <w:rFonts w:hint="eastAsia" w:ascii="仿宋_GB2312" w:eastAsia="仿宋_GB2312"/>
          <w:sz w:val="32"/>
          <w:szCs w:val="32"/>
          <w:lang w:eastAsia="zh-CN"/>
        </w:rPr>
        <w:t>按规定用于烈士和牺牲、病故人员家属的一次性定期抚恤金以及丧葬补助费</w:t>
      </w:r>
      <w:r>
        <w:rPr>
          <w:rFonts w:hint="eastAsia" w:ascii="仿宋_GB2312" w:eastAsia="仿宋_GB2312"/>
          <w:sz w:val="32"/>
          <w:szCs w:val="32"/>
        </w:rPr>
        <w:t>。</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.社会保障和就业支出（类）特困人员救助供养（款）城市特困人员救助供养（项）：指城市特困人员救助供养</w:t>
      </w:r>
      <w:r>
        <w:rPr>
          <w:rFonts w:hint="eastAsia" w:ascii="仿宋_GB2312" w:eastAsia="仿宋_GB2312"/>
          <w:sz w:val="32"/>
          <w:szCs w:val="32"/>
          <w:lang w:eastAsia="zh-CN"/>
        </w:rPr>
        <w:t>支出</w:t>
      </w:r>
      <w:r>
        <w:rPr>
          <w:rFonts w:hint="eastAsia" w:ascii="仿宋_GB2312" w:eastAsia="仿宋_GB2312"/>
          <w:sz w:val="32"/>
          <w:szCs w:val="32"/>
        </w:rPr>
        <w:t>。</w:t>
      </w:r>
    </w:p>
    <w:p>
      <w:pPr>
        <w:pStyle w:val="25"/>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21</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w:t>
      </w:r>
      <w:r>
        <w:rPr>
          <w:rFonts w:hint="eastAsia" w:ascii="仿宋_GB2312" w:eastAsia="仿宋_GB2312"/>
          <w:sz w:val="32"/>
          <w:szCs w:val="32"/>
          <w:lang w:eastAsia="zh-CN"/>
        </w:rPr>
        <w:t>其他</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（款）</w:t>
      </w:r>
      <w:r>
        <w:rPr>
          <w:rFonts w:hint="eastAsia" w:ascii="仿宋_GB2312" w:eastAsia="仿宋_GB2312"/>
          <w:sz w:val="32"/>
          <w:szCs w:val="32"/>
          <w:lang w:eastAsia="zh-CN"/>
        </w:rPr>
        <w:t>其他</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（项）：指</w:t>
      </w:r>
      <w:r>
        <w:rPr>
          <w:rFonts w:hint="eastAsia" w:ascii="仿宋_GB2312" w:eastAsia="仿宋_GB2312"/>
          <w:sz w:val="32"/>
          <w:szCs w:val="32"/>
          <w:lang w:eastAsia="zh-CN"/>
        </w:rPr>
        <w:t>除上述项目以外其他用于社会保障和就业方面的支出。</w:t>
      </w:r>
    </w:p>
    <w:p>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22.</w:t>
      </w:r>
      <w:r>
        <w:rPr>
          <w:rFonts w:hint="eastAsia" w:ascii="仿宋_GB2312" w:eastAsia="仿宋_GB2312"/>
          <w:sz w:val="32"/>
          <w:szCs w:val="32"/>
        </w:rPr>
        <w:t>医疗卫生与计划生育（类）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其他计划生育事务</w:t>
      </w:r>
      <w:r>
        <w:rPr>
          <w:rFonts w:hint="eastAsia" w:ascii="仿宋_GB2312" w:eastAsia="仿宋_GB2312"/>
          <w:sz w:val="32"/>
          <w:szCs w:val="32"/>
        </w:rPr>
        <w:t>（项）：指</w:t>
      </w:r>
      <w:r>
        <w:rPr>
          <w:rFonts w:hint="eastAsia" w:ascii="仿宋_GB2312" w:eastAsia="仿宋_GB2312"/>
          <w:sz w:val="32"/>
          <w:szCs w:val="32"/>
          <w:lang w:eastAsia="zh-CN"/>
        </w:rPr>
        <w:t>上述项目以外其他用于计划生育管理事务方面的支出。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.医疗卫生与计划生育（类）行政事业单位医疗（款）行政单位医疗（项）：指财政部门集中安排的行政单位基本医疗保险缴费经费。</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.医疗卫生与计划生育（类）行政事业单位医疗（款）</w:t>
      </w:r>
      <w:r>
        <w:rPr>
          <w:rFonts w:hint="eastAsia" w:ascii="仿宋_GB2312" w:eastAsia="仿宋_GB2312"/>
          <w:sz w:val="32"/>
          <w:szCs w:val="32"/>
          <w:lang w:eastAsia="zh-CN"/>
        </w:rPr>
        <w:t>事业</w:t>
      </w:r>
      <w:r>
        <w:rPr>
          <w:rFonts w:hint="eastAsia" w:ascii="仿宋_GB2312" w:eastAsia="仿宋_GB2312"/>
          <w:sz w:val="32"/>
          <w:szCs w:val="32"/>
        </w:rPr>
        <w:t>单位医疗（项）：指财政部门集中安排的</w:t>
      </w:r>
      <w:r>
        <w:rPr>
          <w:rFonts w:hint="eastAsia" w:ascii="仿宋_GB2312" w:eastAsia="仿宋_GB2312"/>
          <w:sz w:val="32"/>
          <w:szCs w:val="32"/>
          <w:lang w:eastAsia="zh-CN"/>
        </w:rPr>
        <w:t>事业</w:t>
      </w:r>
      <w:r>
        <w:rPr>
          <w:rFonts w:hint="eastAsia" w:ascii="仿宋_GB2312" w:eastAsia="仿宋_GB2312"/>
          <w:sz w:val="32"/>
          <w:szCs w:val="32"/>
        </w:rPr>
        <w:t>单位基本医疗保险缴费经费。</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.医疗卫生与计划生育（类）行政事业单位医疗（款）公务员医疗补助（项）：指财政部门集中安排的公务员医疗补助经费。</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.医疗卫生与计划生育（类）</w:t>
      </w:r>
      <w:r>
        <w:rPr>
          <w:rFonts w:hint="eastAsia" w:ascii="仿宋_GB2312" w:eastAsia="仿宋_GB2312"/>
          <w:sz w:val="32"/>
          <w:szCs w:val="32"/>
          <w:lang w:eastAsia="zh-CN"/>
        </w:rPr>
        <w:t>其他</w:t>
      </w:r>
      <w:r>
        <w:rPr>
          <w:rFonts w:hint="eastAsia" w:ascii="仿宋_GB2312" w:eastAsia="仿宋_GB2312"/>
          <w:sz w:val="32"/>
          <w:szCs w:val="32"/>
        </w:rPr>
        <w:t>医疗卫生与计划生育</w:t>
      </w:r>
      <w:r>
        <w:rPr>
          <w:rFonts w:hint="eastAsia" w:ascii="仿宋_GB2312" w:eastAsia="仿宋_GB2312"/>
          <w:sz w:val="32"/>
          <w:szCs w:val="32"/>
          <w:lang w:eastAsia="zh-CN"/>
        </w:rPr>
        <w:t>支出</w:t>
      </w:r>
      <w:r>
        <w:rPr>
          <w:rFonts w:hint="eastAsia" w:ascii="仿宋_GB2312" w:eastAsia="仿宋_GB2312"/>
          <w:sz w:val="32"/>
          <w:szCs w:val="32"/>
        </w:rPr>
        <w:t>（款）</w:t>
      </w:r>
      <w:r>
        <w:rPr>
          <w:rFonts w:hint="eastAsia" w:ascii="仿宋_GB2312" w:eastAsia="仿宋_GB2312"/>
          <w:sz w:val="32"/>
          <w:szCs w:val="32"/>
          <w:lang w:eastAsia="zh-CN"/>
        </w:rPr>
        <w:t>其他</w:t>
      </w:r>
      <w:r>
        <w:rPr>
          <w:rFonts w:hint="eastAsia" w:ascii="仿宋_GB2312" w:eastAsia="仿宋_GB2312"/>
          <w:sz w:val="32"/>
          <w:szCs w:val="32"/>
        </w:rPr>
        <w:t>医疗卫生与计划生育</w:t>
      </w:r>
      <w:r>
        <w:rPr>
          <w:rFonts w:hint="eastAsia" w:ascii="仿宋_GB2312" w:eastAsia="仿宋_GB2312"/>
          <w:sz w:val="32"/>
          <w:szCs w:val="32"/>
          <w:lang w:eastAsia="zh-CN"/>
        </w:rPr>
        <w:t>支出</w:t>
      </w:r>
      <w:r>
        <w:rPr>
          <w:rFonts w:hint="eastAsia" w:ascii="仿宋_GB2312" w:eastAsia="仿宋_GB2312"/>
          <w:sz w:val="32"/>
          <w:szCs w:val="32"/>
        </w:rPr>
        <w:t>（项）：指财政部门集中安排的公务员医疗补助经费。</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.城乡社区支出（类）城乡社区管理事务（款）</w:t>
      </w:r>
      <w:r>
        <w:rPr>
          <w:rFonts w:hint="eastAsia" w:ascii="仿宋_GB2312" w:eastAsia="仿宋_GB2312"/>
          <w:sz w:val="32"/>
          <w:szCs w:val="32"/>
          <w:lang w:eastAsia="zh-CN"/>
        </w:rPr>
        <w:t>其他</w:t>
      </w:r>
      <w:r>
        <w:rPr>
          <w:rFonts w:hint="eastAsia" w:ascii="仿宋_GB2312" w:eastAsia="仿宋_GB2312"/>
          <w:sz w:val="32"/>
          <w:szCs w:val="32"/>
        </w:rPr>
        <w:t>城乡社区管理事务（项）：指上述项目以外其他用于</w:t>
      </w:r>
      <w:r>
        <w:rPr>
          <w:rFonts w:hint="eastAsia" w:ascii="仿宋_GB2312" w:eastAsia="仿宋_GB2312"/>
          <w:sz w:val="32"/>
          <w:szCs w:val="32"/>
          <w:lang w:eastAsia="zh-CN"/>
        </w:rPr>
        <w:t>城乡社区管理事务</w:t>
      </w:r>
      <w:r>
        <w:rPr>
          <w:rFonts w:hint="eastAsia" w:ascii="仿宋_GB2312" w:eastAsia="仿宋_GB2312"/>
          <w:sz w:val="32"/>
          <w:szCs w:val="32"/>
        </w:rPr>
        <w:t>方面的支出。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.城乡社区支出（类）城乡社区公共设施（款）其他城乡社区公共设施支出（项）：指</w:t>
      </w:r>
      <w:r>
        <w:rPr>
          <w:rFonts w:hint="eastAsia" w:ascii="仿宋_GB2312" w:eastAsia="仿宋_GB2312"/>
          <w:sz w:val="32"/>
          <w:szCs w:val="32"/>
          <w:lang w:eastAsia="zh-CN"/>
        </w:rPr>
        <w:t>上述项目外</w:t>
      </w:r>
      <w:r>
        <w:rPr>
          <w:rFonts w:hint="eastAsia" w:ascii="仿宋_GB2312" w:eastAsia="仿宋_GB2312"/>
          <w:sz w:val="32"/>
          <w:szCs w:val="32"/>
        </w:rPr>
        <w:t>其他用于城乡社区公共设施方面的支出。</w:t>
      </w:r>
    </w:p>
    <w:p>
      <w:pPr>
        <w:pStyle w:val="25"/>
        <w:spacing w:line="560" w:lineRule="exact"/>
        <w:ind w:firstLine="640" w:firstLineChars="200"/>
        <w:rPr>
          <w:rFonts w:hint="eastAsia" w:ascii="仿宋_GB2312" w:eastAsia="仿宋_GB2312"/>
          <w:b w:val="0"/>
          <w:bCs/>
          <w:sz w:val="32"/>
          <w:szCs w:val="32"/>
          <w:lang w:val="en-US" w:eastAsia="zh-CN"/>
        </w:rPr>
      </w:pPr>
      <w:r>
        <w:rPr>
          <w:rStyle w:val="16"/>
          <w:rFonts w:hint="eastAsia" w:ascii="仿宋_GB2312" w:hAnsi="仿宋_GB2312" w:eastAsia="仿宋_GB2312" w:cs="仿宋_GB2312"/>
          <w:b w:val="0"/>
          <w:bCs/>
          <w:color w:val="000000"/>
          <w:sz w:val="32"/>
          <w:szCs w:val="32"/>
          <w:lang w:val="en-US" w:eastAsia="zh-CN"/>
        </w:rPr>
        <w:t>29.</w:t>
      </w:r>
      <w:r>
        <w:rPr>
          <w:rStyle w:val="16"/>
          <w:rFonts w:hint="eastAsia" w:ascii="仿宋_GB2312" w:hAnsi="仿宋_GB2312" w:eastAsia="仿宋_GB2312" w:cs="仿宋_GB2312"/>
          <w:b w:val="0"/>
          <w:bCs/>
          <w:color w:val="000000"/>
          <w:sz w:val="32"/>
          <w:szCs w:val="32"/>
        </w:rPr>
        <w:t>交通运输支出（类）公路水路运输（款）其他公路水路运输支出（项）：</w:t>
      </w:r>
      <w:r>
        <w:rPr>
          <w:rStyle w:val="16"/>
          <w:rFonts w:hint="eastAsia" w:ascii="仿宋_GB2312" w:hAnsi="仿宋_GB2312" w:eastAsia="仿宋_GB2312" w:cs="仿宋_GB2312"/>
          <w:b w:val="0"/>
          <w:bCs/>
          <w:color w:val="000000"/>
          <w:sz w:val="32"/>
          <w:szCs w:val="32"/>
          <w:lang w:eastAsia="zh-CN"/>
        </w:rPr>
        <w:t>指其他交通运输支出中除对公共交通运营补助以外的其他支出。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rPr>
        <w:t>.住房保障支出（类）住房改革支出（款）住房公积金（项）：指反映行政事业单位按人事、财政部门规定的基本工资和津贴补贴以及规定比例为职工缴纳的住房公积金。</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31</w:t>
      </w:r>
      <w:r>
        <w:rPr>
          <w:rFonts w:hint="eastAsia" w:ascii="仿宋_GB2312" w:eastAsia="仿宋_GB2312"/>
          <w:sz w:val="32"/>
          <w:szCs w:val="32"/>
        </w:rPr>
        <w:t>.基本支出：指为保障机构正常运转、完成日常工作任务而发生的人员支出和公用支出。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rPr>
        <w:t>.项目支出：指在基本支出之外为完成特定行政任务和事业发展目标所发生的支出。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33</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r>
        <w:rPr>
          <w:rFonts w:ascii="宋体"/>
          <w:b/>
          <w:color w:val="000000"/>
          <w:sz w:val="44"/>
          <w:szCs w:val="44"/>
        </w:rPr>
        <w:br w:type="page"/>
      </w:r>
      <w:bookmarkStart w:id="89" w:name="_Toc15396614"/>
      <w:bookmarkStart w:id="90" w:name="_Toc1753"/>
      <w:r>
        <w:rPr>
          <w:rFonts w:hint="eastAsia" w:ascii="黑体" w:hAnsi="黑体" w:eastAsia="黑体"/>
          <w:color w:val="000000"/>
          <w:sz w:val="44"/>
          <w:szCs w:val="44"/>
        </w:rPr>
        <w:t>第</w:t>
      </w:r>
      <w:r>
        <w:rPr>
          <w:rStyle w:val="27"/>
          <w:rFonts w:hint="eastAsia" w:ascii="黑体" w:hAnsi="黑体" w:eastAsia="黑体"/>
          <w:b w:val="0"/>
        </w:rPr>
        <w:t>四部分 附件</w:t>
      </w:r>
      <w:bookmarkEnd w:id="89"/>
      <w:bookmarkEnd w:id="90"/>
    </w:p>
    <w:p>
      <w:pPr>
        <w:spacing w:line="600" w:lineRule="exact"/>
        <w:jc w:val="left"/>
        <w:outlineLvl w:val="0"/>
        <w:rPr>
          <w:rFonts w:ascii="方正小标宋简体" w:hAnsi="方正小标宋简体" w:eastAsia="方正小标宋简体" w:cs="方正小标宋简体"/>
          <w:sz w:val="32"/>
          <w:szCs w:val="32"/>
        </w:rPr>
      </w:pPr>
      <w:bookmarkStart w:id="91" w:name="_Toc13931"/>
      <w:r>
        <w:rPr>
          <w:rFonts w:hint="eastAsia" w:ascii="黑体" w:hAnsi="黑体" w:eastAsia="黑体" w:cs="黑体"/>
          <w:sz w:val="32"/>
          <w:szCs w:val="32"/>
        </w:rPr>
        <w:t>附件1</w:t>
      </w:r>
      <w:bookmarkEnd w:id="9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攀枝花市西区陶家渡街道办事处</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（一）机构组成。</w:t>
      </w:r>
      <w:r>
        <w:rPr>
          <w:rFonts w:hint="eastAsia" w:ascii="仿宋_GB2312" w:hAnsi="仿宋_GB2312" w:eastAsia="仿宋_GB2312" w:cs="仿宋_GB2312"/>
          <w:sz w:val="32"/>
          <w:szCs w:val="32"/>
        </w:rPr>
        <w:t>陶家渡街道办事处设立四个办公室，一是党政办公室；二是社会事务管理办公室；三是经济管理办公室；四是财会统计办公室。下设劳动保障所、财政所、综治维稳中心、城管所。下属四个非独立核算事业单位：劳动保障所、财政所、综治维稳中心、城管所。</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（二）机构职能。</w:t>
      </w:r>
      <w:r>
        <w:rPr>
          <w:rFonts w:hint="eastAsia" w:ascii="仿宋_GB2312" w:hAnsi="仿宋_GB2312" w:eastAsia="仿宋_GB2312" w:cs="仿宋_GB2312"/>
          <w:sz w:val="32"/>
          <w:szCs w:val="32"/>
        </w:rPr>
        <w:t>陶家渡街道办事处是西区人民政府的派出机构，其主要职能是：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⑴宣传贯彻党的路线、方针、政策和国家的法律、法规，执行区委、区政府的决议、决定；组织党员群众保证区委、区政府各项任务在辖区内顺利实施。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⑵代表西区人民政府授权对本辖区内的政府职能管理权。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负责本辖区内精神文明建设、社会治安综合治理、爱国卫生、计划生育、普及法律知识等工作，做好民政、妇联、司法、城建、卫生保健、武装等工作，配合市、区有关部门搞好城市规划、土地、环保、卫生、园林绿化等工作。组织、协调、引导、发展街办经济，不断壮大街办的经济实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⑷按照《城市居民委员会组织法》的要求，组建辖区居民委员会，并指导、帮助、支持社区居民委员会的工作。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⑸反映居民的意见和要求，发挥政府联系居民的桥梁和纽带作用。</w:t>
      </w:r>
    </w:p>
    <w:p>
      <w:pPr>
        <w:spacing w:line="580" w:lineRule="exact"/>
        <w:ind w:firstLine="640" w:firstLineChars="200"/>
        <w:rPr>
          <w:rFonts w:hint="default" w:ascii="仿宋_GB2312" w:hAnsi="宋体" w:eastAsia="仿宋_GB2312" w:cs="宋体"/>
          <w:color w:val="auto"/>
          <w:kern w:val="0"/>
          <w:sz w:val="32"/>
          <w:szCs w:val="32"/>
          <w:shd w:val="clear" w:color="auto" w:fill="FFFFFF"/>
          <w:lang w:val="en-US" w:eastAsia="zh-CN"/>
        </w:rPr>
      </w:pPr>
      <w:r>
        <w:rPr>
          <w:rFonts w:hint="eastAsia" w:ascii="楷体_GB2312" w:hAnsi="仿宋_GB2312" w:eastAsia="楷体_GB2312" w:cs="仿宋_GB2312"/>
          <w:color w:val="auto"/>
          <w:sz w:val="32"/>
          <w:szCs w:val="32"/>
        </w:rPr>
        <w:t>（三）人员概况。</w:t>
      </w:r>
      <w:r>
        <w:rPr>
          <w:rFonts w:hint="eastAsia" w:ascii="仿宋_GB2312" w:hAnsi="仿宋_GB2312" w:eastAsia="仿宋_GB2312" w:cs="仿宋_GB2312"/>
          <w:color w:val="auto"/>
          <w:sz w:val="32"/>
          <w:szCs w:val="32"/>
        </w:rPr>
        <w:t>本单位行政编制5</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，实有4</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事业编制13</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，实有</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名；编内聘用</w:t>
      </w:r>
      <w:r>
        <w:rPr>
          <w:rFonts w:hint="eastAsia" w:ascii="仿宋_GB2312" w:hAnsi="仿宋_GB2312" w:eastAsia="仿宋_GB2312" w:cs="仿宋_GB2312"/>
          <w:color w:val="auto"/>
          <w:sz w:val="32"/>
          <w:szCs w:val="32"/>
          <w:lang w:val="en-US" w:eastAsia="zh-CN"/>
        </w:rPr>
        <w:t>3名。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lang w:val="zh-CN"/>
        </w:rPr>
      </w:pPr>
      <w:r>
        <w:rPr>
          <w:rFonts w:hint="eastAsia" w:ascii="仿宋_GB2312" w:hAnsi="仿宋_GB2312" w:eastAsia="仿宋_GB2312" w:cs="仿宋_GB2312"/>
          <w:sz w:val="32"/>
          <w:szCs w:val="32"/>
        </w:rPr>
        <w:t>201</w:t>
      </w:r>
      <w:r>
        <w:rPr>
          <w:rFonts w:hint="eastAsia" w:hAnsi="仿宋_GB2312" w:cs="仿宋_GB2312"/>
          <w:sz w:val="32"/>
          <w:szCs w:val="32"/>
          <w:lang w:val="en-US" w:eastAsia="zh-CN"/>
        </w:rPr>
        <w:t>9</w:t>
      </w:r>
      <w:r>
        <w:rPr>
          <w:rFonts w:hint="eastAsia" w:ascii="仿宋_GB2312" w:hAnsi="仿宋_GB2312" w:eastAsia="仿宋_GB2312" w:cs="仿宋_GB2312"/>
          <w:sz w:val="32"/>
          <w:szCs w:val="32"/>
        </w:rPr>
        <w:t>年财政资金收入</w:t>
      </w:r>
      <w:r>
        <w:rPr>
          <w:rFonts w:hint="eastAsia" w:hAnsi="仿宋_GB2312" w:cs="仿宋_GB2312"/>
          <w:sz w:val="32"/>
          <w:szCs w:val="32"/>
          <w:lang w:val="en-US" w:eastAsia="zh-CN"/>
        </w:rPr>
        <w:t>521.09</w:t>
      </w:r>
      <w:r>
        <w:rPr>
          <w:rFonts w:hint="eastAsia" w:ascii="仿宋_GB2312" w:hAnsi="仿宋_GB2312" w:eastAsia="仿宋_GB2312" w:cs="仿宋_GB2312"/>
          <w:sz w:val="32"/>
          <w:szCs w:val="32"/>
        </w:rPr>
        <w:t>万元。</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lang w:val="zh-CN"/>
        </w:rPr>
      </w:pPr>
      <w:r>
        <w:rPr>
          <w:rFonts w:hint="eastAsia" w:ascii="仿宋_GB2312" w:hAnsi="仿宋_GB2312" w:eastAsia="仿宋_GB2312" w:cs="仿宋_GB2312"/>
          <w:sz w:val="32"/>
          <w:szCs w:val="32"/>
        </w:rPr>
        <w:t>201</w:t>
      </w:r>
      <w:r>
        <w:rPr>
          <w:rFonts w:hint="eastAsia" w:hAnsi="仿宋_GB2312" w:cs="仿宋_GB2312"/>
          <w:sz w:val="32"/>
          <w:szCs w:val="32"/>
          <w:lang w:val="en-US" w:eastAsia="zh-CN"/>
        </w:rPr>
        <w:t>9</w:t>
      </w:r>
      <w:r>
        <w:rPr>
          <w:rFonts w:hint="eastAsia" w:ascii="仿宋_GB2312" w:hAnsi="仿宋_GB2312" w:eastAsia="仿宋_GB2312" w:cs="仿宋_GB2312"/>
          <w:sz w:val="32"/>
          <w:szCs w:val="32"/>
        </w:rPr>
        <w:t>年财政资金</w:t>
      </w:r>
      <w:r>
        <w:rPr>
          <w:rFonts w:hint="eastAsia" w:hAnsi="仿宋_GB2312" w:cs="仿宋_GB2312"/>
          <w:color w:val="auto"/>
          <w:sz w:val="32"/>
          <w:szCs w:val="32"/>
          <w:lang w:eastAsia="zh-CN"/>
        </w:rPr>
        <w:t>支出</w:t>
      </w:r>
      <w:r>
        <w:rPr>
          <w:rFonts w:hint="eastAsia" w:hAnsi="仿宋_GB2312" w:cs="仿宋_GB2312"/>
          <w:sz w:val="32"/>
          <w:szCs w:val="32"/>
          <w:lang w:val="en-US" w:eastAsia="zh-CN"/>
        </w:rPr>
        <w:t>568.94</w:t>
      </w:r>
      <w:r>
        <w:rPr>
          <w:rFonts w:hint="eastAsia" w:ascii="仿宋_GB2312" w:hAnsi="仿宋_GB2312" w:eastAsia="仿宋_GB2312"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我办的专项预算</w:t>
      </w:r>
      <w:r>
        <w:rPr>
          <w:rFonts w:hint="eastAsia" w:ascii="仿宋_GB2312" w:hAnsi="仿宋_GB2312" w:eastAsia="仿宋_GB2312" w:cs="仿宋_GB2312"/>
          <w:sz w:val="32"/>
          <w:szCs w:val="32"/>
          <w:lang w:eastAsia="zh-CN"/>
        </w:rPr>
        <w:t>经街办</w:t>
      </w:r>
      <w:r>
        <w:rPr>
          <w:rFonts w:hint="eastAsia" w:ascii="仿宋_GB2312" w:hAnsi="仿宋_GB2312" w:eastAsia="仿宋_GB2312" w:cs="仿宋_GB2312"/>
          <w:sz w:val="32"/>
          <w:szCs w:val="32"/>
        </w:rPr>
        <w:t>各业务股室</w:t>
      </w:r>
      <w:r>
        <w:rPr>
          <w:rFonts w:hint="eastAsia" w:ascii="仿宋_GB2312" w:hAnsi="仿宋_GB2312" w:eastAsia="仿宋_GB2312" w:cs="仿宋_GB2312"/>
          <w:sz w:val="32"/>
          <w:szCs w:val="32"/>
          <w:lang w:eastAsia="zh-CN"/>
        </w:rPr>
        <w:t>协商后</w:t>
      </w:r>
      <w:r>
        <w:rPr>
          <w:rFonts w:hint="eastAsia" w:ascii="仿宋_GB2312" w:hAnsi="仿宋_GB2312" w:eastAsia="仿宋_GB2312" w:cs="仿宋_GB2312"/>
          <w:sz w:val="32"/>
          <w:szCs w:val="32"/>
        </w:rPr>
        <w:t>根据年度工作计划和工作安排进行编制，经业务分管领导审核、不断完善后报办事处办公室审核，办公室在全面统筹、综合平衡后草拟出本单位的专项预算并上报单位主要领导，经领导班子讨论通过后上报区财政局。本单位的专项预算编制程序严密、规划合理、管理有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我办的专项预算项目在执行中严格按照资金用途使用资金，资金分配科学，分配及时，不存在超预算支出的情况，使用结果符合要求，确保了专项预算绩效目标的完成。</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hAnsi="仿宋_GB2312" w:cs="仿宋_GB2312"/>
          <w:sz w:val="32"/>
          <w:szCs w:val="32"/>
          <w:lang w:eastAsia="zh-CN"/>
        </w:rPr>
        <w:t>我办</w:t>
      </w:r>
      <w:r>
        <w:rPr>
          <w:rFonts w:hint="eastAsia" w:ascii="仿宋_GB2312" w:hAnsi="仿宋_GB2312" w:eastAsia="仿宋_GB2312" w:cs="仿宋_GB2312"/>
          <w:sz w:val="32"/>
          <w:szCs w:val="32"/>
        </w:rPr>
        <w:t>支出重点用于项目经费支出，基本完成了当年度</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计划经费的拨付工作，有效对其实行了监管，确保了专项经费专款专用。对于基本支出也能遵守各项规章制度，人员经费安排基本得当，业务工作与项目经费、人员经费安排配比率良好。</w:t>
      </w:r>
    </w:p>
    <w:p>
      <w:pPr>
        <w:numPr>
          <w:ilvl w:val="0"/>
          <w:numId w:val="7"/>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由于部门预算统筹协调机制</w:t>
      </w:r>
      <w:r>
        <w:rPr>
          <w:rFonts w:hint="eastAsia" w:ascii="仿宋_GB2312" w:hAnsi="仿宋_GB2312" w:eastAsia="仿宋_GB2312" w:cs="仿宋_GB2312"/>
          <w:sz w:val="32"/>
          <w:szCs w:val="32"/>
          <w:lang w:eastAsia="zh-CN"/>
        </w:rPr>
        <w:t>处于摸索阶段</w:t>
      </w:r>
      <w:r>
        <w:rPr>
          <w:rFonts w:hint="eastAsia" w:ascii="仿宋_GB2312" w:hAnsi="仿宋_GB2312" w:eastAsia="仿宋_GB2312" w:cs="仿宋_GB2312"/>
          <w:sz w:val="32"/>
          <w:szCs w:val="32"/>
        </w:rPr>
        <w:t>，部门整体支出绩效目标</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后续</w:t>
      </w:r>
      <w:r>
        <w:rPr>
          <w:rFonts w:hint="eastAsia" w:ascii="仿宋_GB2312" w:hAnsi="仿宋_GB2312" w:eastAsia="仿宋_GB2312" w:cs="仿宋_GB2312"/>
          <w:sz w:val="32"/>
          <w:szCs w:val="32"/>
        </w:rPr>
        <w:t>部门整体支出绩效目标需进一步细化</w:t>
      </w:r>
      <w:r>
        <w:rPr>
          <w:rFonts w:hint="eastAsia" w:ascii="仿宋_GB2312" w:hAnsi="仿宋_GB2312" w:eastAsia="仿宋_GB2312" w:cs="仿宋_GB2312"/>
          <w:sz w:val="32"/>
          <w:szCs w:val="32"/>
          <w:lang w:eastAsia="zh-CN"/>
        </w:rPr>
        <w:t>。</w:t>
      </w:r>
    </w:p>
    <w:p>
      <w:pPr>
        <w:numPr>
          <w:ilvl w:val="0"/>
          <w:numId w:val="7"/>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在今后的工作一方面要严格预算编制，做到细化精确，另一方面要</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严格落实专项经费使用管理规定，做到专款专用</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eastAsia="zh-CN"/>
        </w:rPr>
        <w:t>基层组织和公共服务运行补助资金及社区办公经费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为加强社区服务设施的基础建设，整合社区资源，做好社会服务工作，2019年区财政向陶家渡街道办事处下达了基层组织和公共服务运行补助资金及社区办公经费</w:t>
      </w:r>
      <w:r>
        <w:rPr>
          <w:rFonts w:hint="eastAsia" w:ascii="Times New Roman" w:hAnsi="Times New Roman" w:eastAsia="仿宋_GB2312" w:cs="Times New Roman"/>
          <w:kern w:val="0"/>
          <w:sz w:val="32"/>
          <w:szCs w:val="32"/>
          <w:lang w:val="en-US" w:eastAsia="zh-CN"/>
        </w:rPr>
        <w:t>32</w:t>
      </w:r>
      <w:r>
        <w:rPr>
          <w:rFonts w:hint="default" w:ascii="Times New Roman" w:hAnsi="Times New Roman" w:eastAsia="仿宋_GB2312" w:cs="Times New Roman"/>
          <w:kern w:val="0"/>
          <w:sz w:val="32"/>
          <w:szCs w:val="32"/>
          <w:lang w:eastAsia="zh-CN"/>
        </w:rPr>
        <w:t>万元。基层组织活动和公共服务运行经费，是将原基层组织活动和公共服务运行维护补助金、村（社区）办公经费和党员教育培训费进行整合而来主要使用范围为基层党组织开展组织活动，党员干部教育培训，激励创先争优，走访慰问，群团活动开展，组织活动场所维护、村内公益性基础设施维护和日常办公运转等。关于资金分配，</w:t>
      </w:r>
      <w:r>
        <w:rPr>
          <w:rFonts w:hint="default" w:ascii="Times New Roman" w:hAnsi="Times New Roman" w:eastAsia="仿宋_GB2312" w:cs="Times New Roman"/>
          <w:kern w:val="0"/>
          <w:sz w:val="32"/>
          <w:szCs w:val="32"/>
          <w:lang w:val="en-US" w:eastAsia="zh-CN"/>
        </w:rPr>
        <w:t>根据财政局的要求，我办基层组织和公共服务运行补助资金的分配为每个社区1万元，合计</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基层组织活动和公共服务运行补助经费及社区办公经费主要用社区建设</w:t>
      </w:r>
      <w:r>
        <w:rPr>
          <w:rFonts w:hint="default" w:ascii="Times New Roman" w:hAnsi="Times New Roman" w:eastAsia="仿宋_GB2312" w:cs="Times New Roman"/>
          <w:kern w:val="0"/>
          <w:sz w:val="32"/>
          <w:szCs w:val="32"/>
          <w:lang w:eastAsia="zh-CN"/>
        </w:rPr>
        <w:t>、维护以及保障日常工作开展</w:t>
      </w:r>
      <w:r>
        <w:rPr>
          <w:rFonts w:hint="default" w:ascii="Times New Roman" w:hAnsi="Times New Roman" w:eastAsia="仿宋_GB2312" w:cs="Times New Roman"/>
          <w:kern w:val="0"/>
          <w:sz w:val="32"/>
          <w:szCs w:val="32"/>
        </w:rPr>
        <w:t>。一是</w:t>
      </w:r>
      <w:r>
        <w:rPr>
          <w:rFonts w:hint="default" w:ascii="Times New Roman" w:hAnsi="Times New Roman" w:eastAsia="仿宋_GB2312" w:cs="Times New Roman"/>
          <w:kern w:val="0"/>
          <w:sz w:val="32"/>
          <w:szCs w:val="32"/>
          <w:lang w:eastAsia="zh-CN"/>
        </w:rPr>
        <w:t>坚持政治建设，筑牢思想根基，</w:t>
      </w:r>
      <w:r>
        <w:rPr>
          <w:rFonts w:hint="default" w:ascii="Times New Roman" w:hAnsi="Times New Roman" w:eastAsia="仿宋_GB2312" w:cs="Times New Roman"/>
          <w:spacing w:val="0"/>
          <w:kern w:val="0"/>
          <w:sz w:val="32"/>
          <w:szCs w:val="32"/>
        </w:rPr>
        <w:t>层层落实责任分工。围绕热点问题，积极加强舆情应对工作。</w:t>
      </w:r>
      <w:r>
        <w:rPr>
          <w:rFonts w:hint="default" w:ascii="Times New Roman" w:hAnsi="Times New Roman" w:eastAsia="仿宋_GB2312" w:cs="Times New Roman"/>
          <w:kern w:val="0"/>
          <w:sz w:val="32"/>
          <w:szCs w:val="32"/>
        </w:rPr>
        <w:t>二是维护社会稳定，积极构建社区安全网络。三是加强辖区城市环境治理。扎实推进国家卫生城市第三次复审工作，针对辖区“五乱”现象开展集中整治，</w:t>
      </w:r>
      <w:r>
        <w:rPr>
          <w:rFonts w:hint="default" w:ascii="Times New Roman" w:hAnsi="Times New Roman" w:eastAsia="仿宋_GB2312" w:cs="Times New Roman"/>
          <w:kern w:val="0"/>
          <w:sz w:val="32"/>
          <w:szCs w:val="32"/>
          <w:lang w:eastAsia="zh-CN"/>
        </w:rPr>
        <w:t>确保国卫复审工作全面完成。四是扎实推进“棚改”和“三供一业”工作。五</w:t>
      </w:r>
      <w:r>
        <w:rPr>
          <w:rFonts w:hint="default" w:ascii="Times New Roman" w:hAnsi="Times New Roman" w:eastAsia="仿宋_GB2312" w:cs="Times New Roman"/>
          <w:kern w:val="0"/>
          <w:sz w:val="32"/>
          <w:szCs w:val="32"/>
        </w:rPr>
        <w:t>是安全环保齐抓共管。严格落实“党政同责、一岗双责、齐抓共管、失职追责”的工作责任。以地质灾害、烟花爆竹、消防、食品安全为重点，开展各类专项安全检查</w:t>
      </w:r>
      <w:r>
        <w:rPr>
          <w:rFonts w:hint="default" w:ascii="Times New Roman" w:hAnsi="Times New Roman" w:eastAsia="仿宋_GB2312" w:cs="Times New Roman"/>
          <w:kern w:val="0"/>
          <w:sz w:val="32"/>
          <w:szCs w:val="32"/>
          <w:lang w:eastAsia="zh-CN"/>
        </w:rPr>
        <w:t>。六是</w:t>
      </w:r>
      <w:r>
        <w:rPr>
          <w:rFonts w:hint="default" w:ascii="Times New Roman" w:hAnsi="Times New Roman" w:eastAsia="仿宋_GB2312" w:cs="Times New Roman"/>
          <w:kern w:val="0"/>
          <w:sz w:val="32"/>
          <w:szCs w:val="32"/>
        </w:rPr>
        <w:t>推进民生事业发展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抓实民生服务，增进群众福祉</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项目采取自评与他评相结合方式，一是</w:t>
      </w:r>
      <w:r>
        <w:rPr>
          <w:rFonts w:hint="default" w:ascii="Times New Roman" w:hAnsi="Times New Roman" w:eastAsia="仿宋_GB2312" w:cs="Times New Roman"/>
          <w:kern w:val="0"/>
          <w:sz w:val="32"/>
          <w:szCs w:val="32"/>
          <w:lang w:eastAsia="zh-CN"/>
        </w:rPr>
        <w:t>街办</w:t>
      </w:r>
      <w:r>
        <w:rPr>
          <w:rFonts w:hint="default" w:ascii="Times New Roman" w:hAnsi="Times New Roman" w:eastAsia="仿宋_GB2312" w:cs="Times New Roman"/>
          <w:kern w:val="0"/>
          <w:sz w:val="32"/>
          <w:szCs w:val="32"/>
        </w:rPr>
        <w:t>成立项目自评小组，结合评价内容，做到有计划，有安排，扎实开展本次自评工作。按照上级下达的项目支出绩效评价指标体系，自评小组针对申报内容、实施情况、资金兑现、财务管理、社会效益等做出自我评价。二是认真听社区居民建议意见，由居民对项目进行评价</w:t>
      </w:r>
      <w:r>
        <w:rPr>
          <w:rFonts w:hint="default" w:ascii="Times New Roman" w:hAnsi="Times New Roman" w:eastAsia="仿宋_GB2312" w:cs="Times New Roman"/>
          <w:kern w:val="0"/>
          <w:sz w:val="32"/>
          <w:szCs w:val="32"/>
          <w:lang w:eastAsia="zh-CN"/>
        </w:rPr>
        <w:t>同时</w:t>
      </w:r>
      <w:r>
        <w:rPr>
          <w:rFonts w:hint="default" w:ascii="Times New Roman" w:hAnsi="Times New Roman" w:eastAsia="仿宋_GB2312" w:cs="Times New Roman"/>
          <w:kern w:val="0"/>
          <w:sz w:val="32"/>
          <w:szCs w:val="32"/>
        </w:rPr>
        <w:t>抽样调查</w:t>
      </w:r>
      <w:r>
        <w:rPr>
          <w:rFonts w:hint="default" w:ascii="Times New Roman" w:hAnsi="Times New Roman" w:eastAsia="仿宋_GB2312" w:cs="Times New Roman"/>
          <w:kern w:val="0"/>
          <w:sz w:val="32"/>
          <w:szCs w:val="32"/>
          <w:lang w:eastAsia="zh-CN"/>
        </w:rPr>
        <w:t>居民对项目的</w:t>
      </w:r>
      <w:r>
        <w:rPr>
          <w:rFonts w:hint="default" w:ascii="Times New Roman" w:hAnsi="Times New Roman" w:eastAsia="仿宋_GB2312" w:cs="Times New Roman"/>
          <w:kern w:val="0"/>
          <w:sz w:val="32"/>
          <w:szCs w:val="32"/>
        </w:rPr>
        <w:t>满意度</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333333"/>
          <w:kern w:val="0"/>
          <w:sz w:val="32"/>
          <w:szCs w:val="32"/>
        </w:rPr>
        <w:t>项目由</w:t>
      </w:r>
      <w:r>
        <w:rPr>
          <w:rFonts w:hint="default" w:ascii="Times New Roman" w:hAnsi="Times New Roman" w:eastAsia="仿宋_GB2312" w:cs="Times New Roman"/>
          <w:color w:val="333333"/>
          <w:kern w:val="0"/>
          <w:sz w:val="32"/>
          <w:szCs w:val="32"/>
          <w:lang w:eastAsia="zh-CN"/>
        </w:rPr>
        <w:t>我街办</w:t>
      </w:r>
      <w:r>
        <w:rPr>
          <w:rFonts w:hint="default" w:ascii="Times New Roman" w:hAnsi="Times New Roman" w:eastAsia="仿宋_GB2312" w:cs="Times New Roman"/>
          <w:color w:val="333333"/>
          <w:kern w:val="0"/>
          <w:sz w:val="32"/>
          <w:szCs w:val="32"/>
        </w:rPr>
        <w:t>按照规定组织实施</w:t>
      </w:r>
      <w:r>
        <w:rPr>
          <w:rFonts w:hint="default" w:ascii="Times New Roman" w:hAnsi="Times New Roman" w:eastAsia="仿宋_GB2312" w:cs="Times New Roman"/>
          <w:color w:val="333333"/>
          <w:kern w:val="0"/>
          <w:sz w:val="32"/>
          <w:szCs w:val="32"/>
          <w:lang w:eastAsia="zh-CN"/>
        </w:rPr>
        <w:t>，如有建设类项目则</w:t>
      </w:r>
      <w:r>
        <w:rPr>
          <w:rFonts w:hint="default" w:ascii="Times New Roman" w:hAnsi="Times New Roman" w:eastAsia="仿宋_GB2312" w:cs="Times New Roman"/>
          <w:color w:val="333333"/>
          <w:kern w:val="0"/>
          <w:sz w:val="32"/>
          <w:szCs w:val="32"/>
        </w:rPr>
        <w:t>通过</w:t>
      </w:r>
      <w:r>
        <w:rPr>
          <w:rFonts w:hint="default" w:ascii="Times New Roman" w:hAnsi="Times New Roman" w:eastAsia="仿宋_GB2312" w:cs="Times New Roman"/>
          <w:color w:val="333333"/>
          <w:kern w:val="0"/>
          <w:sz w:val="32"/>
          <w:szCs w:val="32"/>
          <w:lang w:eastAsia="zh-CN"/>
        </w:rPr>
        <w:t>比选方式</w:t>
      </w:r>
      <w:r>
        <w:rPr>
          <w:rFonts w:hint="default" w:ascii="Times New Roman" w:hAnsi="Times New Roman" w:eastAsia="仿宋_GB2312" w:cs="Times New Roman"/>
          <w:color w:val="333333"/>
          <w:kern w:val="0"/>
          <w:sz w:val="32"/>
          <w:szCs w:val="32"/>
        </w:rPr>
        <w:t>确定服务公司，</w:t>
      </w:r>
      <w:r>
        <w:rPr>
          <w:rFonts w:hint="default" w:ascii="Times New Roman" w:hAnsi="Times New Roman" w:eastAsia="仿宋_GB2312" w:cs="Times New Roman"/>
          <w:color w:val="333333"/>
          <w:kern w:val="0"/>
          <w:sz w:val="32"/>
          <w:szCs w:val="32"/>
          <w:lang w:eastAsia="zh-CN"/>
        </w:rPr>
        <w:t>完工后</w:t>
      </w:r>
      <w:r>
        <w:rPr>
          <w:rFonts w:hint="default" w:ascii="Times New Roman" w:hAnsi="Times New Roman" w:eastAsia="仿宋_GB2312" w:cs="Times New Roman"/>
          <w:color w:val="333333"/>
          <w:kern w:val="0"/>
          <w:sz w:val="32"/>
          <w:szCs w:val="32"/>
        </w:rPr>
        <w:t>由</w:t>
      </w:r>
      <w:r>
        <w:rPr>
          <w:rFonts w:hint="default" w:ascii="Times New Roman" w:hAnsi="Times New Roman" w:eastAsia="仿宋_GB2312" w:cs="Times New Roman"/>
          <w:color w:val="333333"/>
          <w:kern w:val="0"/>
          <w:sz w:val="32"/>
          <w:szCs w:val="32"/>
          <w:lang w:eastAsia="zh-CN"/>
        </w:rPr>
        <w:t>街办将工程款</w:t>
      </w:r>
      <w:r>
        <w:rPr>
          <w:rFonts w:hint="default" w:ascii="Times New Roman" w:hAnsi="Times New Roman" w:eastAsia="仿宋_GB2312" w:cs="Times New Roman"/>
          <w:color w:val="333333"/>
          <w:kern w:val="0"/>
          <w:sz w:val="32"/>
          <w:szCs w:val="32"/>
        </w:rPr>
        <w:t>按实直接支付给服务公司。实施过程严格按照</w:t>
      </w:r>
      <w:r>
        <w:rPr>
          <w:rFonts w:hint="default" w:ascii="Times New Roman" w:hAnsi="Times New Roman" w:eastAsia="仿宋_GB2312" w:cs="Times New Roman"/>
          <w:color w:val="333333"/>
          <w:kern w:val="0"/>
          <w:sz w:val="32"/>
          <w:szCs w:val="32"/>
          <w:lang w:eastAsia="zh-CN"/>
        </w:rPr>
        <w:t>街办</w:t>
      </w:r>
      <w:r>
        <w:rPr>
          <w:rFonts w:hint="default" w:ascii="Times New Roman" w:hAnsi="Times New Roman" w:eastAsia="仿宋_GB2312" w:cs="Times New Roman"/>
          <w:color w:val="333333"/>
          <w:kern w:val="0"/>
          <w:sz w:val="32"/>
          <w:szCs w:val="32"/>
        </w:rPr>
        <w:t>制定的财务管理制度执行，做到了规范、有序。为扎实推进</w:t>
      </w:r>
      <w:r>
        <w:rPr>
          <w:rFonts w:hint="default" w:ascii="Times New Roman" w:hAnsi="Times New Roman" w:eastAsia="仿宋_GB2312" w:cs="Times New Roman"/>
          <w:color w:val="333333"/>
          <w:kern w:val="0"/>
          <w:sz w:val="32"/>
          <w:szCs w:val="32"/>
          <w:lang w:eastAsia="zh-CN"/>
        </w:rPr>
        <w:t>人力资源社会保障服务站建设</w:t>
      </w:r>
      <w:r>
        <w:rPr>
          <w:rFonts w:hint="default" w:ascii="Times New Roman" w:hAnsi="Times New Roman" w:eastAsia="仿宋_GB2312" w:cs="Times New Roman"/>
          <w:color w:val="333333"/>
          <w:kern w:val="0"/>
          <w:sz w:val="32"/>
          <w:szCs w:val="32"/>
        </w:rPr>
        <w:t>工作，</w:t>
      </w:r>
      <w:r>
        <w:rPr>
          <w:rFonts w:hint="default" w:ascii="Times New Roman" w:hAnsi="Times New Roman" w:eastAsia="仿宋_GB2312" w:cs="Times New Roman"/>
          <w:color w:val="333333"/>
          <w:kern w:val="0"/>
          <w:sz w:val="32"/>
          <w:szCs w:val="32"/>
          <w:lang w:eastAsia="zh-CN"/>
        </w:rPr>
        <w:t>我街办成立了专门的工作领导小组</w:t>
      </w:r>
      <w:r>
        <w:rPr>
          <w:rFonts w:hint="default" w:ascii="Times New Roman" w:hAnsi="Times New Roman" w:eastAsia="仿宋_GB2312" w:cs="Times New Roman"/>
          <w:color w:val="333333"/>
          <w:kern w:val="0"/>
          <w:sz w:val="32"/>
          <w:szCs w:val="32"/>
        </w:rPr>
        <w:t>，专门负责</w:t>
      </w:r>
      <w:r>
        <w:rPr>
          <w:rFonts w:hint="default" w:ascii="Times New Roman" w:hAnsi="Times New Roman" w:eastAsia="仿宋_GB2312" w:cs="Times New Roman"/>
          <w:color w:val="333333"/>
          <w:kern w:val="0"/>
          <w:sz w:val="32"/>
          <w:szCs w:val="32"/>
          <w:lang w:eastAsia="zh-CN"/>
        </w:rPr>
        <w:t>工程建设的</w:t>
      </w:r>
      <w:r>
        <w:rPr>
          <w:rFonts w:hint="default" w:ascii="Times New Roman" w:hAnsi="Times New Roman" w:eastAsia="仿宋_GB2312" w:cs="Times New Roman"/>
          <w:color w:val="333333"/>
          <w:kern w:val="0"/>
          <w:sz w:val="32"/>
          <w:szCs w:val="32"/>
        </w:rPr>
        <w:t>组织、领导、协调工作。付款</w:t>
      </w:r>
      <w:r>
        <w:rPr>
          <w:rFonts w:hint="default" w:ascii="Times New Roman" w:hAnsi="Times New Roman" w:eastAsia="仿宋_GB2312" w:cs="Times New Roman"/>
          <w:color w:val="333333"/>
          <w:kern w:val="0"/>
          <w:sz w:val="32"/>
          <w:szCs w:val="32"/>
          <w:lang w:eastAsia="zh-CN"/>
        </w:rPr>
        <w:t>时需</w:t>
      </w:r>
      <w:r>
        <w:rPr>
          <w:rFonts w:hint="default" w:ascii="Times New Roman" w:hAnsi="Times New Roman" w:eastAsia="仿宋_GB2312" w:cs="Times New Roman"/>
          <w:color w:val="333333"/>
          <w:kern w:val="0"/>
          <w:sz w:val="32"/>
          <w:szCs w:val="32"/>
        </w:rPr>
        <w:t>验收合格</w:t>
      </w:r>
      <w:r>
        <w:rPr>
          <w:rFonts w:hint="default" w:ascii="Times New Roman" w:hAnsi="Times New Roman" w:eastAsia="仿宋_GB2312" w:cs="Times New Roman"/>
          <w:color w:val="333333"/>
          <w:kern w:val="0"/>
          <w:sz w:val="32"/>
          <w:szCs w:val="32"/>
          <w:lang w:eastAsia="zh-CN"/>
        </w:rPr>
        <w:t>后</w:t>
      </w:r>
      <w:r>
        <w:rPr>
          <w:rFonts w:hint="default" w:ascii="Times New Roman" w:hAnsi="Times New Roman" w:eastAsia="仿宋_GB2312" w:cs="Times New Roman"/>
          <w:color w:val="333333"/>
          <w:kern w:val="0"/>
          <w:sz w:val="32"/>
          <w:szCs w:val="32"/>
        </w:rPr>
        <w:t>再报</w:t>
      </w:r>
      <w:r>
        <w:rPr>
          <w:rFonts w:hint="default" w:ascii="Times New Roman" w:hAnsi="Times New Roman" w:eastAsia="仿宋_GB2312" w:cs="Times New Roman"/>
          <w:color w:val="333333"/>
          <w:kern w:val="0"/>
          <w:sz w:val="32"/>
          <w:szCs w:val="32"/>
          <w:lang w:eastAsia="zh-CN"/>
        </w:rPr>
        <w:t>街办财务审核</w:t>
      </w:r>
      <w:r>
        <w:rPr>
          <w:rFonts w:hint="default" w:ascii="Times New Roman" w:hAnsi="Times New Roman" w:eastAsia="仿宋_GB2312" w:cs="Times New Roman"/>
          <w:color w:val="333333"/>
          <w:kern w:val="0"/>
          <w:sz w:val="32"/>
          <w:szCs w:val="32"/>
        </w:rPr>
        <w:t>和</w:t>
      </w:r>
      <w:r>
        <w:rPr>
          <w:rFonts w:hint="default" w:ascii="Times New Roman" w:hAnsi="Times New Roman" w:eastAsia="仿宋_GB2312" w:cs="Times New Roman"/>
          <w:color w:val="333333"/>
          <w:kern w:val="0"/>
          <w:sz w:val="32"/>
          <w:szCs w:val="32"/>
          <w:lang w:eastAsia="zh-CN"/>
        </w:rPr>
        <w:t>领导</w:t>
      </w:r>
      <w:r>
        <w:rPr>
          <w:rFonts w:hint="default" w:ascii="Times New Roman" w:hAnsi="Times New Roman" w:eastAsia="仿宋_GB2312" w:cs="Times New Roman"/>
          <w:color w:val="333333"/>
          <w:kern w:val="0"/>
          <w:sz w:val="32"/>
          <w:szCs w:val="32"/>
        </w:rPr>
        <w:t>签字批准</w:t>
      </w:r>
      <w:r>
        <w:rPr>
          <w:rFonts w:hint="default" w:ascii="Times New Roman" w:hAnsi="Times New Roman" w:eastAsia="仿宋_GB2312" w:cs="Times New Roman"/>
          <w:color w:val="333333"/>
          <w:kern w:val="0"/>
          <w:sz w:val="32"/>
          <w:szCs w:val="32"/>
          <w:lang w:eastAsia="zh-CN"/>
        </w:rPr>
        <w:t>后报财政局审核</w:t>
      </w:r>
      <w:r>
        <w:rPr>
          <w:rFonts w:hint="default" w:ascii="Times New Roman" w:hAnsi="Times New Roman" w:eastAsia="仿宋_GB2312" w:cs="Times New Roman"/>
          <w:color w:val="333333"/>
          <w:kern w:val="0"/>
          <w:sz w:val="32"/>
          <w:szCs w:val="32"/>
        </w:rPr>
        <w:t>方可付款。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ascii="仿宋_GB2312" w:hAnsi="宋体" w:eastAsia="仿宋_GB2312"/>
          <w:sz w:val="32"/>
          <w:szCs w:val="32"/>
          <w:lang w:val="zh-CN"/>
        </w:rPr>
      </w:pPr>
      <w:r>
        <w:rPr>
          <w:rFonts w:hint="default" w:ascii="Times New Roman" w:hAnsi="Times New Roman" w:eastAsia="仿宋_GB2312" w:cs="Times New Roman"/>
          <w:kern w:val="0"/>
          <w:sz w:val="32"/>
          <w:szCs w:val="32"/>
        </w:rPr>
        <w:t>截止2019年12月，我办已将社区办公经费</w:t>
      </w:r>
      <w:r>
        <w:rPr>
          <w:rFonts w:hint="default" w:ascii="Times New Roman" w:hAnsi="Times New Roman" w:eastAsia="仿宋_GB2312" w:cs="Times New Roman"/>
          <w:kern w:val="0"/>
          <w:sz w:val="32"/>
          <w:szCs w:val="32"/>
          <w:lang w:eastAsia="zh-CN"/>
        </w:rPr>
        <w:t>合计</w:t>
      </w:r>
      <w:r>
        <w:rPr>
          <w:rFonts w:hint="eastAsia" w:ascii="Times New Roman" w:hAnsi="Times New Roman" w:eastAsia="仿宋_GB2312" w:cs="Times New Roman"/>
          <w:kern w:val="0"/>
          <w:sz w:val="32"/>
          <w:szCs w:val="32"/>
          <w:lang w:val="en-US" w:eastAsia="zh-CN"/>
        </w:rPr>
        <w:t>26.96</w:t>
      </w:r>
      <w:r>
        <w:rPr>
          <w:rFonts w:hint="default" w:ascii="Times New Roman" w:hAnsi="Times New Roman" w:eastAsia="仿宋_GB2312" w:cs="Times New Roman"/>
          <w:kern w:val="0"/>
          <w:sz w:val="32"/>
          <w:szCs w:val="32"/>
          <w:lang w:eastAsia="zh-CN"/>
        </w:rPr>
        <w:t>万</w:t>
      </w:r>
      <w:r>
        <w:rPr>
          <w:rFonts w:hint="default" w:ascii="Times New Roman" w:hAnsi="Times New Roman" w:eastAsia="仿宋_GB2312" w:cs="Times New Roman"/>
          <w:kern w:val="0"/>
          <w:sz w:val="32"/>
          <w:szCs w:val="32"/>
        </w:rPr>
        <w:t>通过国库集中支付到</w:t>
      </w:r>
      <w:r>
        <w:rPr>
          <w:rFonts w:hint="default" w:ascii="Times New Roman" w:hAnsi="Times New Roman" w:eastAsia="仿宋_GB2312" w:cs="Times New Roman"/>
          <w:kern w:val="0"/>
          <w:sz w:val="32"/>
          <w:szCs w:val="32"/>
          <w:lang w:eastAsia="zh-CN"/>
        </w:rPr>
        <w:t>陶家渡街道办事处辖</w:t>
      </w:r>
      <w:r>
        <w:rPr>
          <w:rFonts w:hint="default" w:ascii="Times New Roman" w:hAnsi="Times New Roman" w:eastAsia="仿宋_GB2312" w:cs="Times New Roman"/>
          <w:kern w:val="0"/>
          <w:sz w:val="32"/>
          <w:szCs w:val="32"/>
          <w:lang w:val="en-US" w:eastAsia="zh-CN"/>
        </w:rPr>
        <w:t>5个社区</w:t>
      </w:r>
      <w:r>
        <w:rPr>
          <w:rFonts w:hint="default" w:ascii="Times New Roman" w:hAnsi="Times New Roman" w:eastAsia="仿宋_GB2312" w:cs="Times New Roman"/>
          <w:kern w:val="0"/>
          <w:sz w:val="32"/>
          <w:szCs w:val="32"/>
        </w:rPr>
        <w:t>将此项目经费用于社区建设</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lang w:val="en-US" w:eastAsia="zh-CN"/>
        </w:rPr>
        <w:t>维持社区日常运转</w:t>
      </w:r>
      <w:r>
        <w:rPr>
          <w:rFonts w:hint="default" w:ascii="Times New Roman" w:hAnsi="Times New Roman" w:eastAsia="仿宋_GB2312" w:cs="Times New Roman"/>
          <w:kern w:val="0"/>
          <w:sz w:val="32"/>
          <w:szCs w:val="32"/>
        </w:rPr>
        <w:t>。项目均已完成，经费已支付。基层组织和公共服务运行补助资金</w:t>
      </w:r>
      <w:r>
        <w:rPr>
          <w:rFonts w:hint="default" w:ascii="Times New Roman" w:hAnsi="Times New Roman" w:eastAsia="仿宋_GB2312" w:cs="Times New Roman"/>
          <w:kern w:val="0"/>
          <w:sz w:val="32"/>
          <w:szCs w:val="32"/>
          <w:lang w:eastAsia="zh-CN"/>
        </w:rPr>
        <w:t>合计</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万</w:t>
      </w:r>
      <w:r>
        <w:rPr>
          <w:rFonts w:hint="default" w:ascii="Times New Roman" w:hAnsi="Times New Roman" w:eastAsia="仿宋_GB2312" w:cs="Times New Roman"/>
          <w:kern w:val="0"/>
          <w:sz w:val="32"/>
          <w:szCs w:val="32"/>
        </w:rPr>
        <w:t>元资金于2019年结转至2020年，资金将用于社区开展于基层党组织开展组织活动，党员干部教育培训，激励创先争优，走访慰问，群团活动开展，组织活动场所维护及社区日常办公运转等。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32"/>
        </w:rPr>
        <w:t>一是建立健全规章制度，</w:t>
      </w:r>
      <w:r>
        <w:rPr>
          <w:rFonts w:hint="default" w:ascii="Times New Roman" w:hAnsi="Times New Roman" w:eastAsia="仿宋_GB2312" w:cs="Times New Roman"/>
          <w:kern w:val="0"/>
          <w:sz w:val="32"/>
          <w:szCs w:val="32"/>
          <w:lang w:eastAsia="zh-CN"/>
        </w:rPr>
        <w:t>资金的使用和</w:t>
      </w:r>
      <w:r>
        <w:rPr>
          <w:rFonts w:hint="default" w:ascii="Times New Roman" w:hAnsi="Times New Roman" w:eastAsia="仿宋_GB2312" w:cs="Times New Roman"/>
          <w:kern w:val="0"/>
          <w:sz w:val="32"/>
          <w:szCs w:val="32"/>
        </w:rPr>
        <w:t>会计核算符合相关规定。</w:t>
      </w:r>
      <w:r>
        <w:rPr>
          <w:rFonts w:hint="default" w:ascii="Times New Roman" w:hAnsi="Times New Roman" w:eastAsia="仿宋_GB2312" w:cs="Times New Roman"/>
          <w:kern w:val="0"/>
          <w:sz w:val="32"/>
          <w:szCs w:val="32"/>
          <w:lang w:eastAsia="zh-CN"/>
        </w:rPr>
        <w:t>二是结合街办内部控制制度</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对项目进展实时监控。</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是加强对财政各项资金的监督管理，确保资金及时、足额到位，专款专用，资金支付依据和开支标准合法合规。未出现截留和挤占挪作他用现象。</w:t>
      </w:r>
      <w:r>
        <w:rPr>
          <w:rFonts w:hint="default" w:ascii="Times New Roman" w:hAnsi="Times New Roman" w:eastAsia="方正仿宋_GBK" w:cs="Times New Roman"/>
          <w:kern w:val="0"/>
          <w:sz w:val="32"/>
          <w:szCs w:val="32"/>
        </w:rPr>
        <w:t> </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jc w:val="left"/>
        <w:textAlignment w:val="auto"/>
        <w:rPr>
          <w:lang w:val="zh-CN"/>
        </w:rPr>
      </w:pPr>
      <w:r>
        <w:rPr>
          <w:rFonts w:hint="default" w:ascii="Times New Roman" w:hAnsi="Times New Roman" w:eastAsia="仿宋_GB2312" w:cs="Times New Roman"/>
          <w:kern w:val="0"/>
          <w:sz w:val="32"/>
          <w:szCs w:val="32"/>
          <w:lang w:eastAsia="zh-CN"/>
        </w:rPr>
        <w:t>我办</w:t>
      </w:r>
      <w:r>
        <w:rPr>
          <w:rFonts w:hint="default" w:ascii="Times New Roman" w:hAnsi="Times New Roman" w:eastAsia="仿宋_GB2312" w:cs="Times New Roman"/>
          <w:kern w:val="0"/>
          <w:sz w:val="32"/>
          <w:szCs w:val="32"/>
        </w:rPr>
        <w:t>高度重视专项资金项目，并成立专项资金工作领导小组。街道党工委会议是街道办建设项目的决策机构，对建设项目工作的重要事项进行决策</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社会事务管理办公室是街道办建设项目的归口管理机构</w:t>
      </w:r>
      <w:r>
        <w:rPr>
          <w:rFonts w:hint="default" w:ascii="Times New Roman" w:hAnsi="Times New Roman" w:eastAsia="仿宋_GB2312" w:cs="Times New Roman"/>
          <w:kern w:val="0"/>
          <w:sz w:val="32"/>
          <w:szCs w:val="32"/>
          <w:lang w:eastAsia="zh-CN"/>
        </w:rPr>
        <w:t>，财政所做好基本建设财务管理的基础工作，纪工委负责建设项目的监督检查。</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lang w:val="zh-CN" w:eastAsia="zh-CN"/>
        </w:rPr>
        <w:t>二</w:t>
      </w:r>
      <w:r>
        <w:rPr>
          <w:rFonts w:hint="eastAsia" w:ascii="楷体_GB2312" w:hAnsi="宋体" w:eastAsia="楷体_GB2312"/>
          <w:b/>
          <w:sz w:val="32"/>
          <w:szCs w:val="32"/>
          <w:lang w:val="zh-CN"/>
        </w:rPr>
        <w:t>）项目管理情况。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lang w:val="zh-CN"/>
        </w:rPr>
      </w:pPr>
      <w:r>
        <w:rPr>
          <w:rFonts w:hint="default" w:ascii="Times New Roman" w:hAnsi="Times New Roman" w:eastAsia="仿宋_GB2312" w:cs="Times New Roman"/>
          <w:kern w:val="0"/>
          <w:sz w:val="32"/>
          <w:szCs w:val="32"/>
        </w:rPr>
        <w:t>专项项目采取项目工作领导小组负责制，全体成员积极配合、通力合作。项目工作领导小组负责协调相关工作，项目实施及资金管理。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lang w:val="zh-CN"/>
        </w:rPr>
      </w:pPr>
      <w:r>
        <w:rPr>
          <w:rFonts w:hint="default" w:ascii="Times New Roman" w:hAnsi="Times New Roman" w:eastAsia="仿宋_GB2312" w:cs="Times New Roman"/>
          <w:kern w:val="0"/>
          <w:sz w:val="32"/>
          <w:szCs w:val="32"/>
        </w:rPr>
        <w:t>项目由</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个</w:t>
      </w:r>
      <w:r>
        <w:rPr>
          <w:rFonts w:hint="default" w:ascii="Times New Roman" w:hAnsi="Times New Roman" w:eastAsia="仿宋_GB2312" w:cs="Times New Roman"/>
          <w:kern w:val="0"/>
          <w:sz w:val="32"/>
          <w:szCs w:val="32"/>
        </w:rPr>
        <w:t>社区具体实施，街道专项资金项目组</w:t>
      </w:r>
      <w:r>
        <w:rPr>
          <w:rFonts w:hint="default" w:ascii="Times New Roman" w:hAnsi="Times New Roman" w:eastAsia="仿宋_GB2312" w:cs="Times New Roman"/>
          <w:kern w:val="0"/>
          <w:sz w:val="32"/>
          <w:szCs w:val="32"/>
          <w:lang w:eastAsia="zh-CN"/>
        </w:rPr>
        <w:t>跟进</w:t>
      </w:r>
      <w:r>
        <w:rPr>
          <w:rFonts w:hint="default" w:ascii="Times New Roman" w:hAnsi="Times New Roman" w:eastAsia="仿宋_GB2312" w:cs="Times New Roman"/>
          <w:kern w:val="0"/>
          <w:sz w:val="32"/>
          <w:szCs w:val="32"/>
        </w:rPr>
        <w:t>项目进展，</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项目质量进行监管。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ascii="楷体_GB2312" w:hAnsi="宋体" w:eastAsia="楷体_GB2312"/>
          <w:b/>
          <w:sz w:val="32"/>
          <w:szCs w:val="32"/>
          <w:lang w:val="zh-CN"/>
        </w:rPr>
      </w:pPr>
      <w:r>
        <w:rPr>
          <w:rFonts w:hint="default" w:ascii="Times New Roman" w:hAnsi="Times New Roman" w:eastAsia="仿宋_GB2312" w:cs="Times New Roman"/>
          <w:kern w:val="0"/>
          <w:sz w:val="32"/>
          <w:szCs w:val="32"/>
          <w:lang w:eastAsia="zh-CN"/>
        </w:rPr>
        <w:t>一是强化政治引领，谋实主责主业。坚持“书记抓、抓书记”的思路，牵头制定完成党建“三张责任清单”及细化分解城市党建和军地共建党建工作任务。持续深化“陶苑宜家”党建品牌建设，统筹整合地企资源优势，投入10万余元完成学园、沟北两社区城市党建和军地共建党建示范点建设。着力开展“寻找光荣的您”活动，精准掌握699名退役军人及优抚对象基本情况，开展“1+3”结对认亲，结成帮带对子55个，发放帮带“连心卡”300余份，解决群众实际困难200余个。以“五个着力”为抓手，构建“网格手机+ 社会治理”城市党建治理模式，形成“党组织全覆盖、党员管理无缝隙、服务群众零距离”的工作格局。统筹协调环保、经济、安全等工作，以“一盘棋、一个调”思路，全面完成国卫复审、创文等工作；按照“干部引领、任务分解、挂图作战、销号管理”的方式，助力棚改工作“加速度”。二是着力强化矛盾纠纷化解。坚持以“枫桥经验”为指导，认真贯彻市、区政法工作部署，紧紧围绕辖区的实际，始终坚持“小事不出社区，大事不出街道，矛盾不上交，就地化解”的工作方针。坚持矛盾纠纷一月一排查一报告制度和重大矛盾纠纷领导督办制度。截至12月，街道各社区调解室排查、化解各类矛盾纠纷270件，调处各类纠纷270件，涉及当事人547人，调解率100%，调解成功率100%，均得到及时有效的解决。三是积极构建社区安全网络。全面推行社区网格化管理，整合多方力量，成立由社区干部、社区民警、网格员、居民积极分子、志愿者140人组成的治安巡逻队和守楼护院队伍。群防群治队伍身着“红马甲”，佩戴 “红袖标”，按照网格“五个一”的工作机制，开展社情民意信息收集。守楼护院以及以内部单位为点，以沿街店面为线，以居民区为片，以城乡结合部为面，不间断地加强社区大街小巷的治安巡逻，检查外来人员和车辆，借助新型社区警务室平台，将各派出所警务向社区延伸，有效遏制街面抢夺、抢劫、打架斗殴、入室盗窃、敲盗机动车等影响人民群众安全感的违法犯罪案件。全年以社区为单位共开展定期巡查200余次，组织治安巡逻队开展专项巡逻20次。四是安全工作平稳有序推进。严格落实“党政同责、一岗双责、齐抓共管、失职追责”的工作责任。以地质灾害、烟花爆竹、消防、食品安全为重点，开展各类专项安全检查7次，发出整改通知2份。在汛期来临之际，及时组织社区开展防洪防汛应急演习，发放《山洪灾害防御常识宣传册》200余册，发放“两卡”40余份，设置地质灾害危险标志牌20余块，安全警戒线1300余米；建立“街道+社区+居民网格”三级地质灾害防治体系，实行24小时值班制度，确保辖区安全度汛。扎实开展打私工作。截至12月，街办打私巡查累计出车190次，出动巡查660人次；积极配合攀枝花市国土局西区分局、区安监局等牵头部门开展2次打私专项工作，未发现有非法采矿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加强对绩效目标管理的认识，提升绩效目标可量化性。我街办将加强对预算绩效目标管理的学习，逐步树立以绩效目标为导向的管理理念，在申请预算时即明确细化、量化的目标，以清晰掌握年度工作目标和方向，在目标的约束下开展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3"/>
        <w:keepNext w:val="0"/>
        <w:keepLines w:val="0"/>
        <w:pageBreakBefore w:val="0"/>
        <w:widowControl w:val="0"/>
        <w:kinsoku/>
        <w:wordWrap/>
        <w:overflowPunct/>
        <w:topLinePunct w:val="0"/>
        <w:bidi w:val="0"/>
        <w:snapToGrid/>
        <w:spacing w:line="353" w:lineRule="auto"/>
        <w:ind w:firstLine="640" w:firstLineChars="200"/>
        <w:textAlignment w:val="auto"/>
        <w:rPr>
          <w:rFonts w:ascii="仿宋_GB2312" w:hAnsi="宋体" w:eastAsia="仿宋_GB2312"/>
          <w:sz w:val="32"/>
          <w:szCs w:val="32"/>
          <w:lang w:val="zh-CN"/>
        </w:rPr>
      </w:pPr>
      <w:r>
        <w:rPr>
          <w:rFonts w:hint="default" w:ascii="Times New Roman" w:hAnsi="Times New Roman" w:eastAsia="仿宋_GB2312" w:cs="Times New Roman"/>
          <w:kern w:val="0"/>
          <w:sz w:val="32"/>
          <w:szCs w:val="32"/>
          <w:lang w:val="en-US" w:eastAsia="zh-CN"/>
        </w:rPr>
        <w:t>资金绩效管理缺乏经验、不深不细。下一步，我街办将进一步梳理现有专项资金，加强专项资金的整合力度，针对目前的问题，按照资金使用方向的不同进行归类，以便提升管理效率。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widowControl/>
        <w:jc w:val="left"/>
        <w:rPr>
          <w:rStyle w:val="27"/>
          <w:rFonts w:ascii="黑体" w:hAnsi="黑体" w:eastAsia="黑体"/>
          <w:b w:val="0"/>
        </w:rPr>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9"/>
        <w:rPr>
          <w:rStyle w:val="27"/>
          <w:rFonts w:ascii="黑体" w:hAnsi="黑体" w:eastAsia="黑体"/>
          <w:b w:val="0"/>
        </w:rPr>
      </w:pPr>
    </w:p>
    <w:p>
      <w:pPr>
        <w:spacing w:line="600" w:lineRule="exact"/>
        <w:jc w:val="center"/>
        <w:outlineLvl w:val="0"/>
        <w:rPr>
          <w:rStyle w:val="27"/>
          <w:rFonts w:ascii="黑体" w:hAnsi="黑体" w:eastAsia="黑体"/>
          <w:b w:val="0"/>
        </w:rPr>
      </w:pPr>
      <w:bookmarkStart w:id="92" w:name="_Toc23972"/>
      <w:bookmarkStart w:id="93"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88"/>
      <w:bookmarkEnd w:id="92"/>
      <w:bookmarkEnd w:id="93"/>
    </w:p>
    <w:p>
      <w:pPr>
        <w:spacing w:line="600" w:lineRule="exact"/>
        <w:jc w:val="center"/>
        <w:outlineLvl w:val="9"/>
        <w:rPr>
          <w:rFonts w:ascii="仿宋" w:hAnsi="仿宋" w:eastAsia="仿宋"/>
          <w:b/>
          <w:color w:val="000000"/>
          <w:sz w:val="44"/>
          <w:szCs w:val="44"/>
        </w:rPr>
      </w:pPr>
    </w:p>
    <w:p>
      <w:pPr>
        <w:pStyle w:val="7"/>
        <w:rPr>
          <w:rFonts w:ascii="仿宋" w:hAnsi="仿宋" w:eastAsia="仿宋"/>
          <w:color w:val="000000"/>
        </w:rPr>
      </w:pPr>
      <w:bookmarkStart w:id="94" w:name="_Toc15396619"/>
      <w:bookmarkStart w:id="95" w:name="_Toc9567"/>
      <w:r>
        <w:rPr>
          <w:rFonts w:hint="eastAsia" w:ascii="仿宋" w:hAnsi="仿宋" w:eastAsia="仿宋"/>
          <w:b w:val="0"/>
          <w:color w:val="000000"/>
        </w:rPr>
        <w:t>一、收</w:t>
      </w:r>
      <w:r>
        <w:rPr>
          <w:rStyle w:val="28"/>
          <w:rFonts w:hint="eastAsia" w:ascii="仿宋" w:hAnsi="仿宋" w:eastAsia="仿宋"/>
          <w:b w:val="0"/>
          <w:bCs w:val="0"/>
        </w:rPr>
        <w:t>入支出决算总表</w:t>
      </w:r>
      <w:bookmarkEnd w:id="94"/>
      <w:bookmarkEnd w:id="95"/>
    </w:p>
    <w:p>
      <w:pPr>
        <w:pStyle w:val="7"/>
        <w:rPr>
          <w:rFonts w:ascii="仿宋" w:hAnsi="仿宋" w:eastAsia="仿宋"/>
          <w:color w:val="000000"/>
        </w:rPr>
      </w:pPr>
      <w:bookmarkStart w:id="96" w:name="_Toc15396620"/>
      <w:bookmarkStart w:id="97" w:name="_Toc14445"/>
      <w:r>
        <w:rPr>
          <w:rFonts w:hint="eastAsia" w:ascii="仿宋" w:hAnsi="仿宋" w:eastAsia="仿宋"/>
          <w:b w:val="0"/>
          <w:color w:val="000000"/>
        </w:rPr>
        <w:t>二、收</w:t>
      </w:r>
      <w:r>
        <w:rPr>
          <w:rStyle w:val="28"/>
          <w:rFonts w:hint="eastAsia" w:ascii="仿宋" w:hAnsi="仿宋" w:eastAsia="仿宋"/>
          <w:b w:val="0"/>
          <w:bCs w:val="0"/>
        </w:rPr>
        <w:t>入决算表</w:t>
      </w:r>
      <w:bookmarkEnd w:id="96"/>
      <w:bookmarkEnd w:id="97"/>
    </w:p>
    <w:p>
      <w:pPr>
        <w:pStyle w:val="7"/>
        <w:rPr>
          <w:rFonts w:ascii="仿宋" w:hAnsi="仿宋" w:eastAsia="仿宋"/>
          <w:color w:val="000000"/>
        </w:rPr>
      </w:pPr>
      <w:bookmarkStart w:id="98" w:name="_Toc15396621"/>
      <w:bookmarkStart w:id="99" w:name="_Toc6455"/>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98"/>
      <w:bookmarkEnd w:id="99"/>
    </w:p>
    <w:p>
      <w:pPr>
        <w:pStyle w:val="7"/>
        <w:rPr>
          <w:rFonts w:ascii="仿宋" w:hAnsi="仿宋" w:eastAsia="仿宋"/>
          <w:b w:val="0"/>
          <w:color w:val="000000"/>
        </w:rPr>
      </w:pPr>
      <w:bookmarkStart w:id="100" w:name="_Toc15396622"/>
      <w:bookmarkStart w:id="101" w:name="_Toc24298"/>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100"/>
      <w:bookmarkEnd w:id="101"/>
    </w:p>
    <w:p>
      <w:pPr>
        <w:pStyle w:val="7"/>
        <w:rPr>
          <w:rStyle w:val="28"/>
          <w:rFonts w:ascii="仿宋" w:hAnsi="仿宋" w:eastAsia="仿宋"/>
          <w:b w:val="0"/>
          <w:bCs w:val="0"/>
        </w:rPr>
      </w:pPr>
      <w:bookmarkStart w:id="102" w:name="_Toc29644"/>
      <w:bookmarkStart w:id="103"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102"/>
      <w:bookmarkEnd w:id="103"/>
      <w:bookmarkStart w:id="104" w:name="_Toc15396624"/>
    </w:p>
    <w:p>
      <w:pPr>
        <w:pStyle w:val="7"/>
        <w:rPr>
          <w:rFonts w:ascii="仿宋" w:hAnsi="仿宋" w:eastAsia="仿宋"/>
          <w:color w:val="000000"/>
        </w:rPr>
      </w:pPr>
      <w:bookmarkStart w:id="105" w:name="_Toc26789"/>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104"/>
      <w:bookmarkEnd w:id="105"/>
    </w:p>
    <w:p>
      <w:pPr>
        <w:pStyle w:val="7"/>
        <w:rPr>
          <w:rFonts w:ascii="仿宋" w:hAnsi="仿宋" w:eastAsia="仿宋"/>
          <w:color w:val="000000"/>
        </w:rPr>
      </w:pPr>
      <w:bookmarkStart w:id="106" w:name="_Toc32588"/>
      <w:bookmarkStart w:id="107"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106"/>
      <w:bookmarkEnd w:id="107"/>
    </w:p>
    <w:p>
      <w:pPr>
        <w:pStyle w:val="7"/>
        <w:rPr>
          <w:rFonts w:ascii="仿宋" w:hAnsi="仿宋" w:eastAsia="仿宋"/>
          <w:color w:val="000000"/>
        </w:rPr>
      </w:pPr>
      <w:bookmarkStart w:id="108" w:name="_Toc27832"/>
      <w:bookmarkStart w:id="109"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108"/>
      <w:bookmarkEnd w:id="109"/>
    </w:p>
    <w:p>
      <w:pPr>
        <w:pStyle w:val="7"/>
        <w:rPr>
          <w:rFonts w:ascii="仿宋" w:hAnsi="仿宋" w:eastAsia="仿宋"/>
          <w:color w:val="000000"/>
        </w:rPr>
      </w:pPr>
      <w:bookmarkStart w:id="110" w:name="_Toc15396627"/>
      <w:bookmarkStart w:id="111" w:name="_Toc7550"/>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110"/>
      <w:bookmarkEnd w:id="111"/>
    </w:p>
    <w:p>
      <w:pPr>
        <w:pStyle w:val="7"/>
        <w:rPr>
          <w:rFonts w:ascii="仿宋" w:hAnsi="仿宋" w:eastAsia="仿宋"/>
          <w:color w:val="000000"/>
        </w:rPr>
      </w:pPr>
      <w:bookmarkStart w:id="112" w:name="_Toc15396628"/>
      <w:bookmarkStart w:id="113" w:name="_Toc14460"/>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112"/>
      <w:bookmarkEnd w:id="113"/>
    </w:p>
    <w:p>
      <w:pPr>
        <w:pStyle w:val="7"/>
        <w:rPr>
          <w:rFonts w:ascii="仿宋" w:hAnsi="仿宋" w:eastAsia="仿宋"/>
          <w:color w:val="000000"/>
        </w:rPr>
      </w:pPr>
      <w:bookmarkStart w:id="114" w:name="_Toc15396629"/>
      <w:bookmarkStart w:id="115" w:name="_Toc22087"/>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114"/>
      <w:bookmarkEnd w:id="115"/>
    </w:p>
    <w:p>
      <w:pPr>
        <w:pStyle w:val="7"/>
        <w:rPr>
          <w:rFonts w:ascii="仿宋" w:hAnsi="仿宋" w:eastAsia="仿宋"/>
          <w:color w:val="000000"/>
        </w:rPr>
      </w:pPr>
      <w:bookmarkStart w:id="116" w:name="_Toc3201"/>
      <w:bookmarkStart w:id="117"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116"/>
      <w:bookmarkEnd w:id="117"/>
    </w:p>
    <w:p>
      <w:pPr>
        <w:pStyle w:val="7"/>
        <w:rPr>
          <w:rFonts w:ascii="仿宋" w:hAnsi="仿宋" w:eastAsia="仿宋"/>
          <w:color w:val="000000" w:themeColor="text1"/>
        </w:rPr>
      </w:pPr>
      <w:bookmarkStart w:id="118" w:name="_Toc15396631"/>
      <w:bookmarkStart w:id="119" w:name="_Toc26412"/>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118"/>
      <w:bookmarkEnd w:id="11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24</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EFE73"/>
    <w:multiLevelType w:val="singleLevel"/>
    <w:tmpl w:val="C78EFE73"/>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9C9AC8D"/>
    <w:multiLevelType w:val="singleLevel"/>
    <w:tmpl w:val="D9C9AC8D"/>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CCC129E"/>
    <w:multiLevelType w:val="singleLevel"/>
    <w:tmpl w:val="FCCC129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3B0C019"/>
    <w:multiLevelType w:val="singleLevel"/>
    <w:tmpl w:val="23B0C019"/>
    <w:lvl w:ilvl="0" w:tentative="0">
      <w:start w:val="1"/>
      <w:numFmt w:val="decimal"/>
      <w:lvlText w:val="%1."/>
      <w:lvlJc w:val="left"/>
      <w:pPr>
        <w:tabs>
          <w:tab w:val="left" w:pos="312"/>
        </w:tabs>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A3613"/>
    <w:rsid w:val="02AA765A"/>
    <w:rsid w:val="05083714"/>
    <w:rsid w:val="06582951"/>
    <w:rsid w:val="08F02AB3"/>
    <w:rsid w:val="108A7C11"/>
    <w:rsid w:val="10C055FF"/>
    <w:rsid w:val="16BB723D"/>
    <w:rsid w:val="18234299"/>
    <w:rsid w:val="18D818DC"/>
    <w:rsid w:val="1A79229E"/>
    <w:rsid w:val="1D3C4A37"/>
    <w:rsid w:val="240371BF"/>
    <w:rsid w:val="26F1336C"/>
    <w:rsid w:val="27422109"/>
    <w:rsid w:val="27950142"/>
    <w:rsid w:val="29FD04D3"/>
    <w:rsid w:val="2F4176CE"/>
    <w:rsid w:val="30A41FD1"/>
    <w:rsid w:val="319F7F4E"/>
    <w:rsid w:val="35811EF1"/>
    <w:rsid w:val="36D34751"/>
    <w:rsid w:val="38FD3879"/>
    <w:rsid w:val="3E6E7EB2"/>
    <w:rsid w:val="3FD46FD1"/>
    <w:rsid w:val="425B30B4"/>
    <w:rsid w:val="448530E5"/>
    <w:rsid w:val="48BA7AD5"/>
    <w:rsid w:val="48EE51FC"/>
    <w:rsid w:val="4DE55392"/>
    <w:rsid w:val="4ECE2238"/>
    <w:rsid w:val="4F3E5F94"/>
    <w:rsid w:val="561A3695"/>
    <w:rsid w:val="5EF44F03"/>
    <w:rsid w:val="63F91AA1"/>
    <w:rsid w:val="66AC109C"/>
    <w:rsid w:val="6EFE454F"/>
    <w:rsid w:val="711F6A5A"/>
    <w:rsid w:val="72734D90"/>
    <w:rsid w:val="72EB2535"/>
    <w:rsid w:val="737C7C3C"/>
    <w:rsid w:val="77CD00DE"/>
    <w:rsid w:val="7E6B70E3"/>
    <w:rsid w:val="7EC130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eastAsia="仿宋_GB2312"/>
    </w:rPr>
  </w:style>
  <w:style w:type="paragraph" w:styleId="3">
    <w:name w:val="Body Text"/>
    <w:basedOn w:val="1"/>
    <w:link w:val="24"/>
    <w:qFormat/>
    <w:uiPriority w:val="99"/>
    <w:pPr>
      <w:spacing w:beforeLines="30"/>
    </w:pPr>
    <w:rPr>
      <w:rFonts w:ascii="仿宋_GB2312" w:eastAsia="仿宋_GB2312"/>
      <w:kern w:val="0"/>
      <w:sz w:val="30"/>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rPr>
      <w:rFonts w:eastAsia="Times New Roman"/>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3"/>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6"/>
    <w:qFormat/>
    <w:uiPriority w:val="9"/>
    <w:rPr>
      <w:rFonts w:ascii="Times New Roman" w:hAnsi="Times New Roman"/>
      <w:b/>
      <w:bCs/>
      <w:kern w:val="44"/>
      <w:sz w:val="44"/>
      <w:szCs w:val="44"/>
    </w:rPr>
  </w:style>
  <w:style w:type="character" w:customStyle="1" w:styleId="28">
    <w:name w:val="标题 2 Char"/>
    <w:basedOn w:val="15"/>
    <w:link w:val="7"/>
    <w:qFormat/>
    <w:uiPriority w:val="9"/>
    <w:rPr>
      <w:rFonts w:asciiTheme="majorHAnsi" w:hAnsiTheme="majorHAnsi" w:eastAsiaTheme="majorEastAsia" w:cstheme="majorBidi"/>
      <w:b/>
      <w:bCs/>
      <w:kern w:val="2"/>
      <w:sz w:val="32"/>
      <w:szCs w:val="32"/>
    </w:rPr>
  </w:style>
  <w:style w:type="paragraph" w:customStyle="1" w:styleId="29">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10"/>
    <w:semiHidden/>
    <w:qFormat/>
    <w:uiPriority w:val="99"/>
    <w:rPr>
      <w:rFonts w:ascii="Times New Roman" w:hAnsi="Times New Roman"/>
      <w:kern w:val="2"/>
      <w:sz w:val="18"/>
      <w:szCs w:val="18"/>
    </w:rPr>
  </w:style>
  <w:style w:type="character" w:customStyle="1" w:styleId="31">
    <w:name w:val="标题 3 Char"/>
    <w:basedOn w:val="15"/>
    <w:link w:val="8"/>
    <w:qFormat/>
    <w:uiPriority w:val="9"/>
    <w:rPr>
      <w:rFonts w:ascii="Times New Roman" w:hAnsi="Times New Roman"/>
      <w:b/>
      <w:bCs/>
      <w:kern w:val="2"/>
      <w:sz w:val="32"/>
      <w:szCs w:val="32"/>
    </w:rPr>
  </w:style>
  <w:style w:type="paragraph" w:customStyle="1" w:styleId="32">
    <w:name w:val="TOC Heading"/>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WPSOffice手动目录 1"/>
    <w:qFormat/>
    <w:uiPriority w:val="0"/>
    <w:pPr>
      <w:ind w:leftChars="0"/>
    </w:pPr>
    <w:rPr>
      <w:rFonts w:ascii="Calibri" w:hAnsi="Calibri" w:eastAsia="宋体" w:cs="Times New Roman"/>
      <w:sz w:val="20"/>
      <w:szCs w:val="20"/>
    </w:rPr>
  </w:style>
  <w:style w:type="paragraph" w:customStyle="1" w:styleId="34">
    <w:name w:val="WPSOffice手动目录 2"/>
    <w:qFormat/>
    <w:uiPriority w:val="0"/>
    <w:pPr>
      <w:ind w:leftChars="200"/>
    </w:pPr>
    <w:rPr>
      <w:rFonts w:ascii="Calibri" w:hAnsi="Calibri" w:eastAsia="宋体" w:cs="Times New Roman"/>
      <w:sz w:val="20"/>
      <w:szCs w:val="20"/>
    </w:rPr>
  </w:style>
  <w:style w:type="paragraph" w:customStyle="1" w:styleId="35">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77</TotalTime>
  <ScaleCrop>false</ScaleCrop>
  <LinksUpToDate>false</LinksUpToDate>
  <CharactersWithSpaces>8536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收发员</cp:lastModifiedBy>
  <cp:lastPrinted>2020-07-23T02:58:00Z</cp:lastPrinted>
  <dcterms:modified xsi:type="dcterms:W3CDTF">2023-07-13T09:29:28Z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