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黑体" w:hAnsi="黑体" w:eastAsia="黑体"/>
          <w:color w:val="000000"/>
          <w:sz w:val="72"/>
          <w:szCs w:val="72"/>
        </w:rPr>
      </w:pPr>
      <w:bookmarkStart w:id="1" w:name="_Toc15377425"/>
      <w:bookmarkStart w:id="2" w:name="_Toc15378441"/>
      <w:bookmarkStart w:id="3" w:name="_Toc15396597"/>
      <w:bookmarkStart w:id="4" w:name="_Toc15396475"/>
      <w:bookmarkStart w:id="5" w:name="_Toc15377193"/>
      <w:r>
        <w:rPr>
          <w:rFonts w:ascii="黑体" w:hAnsi="黑体" w:eastAsia="黑体"/>
          <w:color w:val="000000"/>
          <w:sz w:val="72"/>
          <w:szCs w:val="72"/>
        </w:rPr>
        <w:t>2018</w:t>
      </w:r>
      <w:r>
        <w:rPr>
          <w:rFonts w:hint="eastAsia" w:ascii="黑体" w:hAnsi="黑体" w:eastAsia="黑体"/>
          <w:color w:val="000000"/>
          <w:sz w:val="72"/>
          <w:szCs w:val="72"/>
        </w:rPr>
        <w:t>年度</w:t>
      </w:r>
      <w:bookmarkEnd w:id="1"/>
      <w:bookmarkEnd w:id="2"/>
      <w:bookmarkEnd w:id="3"/>
      <w:bookmarkEnd w:id="4"/>
      <w:bookmarkEnd w:id="5"/>
      <w:bookmarkStart w:id="6" w:name="_Toc15377426"/>
      <w:bookmarkStart w:id="7" w:name="_Toc15396476"/>
      <w:bookmarkStart w:id="8" w:name="_Toc15377194"/>
      <w:bookmarkStart w:id="9" w:name="_Toc15378442"/>
      <w:bookmarkStart w:id="10" w:name="_Toc15396598"/>
    </w:p>
    <w:p>
      <w:pPr>
        <w:adjustRightInd w:val="0"/>
        <w:snapToGrid w:val="0"/>
        <w:spacing w:line="360" w:lineRule="auto"/>
        <w:jc w:val="center"/>
        <w:outlineLvl w:val="0"/>
        <w:rPr>
          <w:rFonts w:ascii="黑体" w:hAnsi="黑体" w:eastAsia="黑体"/>
          <w:color w:val="000000"/>
          <w:sz w:val="72"/>
          <w:szCs w:val="72"/>
        </w:rPr>
      </w:pPr>
      <w:r>
        <w:rPr>
          <w:rFonts w:hint="eastAsia" w:ascii="黑体" w:hAnsi="黑体" w:eastAsia="黑体"/>
          <w:color w:val="000000"/>
          <w:sz w:val="72"/>
          <w:szCs w:val="72"/>
        </w:rPr>
        <w:t>四川省攀枝花市</w:t>
      </w:r>
      <w:bookmarkStart w:id="11" w:name="_Toc15306268"/>
      <w:r>
        <w:rPr>
          <w:rFonts w:hint="eastAsia" w:ascii="黑体" w:hAnsi="黑体" w:eastAsia="黑体"/>
          <w:color w:val="000000"/>
          <w:sz w:val="72"/>
          <w:szCs w:val="72"/>
        </w:rPr>
        <w:t>西区工商业联合会</w:t>
      </w:r>
    </w:p>
    <w:p>
      <w:pPr>
        <w:adjustRightInd w:val="0"/>
        <w:snapToGrid w:val="0"/>
        <w:spacing w:line="360" w:lineRule="auto"/>
        <w:jc w:val="center"/>
        <w:outlineLvl w:val="0"/>
        <w:rPr>
          <w:rFonts w:ascii="黑体" w:hAnsi="黑体" w:eastAsia="黑体"/>
          <w:color w:val="000000"/>
          <w:sz w:val="72"/>
          <w:szCs w:val="72"/>
        </w:rPr>
      </w:pPr>
      <w:r>
        <w:rPr>
          <w:rFonts w:hint="eastAsia" w:ascii="黑体" w:hAnsi="黑体" w:eastAsia="黑体"/>
          <w:color w:val="000000"/>
          <w:sz w:val="72"/>
          <w:szCs w:val="72"/>
        </w:rPr>
        <w:t>部门决算</w:t>
      </w:r>
      <w:bookmarkEnd w:id="6"/>
      <w:bookmarkEnd w:id="7"/>
      <w:bookmarkEnd w:id="8"/>
      <w:bookmarkEnd w:id="9"/>
      <w:bookmarkEnd w:id="10"/>
      <w:bookmarkEnd w:id="11"/>
      <w:r>
        <w:rPr>
          <w:rFonts w:hint="eastAsia" w:ascii="黑体" w:hAnsi="黑体" w:eastAsia="黑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t>8</w:t>
      </w:r>
      <w:r>
        <w:rPr>
          <w:rFonts w:hint="eastAsia"/>
        </w:rPr>
        <w:t>月</w:t>
      </w:r>
      <w:r>
        <w:t>29</w:t>
      </w:r>
      <w:r>
        <w:rPr>
          <w:rFonts w:hint="eastAsia"/>
        </w:rPr>
        <w:t>日</w:t>
      </w:r>
    </w:p>
    <w:p/>
    <w:p>
      <w:pPr>
        <w:pStyle w:val="10"/>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9</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ascii="仿宋" w:hAnsi="仿宋" w:eastAsia="仿宋"/>
          <w:sz w:val="28"/>
          <w:szCs w:val="28"/>
        </w:rPr>
        <w:t xml:space="preserve"> </w:t>
      </w:r>
      <w:r>
        <w:rPr>
          <w:rStyle w:val="16"/>
          <w:rFonts w:hint="eastAsia" w:ascii="仿宋" w:hAnsi="仿宋" w:eastAsia="仿宋"/>
          <w:sz w:val="28"/>
          <w:szCs w:val="28"/>
        </w:rPr>
        <w:t>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6"/>
          <w:rFonts w:hint="eastAsia"/>
          <w:bCs/>
          <w:kern w:val="44"/>
        </w:rPr>
        <w:t>第三部分</w:t>
      </w:r>
      <w:r>
        <w:rPr>
          <w:rStyle w:val="16"/>
        </w:rPr>
        <w:t xml:space="preserve"> </w:t>
      </w:r>
      <w:r>
        <w:rPr>
          <w:rStyle w:val="16"/>
          <w:rFonts w:hint="eastAsia"/>
        </w:rPr>
        <w:t>名</w:t>
      </w:r>
      <w:r>
        <w:rPr>
          <w:rStyle w:val="16"/>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pPr>
        <w:pStyle w:val="10"/>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23</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28</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snapToGrid w:val="0"/>
        <w:spacing w:line="520" w:lineRule="exact"/>
        <w:ind w:firstLine="640" w:firstLineChars="200"/>
        <w:rPr>
          <w:rFonts w:ascii="仿宋_GB2312" w:hAnsi="仿宋" w:eastAsia="仿宋_GB2312"/>
          <w:sz w:val="32"/>
          <w:szCs w:val="32"/>
        </w:rPr>
      </w:pPr>
      <w:bookmarkStart w:id="18" w:name="_Toc15378446"/>
      <w:bookmarkStart w:id="19" w:name="_Toc15377199"/>
      <w:r>
        <w:rPr>
          <w:rFonts w:ascii="仿宋_GB2312" w:hAnsi="仿宋" w:eastAsia="仿宋_GB2312"/>
          <w:sz w:val="32"/>
          <w:szCs w:val="32"/>
        </w:rPr>
        <w:t>1</w:t>
      </w:r>
      <w:r>
        <w:rPr>
          <w:rFonts w:hint="eastAsia" w:ascii="仿宋_GB2312" w:hAnsi="仿宋" w:eastAsia="仿宋_GB2312"/>
          <w:sz w:val="32"/>
          <w:szCs w:val="32"/>
        </w:rPr>
        <w:t>、参与区委、区政府大政方针及政治、经济、社会生活中的重要问题的政治协商，发挥民主监督作用，参政议政。</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、引导会员积极参加国家经济建设，推动社会主义市场经济体制逐步完善，促进社会全面发展。</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、做好工商界代表人士政治安排的推荐工作。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、指导同业公会和行业商会等专业组织的工作。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发扬自我教育的优良传统，宣传、贯彻党和国家的方针政策，加强和改进思想政治工作，坚持对广大会员进行团结、帮助、引导、教育，促进促进非公有制经济健康发展，提倡爱国、敬业、守法，提高会员素质，培养积极分子队伍。</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、代表并维护会员的合法权益，反映会员的意见、要求和建议为会员提供有关证明，协调关系，参与调解经济纠纷。</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引导会员把自身企业的发展与国家发展结合起来，把个人富裕与全体人民的共同富裕结合起来，把遵守市场规则与发扬社会主义道德结合起来，弘扬中华民族传统美德，先富帮后富，走共同富裕的道路，热心社会公益事业，积极参加扶贫光彩事业。</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、为会员提供信息、培训、科技、管理、法律、会计、审计、融资、咨询等服务，帮助会员改进经营管理、完善财务制度，照章纳税，提高自身素质和生产技术、产品质量等。</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才。</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、承办政府交办和有关部门委托事项。</w:t>
      </w:r>
    </w:p>
    <w:p>
      <w:pPr>
        <w:tabs>
          <w:tab w:val="right" w:pos="8306"/>
        </w:tabs>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．机构情况，包括当年变动情况及原因。</w:t>
      </w:r>
      <w:r>
        <w:rPr>
          <w:rFonts w:ascii="仿宋_GB2312" w:hAnsi="仿宋" w:eastAsia="仿宋_GB2312"/>
          <w:sz w:val="32"/>
          <w:szCs w:val="32"/>
        </w:rPr>
        <w:tab/>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根据《攀枝花市西区人民政府办公室关于印发攀枝花市西区工商业联合会主要职责内设机构和人员编制规定的通知》（攀西府办</w:t>
      </w:r>
      <w:r>
        <w:rPr>
          <w:rFonts w:ascii="仿宋_GB2312" w:hAnsi="仿宋" w:eastAsia="仿宋_GB2312"/>
          <w:sz w:val="32"/>
          <w:szCs w:val="32"/>
        </w:rPr>
        <w:t>[2011]48</w:t>
      </w:r>
      <w:r>
        <w:rPr>
          <w:rFonts w:hint="eastAsia" w:ascii="仿宋_GB2312" w:hAnsi="仿宋" w:eastAsia="仿宋_GB2312"/>
          <w:sz w:val="32"/>
          <w:szCs w:val="32"/>
        </w:rPr>
        <w:t>号）文件精神，区工商联内设机构数量完全符合规定要求，无擅自提高机构规格，无擅自增设、变更机构等情况，内设机构工作人员分工明确，机构运行良好。</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．人员情况，包括当年变动情况及原因。</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根据《攀枝花市西区人民政府办公室关于印发攀枝花市西区工商业联合会主要职责内设机构和人员编制规定的通知》（攀西府办</w:t>
      </w:r>
      <w:r>
        <w:rPr>
          <w:rFonts w:ascii="仿宋_GB2312" w:hAnsi="仿宋" w:eastAsia="仿宋_GB2312"/>
          <w:sz w:val="32"/>
          <w:szCs w:val="32"/>
        </w:rPr>
        <w:t>[2011]48</w:t>
      </w:r>
      <w:r>
        <w:rPr>
          <w:rFonts w:hint="eastAsia" w:ascii="仿宋_GB2312" w:hAnsi="仿宋" w:eastAsia="仿宋_GB2312"/>
          <w:sz w:val="32"/>
          <w:szCs w:val="32"/>
        </w:rPr>
        <w:t>号）文件精神，区工商联核定行政编制</w:t>
      </w:r>
      <w:r>
        <w:rPr>
          <w:rFonts w:ascii="仿宋_GB2312" w:hAnsi="仿宋" w:eastAsia="仿宋_GB2312"/>
          <w:sz w:val="32"/>
          <w:szCs w:val="32"/>
        </w:rPr>
        <w:t>2</w:t>
      </w:r>
      <w:r>
        <w:rPr>
          <w:rFonts w:hint="eastAsia" w:ascii="仿宋_GB2312" w:hAnsi="仿宋" w:eastAsia="仿宋_GB2312"/>
          <w:sz w:val="32"/>
          <w:szCs w:val="32"/>
        </w:rPr>
        <w:t>名，临聘人员编制</w:t>
      </w:r>
      <w:r>
        <w:rPr>
          <w:rFonts w:ascii="仿宋_GB2312" w:hAnsi="仿宋" w:eastAsia="仿宋_GB2312"/>
          <w:sz w:val="32"/>
          <w:szCs w:val="32"/>
        </w:rPr>
        <w:t>1</w:t>
      </w:r>
      <w:r>
        <w:rPr>
          <w:rFonts w:hint="eastAsia" w:ascii="仿宋_GB2312" w:hAnsi="仿宋" w:eastAsia="仿宋_GB2312"/>
          <w:sz w:val="32"/>
          <w:szCs w:val="32"/>
        </w:rPr>
        <w:t>名。区工商联现有行政人员</w:t>
      </w:r>
      <w:r>
        <w:rPr>
          <w:rFonts w:ascii="仿宋_GB2312" w:hAnsi="仿宋" w:eastAsia="仿宋_GB2312"/>
          <w:sz w:val="32"/>
          <w:szCs w:val="32"/>
        </w:rPr>
        <w:t>3</w:t>
      </w:r>
      <w:r>
        <w:rPr>
          <w:rFonts w:hint="eastAsia" w:ascii="仿宋_GB2312" w:hAnsi="仿宋" w:eastAsia="仿宋_GB2312"/>
          <w:sz w:val="32"/>
          <w:szCs w:val="32"/>
        </w:rPr>
        <w:t>名（其中一名为县级领导，编制在区政协，但工资关系在区工商联），临聘人员</w:t>
      </w:r>
      <w:r>
        <w:rPr>
          <w:rFonts w:ascii="仿宋_GB2312" w:hAnsi="仿宋" w:eastAsia="仿宋_GB2312"/>
          <w:sz w:val="32"/>
          <w:szCs w:val="32"/>
        </w:rPr>
        <w:t>1</w:t>
      </w:r>
      <w:r>
        <w:rPr>
          <w:rFonts w:hint="eastAsia" w:ascii="仿宋_GB2312" w:hAnsi="仿宋" w:eastAsia="仿宋_GB2312"/>
          <w:sz w:val="32"/>
          <w:szCs w:val="32"/>
        </w:rPr>
        <w:t>名。核定常务主席一名，秘书长一名。区工商联现有主席</w:t>
      </w:r>
      <w:r>
        <w:rPr>
          <w:rFonts w:ascii="仿宋_GB2312" w:hAnsi="仿宋" w:eastAsia="仿宋_GB2312"/>
          <w:sz w:val="32"/>
          <w:szCs w:val="32"/>
        </w:rPr>
        <w:t>1</w:t>
      </w:r>
      <w:r>
        <w:rPr>
          <w:rFonts w:hint="eastAsia" w:ascii="仿宋_GB2312" w:hAnsi="仿宋" w:eastAsia="仿宋_GB2312"/>
          <w:sz w:val="32"/>
          <w:szCs w:val="32"/>
        </w:rPr>
        <w:t>名、常务副主席</w:t>
      </w:r>
      <w:r>
        <w:rPr>
          <w:rFonts w:ascii="仿宋_GB2312" w:hAnsi="仿宋" w:eastAsia="仿宋_GB2312"/>
          <w:sz w:val="32"/>
          <w:szCs w:val="32"/>
        </w:rPr>
        <w:t>1</w:t>
      </w:r>
      <w:r>
        <w:rPr>
          <w:rFonts w:hint="eastAsia" w:ascii="仿宋_GB2312" w:hAnsi="仿宋" w:eastAsia="仿宋_GB2312"/>
          <w:sz w:val="32"/>
          <w:szCs w:val="32"/>
        </w:rPr>
        <w:t>名，秘书长</w:t>
      </w:r>
      <w:r>
        <w:rPr>
          <w:rFonts w:ascii="仿宋_GB2312" w:hAnsi="仿宋" w:eastAsia="仿宋_GB2312"/>
          <w:sz w:val="32"/>
          <w:szCs w:val="32"/>
        </w:rPr>
        <w:t>1</w:t>
      </w:r>
      <w:r>
        <w:rPr>
          <w:rFonts w:hint="eastAsia" w:ascii="仿宋_GB2312" w:hAnsi="仿宋" w:eastAsia="仿宋_GB2312"/>
          <w:sz w:val="32"/>
          <w:szCs w:val="32"/>
        </w:rPr>
        <w:t>名，无超职数配备领导干部和高配领导干部情况。均严格按照编制执行。</w:t>
      </w:r>
    </w:p>
    <w:p>
      <w:pPr>
        <w:pStyle w:val="5"/>
        <w:tabs>
          <w:tab w:val="right" w:pos="8306"/>
        </w:tabs>
        <w:adjustRightInd w:val="0"/>
        <w:snapToGrid w:val="0"/>
        <w:spacing w:before="93" w:line="600" w:lineRule="exact"/>
        <w:ind w:firstLine="672" w:firstLineChars="210"/>
        <w:outlineLvl w:val="2"/>
        <w:rPr>
          <w:rFonts w:hAnsi="仿宋"/>
          <w:kern w:val="2"/>
          <w:sz w:val="32"/>
          <w:szCs w:val="32"/>
        </w:rPr>
      </w:pP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ind w:firstLine="640" w:firstLineChars="200"/>
        <w:rPr>
          <w:rFonts w:ascii="仿宋_GB2312" w:hAnsi="仿宋" w:eastAsia="仿宋_GB2312"/>
          <w:sz w:val="32"/>
          <w:szCs w:val="32"/>
        </w:rPr>
      </w:pPr>
      <w:bookmarkStart w:id="20" w:name="_Toc15396601"/>
      <w:bookmarkStart w:id="21" w:name="_Toc15377200"/>
      <w:r>
        <w:rPr>
          <w:rFonts w:ascii="仿宋_GB2312" w:hAnsi="仿宋" w:eastAsia="仿宋_GB2312"/>
          <w:sz w:val="32"/>
          <w:szCs w:val="32"/>
        </w:rPr>
        <w:t>1</w:t>
      </w:r>
      <w:r>
        <w:rPr>
          <w:rFonts w:hint="eastAsia" w:ascii="仿宋_GB2312" w:hAnsi="仿宋" w:eastAsia="仿宋_GB2312"/>
          <w:sz w:val="32"/>
          <w:szCs w:val="32"/>
        </w:rPr>
        <w:t>、强化教育引导，努力促进非公经济人士健康成长</w:t>
      </w:r>
    </w:p>
    <w:p>
      <w:pPr>
        <w:ind w:firstLine="640" w:firstLineChars="200"/>
        <w:rPr>
          <w:rFonts w:ascii="仿宋_GB2312" w:hAnsi="仿宋" w:eastAsia="仿宋_GB2312"/>
          <w:sz w:val="32"/>
          <w:szCs w:val="32"/>
        </w:rPr>
      </w:pPr>
      <w:r>
        <w:rPr>
          <w:rFonts w:hint="eastAsia" w:ascii="仿宋_GB2312" w:hAnsi="仿宋" w:eastAsia="仿宋_GB2312"/>
          <w:sz w:val="32"/>
          <w:szCs w:val="32"/>
        </w:rPr>
        <w:t>围绕“发挥职能作用，打造服务平台”认真履职尽责。一是持续深入开展非公经济人士理想信念教育活动，着力提高非公经济人士的思想政治素质。二是创新培训方式，着力提高企业家贯彻新发展理念的能力和水平。组织非公经济代表人士参加省、市工商联开展的科技、业务和法律法规等各项培训。三是进行责任教育。鼓励会员企业多渠道、多方式增加就业岗位，努力构建和谐企业。支持企业自我规范、自我约束，依靠诚实劳动、合法经营、公平竞争。四是继续做好非公经济人士政治安排和先进典型的评选，抓好非公企业职称评定工作，组织开展了中、高级职称的评审报送工作。</w:t>
      </w:r>
    </w:p>
    <w:p>
      <w:pPr>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、强化服务，努力促进非公经济健康发展</w:t>
      </w:r>
    </w:p>
    <w:p>
      <w:pPr>
        <w:ind w:firstLine="640" w:firstLineChars="200"/>
        <w:rPr>
          <w:rFonts w:ascii="仿宋_GB2312" w:hAnsi="仿宋" w:eastAsia="仿宋_GB2312"/>
          <w:sz w:val="32"/>
          <w:szCs w:val="32"/>
        </w:rPr>
      </w:pPr>
      <w:r>
        <w:rPr>
          <w:rFonts w:hint="eastAsia" w:ascii="仿宋_GB2312" w:hAnsi="仿宋" w:eastAsia="仿宋_GB2312"/>
          <w:sz w:val="32"/>
          <w:szCs w:val="32"/>
        </w:rPr>
        <w:t>充公发挥已建服务企业的工作平台，进一步完善定期会议制度，通过“新春座谈会”、“主席会”、“执委会”等为企业家分享创业经验、共享资源并相互交流企业目前经营状况以及克服困难的经验、实现优势互补创造了一个良好的平台。着力帮助企业解决发展中的困难和问题，区工商联围绕全区非公经济发展现状调研会员企业</w:t>
      </w:r>
      <w:r>
        <w:rPr>
          <w:rFonts w:ascii="仿宋_GB2312" w:hAnsi="仿宋" w:eastAsia="仿宋_GB2312"/>
          <w:sz w:val="32"/>
          <w:szCs w:val="32"/>
        </w:rPr>
        <w:t>20</w:t>
      </w:r>
      <w:r>
        <w:rPr>
          <w:rFonts w:hint="eastAsia" w:ascii="仿宋_GB2312" w:hAnsi="仿宋" w:eastAsia="仿宋_GB2312"/>
          <w:sz w:val="32"/>
          <w:szCs w:val="32"/>
        </w:rPr>
        <w:t>多家，倾听会员企业发展中的困难、意见、建议，或与各相关部门协调解决。积极组织企业参加省、市工商联和各单位组织的各种学习培训活动，全年共组织参加各类培训活动七次，参训会员达</w:t>
      </w:r>
      <w:r>
        <w:rPr>
          <w:rFonts w:ascii="仿宋_GB2312" w:hAnsi="仿宋" w:eastAsia="仿宋_GB2312"/>
          <w:sz w:val="32"/>
          <w:szCs w:val="32"/>
        </w:rPr>
        <w:t>180</w:t>
      </w:r>
      <w:r>
        <w:rPr>
          <w:rFonts w:hint="eastAsia" w:ascii="仿宋_GB2312" w:hAnsi="仿宋" w:eastAsia="仿宋_GB2312"/>
          <w:sz w:val="32"/>
          <w:szCs w:val="32"/>
        </w:rPr>
        <w:t>余人次。</w:t>
      </w:r>
    </w:p>
    <w:p>
      <w:pPr>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、积极参政议政，为我区经济建设献计献策</w:t>
      </w:r>
    </w:p>
    <w:p>
      <w:pPr>
        <w:ind w:firstLine="640" w:firstLineChars="200"/>
        <w:rPr>
          <w:rFonts w:ascii="仿宋_GB2312" w:hAnsi="仿宋" w:eastAsia="仿宋_GB2312"/>
          <w:sz w:val="32"/>
          <w:szCs w:val="32"/>
        </w:rPr>
      </w:pPr>
      <w:r>
        <w:rPr>
          <w:rFonts w:hint="eastAsia" w:ascii="仿宋_GB2312" w:hAnsi="仿宋" w:eastAsia="仿宋_GB2312"/>
          <w:sz w:val="32"/>
          <w:szCs w:val="32"/>
        </w:rPr>
        <w:t>采取多种形式，深入基层，深入企业，了解我区非公有制经济的发展情况和他们在生产经营中存在的困难，与相关单位配合深入企业开展“进企解困”活动，实地走访西区生产企业和重点项目，了解并协调解决有关企业运行、项目推进、园区转型发展中碰到的问题、困难，征求企业对政府部门的意见建议，及时反映非公有制经济代表人士诉求，积极帮助非公企业解决的实际困难和问题。</w:t>
      </w:r>
    </w:p>
    <w:p>
      <w:pPr>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、加强机关自身建设，努力打造忠诚、干净、担当的机关干部队伍</w:t>
      </w:r>
    </w:p>
    <w:p>
      <w:pPr>
        <w:ind w:firstLine="640" w:firstLineChars="200"/>
        <w:rPr>
          <w:rFonts w:ascii="仿宋" w:hAnsi="仿宋" w:eastAsia="仿宋"/>
          <w:sz w:val="32"/>
          <w:szCs w:val="32"/>
        </w:rPr>
      </w:pPr>
      <w:r>
        <w:rPr>
          <w:rFonts w:hint="eastAsia" w:ascii="仿宋_GB2312" w:hAnsi="仿宋" w:eastAsia="仿宋_GB2312"/>
          <w:sz w:val="32"/>
          <w:szCs w:val="32"/>
        </w:rPr>
        <w:t>继续推进“两学一做”学习教育常态化制度化，深入开展“不忘初心、牢记使命”主题教育，扎实推进“两转一提”专题教育，认真学习贯彻党的十九大精神，传达学习全国两会精神，开展“大学习、大讨论、大调研”活动，进一步严明党的纪律；落实全面从严治党政治责任，加大问责力度，促使责任落实；贯彻落实中央八项规定精神，落实“两个责任”，从年初计划的制定，到日常事项</w:t>
      </w:r>
      <w:bookmarkStart w:id="76" w:name="_GoBack"/>
      <w:bookmarkEnd w:id="76"/>
      <w:r>
        <w:rPr>
          <w:rFonts w:hint="eastAsia" w:ascii="仿宋_GB2312" w:hAnsi="仿宋" w:eastAsia="仿宋_GB2312"/>
          <w:sz w:val="32"/>
          <w:szCs w:val="32"/>
        </w:rPr>
        <w:t>的安排，工商联全体干部职工团结齐心、共事和谐，确保各项工作再上新台阶。</w:t>
      </w:r>
    </w:p>
    <w:p>
      <w:pPr>
        <w:pStyle w:val="3"/>
        <w:rPr>
          <w:rStyle w:val="18"/>
          <w:b w:val="0"/>
          <w:bCs w:val="0"/>
        </w:rPr>
      </w:pPr>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攀枝花市西区工商业联合会下属二级单位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kern w:val="0"/>
          <w:sz w:val="32"/>
          <w:szCs w:val="32"/>
        </w:rPr>
        <w:t>攀枝花市西区工商业联</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年度部门决算编制范围的二级预算单位包括：</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无</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2018</w:t>
      </w:r>
      <w:r>
        <w:rPr>
          <w:rStyle w:val="17"/>
          <w:rFonts w:hint="eastAsia" w:ascii="黑体" w:hAnsi="黑体" w:eastAsia="黑体"/>
          <w:b w:val="0"/>
          <w:bCs w:val="0"/>
        </w:rPr>
        <w:t>年度部门决算情况说明</w:t>
      </w:r>
      <w:bookmarkEnd w:id="22"/>
      <w:bookmarkEnd w:id="23"/>
    </w:p>
    <w:p/>
    <w:p>
      <w:pPr>
        <w:pStyle w:val="27"/>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420" w:firstLineChars="200"/>
        <w:rPr>
          <w:rFonts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371475</wp:posOffset>
            </wp:positionH>
            <wp:positionV relativeFrom="paragraph">
              <wp:posOffset>1180465</wp:posOffset>
            </wp:positionV>
            <wp:extent cx="2488565" cy="2040255"/>
            <wp:effectExtent l="4445" t="4445" r="21590" b="1270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73.94</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年相比，收、支总计各减少</w:t>
      </w:r>
      <w:r>
        <w:rPr>
          <w:rFonts w:ascii="仿宋" w:hAnsi="仿宋" w:eastAsia="仿宋"/>
          <w:color w:val="000000"/>
          <w:sz w:val="32"/>
          <w:szCs w:val="32"/>
        </w:rPr>
        <w:t>11.91</w:t>
      </w:r>
      <w:r>
        <w:rPr>
          <w:rFonts w:hint="eastAsia" w:ascii="仿宋" w:hAnsi="仿宋" w:eastAsia="仿宋"/>
          <w:color w:val="000000"/>
          <w:sz w:val="32"/>
          <w:szCs w:val="32"/>
        </w:rPr>
        <w:t>万元，减少</w:t>
      </w:r>
      <w:r>
        <w:rPr>
          <w:rFonts w:ascii="仿宋" w:hAnsi="仿宋" w:eastAsia="仿宋"/>
          <w:color w:val="000000"/>
          <w:sz w:val="32"/>
          <w:szCs w:val="32"/>
        </w:rPr>
        <w:t>13.87%</w:t>
      </w:r>
      <w:r>
        <w:rPr>
          <w:rFonts w:hint="eastAsia" w:ascii="仿宋" w:hAnsi="仿宋" w:eastAsia="仿宋"/>
          <w:color w:val="000000"/>
          <w:sz w:val="32"/>
          <w:szCs w:val="32"/>
        </w:rPr>
        <w:t>。主要变动原因是本年财政预算拨款减少。</w:t>
      </w:r>
    </w:p>
    <w:p>
      <w:pPr>
        <w:spacing w:line="600" w:lineRule="exact"/>
        <w:ind w:firstLine="640" w:firstLineChars="200"/>
        <w:jc w:val="left"/>
        <w:rPr>
          <w:rFonts w:ascii="仿宋_GB2312" w:eastAsia="仿宋_GB2312"/>
          <w:color w:val="000000"/>
          <w:sz w:val="32"/>
          <w:szCs w:val="32"/>
        </w:rPr>
      </w:pPr>
    </w:p>
    <w:p>
      <w:pPr>
        <w:pStyle w:val="27"/>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pStyle w:val="27"/>
        <w:spacing w:line="600" w:lineRule="exact"/>
        <w:outlineLvl w:val="1"/>
        <w:rPr>
          <w:rFonts w:ascii="仿宋" w:hAnsi="仿宋" w:eastAsia="仿宋"/>
          <w:color w:val="000000"/>
          <w:sz w:val="32"/>
          <w:szCs w:val="32"/>
        </w:rPr>
      </w:pPr>
      <w:r>
        <w:pict>
          <v:shape id="_x0000_s1027" o:spid="_x0000_s1027" o:spt="75" type="#_x0000_t75" style="position:absolute;left:0pt;margin-left:70.3pt;margin-top:91.75pt;height:176.15pt;width:237.6pt;mso-wrap-distance-bottom:0pt;mso-wrap-distance-top:0pt;z-index:251659264;mso-width-relative:page;mso-height-relative:page;" o:ole="t" filled="f" o:preferrelative="t" stroked="f" coordsize="21600,21600">
            <v:path/>
            <v:fill on="f" focussize="0,0"/>
            <v:stroke on="f" joinstyle="miter"/>
            <v:imagedata r:id="rId8" o:title=""/>
            <o:lock v:ext="edit" aspectratio="t"/>
            <w10:wrap type="topAndBottom"/>
          </v:shape>
          <o:OLEObject Type="Embed" ProgID="Excel.Chart.8" ShapeID="_x0000_s1027" DrawAspect="Content" ObjectID="_1468075725" r:id="rId7">
            <o:LockedField>false</o:LockedField>
          </o:OLEObject>
        </w:pict>
      </w:r>
      <w:r>
        <w:rPr>
          <w:rFonts w:ascii="仿宋" w:hAnsi="仿宋" w:eastAsia="仿宋"/>
          <w:color w:val="000000"/>
          <w:sz w:val="32"/>
          <w:szCs w:val="32"/>
        </w:rPr>
        <w:t>2018</w:t>
      </w:r>
      <w:r>
        <w:rPr>
          <w:rFonts w:hint="eastAsia" w:ascii="仿宋" w:hAnsi="仿宋" w:eastAsia="仿宋"/>
          <w:color w:val="000000"/>
          <w:sz w:val="32"/>
          <w:szCs w:val="32"/>
        </w:rPr>
        <w:t>年度收入</w:t>
      </w:r>
      <w:r>
        <w:rPr>
          <w:rFonts w:ascii="仿宋" w:hAnsi="仿宋" w:eastAsia="仿宋"/>
          <w:color w:val="000000"/>
          <w:sz w:val="32"/>
          <w:szCs w:val="32"/>
        </w:rPr>
        <w:t>73.941</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73.940</w:t>
      </w:r>
      <w:r>
        <w:rPr>
          <w:rFonts w:hint="eastAsia" w:ascii="仿宋" w:hAnsi="仿宋" w:eastAsia="仿宋"/>
          <w:color w:val="000000"/>
          <w:sz w:val="32"/>
          <w:szCs w:val="32"/>
        </w:rPr>
        <w:t>万元，占</w:t>
      </w:r>
      <w:r>
        <w:rPr>
          <w:rFonts w:ascii="仿宋" w:hAnsi="仿宋" w:eastAsia="仿宋"/>
          <w:color w:val="000000"/>
          <w:sz w:val="32"/>
          <w:szCs w:val="32"/>
        </w:rPr>
        <w:t>99.9987%</w:t>
      </w:r>
      <w:r>
        <w:rPr>
          <w:rFonts w:hint="eastAsia" w:ascii="仿宋" w:hAnsi="仿宋" w:eastAsia="仿宋"/>
          <w:color w:val="000000"/>
          <w:sz w:val="32"/>
          <w:szCs w:val="32"/>
        </w:rPr>
        <w:t>，其他收入</w:t>
      </w:r>
      <w:r>
        <w:rPr>
          <w:rFonts w:ascii="仿宋" w:hAnsi="仿宋" w:eastAsia="仿宋"/>
          <w:color w:val="000000"/>
          <w:sz w:val="32"/>
          <w:szCs w:val="32"/>
        </w:rPr>
        <w:t>0.001</w:t>
      </w:r>
      <w:r>
        <w:rPr>
          <w:rFonts w:hint="eastAsia" w:ascii="仿宋" w:hAnsi="仿宋" w:eastAsia="仿宋"/>
          <w:color w:val="000000"/>
          <w:sz w:val="32"/>
          <w:szCs w:val="32"/>
        </w:rPr>
        <w:t>万元，占</w:t>
      </w:r>
      <w:r>
        <w:rPr>
          <w:rFonts w:ascii="仿宋" w:hAnsi="仿宋" w:eastAsia="仿宋"/>
          <w:color w:val="000000"/>
          <w:sz w:val="32"/>
          <w:szCs w:val="32"/>
        </w:rPr>
        <w:t>0.001%</w:t>
      </w:r>
      <w:r>
        <w:rPr>
          <w:rFonts w:hint="eastAsia" w:ascii="仿宋" w:hAnsi="仿宋" w:eastAsia="仿宋"/>
          <w:color w:val="000000"/>
          <w:sz w:val="32"/>
          <w:szCs w:val="32"/>
        </w:rPr>
        <w:t>。</w:t>
      </w:r>
    </w:p>
    <w:p>
      <w:pPr>
        <w:pStyle w:val="27"/>
        <w:numPr>
          <w:ilvl w:val="0"/>
          <w:numId w:val="1"/>
        </w:numPr>
        <w:spacing w:line="600" w:lineRule="exact"/>
        <w:ind w:firstLineChars="0"/>
        <w:outlineLvl w:val="1"/>
        <w:rPr>
          <w:rStyle w:val="1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年度支出合计</w:t>
      </w:r>
      <w:r>
        <w:rPr>
          <w:rFonts w:ascii="仿宋" w:hAnsi="仿宋" w:eastAsia="仿宋"/>
          <w:color w:val="000000"/>
          <w:sz w:val="32"/>
          <w:szCs w:val="32"/>
        </w:rPr>
        <w:t>73.94</w:t>
      </w:r>
      <w:r>
        <w:rPr>
          <w:rFonts w:hint="eastAsia" w:ascii="仿宋" w:hAnsi="仿宋" w:eastAsia="仿宋"/>
          <w:color w:val="000000"/>
          <w:sz w:val="32"/>
          <w:szCs w:val="32"/>
        </w:rPr>
        <w:t>万元，其中：基本支出</w:t>
      </w:r>
      <w:r>
        <w:rPr>
          <w:rFonts w:ascii="仿宋" w:hAnsi="仿宋" w:eastAsia="仿宋"/>
          <w:color w:val="000000"/>
          <w:sz w:val="32"/>
          <w:szCs w:val="32"/>
        </w:rPr>
        <w:t>70.74</w:t>
      </w:r>
      <w:r>
        <w:rPr>
          <w:rFonts w:hint="eastAsia" w:ascii="仿宋" w:hAnsi="仿宋" w:eastAsia="仿宋"/>
          <w:color w:val="000000"/>
          <w:sz w:val="32"/>
          <w:szCs w:val="32"/>
        </w:rPr>
        <w:t>万元，占</w:t>
      </w:r>
      <w:r>
        <w:rPr>
          <w:rFonts w:ascii="仿宋" w:hAnsi="仿宋" w:eastAsia="仿宋"/>
          <w:color w:val="000000"/>
          <w:sz w:val="32"/>
          <w:szCs w:val="32"/>
        </w:rPr>
        <w:t>95.67%</w:t>
      </w:r>
      <w:r>
        <w:rPr>
          <w:rFonts w:hint="eastAsia" w:ascii="仿宋" w:hAnsi="仿宋" w:eastAsia="仿宋"/>
          <w:color w:val="000000"/>
          <w:sz w:val="32"/>
          <w:szCs w:val="32"/>
        </w:rPr>
        <w:t>；项目支出</w:t>
      </w:r>
      <w:r>
        <w:rPr>
          <w:rFonts w:ascii="仿宋" w:hAnsi="仿宋" w:eastAsia="仿宋"/>
          <w:color w:val="000000"/>
          <w:sz w:val="32"/>
          <w:szCs w:val="32"/>
        </w:rPr>
        <w:t>3.2</w:t>
      </w:r>
      <w:r>
        <w:rPr>
          <w:rFonts w:hint="eastAsia" w:ascii="仿宋" w:hAnsi="仿宋" w:eastAsia="仿宋"/>
          <w:color w:val="000000"/>
          <w:sz w:val="32"/>
          <w:szCs w:val="32"/>
        </w:rPr>
        <w:t>万元，占</w:t>
      </w:r>
      <w:r>
        <w:rPr>
          <w:rFonts w:ascii="仿宋" w:hAnsi="仿宋" w:eastAsia="仿宋"/>
          <w:color w:val="000000"/>
          <w:sz w:val="32"/>
          <w:szCs w:val="32"/>
        </w:rPr>
        <w:t>4.33%</w:t>
      </w:r>
      <w:r>
        <w:rPr>
          <w:rFonts w:hint="eastAsia" w:ascii="仿宋" w:hAnsi="仿宋" w:eastAsia="仿宋"/>
          <w:color w:val="000000"/>
          <w:sz w:val="32"/>
          <w:szCs w:val="32"/>
        </w:rPr>
        <w:t>；。</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1312" behindDoc="0" locked="0" layoutInCell="1" allowOverlap="1">
            <wp:simplePos x="0" y="0"/>
            <wp:positionH relativeFrom="column">
              <wp:posOffset>674370</wp:posOffset>
            </wp:positionH>
            <wp:positionV relativeFrom="paragraph">
              <wp:posOffset>582930</wp:posOffset>
            </wp:positionV>
            <wp:extent cx="2989580" cy="2173605"/>
            <wp:effectExtent l="4445" t="4445" r="15875" b="1270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7"/>
        <w:numPr>
          <w:ilvl w:val="0"/>
          <w:numId w:val="1"/>
        </w:numPr>
        <w:spacing w:line="600" w:lineRule="exact"/>
        <w:ind w:firstLineChars="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73.94</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年相比，财政拨款收、支总计各减少</w:t>
      </w:r>
      <w:r>
        <w:rPr>
          <w:rFonts w:ascii="仿宋" w:hAnsi="仿宋" w:eastAsia="仿宋"/>
          <w:color w:val="000000"/>
          <w:sz w:val="32"/>
          <w:szCs w:val="32"/>
        </w:rPr>
        <w:t>11.91</w:t>
      </w:r>
      <w:r>
        <w:rPr>
          <w:rFonts w:hint="eastAsia" w:ascii="仿宋" w:hAnsi="仿宋" w:eastAsia="仿宋"/>
          <w:color w:val="000000"/>
          <w:sz w:val="32"/>
          <w:szCs w:val="32"/>
        </w:rPr>
        <w:t>万元，减少</w:t>
      </w:r>
      <w:r>
        <w:rPr>
          <w:rFonts w:ascii="仿宋" w:hAnsi="仿宋" w:eastAsia="仿宋"/>
          <w:color w:val="000000"/>
          <w:sz w:val="32"/>
          <w:szCs w:val="32"/>
        </w:rPr>
        <w:t>13.87%</w:t>
      </w:r>
      <w:r>
        <w:rPr>
          <w:rFonts w:hint="eastAsia" w:ascii="仿宋" w:hAnsi="仿宋" w:eastAsia="仿宋"/>
          <w:color w:val="000000"/>
          <w:sz w:val="32"/>
          <w:szCs w:val="32"/>
        </w:rPr>
        <w:t>，</w:t>
      </w:r>
    </w:p>
    <w:p>
      <w:pPr>
        <w:rPr>
          <w:rFonts w:ascii="仿宋" w:hAnsi="仿宋" w:eastAsia="仿宋"/>
          <w:color w:val="000000"/>
          <w:sz w:val="32"/>
          <w:szCs w:val="32"/>
        </w:rPr>
      </w:pPr>
      <w:r>
        <w:rPr>
          <w:rFonts w:hint="eastAsia" w:ascii="仿宋" w:hAnsi="仿宋" w:eastAsia="仿宋"/>
          <w:color w:val="000000"/>
          <w:sz w:val="32"/>
          <w:szCs w:val="32"/>
        </w:rPr>
        <w:t>主要变动原因是财政拨款减少。</w:t>
      </w:r>
    </w:p>
    <w:p>
      <w:pPr>
        <w:rPr>
          <w:rFonts w:ascii="宋体"/>
          <w:color w:val="FF0000"/>
          <w:szCs w:val="21"/>
        </w:rPr>
      </w:pPr>
      <w:r>
        <w:drawing>
          <wp:anchor distT="0" distB="0" distL="114300" distR="114300" simplePos="0" relativeHeight="251661312" behindDoc="0" locked="0" layoutInCell="1" allowOverlap="1">
            <wp:simplePos x="0" y="0"/>
            <wp:positionH relativeFrom="column">
              <wp:posOffset>371475</wp:posOffset>
            </wp:positionH>
            <wp:positionV relativeFrom="paragraph">
              <wp:posOffset>260985</wp:posOffset>
            </wp:positionV>
            <wp:extent cx="2666365" cy="2400300"/>
            <wp:effectExtent l="4445" t="4445" r="15240"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rPr>
          <w:rFonts w:ascii="宋体"/>
          <w:color w:val="FF0000"/>
          <w:szCs w:val="21"/>
        </w:rPr>
      </w:pPr>
    </w:p>
    <w:p>
      <w:pPr>
        <w:rPr>
          <w:rFonts w:ascii="宋体"/>
          <w:color w:val="FF0000"/>
          <w:szCs w:val="21"/>
        </w:rPr>
      </w:pPr>
    </w:p>
    <w:p>
      <w:pPr>
        <w:spacing w:line="600" w:lineRule="exact"/>
        <w:ind w:firstLine="640" w:firstLineChars="200"/>
        <w:outlineLvl w:val="1"/>
        <w:rPr>
          <w:rStyle w:val="18"/>
          <w:rFonts w:ascii="黑体" w:hAnsi="黑体" w:eastAsia="黑体"/>
          <w:b w:val="0"/>
          <w:color w:val="FF0000"/>
        </w:rPr>
      </w:pPr>
      <w:bookmarkStart w:id="32" w:name="_Toc15377209"/>
      <w:bookmarkStart w:id="33" w:name="_Toc15396607"/>
      <w:r>
        <w:rPr>
          <w:rFonts w:hint="eastAsia" w:ascii="黑体" w:hAnsi="黑体" w:eastAsia="黑体"/>
          <w:color w:val="FF0000"/>
          <w:sz w:val="32"/>
          <w:szCs w:val="32"/>
        </w:rPr>
        <w:t>五、</w:t>
      </w:r>
      <w:r>
        <w:rPr>
          <w:rFonts w:hint="eastAsia" w:ascii="黑体" w:hAnsi="黑体" w:eastAsia="黑体"/>
          <w:b/>
          <w:color w:val="FF0000"/>
          <w:sz w:val="32"/>
          <w:szCs w:val="32"/>
        </w:rPr>
        <w:t>一</w:t>
      </w:r>
      <w:r>
        <w:rPr>
          <w:rStyle w:val="18"/>
          <w:rFonts w:hint="eastAsia" w:ascii="黑体" w:hAnsi="黑体" w:eastAsia="黑体"/>
          <w:b w:val="0"/>
          <w:color w:val="FF000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371475</wp:posOffset>
            </wp:positionH>
            <wp:positionV relativeFrom="paragraph">
              <wp:posOffset>1781175</wp:posOffset>
            </wp:positionV>
            <wp:extent cx="4491355" cy="2070735"/>
            <wp:effectExtent l="4445" t="4445" r="19050" b="2032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73.94</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11.91</w:t>
      </w:r>
      <w:r>
        <w:rPr>
          <w:rFonts w:hint="eastAsia" w:ascii="仿宋" w:hAnsi="仿宋" w:eastAsia="仿宋"/>
          <w:color w:val="000000"/>
          <w:sz w:val="32"/>
          <w:szCs w:val="32"/>
        </w:rPr>
        <w:t>万元，减少</w:t>
      </w:r>
      <w:r>
        <w:rPr>
          <w:rFonts w:ascii="仿宋" w:hAnsi="仿宋" w:eastAsia="仿宋"/>
          <w:color w:val="000000"/>
          <w:sz w:val="32"/>
          <w:szCs w:val="32"/>
        </w:rPr>
        <w:t>13.87%</w:t>
      </w:r>
      <w:r>
        <w:rPr>
          <w:rFonts w:hint="eastAsia" w:ascii="仿宋" w:hAnsi="仿宋" w:eastAsia="仿宋"/>
          <w:color w:val="000000"/>
          <w:sz w:val="32"/>
          <w:szCs w:val="32"/>
        </w:rPr>
        <w:t>。主要变动原因是一般公共预算财政拨款减少。</w:t>
      </w:r>
    </w:p>
    <w:p>
      <w:pPr>
        <w:spacing w:line="600" w:lineRule="exact"/>
        <w:ind w:firstLine="643" w:firstLineChars="200"/>
        <w:outlineLvl w:val="2"/>
        <w:rPr>
          <w:rFonts w:ascii="仿宋" w:hAnsi="仿宋" w:eastAsia="仿宋"/>
          <w:b/>
          <w:color w:val="000000"/>
          <w:sz w:val="32"/>
          <w:szCs w:val="32"/>
        </w:rPr>
      </w:pPr>
      <w:bookmarkStart w:id="35" w:name="_Toc15377211"/>
    </w:p>
    <w:p>
      <w:pPr>
        <w:spacing w:line="600" w:lineRule="exact"/>
        <w:ind w:firstLine="643" w:firstLineChars="200"/>
        <w:outlineLvl w:val="2"/>
        <w:rPr>
          <w:rFonts w:ascii="宋体"/>
          <w:b/>
          <w:color w:val="000000"/>
          <w:sz w:val="32"/>
          <w:szCs w:val="32"/>
        </w:rPr>
      </w:pPr>
      <w:r>
        <w:rPr>
          <w:rFonts w:hint="eastAsia" w:ascii="宋体" w:hAnsi="宋体"/>
          <w:b/>
          <w:color w:val="000000"/>
          <w:sz w:val="32"/>
          <w:szCs w:val="32"/>
        </w:rPr>
        <w:t>（二）一般公共预算财政拨款支出决算结构情况</w:t>
      </w:r>
      <w:bookmarkEnd w:id="35"/>
    </w:p>
    <w:p>
      <w:pPr>
        <w:ind w:firstLine="600" w:firstLineChars="200"/>
        <w:rPr>
          <w:rFonts w:ascii="宋体"/>
          <w:color w:val="FF0000"/>
          <w:sz w:val="30"/>
          <w:szCs w:val="30"/>
        </w:rPr>
      </w:pPr>
      <w:r>
        <w:rPr>
          <w:rFonts w:ascii="宋体" w:hAnsi="宋体"/>
          <w:sz w:val="30"/>
          <w:szCs w:val="30"/>
        </w:rPr>
        <w:t>2018</w:t>
      </w:r>
      <w:r>
        <w:rPr>
          <w:rFonts w:hint="eastAsia" w:ascii="宋体" w:hAnsi="宋体"/>
          <w:sz w:val="30"/>
          <w:szCs w:val="30"/>
        </w:rPr>
        <w:t>年一般公共预算财政拨款支出</w:t>
      </w:r>
      <w:r>
        <w:rPr>
          <w:rFonts w:ascii="宋体" w:hAnsi="宋体"/>
          <w:sz w:val="30"/>
          <w:szCs w:val="30"/>
        </w:rPr>
        <w:t>73.94</w:t>
      </w:r>
      <w:r>
        <w:rPr>
          <w:rFonts w:hint="eastAsia" w:ascii="宋体" w:hAnsi="宋体"/>
          <w:sz w:val="30"/>
          <w:szCs w:val="30"/>
        </w:rPr>
        <w:t>万元，主要用于以下方面</w:t>
      </w:r>
      <w:r>
        <w:rPr>
          <w:rFonts w:ascii="宋体" w:hAnsi="宋体"/>
          <w:sz w:val="30"/>
          <w:szCs w:val="30"/>
        </w:rPr>
        <w:t>:</w:t>
      </w:r>
      <w:r>
        <w:rPr>
          <w:rFonts w:hint="eastAsia" w:ascii="宋体" w:hAnsi="宋体"/>
          <w:sz w:val="30"/>
          <w:szCs w:val="30"/>
        </w:rPr>
        <w:t>一般公共服务（类）支出</w:t>
      </w:r>
      <w:r>
        <w:rPr>
          <w:rFonts w:ascii="宋体" w:hAnsi="宋体"/>
          <w:sz w:val="30"/>
          <w:szCs w:val="30"/>
        </w:rPr>
        <w:t>57.86</w:t>
      </w:r>
      <w:r>
        <w:rPr>
          <w:rFonts w:hint="eastAsia" w:ascii="宋体" w:hAnsi="宋体"/>
          <w:sz w:val="30"/>
          <w:szCs w:val="30"/>
        </w:rPr>
        <w:t>万元，占</w:t>
      </w:r>
      <w:r>
        <w:rPr>
          <w:rFonts w:ascii="宋体" w:hAnsi="宋体"/>
          <w:sz w:val="30"/>
          <w:szCs w:val="30"/>
        </w:rPr>
        <w:t>78.25%</w:t>
      </w:r>
      <w:r>
        <w:rPr>
          <w:rFonts w:hint="eastAsia" w:ascii="宋体" w:hAnsi="宋体"/>
          <w:sz w:val="30"/>
          <w:szCs w:val="30"/>
        </w:rPr>
        <w:t>；社会保障和就业（类）支出</w:t>
      </w:r>
      <w:r>
        <w:rPr>
          <w:rFonts w:ascii="宋体" w:hAnsi="宋体"/>
          <w:sz w:val="30"/>
          <w:szCs w:val="30"/>
        </w:rPr>
        <w:t>6.15</w:t>
      </w:r>
      <w:r>
        <w:rPr>
          <w:rFonts w:hint="eastAsia" w:ascii="宋体" w:hAnsi="宋体"/>
          <w:sz w:val="30"/>
          <w:szCs w:val="30"/>
        </w:rPr>
        <w:t>万元，占</w:t>
      </w:r>
      <w:r>
        <w:rPr>
          <w:rFonts w:ascii="宋体" w:hAnsi="宋体"/>
          <w:sz w:val="30"/>
          <w:szCs w:val="30"/>
        </w:rPr>
        <w:t>8.32%</w:t>
      </w:r>
      <w:r>
        <w:rPr>
          <w:rFonts w:hint="eastAsia" w:ascii="宋体" w:hAnsi="宋体"/>
          <w:sz w:val="30"/>
          <w:szCs w:val="30"/>
        </w:rPr>
        <w:t>；医疗卫生和计划生育支出</w:t>
      </w:r>
      <w:r>
        <w:rPr>
          <w:rFonts w:ascii="宋体" w:hAnsi="宋体"/>
          <w:sz w:val="30"/>
          <w:szCs w:val="30"/>
        </w:rPr>
        <w:t>3.90</w:t>
      </w:r>
      <w:r>
        <w:rPr>
          <w:rFonts w:hint="eastAsia" w:ascii="宋体" w:hAnsi="宋体"/>
          <w:sz w:val="30"/>
          <w:szCs w:val="30"/>
        </w:rPr>
        <w:t>万元，占</w:t>
      </w:r>
      <w:r>
        <w:rPr>
          <w:rFonts w:ascii="宋体" w:hAnsi="宋体"/>
          <w:sz w:val="30"/>
          <w:szCs w:val="30"/>
        </w:rPr>
        <w:t>5.27%</w:t>
      </w:r>
      <w:r>
        <w:rPr>
          <w:rFonts w:hint="eastAsia" w:ascii="宋体" w:hAnsi="宋体"/>
          <w:sz w:val="30"/>
          <w:szCs w:val="30"/>
        </w:rPr>
        <w:t>；住房保障支出</w:t>
      </w:r>
      <w:r>
        <w:rPr>
          <w:rFonts w:ascii="宋体" w:hAnsi="宋体"/>
          <w:sz w:val="30"/>
          <w:szCs w:val="30"/>
        </w:rPr>
        <w:t>6.03</w:t>
      </w:r>
      <w:r>
        <w:rPr>
          <w:rFonts w:hint="eastAsia" w:ascii="宋体" w:hAnsi="宋体"/>
          <w:sz w:val="30"/>
          <w:szCs w:val="30"/>
        </w:rPr>
        <w:t>万元，占</w:t>
      </w:r>
      <w:r>
        <w:rPr>
          <w:rFonts w:ascii="宋体" w:hAnsi="宋体"/>
          <w:sz w:val="30"/>
          <w:szCs w:val="30"/>
        </w:rPr>
        <w:t>8.16%</w:t>
      </w:r>
      <w:r>
        <w:rPr>
          <w:rFonts w:hint="eastAsia" w:ascii="宋体" w:hAnsi="宋体"/>
          <w:sz w:val="30"/>
          <w:szCs w:val="30"/>
        </w:rPr>
        <w:t>。</w:t>
      </w:r>
      <w:bookmarkStart w:id="36" w:name="_Toc15377212"/>
    </w:p>
    <w:p>
      <w:pPr>
        <w:ind w:firstLine="600" w:firstLineChars="200"/>
        <w:rPr>
          <w:rFonts w:ascii="宋体"/>
          <w:sz w:val="30"/>
          <w:szCs w:val="30"/>
        </w:rPr>
      </w:pPr>
      <w:r>
        <w:rPr>
          <w:rFonts w:hint="eastAsia" w:ascii="宋体"/>
          <w:sz w:val="30"/>
          <w:szCs w:val="30"/>
        </w:rPr>
        <w:drawing>
          <wp:inline distT="0" distB="0" distL="114300" distR="114300">
            <wp:extent cx="3383280" cy="1898015"/>
            <wp:effectExtent l="5080" t="4445" r="21590" b="21590"/>
            <wp:docPr id="5" name="图片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000000"/>
          <w:sz w:val="32"/>
          <w:szCs w:val="32"/>
        </w:rPr>
      </w:pPr>
      <w:bookmarkStart w:id="37" w:name="_Toc15378460"/>
      <w:bookmarkStart w:id="38" w:name="_Toc15377444"/>
      <w:bookmarkStart w:id="39" w:name="_Toc15377213"/>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73.94</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一般公共服务（类）民主党派及工商联事务（款）行政运行（项）</w:t>
      </w:r>
      <w:r>
        <w:rPr>
          <w:rStyle w:val="14"/>
          <w:rFonts w:ascii="仿宋" w:hAnsi="仿宋" w:eastAsia="仿宋"/>
          <w:bCs/>
          <w:color w:val="000000"/>
          <w:sz w:val="32"/>
          <w:szCs w:val="32"/>
        </w:rPr>
        <w:t>2012801:</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54.66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Style w:val="14"/>
          <w:rFonts w:ascii="仿宋" w:hAnsi="仿宋" w:eastAsia="仿宋"/>
          <w:bCs/>
          <w:color w:val="000000"/>
          <w:sz w:val="32"/>
          <w:szCs w:val="32"/>
        </w:rPr>
        <w:t xml:space="preserve">2. </w:t>
      </w:r>
      <w:r>
        <w:rPr>
          <w:rStyle w:val="14"/>
          <w:rFonts w:hint="eastAsia" w:ascii="仿宋" w:hAnsi="仿宋" w:eastAsia="仿宋"/>
          <w:bCs/>
          <w:color w:val="000000"/>
          <w:sz w:val="32"/>
          <w:szCs w:val="32"/>
        </w:rPr>
        <w:t>一般公共服务（类）民主党派及工商联事务（款）一般行政管理事务（项）</w:t>
      </w:r>
      <w:r>
        <w:rPr>
          <w:rStyle w:val="14"/>
          <w:rFonts w:ascii="仿宋" w:hAnsi="仿宋" w:eastAsia="仿宋"/>
          <w:bCs/>
          <w:color w:val="000000"/>
          <w:sz w:val="32"/>
          <w:szCs w:val="32"/>
        </w:rPr>
        <w:t>2012802:</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3.20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社会保障和就业（类）行政事业单位离退休（款）未归口管理的行政单位离退休（项）</w:t>
      </w:r>
      <w:r>
        <w:rPr>
          <w:rStyle w:val="14"/>
          <w:rFonts w:ascii="仿宋" w:hAnsi="仿宋" w:eastAsia="仿宋"/>
          <w:bCs/>
          <w:color w:val="000000"/>
          <w:sz w:val="32"/>
          <w:szCs w:val="32"/>
        </w:rPr>
        <w:t>2080504:</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1.57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ascii="仿宋" w:hAnsi="仿宋" w:eastAsia="仿宋"/>
          <w:b/>
          <w:color w:val="000000"/>
          <w:sz w:val="32"/>
          <w:szCs w:val="32"/>
        </w:rPr>
        <w:t xml:space="preserve"> </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2080505:</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4.59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Fonts w:ascii="仿宋" w:hAnsi="仿宋" w:eastAsia="仿宋"/>
          <w:b/>
          <w:color w:val="000000"/>
          <w:sz w:val="32"/>
          <w:szCs w:val="32"/>
        </w:rPr>
        <w:t xml:space="preserve"> </w:t>
      </w:r>
    </w:p>
    <w:p>
      <w:pPr>
        <w:spacing w:line="600" w:lineRule="exact"/>
        <w:ind w:firstLine="643" w:firstLineChars="200"/>
        <w:rPr>
          <w:rFonts w:ascii="仿宋" w:hAnsi="仿宋" w:eastAsia="仿宋"/>
          <w:bCs/>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医疗卫生与计划生育（类）行政事业单位医疗（款）行政单位医疗（项）</w:t>
      </w:r>
      <w:r>
        <w:rPr>
          <w:rStyle w:val="14"/>
          <w:rFonts w:ascii="仿宋" w:hAnsi="仿宋" w:eastAsia="仿宋"/>
          <w:bCs/>
          <w:color w:val="000000"/>
          <w:sz w:val="32"/>
          <w:szCs w:val="32"/>
        </w:rPr>
        <w:t>2101101:</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3.73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医疗卫生与计划生育（类）行政事业单位医疗（款）公务员医疗补助（项）</w:t>
      </w:r>
      <w:r>
        <w:rPr>
          <w:rStyle w:val="14"/>
          <w:rFonts w:ascii="仿宋" w:hAnsi="仿宋" w:eastAsia="仿宋"/>
          <w:bCs/>
          <w:color w:val="000000"/>
          <w:sz w:val="32"/>
          <w:szCs w:val="32"/>
        </w:rPr>
        <w:t>2101103:</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0.16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bCs/>
          <w:color w:val="000000"/>
          <w:sz w:val="32"/>
          <w:szCs w:val="32"/>
        </w:rPr>
      </w:pPr>
      <w:r>
        <w:rPr>
          <w:rStyle w:val="14"/>
          <w:rFonts w:ascii="仿宋" w:hAnsi="仿宋" w:eastAsia="仿宋"/>
          <w:bCs/>
          <w:color w:val="000000"/>
          <w:sz w:val="32"/>
          <w:szCs w:val="32"/>
        </w:rPr>
        <w:t>7.</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2210201:</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6.03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70.74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60.93</w:t>
      </w:r>
      <w:r>
        <w:rPr>
          <w:rFonts w:hint="eastAsia" w:ascii="仿宋" w:hAnsi="仿宋" w:eastAsia="仿宋"/>
          <w:color w:val="000000"/>
          <w:sz w:val="32"/>
          <w:szCs w:val="32"/>
        </w:rPr>
        <w:t>万元，主要包括：基本工资、津贴补贴、奖金、机关事业单位基本养老保险费、公务员医疗补助缴费、其他社会保障缴费、住房公积金、医疗费、其他工资福利支出、退休费等。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9.81</w:t>
      </w:r>
      <w:r>
        <w:rPr>
          <w:rFonts w:hint="eastAsia" w:ascii="仿宋" w:hAnsi="仿宋" w:eastAsia="仿宋"/>
          <w:color w:val="000000"/>
          <w:sz w:val="32"/>
          <w:szCs w:val="32"/>
        </w:rPr>
        <w:t>万元，主要包括：办公费、印刷费、水费、邮电费、差旅费、劳务费、工会经费、福利费、其他交通费、其他商品和服务支出等。</w:t>
      </w:r>
    </w:p>
    <w:p>
      <w:pPr>
        <w:spacing w:line="600" w:lineRule="exact"/>
        <w:ind w:firstLine="640"/>
        <w:outlineLvl w:val="1"/>
        <w:rPr>
          <w:rStyle w:val="1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年“三公”经费财政拨款支出决算中，公务接待费。支出决算</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无因公出国（境）经费支出</w:t>
      </w:r>
      <w:r>
        <w:rPr>
          <w:rFonts w:ascii="仿宋_GB2312" w:eastAsia="仿宋_GB2312"/>
          <w:b/>
          <w:color w:val="000000"/>
          <w:sz w:val="32"/>
          <w:szCs w:val="32"/>
        </w:rPr>
        <w:t>0</w:t>
      </w:r>
      <w:r>
        <w:rPr>
          <w:rFonts w:hint="eastAsia" w:ascii="仿宋_GB2312" w:eastAsia="仿宋_GB2312"/>
          <w:b/>
          <w:color w:val="000000"/>
          <w:sz w:val="32"/>
          <w:szCs w:val="32"/>
        </w:rPr>
        <w:t>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p>
    <w:p>
      <w:pPr>
        <w:spacing w:line="600" w:lineRule="exact"/>
        <w:ind w:firstLine="640"/>
        <w:outlineLvl w:val="1"/>
        <w:rPr>
          <w:rStyle w:val="18"/>
          <w:rFonts w:ascii="黑体" w:hAnsi="黑体" w:eastAsia="黑体"/>
        </w:rPr>
      </w:pPr>
      <w:bookmarkStart w:id="46" w:name="_Toc15396610"/>
      <w:bookmarkStart w:id="47" w:name="_Toc15377218"/>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7"/>
        <w:numPr>
          <w:ilvl w:val="0"/>
          <w:numId w:val="3"/>
        </w:numPr>
        <w:spacing w:line="580" w:lineRule="exact"/>
        <w:ind w:firstLineChars="0"/>
        <w:rPr>
          <w:rStyle w:val="18"/>
          <w:rFonts w:ascii="黑体" w:hAnsi="黑体" w:eastAsia="黑体"/>
          <w:b w:val="0"/>
        </w:rPr>
      </w:pPr>
      <w:r>
        <w:rPr>
          <w:rStyle w:val="18"/>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西区工商联在年初预算编制阶段，组织对联系服务西区非公经济企业和会计代理计账两个项目开展了预算事前绩效评估，对两个个项目编制了绩效目标，预算执行过程中，选取两个个项目开展绩效监控，年终执行完毕后，对两个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西区工商联按要求对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圆满完成了绩效目标。西区工商联还自行组织了两个个项目绩效评价，从评价情况来看，一是西区工商联充分发挥了桥梁纽带作用，联系服务西区非公经济企业，完成了绩效任务；二是西区工商联严格按照西区财务规定，聘请华光会计师事务所进行会计代理计账服务，规范了财务制度，圆满完成了财务规范。</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年度部门决算中反映联系服务西区非公经济企业、会计代理计账等两个项目绩效目标实际完成情况。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联系服务西区非公经济企业、会计代理计账两个项目绩效目标完成情况综述。项目全年预算数</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。通过项目实施，保障了西区工商联圆满完成职能目标，更好地服务非公经济，并且规范了财务制度。</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、联系服务西区非公经济企业项目绩效目标完成情况综述。项目全年预算数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。通过项目实施，保障了西区工商联圆满完成职能目标，更好地服务非公经济，完成对企业的培训、调研等相关任务。</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、会计代理计账项目绩效目标完成情况综述。项目全年预算数</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。通过项目实施，更好地规范了财务制度。</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联系服务西区非公经济企业</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攀枝花市西区工商联</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53" w:lineRule="auto"/>
              <w:ind w:firstLine="640" w:firstLineChars="200"/>
              <w:jc w:val="left"/>
              <w:rPr>
                <w:rFonts w:ascii="仿宋_GB2312" w:eastAsia="仿宋_GB2312"/>
                <w:sz w:val="32"/>
                <w:szCs w:val="32"/>
              </w:rPr>
            </w:pPr>
            <w:r>
              <w:rPr>
                <w:rFonts w:hint="eastAsia" w:ascii="仿宋_GB2312" w:eastAsia="仿宋_GB2312"/>
                <w:sz w:val="32"/>
                <w:szCs w:val="32"/>
              </w:rPr>
              <w:t>按西区工商联</w:t>
            </w:r>
            <w:r>
              <w:rPr>
                <w:rFonts w:ascii="仿宋_GB2312" w:eastAsia="仿宋_GB2312"/>
                <w:sz w:val="32"/>
                <w:szCs w:val="32"/>
              </w:rPr>
              <w:t>2018</w:t>
            </w:r>
            <w:r>
              <w:rPr>
                <w:rFonts w:hint="eastAsia" w:ascii="仿宋_GB2312" w:eastAsia="仿宋_GB2312"/>
                <w:sz w:val="32"/>
                <w:szCs w:val="32"/>
              </w:rPr>
              <w:t>年工作计划推进，组织参加各种培训</w:t>
            </w:r>
            <w:r>
              <w:rPr>
                <w:rFonts w:ascii="仿宋_GB2312" w:eastAsia="仿宋_GB2312"/>
                <w:sz w:val="32"/>
                <w:szCs w:val="32"/>
              </w:rPr>
              <w:t>10</w:t>
            </w:r>
            <w:r>
              <w:rPr>
                <w:rFonts w:hint="eastAsia" w:ascii="仿宋_GB2312" w:eastAsia="仿宋_GB2312"/>
                <w:sz w:val="32"/>
                <w:szCs w:val="32"/>
              </w:rPr>
              <w:t>次，会议费</w:t>
            </w:r>
            <w:r>
              <w:rPr>
                <w:rFonts w:ascii="仿宋_GB2312" w:eastAsia="仿宋_GB2312"/>
                <w:sz w:val="32"/>
                <w:szCs w:val="32"/>
              </w:rPr>
              <w:t>5000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次，共</w:t>
            </w:r>
            <w:r>
              <w:rPr>
                <w:rFonts w:ascii="仿宋_GB2312" w:eastAsia="仿宋_GB2312"/>
                <w:sz w:val="32"/>
                <w:szCs w:val="32"/>
              </w:rPr>
              <w:t>3</w:t>
            </w:r>
            <w:r>
              <w:rPr>
                <w:rFonts w:hint="eastAsia" w:ascii="仿宋_GB2312" w:eastAsia="仿宋_GB2312"/>
                <w:sz w:val="32"/>
                <w:szCs w:val="32"/>
              </w:rPr>
              <w:t>次，共计</w:t>
            </w:r>
            <w:r>
              <w:rPr>
                <w:rFonts w:ascii="仿宋_GB2312" w:eastAsia="仿宋_GB2312"/>
                <w:sz w:val="32"/>
                <w:szCs w:val="32"/>
              </w:rPr>
              <w:t>2</w:t>
            </w:r>
            <w:r>
              <w:rPr>
                <w:rFonts w:hint="eastAsia" w:ascii="仿宋_GB2312" w:eastAsia="仿宋_GB2312"/>
                <w:sz w:val="32"/>
                <w:szCs w:val="32"/>
              </w:rPr>
              <w:t>万。更好地提高非公经济人士思想素质和参政议政能力。</w:t>
            </w: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召开执委会</w:t>
            </w:r>
            <w:r>
              <w:rPr>
                <w:rFonts w:ascii="宋体" w:cs="宋体"/>
                <w:color w:val="000000"/>
                <w:sz w:val="24"/>
              </w:rPr>
              <w:t>2</w:t>
            </w:r>
            <w:r>
              <w:rPr>
                <w:rFonts w:hint="eastAsia" w:ascii="宋体" w:cs="宋体"/>
                <w:color w:val="000000"/>
                <w:sz w:val="24"/>
              </w:rPr>
              <w:t>次，主席会</w:t>
            </w:r>
            <w:r>
              <w:rPr>
                <w:rFonts w:ascii="宋体" w:cs="宋体"/>
                <w:color w:val="000000"/>
                <w:sz w:val="24"/>
              </w:rPr>
              <w:t>1</w:t>
            </w:r>
            <w:r>
              <w:rPr>
                <w:rFonts w:hint="eastAsia" w:ascii="宋体" w:cs="宋体"/>
                <w:color w:val="000000"/>
                <w:sz w:val="24"/>
              </w:rPr>
              <w:t>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召开执委会</w:t>
            </w:r>
            <w:r>
              <w:rPr>
                <w:rFonts w:ascii="宋体" w:cs="宋体"/>
                <w:color w:val="000000"/>
                <w:sz w:val="24"/>
              </w:rPr>
              <w:t>2</w:t>
            </w:r>
            <w:r>
              <w:rPr>
                <w:rFonts w:hint="eastAsia" w:ascii="宋体" w:cs="宋体"/>
                <w:color w:val="000000"/>
                <w:sz w:val="24"/>
              </w:rPr>
              <w:t>次，主席会</w:t>
            </w:r>
            <w:r>
              <w:rPr>
                <w:rFonts w:ascii="宋体" w:cs="宋体"/>
                <w:color w:val="000000"/>
                <w:sz w:val="24"/>
              </w:rPr>
              <w:t>1</w:t>
            </w:r>
            <w:r>
              <w:rPr>
                <w:rFonts w:hint="eastAsia" w:ascii="宋体"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已召开执委会</w:t>
            </w:r>
            <w:r>
              <w:rPr>
                <w:rFonts w:ascii="宋体" w:cs="宋体"/>
                <w:color w:val="000000"/>
                <w:sz w:val="24"/>
              </w:rPr>
              <w:t>2</w:t>
            </w:r>
            <w:r>
              <w:rPr>
                <w:rFonts w:hint="eastAsia" w:ascii="宋体" w:cs="宋体"/>
                <w:color w:val="000000"/>
                <w:sz w:val="24"/>
              </w:rPr>
              <w:t>次，主席会</w:t>
            </w:r>
            <w:r>
              <w:rPr>
                <w:rFonts w:ascii="宋体" w:cs="宋体"/>
                <w:color w:val="000000"/>
                <w:sz w:val="24"/>
              </w:rPr>
              <w:t>1</w:t>
            </w:r>
            <w:r>
              <w:rPr>
                <w:rFonts w:hint="eastAsia" w:ascii="宋体" w:cs="宋体"/>
                <w:color w:val="000000"/>
                <w:sz w:val="24"/>
              </w:rPr>
              <w:t>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提高非公经济人士思想素质和参政议政能力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提高非公经济人士思想素质和参政议政能力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提高非公经济人士思想素质和参政议政能力</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会议费</w:t>
            </w:r>
            <w:r>
              <w:rPr>
                <w:rFonts w:ascii="宋体" w:cs="宋体"/>
                <w:color w:val="000000"/>
                <w:sz w:val="24"/>
              </w:rPr>
              <w:t>5000</w:t>
            </w:r>
            <w:r>
              <w:rPr>
                <w:rFonts w:hint="eastAsia" w:ascii="宋体" w:cs="宋体"/>
                <w:color w:val="000000"/>
                <w:sz w:val="24"/>
              </w:rPr>
              <w:t>元</w:t>
            </w:r>
            <w:r>
              <w:rPr>
                <w:rFonts w:ascii="宋体" w:cs="宋体"/>
                <w:color w:val="000000"/>
                <w:sz w:val="24"/>
              </w:rPr>
              <w:t>/</w:t>
            </w:r>
            <w:r>
              <w:rPr>
                <w:rFonts w:hint="eastAsia" w:ascii="宋体" w:cs="宋体"/>
                <w:color w:val="000000"/>
                <w:sz w:val="24"/>
              </w:rPr>
              <w:t>次，共</w:t>
            </w:r>
            <w:r>
              <w:rPr>
                <w:rFonts w:ascii="宋体" w:cs="宋体"/>
                <w:color w:val="000000"/>
                <w:sz w:val="24"/>
              </w:rPr>
              <w:t>3</w:t>
            </w:r>
            <w:r>
              <w:rPr>
                <w:rFonts w:hint="eastAsia" w:ascii="宋体" w:cs="宋体"/>
                <w:color w:val="000000"/>
                <w:sz w:val="24"/>
              </w:rPr>
              <w:t>次，</w:t>
            </w:r>
            <w:r>
              <w:rPr>
                <w:rFonts w:ascii="宋体" w:cs="宋体"/>
                <w:color w:val="000000"/>
                <w:sz w:val="24"/>
              </w:rPr>
              <w:t>1.5</w:t>
            </w:r>
            <w:r>
              <w:rPr>
                <w:rFonts w:hint="eastAsia" w:ascii="宋体" w:cs="宋体"/>
                <w:color w:val="000000"/>
                <w:sz w:val="24"/>
              </w:rPr>
              <w:t>万；培训</w:t>
            </w:r>
            <w:r>
              <w:rPr>
                <w:rFonts w:ascii="宋体" w:cs="宋体"/>
                <w:color w:val="000000"/>
                <w:sz w:val="24"/>
              </w:rPr>
              <w:t>5</w:t>
            </w:r>
            <w:r>
              <w:rPr>
                <w:rFonts w:hint="eastAsia" w:ascii="宋体" w:cs="宋体"/>
                <w:color w:val="000000"/>
                <w:sz w:val="24"/>
              </w:rPr>
              <w:t>次，</w:t>
            </w:r>
            <w:r>
              <w:rPr>
                <w:rFonts w:ascii="宋体" w:cs="宋体"/>
                <w:color w:val="000000"/>
                <w:sz w:val="24"/>
              </w:rPr>
              <w:t>0.5</w:t>
            </w:r>
            <w:r>
              <w:rPr>
                <w:rFonts w:hint="eastAsia" w:ascii="宋体" w:cs="宋体"/>
                <w:color w:val="000000"/>
                <w:sz w:val="24"/>
              </w:rPr>
              <w:t>万元。共计</w:t>
            </w:r>
            <w:r>
              <w:rPr>
                <w:rFonts w:ascii="宋体" w:cs="宋体"/>
                <w:color w:val="000000"/>
                <w:sz w:val="24"/>
              </w:rPr>
              <w:t>2</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会议费</w:t>
            </w:r>
            <w:r>
              <w:rPr>
                <w:rFonts w:ascii="宋体" w:cs="宋体"/>
                <w:color w:val="000000"/>
                <w:sz w:val="24"/>
              </w:rPr>
              <w:t>5000</w:t>
            </w:r>
            <w:r>
              <w:rPr>
                <w:rFonts w:hint="eastAsia" w:ascii="宋体" w:cs="宋体"/>
                <w:color w:val="000000"/>
                <w:sz w:val="24"/>
              </w:rPr>
              <w:t>元</w:t>
            </w:r>
            <w:r>
              <w:rPr>
                <w:rFonts w:ascii="宋体" w:cs="宋体"/>
                <w:color w:val="000000"/>
                <w:sz w:val="24"/>
              </w:rPr>
              <w:t>/</w:t>
            </w:r>
            <w:r>
              <w:rPr>
                <w:rFonts w:hint="eastAsia" w:ascii="宋体" w:cs="宋体"/>
                <w:color w:val="000000"/>
                <w:sz w:val="24"/>
              </w:rPr>
              <w:t>次，共</w:t>
            </w:r>
            <w:r>
              <w:rPr>
                <w:rFonts w:ascii="宋体" w:cs="宋体"/>
                <w:color w:val="000000"/>
                <w:sz w:val="24"/>
              </w:rPr>
              <w:t>3</w:t>
            </w:r>
            <w:r>
              <w:rPr>
                <w:rFonts w:hint="eastAsia" w:ascii="宋体" w:cs="宋体"/>
                <w:color w:val="000000"/>
                <w:sz w:val="24"/>
              </w:rPr>
              <w:t>次，</w:t>
            </w:r>
            <w:r>
              <w:rPr>
                <w:rFonts w:ascii="宋体" w:cs="宋体"/>
                <w:color w:val="000000"/>
                <w:sz w:val="24"/>
              </w:rPr>
              <w:t>1.5</w:t>
            </w:r>
            <w:r>
              <w:rPr>
                <w:rFonts w:hint="eastAsia" w:ascii="宋体" w:cs="宋体"/>
                <w:color w:val="000000"/>
                <w:sz w:val="24"/>
              </w:rPr>
              <w:t>万；培训</w:t>
            </w:r>
            <w:r>
              <w:rPr>
                <w:rFonts w:ascii="宋体" w:cs="宋体"/>
                <w:color w:val="000000"/>
                <w:sz w:val="24"/>
              </w:rPr>
              <w:t>5</w:t>
            </w:r>
            <w:r>
              <w:rPr>
                <w:rFonts w:hint="eastAsia" w:ascii="宋体" w:cs="宋体"/>
                <w:color w:val="000000"/>
                <w:sz w:val="24"/>
              </w:rPr>
              <w:t>次，</w:t>
            </w:r>
            <w:r>
              <w:rPr>
                <w:rFonts w:ascii="宋体" w:cs="宋体"/>
                <w:color w:val="000000"/>
                <w:sz w:val="24"/>
              </w:rPr>
              <w:t>0.5</w:t>
            </w:r>
            <w:r>
              <w:rPr>
                <w:rFonts w:hint="eastAsia" w:ascii="宋体" w:cs="宋体"/>
                <w:color w:val="000000"/>
                <w:sz w:val="24"/>
              </w:rPr>
              <w:t>万元。共计</w:t>
            </w:r>
            <w:r>
              <w:rPr>
                <w:rFonts w:ascii="宋体" w:cs="宋体"/>
                <w:color w:val="000000"/>
                <w:sz w:val="24"/>
              </w:rPr>
              <w:t>2</w:t>
            </w:r>
            <w:r>
              <w:rPr>
                <w:rFonts w:hint="eastAsia" w:asci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已召开会议费</w:t>
            </w:r>
            <w:r>
              <w:rPr>
                <w:rFonts w:ascii="宋体" w:cs="宋体"/>
                <w:color w:val="000000"/>
                <w:sz w:val="24"/>
              </w:rPr>
              <w:t>5000</w:t>
            </w:r>
            <w:r>
              <w:rPr>
                <w:rFonts w:hint="eastAsia" w:ascii="宋体" w:cs="宋体"/>
                <w:color w:val="000000"/>
                <w:sz w:val="24"/>
              </w:rPr>
              <w:t>元</w:t>
            </w:r>
            <w:r>
              <w:rPr>
                <w:rFonts w:ascii="宋体" w:cs="宋体"/>
                <w:color w:val="000000"/>
                <w:sz w:val="24"/>
              </w:rPr>
              <w:t>/</w:t>
            </w:r>
            <w:r>
              <w:rPr>
                <w:rFonts w:hint="eastAsia" w:ascii="宋体" w:cs="宋体"/>
                <w:color w:val="000000"/>
                <w:sz w:val="24"/>
              </w:rPr>
              <w:t>次，共</w:t>
            </w:r>
            <w:r>
              <w:rPr>
                <w:rFonts w:ascii="宋体" w:cs="宋体"/>
                <w:color w:val="000000"/>
                <w:sz w:val="24"/>
              </w:rPr>
              <w:t>3</w:t>
            </w:r>
            <w:r>
              <w:rPr>
                <w:rFonts w:hint="eastAsia" w:ascii="宋体" w:cs="宋体"/>
                <w:color w:val="000000"/>
                <w:sz w:val="24"/>
              </w:rPr>
              <w:t>次，培训</w:t>
            </w:r>
            <w:r>
              <w:rPr>
                <w:rFonts w:ascii="宋体" w:cs="宋体"/>
                <w:color w:val="000000"/>
                <w:sz w:val="24"/>
              </w:rPr>
              <w:t>5</w:t>
            </w:r>
            <w:r>
              <w:rPr>
                <w:rFonts w:hint="eastAsia" w:ascii="宋体" w:cs="宋体"/>
                <w:color w:val="000000"/>
                <w:sz w:val="24"/>
              </w:rPr>
              <w:t>次</w:t>
            </w:r>
            <w:r>
              <w:rPr>
                <w:rFonts w:asci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促进非公经济两个健康发展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促进非公经济两个健康发展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促进非公经济两个健康发展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非公经济经济人士满意度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非公经济经济人士满意度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非公经济经济人士反响很好</w:t>
            </w:r>
          </w:p>
        </w:tc>
      </w:tr>
    </w:tbl>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会计代理计账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攀枝花市西区工商联</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hint="eastAsia" w:asci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hint="eastAsia" w:asci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hint="eastAsia" w:asci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53" w:lineRule="auto"/>
              <w:ind w:firstLine="640" w:firstLineChars="200"/>
              <w:jc w:val="lef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年华光会计代理计账</w:t>
            </w:r>
            <w:r>
              <w:rPr>
                <w:rFonts w:ascii="仿宋_GB2312" w:eastAsia="仿宋_GB2312"/>
                <w:sz w:val="32"/>
                <w:szCs w:val="32"/>
              </w:rPr>
              <w:t>500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月，</w:t>
            </w:r>
            <w:r>
              <w:rPr>
                <w:rFonts w:ascii="仿宋_GB2312" w:eastAsia="仿宋_GB2312"/>
                <w:sz w:val="32"/>
                <w:szCs w:val="32"/>
              </w:rPr>
              <w:t>24</w:t>
            </w:r>
            <w:r>
              <w:rPr>
                <w:rFonts w:hint="eastAsia" w:ascii="仿宋_GB2312" w:eastAsia="仿宋_GB2312"/>
                <w:sz w:val="32"/>
                <w:szCs w:val="32"/>
              </w:rPr>
              <w:t>个月，共计</w:t>
            </w:r>
            <w:r>
              <w:rPr>
                <w:rFonts w:ascii="仿宋_GB2312" w:eastAsia="仿宋_GB2312"/>
                <w:sz w:val="32"/>
                <w:szCs w:val="32"/>
              </w:rPr>
              <w:t>1.2</w:t>
            </w:r>
            <w:r>
              <w:rPr>
                <w:rFonts w:hint="eastAsia" w:ascii="仿宋_GB2312" w:eastAsia="仿宋_GB2312"/>
                <w:sz w:val="32"/>
                <w:szCs w:val="32"/>
              </w:rPr>
              <w:t>万元。更好的规范了财务工作。</w:t>
            </w: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华光会计代理计账服务</w:t>
            </w:r>
            <w:r>
              <w:rPr>
                <w:color w:val="000000"/>
              </w:rPr>
              <w:t>1</w:t>
            </w:r>
            <w:r>
              <w:rPr>
                <w:rFonts w:hint="eastAsia"/>
                <w:color w:val="000000"/>
              </w:rPr>
              <w:t>年</w:t>
            </w:r>
            <w:r>
              <w:rPr>
                <w:color w:val="000000"/>
              </w:rPr>
              <w:t>12</w:t>
            </w:r>
            <w:r>
              <w:rPr>
                <w:rFonts w:hint="eastAsia"/>
                <w:color w:val="000000"/>
              </w:rPr>
              <w:t>次</w:t>
            </w:r>
          </w:p>
          <w:p>
            <w:pPr>
              <w:widowControl/>
              <w:jc w:val="center"/>
              <w:textAlignment w:val="center"/>
              <w:rPr>
                <w:color w:val="00000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华光会计代理计账服务</w:t>
            </w:r>
            <w:r>
              <w:rPr>
                <w:color w:val="000000"/>
              </w:rPr>
              <w:t>1</w:t>
            </w:r>
            <w:r>
              <w:rPr>
                <w:rFonts w:hint="eastAsia"/>
                <w:color w:val="000000"/>
              </w:rPr>
              <w:t>年</w:t>
            </w:r>
            <w:r>
              <w:rPr>
                <w:color w:val="000000"/>
              </w:rPr>
              <w:t>12</w:t>
            </w:r>
            <w:r>
              <w:rPr>
                <w:rFonts w:hint="eastAsia"/>
                <w:color w:val="000000"/>
              </w:rPr>
              <w:t>次</w:t>
            </w:r>
          </w:p>
          <w:p>
            <w:pPr>
              <w:widowControl/>
              <w:jc w:val="center"/>
              <w:textAlignment w:val="center"/>
              <w:rPr>
                <w:color w:val="000000"/>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华光会计代理计账服务</w:t>
            </w:r>
            <w:r>
              <w:rPr>
                <w:color w:val="000000"/>
              </w:rPr>
              <w:t>1</w:t>
            </w:r>
            <w:r>
              <w:rPr>
                <w:rFonts w:hint="eastAsia"/>
                <w:color w:val="000000"/>
              </w:rPr>
              <w:t>年</w:t>
            </w:r>
            <w:r>
              <w:rPr>
                <w:color w:val="000000"/>
              </w:rPr>
              <w:t>12</w:t>
            </w:r>
            <w:r>
              <w:rPr>
                <w:rFonts w:hint="eastAsia"/>
                <w:color w:val="000000"/>
              </w:rPr>
              <w:t>次</w:t>
            </w:r>
          </w:p>
          <w:p>
            <w:pPr>
              <w:widowControl/>
              <w:jc w:val="center"/>
              <w:textAlignment w:val="center"/>
              <w:rPr>
                <w:color w:val="000000"/>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规范财务工作</w:t>
            </w:r>
          </w:p>
          <w:p>
            <w:pPr>
              <w:widowControl/>
              <w:jc w:val="center"/>
              <w:textAlignment w:val="center"/>
              <w:rPr>
                <w:color w:val="00000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规范财务工作</w:t>
            </w:r>
          </w:p>
          <w:p>
            <w:pPr>
              <w:widowControl/>
              <w:jc w:val="center"/>
              <w:textAlignment w:val="center"/>
              <w:rPr>
                <w:color w:val="000000"/>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规范财务工作</w:t>
            </w:r>
          </w:p>
          <w:p>
            <w:pPr>
              <w:widowControl/>
              <w:jc w:val="center"/>
              <w:textAlignment w:val="center"/>
              <w:rPr>
                <w:color w:val="000000"/>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二年（补</w:t>
            </w:r>
            <w:r>
              <w:rPr>
                <w:color w:val="000000"/>
              </w:rPr>
              <w:t>2017</w:t>
            </w:r>
            <w:r>
              <w:rPr>
                <w:rFonts w:hint="eastAsia"/>
                <w:color w:val="000000"/>
              </w:rPr>
              <w:t>年预算）</w:t>
            </w:r>
          </w:p>
          <w:p>
            <w:pPr>
              <w:widowControl/>
              <w:jc w:val="center"/>
              <w:textAlignment w:val="center"/>
              <w:rPr>
                <w:color w:val="00000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二年（补</w:t>
            </w:r>
            <w:r>
              <w:rPr>
                <w:color w:val="000000"/>
              </w:rPr>
              <w:t>2017</w:t>
            </w:r>
            <w:r>
              <w:rPr>
                <w:rFonts w:hint="eastAsia"/>
                <w:color w:val="000000"/>
              </w:rPr>
              <w:t>年预算）</w:t>
            </w:r>
          </w:p>
          <w:p>
            <w:pPr>
              <w:widowControl/>
              <w:jc w:val="center"/>
              <w:textAlignment w:val="center"/>
              <w:rPr>
                <w:color w:val="000000"/>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二年（补</w:t>
            </w:r>
            <w:r>
              <w:rPr>
                <w:color w:val="000000"/>
              </w:rPr>
              <w:t>2017</w:t>
            </w:r>
            <w:r>
              <w:rPr>
                <w:rFonts w:hint="eastAsia"/>
                <w:color w:val="000000"/>
              </w:rPr>
              <w:t>年预算）</w:t>
            </w:r>
          </w:p>
          <w:p>
            <w:pPr>
              <w:widowControl/>
              <w:jc w:val="center"/>
              <w:textAlignment w:val="center"/>
              <w:rPr>
                <w:color w:val="000000"/>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华光会计代理计账</w:t>
            </w:r>
            <w:r>
              <w:rPr>
                <w:color w:val="000000"/>
              </w:rPr>
              <w:t>1</w:t>
            </w:r>
            <w:r>
              <w:rPr>
                <w:rFonts w:hint="eastAsia"/>
                <w:color w:val="000000"/>
              </w:rPr>
              <w:t>年</w:t>
            </w:r>
            <w:r>
              <w:rPr>
                <w:color w:val="000000"/>
              </w:rPr>
              <w:t>6000</w:t>
            </w:r>
            <w:r>
              <w:rPr>
                <w:rFonts w:hint="eastAsia"/>
                <w:color w:val="000000"/>
              </w:rPr>
              <w:t>元，二年</w:t>
            </w:r>
            <w:r>
              <w:rPr>
                <w:color w:val="000000"/>
              </w:rPr>
              <w:t>1.2</w:t>
            </w:r>
            <w:r>
              <w:rPr>
                <w:rFonts w:hint="eastAsia"/>
                <w:color w:val="000000"/>
              </w:rPr>
              <w:t>万元。</w:t>
            </w:r>
          </w:p>
          <w:p>
            <w:pPr>
              <w:widowControl/>
              <w:jc w:val="center"/>
              <w:textAlignment w:val="center"/>
              <w:rPr>
                <w:color w:val="000000"/>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华光会计代理计账</w:t>
            </w:r>
            <w:r>
              <w:rPr>
                <w:color w:val="000000"/>
              </w:rPr>
              <w:t>1</w:t>
            </w:r>
            <w:r>
              <w:rPr>
                <w:rFonts w:hint="eastAsia"/>
                <w:color w:val="000000"/>
              </w:rPr>
              <w:t>年</w:t>
            </w:r>
            <w:r>
              <w:rPr>
                <w:color w:val="000000"/>
              </w:rPr>
              <w:t>6000</w:t>
            </w:r>
            <w:r>
              <w:rPr>
                <w:rFonts w:hint="eastAsia"/>
                <w:color w:val="000000"/>
              </w:rPr>
              <w:t>元，二年</w:t>
            </w:r>
            <w:r>
              <w:rPr>
                <w:color w:val="000000"/>
              </w:rPr>
              <w:t>1.2</w:t>
            </w:r>
            <w:r>
              <w:rPr>
                <w:rFonts w:hint="eastAsia"/>
                <w:color w:val="000000"/>
              </w:rPr>
              <w:t>万元。</w:t>
            </w:r>
          </w:p>
          <w:p>
            <w:pPr>
              <w:widowControl/>
              <w:jc w:val="center"/>
              <w:textAlignment w:val="center"/>
              <w:rPr>
                <w:color w:val="000000"/>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华光会计代理计账</w:t>
            </w:r>
            <w:r>
              <w:rPr>
                <w:color w:val="000000"/>
              </w:rPr>
              <w:t>1</w:t>
            </w:r>
            <w:r>
              <w:rPr>
                <w:rFonts w:hint="eastAsia"/>
                <w:color w:val="000000"/>
              </w:rPr>
              <w:t>年</w:t>
            </w:r>
            <w:r>
              <w:rPr>
                <w:color w:val="000000"/>
              </w:rPr>
              <w:t>6000</w:t>
            </w:r>
            <w:r>
              <w:rPr>
                <w:rFonts w:hint="eastAsia"/>
                <w:color w:val="000000"/>
              </w:rPr>
              <w:t>元，二年</w:t>
            </w:r>
            <w:r>
              <w:rPr>
                <w:color w:val="000000"/>
              </w:rPr>
              <w:t>1.2</w:t>
            </w:r>
            <w:r>
              <w:rPr>
                <w:rFonts w:hint="eastAsia"/>
                <w:color w:val="000000"/>
              </w:rPr>
              <w:t>万元。</w:t>
            </w:r>
          </w:p>
          <w:p>
            <w:pPr>
              <w:widowControl/>
              <w:jc w:val="center"/>
              <w:textAlignment w:val="center"/>
              <w:rPr>
                <w:color w:val="000000"/>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会计制度规范化</w:t>
            </w:r>
          </w:p>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会计制度规范化</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会计制度规范化</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财务制度规范化</w:t>
            </w:r>
          </w:p>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财务制度规范化</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财务制度规范化</w:t>
            </w:r>
          </w:p>
          <w:p>
            <w:pPr>
              <w:widowControl/>
              <w:jc w:val="center"/>
              <w:textAlignment w:val="center"/>
              <w:rPr>
                <w:rFonts w:ascii="宋体" w:cs="宋体"/>
                <w:color w:val="000000"/>
                <w:sz w:val="24"/>
              </w:rPr>
            </w:pP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年部门整体支出绩效评价情况开展自评，《攀枝花市西区工商业联合会</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本部门自行组织对联系服务西区非公经济企业项目、会计代理计账项目开展了绩效评价，《联系服务西区非公经济企业项目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年绩效评价报告》、《会计代理计账项目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ind w:firstLine="960" w:firstLineChars="300"/>
        <w:rPr>
          <w:rFonts w:ascii="仿宋_GB2312" w:hAnsi="仿宋" w:eastAsia="仿宋_GB2312" w:cs="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w:t>
      </w:r>
      <w:r>
        <w:rPr>
          <w:rFonts w:hint="eastAsia" w:ascii="仿宋_GB2312" w:hAnsi="仿宋" w:eastAsia="仿宋_GB2312" w:cs="仿宋_GB2312"/>
          <w:color w:val="000000"/>
          <w:sz w:val="32"/>
          <w:szCs w:val="32"/>
        </w:rPr>
        <w:t>攀枝花市西区工商业联合会部门运行经费支出</w:t>
      </w:r>
      <w:r>
        <w:rPr>
          <w:rFonts w:ascii="仿宋_GB2312" w:hAnsi="仿宋" w:eastAsia="仿宋_GB2312" w:cs="仿宋_GB2312"/>
          <w:color w:val="000000"/>
          <w:sz w:val="32"/>
          <w:szCs w:val="32"/>
        </w:rPr>
        <w:t>9.81</w:t>
      </w:r>
      <w:r>
        <w:rPr>
          <w:rFonts w:hint="eastAsia" w:ascii="仿宋_GB2312" w:hAnsi="仿宋" w:eastAsia="仿宋_GB2312" w:cs="仿宋_GB2312"/>
          <w:color w:val="000000"/>
          <w:sz w:val="32"/>
          <w:szCs w:val="32"/>
        </w:rPr>
        <w:t>万元，比上年</w:t>
      </w:r>
      <w:r>
        <w:rPr>
          <w:rFonts w:ascii="仿宋_GB2312" w:hAnsi="仿宋" w:eastAsia="仿宋_GB2312" w:cs="仿宋_GB2312"/>
          <w:color w:val="000000"/>
          <w:sz w:val="32"/>
          <w:szCs w:val="32"/>
        </w:rPr>
        <w:t>6.05</w:t>
      </w:r>
      <w:r>
        <w:rPr>
          <w:rFonts w:hint="eastAsia" w:ascii="仿宋_GB2312" w:hAnsi="仿宋" w:eastAsia="仿宋_GB2312" w:cs="仿宋_GB2312"/>
          <w:color w:val="000000"/>
          <w:sz w:val="32"/>
          <w:szCs w:val="32"/>
        </w:rPr>
        <w:t>万元增加</w:t>
      </w:r>
      <w:r>
        <w:rPr>
          <w:rFonts w:ascii="仿宋_GB2312" w:hAnsi="仿宋" w:eastAsia="仿宋_GB2312" w:cs="仿宋_GB2312"/>
          <w:color w:val="000000"/>
          <w:sz w:val="32"/>
          <w:szCs w:val="32"/>
        </w:rPr>
        <w:t>3.76</w:t>
      </w:r>
      <w:r>
        <w:rPr>
          <w:rFonts w:hint="eastAsia" w:ascii="仿宋_GB2312" w:hAnsi="仿宋" w:eastAsia="仿宋_GB2312" w:cs="仿宋_GB2312"/>
          <w:color w:val="000000"/>
          <w:sz w:val="32"/>
          <w:szCs w:val="32"/>
        </w:rPr>
        <w:t>万元，主要为办公经费支出增加。</w:t>
      </w:r>
      <w:bookmarkStart w:id="53" w:name="_Toc15377223"/>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ind w:firstLine="960" w:firstLineChars="3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年，攀枝花市西区工商业联合会部门政府采购支出总额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jc w:val="center"/>
        <w:rPr>
          <w:rFonts w:ascii="华文中宋" w:hAnsi="华文中宋" w:eastAsia="华文中宋"/>
          <w:color w:val="000000"/>
          <w:sz w:val="36"/>
          <w:szCs w:val="36"/>
        </w:rPr>
      </w:pPr>
      <w:r>
        <w:rPr>
          <w:rFonts w:ascii="仿宋_GB2312" w:eastAsia="仿宋_GB2312"/>
          <w:color w:val="000000"/>
          <w:sz w:val="32"/>
          <w:szCs w:val="32"/>
        </w:rPr>
        <w:t xml:space="preserve">    </w:t>
      </w: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rPr>
        <w:t>攀枝花市西区工商业联合会</w:t>
      </w:r>
    </w:p>
    <w:p>
      <w:pPr>
        <w:autoSpaceDE w:val="0"/>
        <w:autoSpaceDN w:val="0"/>
        <w:adjustRightInd w:val="0"/>
        <w:spacing w:line="600" w:lineRule="exact"/>
        <w:jc w:val="left"/>
        <w:rPr>
          <w:rFonts w:ascii="仿宋_GB2312" w:eastAsia="仿宋_GB2312"/>
          <w:b/>
          <w:color w:val="000000"/>
          <w:sz w:val="32"/>
          <w:szCs w:val="32"/>
        </w:rPr>
      </w:pPr>
      <w:r>
        <w:rPr>
          <w:rFonts w:hint="eastAsia" w:ascii="仿宋_GB2312" w:eastAsia="仿宋_GB2312"/>
          <w:color w:val="000000"/>
          <w:sz w:val="32"/>
        </w:rPr>
        <w:t>部门共有车辆</w:t>
      </w:r>
      <w:r>
        <w:rPr>
          <w:rFonts w:ascii="仿宋_GB2312" w:eastAsia="仿宋_GB2312"/>
          <w:color w:val="000000"/>
          <w:sz w:val="32"/>
        </w:rPr>
        <w:t>0</w:t>
      </w:r>
      <w:r>
        <w:rPr>
          <w:rFonts w:hint="eastAsia" w:ascii="仿宋_GB2312" w:eastAsia="仿宋_GB2312"/>
          <w:color w:val="000000"/>
          <w:sz w:val="32"/>
        </w:rPr>
        <w:t>辆，其中：一般公务用车</w:t>
      </w:r>
      <w:r>
        <w:rPr>
          <w:rFonts w:ascii="仿宋_GB2312" w:eastAsia="仿宋_GB2312"/>
          <w:color w:val="000000"/>
          <w:sz w:val="32"/>
        </w:rPr>
        <w:t>0</w:t>
      </w:r>
      <w:r>
        <w:rPr>
          <w:rFonts w:hint="eastAsia" w:ascii="仿宋_GB2312" w:eastAsia="仿宋_GB2312"/>
          <w:color w:val="000000"/>
          <w:sz w:val="32"/>
        </w:rPr>
        <w:t>辆、特种专业技术用车</w:t>
      </w:r>
      <w:r>
        <w:rPr>
          <w:rFonts w:ascii="仿宋_GB2312" w:eastAsia="仿宋_GB2312"/>
          <w:color w:val="000000"/>
          <w:sz w:val="32"/>
        </w:rPr>
        <w:t>0</w:t>
      </w:r>
      <w:r>
        <w:rPr>
          <w:rFonts w:hint="eastAsia" w:ascii="仿宋_GB2312" w:eastAsia="仿宋_GB2312"/>
          <w:color w:val="000000"/>
          <w:sz w:val="32"/>
        </w:rPr>
        <w:t>辆；单价</w:t>
      </w:r>
      <w:r>
        <w:rPr>
          <w:rFonts w:ascii="仿宋_GB2312" w:eastAsia="仿宋_GB2312"/>
          <w:color w:val="000000"/>
          <w:sz w:val="32"/>
        </w:rPr>
        <w:t>50</w:t>
      </w:r>
      <w:r>
        <w:rPr>
          <w:rFonts w:hint="eastAsia" w:ascii="仿宋_GB2312" w:eastAsia="仿宋_GB2312"/>
          <w:color w:val="000000"/>
          <w:sz w:val="32"/>
        </w:rPr>
        <w:t>万元以上通用设备</w:t>
      </w:r>
      <w:r>
        <w:rPr>
          <w:rFonts w:ascii="仿宋_GB2312" w:eastAsia="仿宋_GB2312"/>
          <w:color w:val="000000"/>
          <w:sz w:val="32"/>
        </w:rPr>
        <w:t>0</w:t>
      </w:r>
      <w:r>
        <w:rPr>
          <w:rFonts w:hint="eastAsia" w:ascii="仿宋_GB2312" w:eastAsia="仿宋_GB2312"/>
          <w:color w:val="000000"/>
          <w:sz w:val="32"/>
        </w:rPr>
        <w:t>台（套），单价</w:t>
      </w:r>
      <w:r>
        <w:rPr>
          <w:rFonts w:ascii="仿宋_GB2312" w:eastAsia="仿宋_GB2312"/>
          <w:color w:val="000000"/>
          <w:sz w:val="32"/>
        </w:rPr>
        <w:t>100</w:t>
      </w:r>
      <w:r>
        <w:rPr>
          <w:rFonts w:hint="eastAsia" w:ascii="仿宋_GB2312" w:eastAsia="仿宋_GB2312"/>
          <w:color w:val="000000"/>
          <w:sz w:val="32"/>
        </w:rPr>
        <w:t>万元以上专用设备</w:t>
      </w:r>
      <w:r>
        <w:rPr>
          <w:rFonts w:ascii="仿宋_GB2312" w:eastAsia="仿宋_GB2312"/>
          <w:color w:val="000000"/>
          <w:sz w:val="32"/>
        </w:rPr>
        <w:t>0</w:t>
      </w:r>
      <w:r>
        <w:rPr>
          <w:rFonts w:hint="eastAsia" w:ascii="仿宋_GB2312" w:eastAsia="仿宋_GB2312"/>
          <w:color w:val="000000"/>
          <w:sz w:val="32"/>
        </w:rPr>
        <w:t>台（套）。</w:t>
      </w:r>
    </w:p>
    <w:p>
      <w:pPr>
        <w:widowControl/>
        <w:jc w:val="center"/>
        <w:rPr>
          <w:rStyle w:val="17"/>
          <w:rFonts w:ascii="黑体" w:hAnsi="黑体" w:eastAsia="黑体"/>
          <w:b w:val="0"/>
        </w:rPr>
      </w:pPr>
      <w:r>
        <w:rPr>
          <w:rFonts w:ascii="仿宋_GB2312" w:eastAsia="仿宋_GB2312"/>
          <w:b/>
          <w:color w:val="000000"/>
          <w:sz w:val="32"/>
          <w:szCs w:val="32"/>
        </w:rPr>
        <w:br w:type="page"/>
      </w:r>
      <w:bookmarkStart w:id="55" w:name="_Toc15396613"/>
      <w:bookmarkStart w:id="56" w:name="_Toc15377225"/>
      <w:r>
        <w:rPr>
          <w:rFonts w:hint="eastAsia" w:ascii="黑体" w:hAnsi="黑体" w:eastAsia="黑体"/>
          <w:b/>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其他收入：指单位取得的除上述收入以外的各项收入。主要是银行利息收入。</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一般公共服务（类）民主党派及工商联事务（款）行政运行（项）</w:t>
      </w:r>
      <w:r>
        <w:rPr>
          <w:rFonts w:ascii="仿宋_GB2312" w:eastAsia="仿宋_GB2312"/>
          <w:color w:val="000000"/>
          <w:sz w:val="32"/>
          <w:szCs w:val="32"/>
        </w:rPr>
        <w:t>2012801</w:t>
      </w:r>
      <w:r>
        <w:rPr>
          <w:rFonts w:hint="eastAsia" w:ascii="仿宋_GB2312" w:eastAsia="仿宋_GB2312"/>
          <w:color w:val="000000"/>
          <w:sz w:val="32"/>
          <w:szCs w:val="32"/>
        </w:rPr>
        <w:t>：反映行政单位（包括实行公务员管理的事业单位）的基本支出。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10. </w:t>
      </w:r>
      <w:r>
        <w:rPr>
          <w:rFonts w:hint="eastAsia" w:ascii="仿宋_GB2312" w:eastAsia="仿宋_GB2312"/>
          <w:color w:val="000000"/>
          <w:sz w:val="32"/>
          <w:szCs w:val="32"/>
        </w:rPr>
        <w:t>一般公共服务（类）民主党派及工商联事务（款）一般行政管理事务（项）</w:t>
      </w:r>
      <w:r>
        <w:rPr>
          <w:rFonts w:ascii="仿宋_GB2312" w:eastAsia="仿宋_GB2312"/>
          <w:color w:val="000000"/>
          <w:sz w:val="32"/>
          <w:szCs w:val="32"/>
        </w:rPr>
        <w:t>2012802</w:t>
      </w:r>
      <w:r>
        <w:rPr>
          <w:rFonts w:hint="eastAsia" w:ascii="仿宋_GB2312" w:eastAsia="仿宋_GB2312"/>
          <w:color w:val="000000"/>
          <w:sz w:val="32"/>
          <w:szCs w:val="32"/>
        </w:rPr>
        <w:t>：指反映行政单位（包括实行公务员管理的事业单位）未单独设置项级科目的其他项目支出。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社会保障和就业支出（类）行政事业单位离退休（款）未归口管理的行政单位离退休（项）</w:t>
      </w:r>
      <w:r>
        <w:rPr>
          <w:rFonts w:ascii="仿宋_GB2312" w:eastAsia="仿宋_GB2312"/>
          <w:color w:val="000000"/>
          <w:sz w:val="32"/>
          <w:szCs w:val="32"/>
        </w:rPr>
        <w:t>2080504</w:t>
      </w:r>
      <w:r>
        <w:rPr>
          <w:rFonts w:hint="eastAsia" w:ascii="仿宋_GB2312" w:eastAsia="仿宋_GB2312"/>
          <w:color w:val="000000"/>
          <w:sz w:val="32"/>
          <w:szCs w:val="32"/>
        </w:rPr>
        <w:t>：指反映财政部门安排的行政单位（包括实行公务员管理的事业单位，下同）基本医疗保险缴费经费，未参加医疗保险的行政单位的公费医疗经费，按国家规定享受离休人员、红军老战士待遇人员的医疗经费。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社会保障和就业支出（类）行政事业单位离退休（款）机关事业单位基本养老保险缴费支出（项）</w:t>
      </w:r>
      <w:r>
        <w:rPr>
          <w:rFonts w:ascii="仿宋_GB2312" w:eastAsia="仿宋_GB2312"/>
          <w:color w:val="000000"/>
          <w:sz w:val="32"/>
          <w:szCs w:val="32"/>
        </w:rPr>
        <w:t>2080505</w:t>
      </w:r>
      <w:r>
        <w:rPr>
          <w:rFonts w:hint="eastAsia" w:ascii="仿宋_GB2312" w:eastAsia="仿宋_GB2312"/>
          <w:color w:val="000000"/>
          <w:sz w:val="32"/>
          <w:szCs w:val="32"/>
        </w:rPr>
        <w:t>：指反映机关事业单位实施养老保险制度由单位缴纳的基本养老保险费支出。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13. </w:t>
      </w:r>
      <w:r>
        <w:rPr>
          <w:rFonts w:hint="eastAsia" w:ascii="仿宋_GB2312" w:eastAsia="仿宋_GB2312"/>
          <w:color w:val="000000"/>
          <w:sz w:val="32"/>
          <w:szCs w:val="32"/>
        </w:rPr>
        <w:t>医疗卫生与计划生育（类）行政事业单位医疗（款）行政单位医疗（项）</w:t>
      </w:r>
      <w:r>
        <w:rPr>
          <w:rFonts w:ascii="仿宋_GB2312" w:eastAsia="仿宋_GB2312"/>
          <w:color w:val="000000"/>
          <w:sz w:val="32"/>
          <w:szCs w:val="32"/>
        </w:rPr>
        <w:t>2101101</w:t>
      </w:r>
      <w:r>
        <w:rPr>
          <w:rFonts w:hint="eastAsia" w:ascii="仿宋_GB2312" w:eastAsia="仿宋_GB2312"/>
          <w:color w:val="000000"/>
          <w:sz w:val="32"/>
          <w:szCs w:val="32"/>
        </w:rPr>
        <w:t>：指反映财政部门安排的行政单位（包括实行公务员管理的事业单位，下同）基本医疗保险经费，未参加医疗保险的行政单位的公费医疗经费，按国家规定享受离休人员待遇的医疗经费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14. </w:t>
      </w:r>
      <w:r>
        <w:rPr>
          <w:rFonts w:hint="eastAsia" w:ascii="仿宋_GB2312" w:eastAsia="仿宋_GB2312"/>
          <w:color w:val="000000"/>
          <w:sz w:val="32"/>
          <w:szCs w:val="32"/>
        </w:rPr>
        <w:t>医疗卫生与计划生育（类）行政事业单位医疗（款）公务员医疗补助（项）</w:t>
      </w:r>
      <w:r>
        <w:rPr>
          <w:rFonts w:ascii="仿宋_GB2312" w:eastAsia="仿宋_GB2312"/>
          <w:color w:val="000000"/>
          <w:sz w:val="32"/>
          <w:szCs w:val="32"/>
        </w:rPr>
        <w:t>2101103</w:t>
      </w:r>
      <w:r>
        <w:rPr>
          <w:rFonts w:hint="eastAsia" w:ascii="仿宋_GB2312" w:eastAsia="仿宋_GB2312"/>
          <w:color w:val="000000"/>
          <w:sz w:val="32"/>
          <w:szCs w:val="32"/>
        </w:rPr>
        <w:t>：指反映财政部门安排的公务员医疗补助经费。</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住房保障支出（类）住房改革支出（款）住房公积金（项）</w:t>
      </w:r>
      <w:r>
        <w:rPr>
          <w:rFonts w:ascii="仿宋_GB2312" w:eastAsia="仿宋_GB2312"/>
          <w:color w:val="000000"/>
          <w:sz w:val="32"/>
          <w:szCs w:val="32"/>
        </w:rPr>
        <w:t>2210201</w:t>
      </w:r>
      <w:r>
        <w:rPr>
          <w:rFonts w:hint="eastAsia" w:ascii="仿宋_GB2312" w:eastAsia="仿宋_GB2312"/>
          <w:color w:val="000000"/>
          <w:sz w:val="32"/>
          <w:szCs w:val="32"/>
        </w:rPr>
        <w:t>：指放映行政事业单位按人力资源和社会保障部、财政部规定的基本工资和津贴补贴以及规定比例为职工缴纳的住房公积金。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机关运行经费：为保障行政单位（含参照公务员法管理的事业单位）运行用于购买货物和服务的各项资金，包括办公及印刷费、水费、邮电费、差旅费、劳务费、工会经费、福利费、其他交通费用、其他商品和服务支出。</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7"/>
    </w:p>
    <w:p>
      <w:pPr>
        <w:spacing w:line="600" w:lineRule="exact"/>
        <w:jc w:val="center"/>
        <w:outlineLvl w:val="0"/>
        <w:rPr>
          <w:rStyle w:val="17"/>
        </w:rPr>
      </w:pPr>
    </w:p>
    <w:p>
      <w:pPr>
        <w:pStyle w:val="3"/>
        <w:rPr>
          <w:rStyle w:val="17"/>
          <w:rFonts w:ascii="仿宋" w:hAnsi="仿宋" w:eastAsia="仿宋"/>
          <w:b w:val="0"/>
          <w:bCs w:val="0"/>
          <w:sz w:val="32"/>
          <w:szCs w:val="32"/>
        </w:rPr>
      </w:pPr>
      <w:bookmarkStart w:id="59"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9"/>
    </w:p>
    <w:p>
      <w:pPr>
        <w:jc w:val="center"/>
        <w:rPr>
          <w:rFonts w:ascii="宋体" w:cs="宋体"/>
          <w:b/>
          <w:bCs/>
          <w:sz w:val="36"/>
          <w:szCs w:val="36"/>
        </w:rPr>
      </w:pPr>
      <w:bookmarkStart w:id="60" w:name="_Toc15396616"/>
      <w:r>
        <w:rPr>
          <w:rFonts w:hint="eastAsia" w:ascii="黑体" w:hAnsi="黑体" w:eastAsia="黑体" w:cs="方正小标宋简体"/>
          <w:sz w:val="36"/>
          <w:szCs w:val="36"/>
        </w:rPr>
        <w:t>攀枝花市西区工商业联合</w:t>
      </w:r>
      <w:r>
        <w:rPr>
          <w:rFonts w:hint="eastAsia" w:ascii="宋体" w:hAnsi="宋体" w:cs="宋体"/>
          <w:b/>
          <w:bCs/>
          <w:sz w:val="36"/>
          <w:szCs w:val="36"/>
        </w:rPr>
        <w:t>会</w:t>
      </w:r>
    </w:p>
    <w:p>
      <w:pPr>
        <w:jc w:val="center"/>
        <w:rPr>
          <w:rFonts w:ascii="黑体" w:hAnsi="黑体" w:eastAsia="黑体" w:cs="方正小标宋简体"/>
          <w:sz w:val="36"/>
          <w:szCs w:val="36"/>
        </w:rPr>
      </w:pPr>
      <w:r>
        <w:rPr>
          <w:rFonts w:hint="eastAsia" w:ascii="黑体" w:hAnsi="黑体" w:eastAsia="黑体" w:cs="方正小标宋简体"/>
          <w:sz w:val="36"/>
          <w:szCs w:val="36"/>
        </w:rPr>
        <w:t>部门</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、参与区委、区政府大政方针及政治、经济、社会生活中的重要问题的政治协商，发挥民主监督作用，参政议政。</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、引导会员积极参加国家经济建设，推动社会主义市场经济体制逐步完善，促进社会全面发展。</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、做好工商界代表人士政治安排的推荐工作。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、指导同业公会和行业商会等专业组织的工作。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发扬自我教育的优良传统，宣传、贯彻党和国家的方针政策，加强和改进思想政治工作，坚持对广大会员进行团结、帮助、引导、教育，促进促进非公有制经济健康发展，提倡爱国、敬业、守法，提高会员素质，培养积极分子队伍。</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、代表并维护会员的合法权益，反映会员的意见、要求和建议为会员提供有关证明，协调关系，参与调解经济纠纷。</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引导会员把自身企业的发展与国家发展结合起来，把个人富裕与全体人民的共同富裕结合起来，把遵守市场规则与发扬社会主义道德结合起来，弘扬中华民族传统美德，先富帮后富，走共同富裕的道路，热心社会公益事业，积极参加扶贫光彩事业。</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、为会员提供信息、培训、科技、管理、法律、会计、审计、融资、咨询等服务，帮助会员改进经营管理、完善财务制度，照章纳税，提高自身素质和生产技术、产品质量等。</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才。</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、承办政府交办和有关部门委托事项。</w:t>
      </w:r>
    </w:p>
    <w:p>
      <w:pPr>
        <w:snapToGri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根据《攀枝花市西区人民政府办公室关于印发攀枝花市西区工商业联合会主要职责内设机构和人员编制规定的通知》（攀西府办</w:t>
      </w:r>
      <w:r>
        <w:rPr>
          <w:rFonts w:ascii="仿宋_GB2312" w:hAnsi="仿宋" w:eastAsia="仿宋_GB2312"/>
          <w:sz w:val="32"/>
          <w:szCs w:val="32"/>
        </w:rPr>
        <w:t>[2011]48</w:t>
      </w:r>
      <w:r>
        <w:rPr>
          <w:rFonts w:hint="eastAsia" w:ascii="仿宋_GB2312" w:hAnsi="仿宋" w:eastAsia="仿宋_GB2312"/>
          <w:sz w:val="32"/>
          <w:szCs w:val="32"/>
        </w:rPr>
        <w:t>号）文件精神，区工商联核定行政编制</w:t>
      </w:r>
      <w:r>
        <w:rPr>
          <w:rFonts w:ascii="仿宋_GB2312" w:hAnsi="仿宋" w:eastAsia="仿宋_GB2312"/>
          <w:sz w:val="32"/>
          <w:szCs w:val="32"/>
        </w:rPr>
        <w:t>2</w:t>
      </w:r>
      <w:r>
        <w:rPr>
          <w:rFonts w:hint="eastAsia" w:ascii="仿宋_GB2312" w:hAnsi="仿宋" w:eastAsia="仿宋_GB2312"/>
          <w:sz w:val="32"/>
          <w:szCs w:val="32"/>
        </w:rPr>
        <w:t>名，临聘人员编制</w:t>
      </w:r>
      <w:r>
        <w:rPr>
          <w:rFonts w:ascii="仿宋_GB2312" w:hAnsi="仿宋" w:eastAsia="仿宋_GB2312"/>
          <w:sz w:val="32"/>
          <w:szCs w:val="32"/>
        </w:rPr>
        <w:t>1</w:t>
      </w:r>
      <w:r>
        <w:rPr>
          <w:rFonts w:hint="eastAsia" w:ascii="仿宋_GB2312" w:hAnsi="仿宋" w:eastAsia="仿宋_GB2312"/>
          <w:sz w:val="32"/>
          <w:szCs w:val="32"/>
        </w:rPr>
        <w:t>名。区工商联现有行政人员</w:t>
      </w:r>
      <w:r>
        <w:rPr>
          <w:rFonts w:ascii="仿宋_GB2312" w:hAnsi="仿宋" w:eastAsia="仿宋_GB2312"/>
          <w:sz w:val="32"/>
          <w:szCs w:val="32"/>
        </w:rPr>
        <w:t>3</w:t>
      </w:r>
      <w:r>
        <w:rPr>
          <w:rFonts w:hint="eastAsia" w:ascii="仿宋_GB2312" w:hAnsi="仿宋" w:eastAsia="仿宋_GB2312"/>
          <w:sz w:val="32"/>
          <w:szCs w:val="32"/>
        </w:rPr>
        <w:t>名（其中一名为县级领导，编制在区政协，但工资关系在区工商联），临聘人员</w:t>
      </w:r>
      <w:r>
        <w:rPr>
          <w:rFonts w:ascii="仿宋_GB2312" w:hAnsi="仿宋" w:eastAsia="仿宋_GB2312"/>
          <w:sz w:val="32"/>
          <w:szCs w:val="32"/>
        </w:rPr>
        <w:t>1</w:t>
      </w:r>
      <w:r>
        <w:rPr>
          <w:rFonts w:hint="eastAsia" w:ascii="仿宋_GB2312" w:hAnsi="仿宋" w:eastAsia="仿宋_GB2312"/>
          <w:sz w:val="32"/>
          <w:szCs w:val="32"/>
        </w:rPr>
        <w:t>名。核定常务主席一名，秘书长一名。区工商联现有主席</w:t>
      </w:r>
      <w:r>
        <w:rPr>
          <w:rFonts w:ascii="仿宋_GB2312" w:hAnsi="仿宋" w:eastAsia="仿宋_GB2312"/>
          <w:sz w:val="32"/>
          <w:szCs w:val="32"/>
        </w:rPr>
        <w:t>1</w:t>
      </w:r>
      <w:r>
        <w:rPr>
          <w:rFonts w:hint="eastAsia" w:ascii="仿宋_GB2312" w:hAnsi="仿宋" w:eastAsia="仿宋_GB2312"/>
          <w:sz w:val="32"/>
          <w:szCs w:val="32"/>
        </w:rPr>
        <w:t>名、常务副主席</w:t>
      </w:r>
      <w:r>
        <w:rPr>
          <w:rFonts w:ascii="仿宋_GB2312" w:hAnsi="仿宋" w:eastAsia="仿宋_GB2312"/>
          <w:sz w:val="32"/>
          <w:szCs w:val="32"/>
        </w:rPr>
        <w:t>1</w:t>
      </w:r>
      <w:r>
        <w:rPr>
          <w:rFonts w:hint="eastAsia" w:ascii="仿宋_GB2312" w:hAnsi="仿宋" w:eastAsia="仿宋_GB2312"/>
          <w:sz w:val="32"/>
          <w:szCs w:val="32"/>
        </w:rPr>
        <w:t>名，秘书长</w:t>
      </w:r>
      <w:r>
        <w:rPr>
          <w:rFonts w:ascii="仿宋_GB2312" w:hAnsi="仿宋" w:eastAsia="仿宋_GB2312"/>
          <w:sz w:val="32"/>
          <w:szCs w:val="32"/>
        </w:rPr>
        <w:t>1</w:t>
      </w:r>
      <w:r>
        <w:rPr>
          <w:rFonts w:hint="eastAsia" w:ascii="仿宋_GB2312" w:hAnsi="仿宋" w:eastAsia="仿宋_GB2312"/>
          <w:sz w:val="32"/>
          <w:szCs w:val="32"/>
        </w:rPr>
        <w:t>名，无超职数配备领导干部和高配领导干部情况。均严格按照编制执行。</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年一般公共预算财政拨款收入合计</w:t>
      </w:r>
      <w:r>
        <w:rPr>
          <w:rFonts w:ascii="仿宋" w:hAnsi="仿宋" w:eastAsia="仿宋" w:cs="仿宋_GB2312"/>
          <w:sz w:val="32"/>
          <w:szCs w:val="32"/>
        </w:rPr>
        <w:t>73.94</w:t>
      </w:r>
      <w:r>
        <w:rPr>
          <w:rFonts w:hint="eastAsia" w:ascii="仿宋" w:hAnsi="仿宋" w:eastAsia="仿宋" w:cs="仿宋_GB2312"/>
          <w:sz w:val="32"/>
          <w:szCs w:val="32"/>
        </w:rPr>
        <w:t>万元，其中基本支出</w:t>
      </w:r>
      <w:r>
        <w:rPr>
          <w:rFonts w:ascii="仿宋" w:hAnsi="仿宋" w:eastAsia="仿宋" w:cs="仿宋_GB2312"/>
          <w:sz w:val="32"/>
          <w:szCs w:val="32"/>
        </w:rPr>
        <w:t>70.74</w:t>
      </w:r>
      <w:r>
        <w:rPr>
          <w:rFonts w:hint="eastAsia" w:ascii="仿宋" w:hAnsi="仿宋" w:eastAsia="仿宋" w:cs="仿宋_GB2312"/>
          <w:sz w:val="32"/>
          <w:szCs w:val="32"/>
        </w:rPr>
        <w:t>万元，项目支出</w:t>
      </w:r>
      <w:r>
        <w:rPr>
          <w:rFonts w:ascii="仿宋" w:hAnsi="仿宋" w:eastAsia="仿宋" w:cs="仿宋_GB2312"/>
          <w:sz w:val="32"/>
          <w:szCs w:val="32"/>
        </w:rPr>
        <w:t>3.2</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年一般公共预算财政拨款支出合计</w:t>
      </w:r>
      <w:r>
        <w:rPr>
          <w:rFonts w:ascii="仿宋" w:hAnsi="仿宋" w:eastAsia="仿宋" w:cs="仿宋_GB2312"/>
          <w:sz w:val="32"/>
          <w:szCs w:val="32"/>
        </w:rPr>
        <w:t>73.94</w:t>
      </w:r>
      <w:r>
        <w:rPr>
          <w:rFonts w:hint="eastAsia" w:ascii="仿宋" w:hAnsi="仿宋" w:eastAsia="仿宋" w:cs="仿宋_GB2312"/>
          <w:sz w:val="32"/>
          <w:szCs w:val="32"/>
        </w:rPr>
        <w:t>万元，其中基本支出人员经费</w:t>
      </w:r>
      <w:r>
        <w:rPr>
          <w:rFonts w:ascii="仿宋" w:hAnsi="仿宋" w:eastAsia="仿宋" w:cs="仿宋_GB2312"/>
          <w:sz w:val="32"/>
          <w:szCs w:val="32"/>
        </w:rPr>
        <w:t>60.93</w:t>
      </w:r>
      <w:r>
        <w:rPr>
          <w:rFonts w:hint="eastAsia" w:ascii="仿宋" w:hAnsi="仿宋" w:eastAsia="仿宋" w:cs="仿宋_GB2312"/>
          <w:sz w:val="32"/>
          <w:szCs w:val="32"/>
        </w:rPr>
        <w:t>万元、日常办公经费</w:t>
      </w:r>
      <w:r>
        <w:rPr>
          <w:rFonts w:ascii="仿宋" w:hAnsi="仿宋" w:eastAsia="仿宋" w:cs="仿宋_GB2312"/>
          <w:sz w:val="32"/>
          <w:szCs w:val="32"/>
        </w:rPr>
        <w:t>9.81</w:t>
      </w:r>
      <w:r>
        <w:rPr>
          <w:rFonts w:hint="eastAsia" w:ascii="仿宋" w:hAnsi="仿宋" w:eastAsia="仿宋" w:cs="仿宋_GB2312"/>
          <w:sz w:val="32"/>
          <w:szCs w:val="32"/>
        </w:rPr>
        <w:t>万元、项目支出</w:t>
      </w:r>
      <w:r>
        <w:rPr>
          <w:rFonts w:ascii="仿宋" w:hAnsi="仿宋" w:eastAsia="仿宋" w:cs="仿宋_GB2312"/>
          <w:sz w:val="32"/>
          <w:szCs w:val="32"/>
        </w:rPr>
        <w:t>3.20</w:t>
      </w:r>
      <w:r>
        <w:rPr>
          <w:rFonts w:hint="eastAsia" w:ascii="仿宋" w:hAnsi="仿宋" w:eastAsia="仿宋" w:cs="仿宋_GB2312"/>
          <w:sz w:val="32"/>
          <w:szCs w:val="32"/>
        </w:rPr>
        <w:t>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西区工商联绩效目标是由领导班子商议制定，为了保证目标完成，西区工商联由专门的财务人员进行预算编制，财务负责人把关，保证了准确性。并随时对支出控制、预算动态调整、执行进度、预算完成情况进行监控和报告给领导班子，无违规记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专项预算项目程序严密、规划合理、结果符合、分配科学、分配及时，专项预算绩效目标圆满完成，实施绩效，无违规记录。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西区工商联进行了自评质量、绩效目标公开和自评公开、评价结果整改和应用结果反馈。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西区工商联</w:t>
      </w:r>
      <w:r>
        <w:rPr>
          <w:rFonts w:ascii="仿宋" w:hAnsi="仿宋" w:eastAsia="仿宋" w:cs="仿宋_GB2312"/>
          <w:sz w:val="32"/>
          <w:szCs w:val="32"/>
        </w:rPr>
        <w:t>2018</w:t>
      </w:r>
      <w:r>
        <w:rPr>
          <w:rFonts w:hint="eastAsia" w:ascii="仿宋" w:hAnsi="仿宋" w:eastAsia="仿宋" w:cs="仿宋_GB2312"/>
          <w:sz w:val="32"/>
          <w:szCs w:val="32"/>
        </w:rPr>
        <w:t>年预算是合理的，符合实际的，保障了西区工商联职能目标的完成。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pStyle w:val="3"/>
        <w:rPr>
          <w:rStyle w:val="17"/>
          <w:rFonts w:ascii="仿宋" w:hAnsi="仿宋" w:eastAsia="仿宋"/>
          <w:b w:val="0"/>
          <w:bCs w:val="0"/>
          <w:sz w:val="32"/>
          <w:szCs w:val="32"/>
        </w:rPr>
      </w:pPr>
      <w:bookmarkStart w:id="61" w:name="_Toc15396617"/>
      <w:r>
        <w:rPr>
          <w:rStyle w:val="17"/>
          <w:rFonts w:hint="eastAsia" w:ascii="仿宋" w:hAnsi="仿宋" w:eastAsia="仿宋"/>
          <w:b w:val="0"/>
          <w:bCs w:val="0"/>
          <w:sz w:val="32"/>
          <w:szCs w:val="32"/>
        </w:rPr>
        <w:t>附件</w:t>
      </w:r>
      <w:r>
        <w:rPr>
          <w:rStyle w:val="17"/>
          <w:rFonts w:ascii="仿宋" w:hAnsi="仿宋" w:eastAsia="仿宋"/>
          <w:b w:val="0"/>
          <w:bCs w:val="0"/>
          <w:sz w:val="32"/>
          <w:szCs w:val="32"/>
        </w:rPr>
        <w:t>2</w:t>
      </w:r>
      <w:bookmarkEnd w:id="61"/>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年联系服务西区非公经济企业项目支出绩效评价报告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项目评价实施方案情况：根据西区工商联职能目标进行选点，指标包括项目完成指标、效益指标、满意度指标。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项目绩效评价总体结论：圆满完成了目标任务。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必要性和可行性分析：是由西区工商联的职能目标决定的，服务非公企业。绩效目标设置情况：是根据西区工商联日常工作实际来做预算。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资金分配情况：用于召开执委会、主席会，对企业进行培训。资金使用情况：严格按照计划来使用。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项目目标完成情况：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数量指标已召开执委会</w:t>
      </w:r>
      <w:r>
        <w:rPr>
          <w:rFonts w:ascii="仿宋" w:hAnsi="仿宋" w:eastAsia="仿宋" w:cs="仿宋_GB2312"/>
          <w:sz w:val="32"/>
          <w:szCs w:val="32"/>
        </w:rPr>
        <w:t>2</w:t>
      </w:r>
      <w:r>
        <w:rPr>
          <w:rFonts w:hint="eastAsia" w:ascii="仿宋" w:hAnsi="仿宋" w:eastAsia="仿宋" w:cs="仿宋_GB2312"/>
          <w:sz w:val="32"/>
          <w:szCs w:val="32"/>
        </w:rPr>
        <w:t>次，主席会</w:t>
      </w:r>
      <w:r>
        <w:rPr>
          <w:rFonts w:ascii="仿宋" w:hAnsi="仿宋" w:eastAsia="仿宋" w:cs="仿宋_GB2312"/>
          <w:sz w:val="32"/>
          <w:szCs w:val="32"/>
        </w:rPr>
        <w:t>1</w:t>
      </w:r>
      <w:r>
        <w:rPr>
          <w:rFonts w:hint="eastAsia" w:ascii="仿宋" w:hAnsi="仿宋" w:eastAsia="仿宋" w:cs="仿宋_GB2312"/>
          <w:sz w:val="32"/>
          <w:szCs w:val="32"/>
        </w:rPr>
        <w:t>次；质量指标提高了非公经济人士思想素质和参政议政能力；成本指标已召开会议</w:t>
      </w:r>
      <w:r>
        <w:rPr>
          <w:rFonts w:ascii="仿宋" w:hAnsi="仿宋" w:eastAsia="仿宋" w:cs="仿宋_GB2312"/>
          <w:sz w:val="32"/>
          <w:szCs w:val="32"/>
        </w:rPr>
        <w:t>3</w:t>
      </w:r>
      <w:r>
        <w:rPr>
          <w:rFonts w:hint="eastAsia" w:ascii="仿宋" w:hAnsi="仿宋" w:eastAsia="仿宋" w:cs="仿宋_GB2312"/>
          <w:sz w:val="32"/>
          <w:szCs w:val="32"/>
        </w:rPr>
        <w:t>次，培训</w:t>
      </w:r>
      <w:r>
        <w:rPr>
          <w:rFonts w:ascii="仿宋" w:hAnsi="仿宋" w:eastAsia="仿宋" w:cs="仿宋_GB2312"/>
          <w:sz w:val="32"/>
          <w:szCs w:val="32"/>
        </w:rPr>
        <w:t>5</w:t>
      </w:r>
      <w:r>
        <w:rPr>
          <w:rFonts w:hint="eastAsia" w:ascii="仿宋" w:hAnsi="仿宋" w:eastAsia="仿宋" w:cs="仿宋_GB2312"/>
          <w:sz w:val="32"/>
          <w:szCs w:val="32"/>
        </w:rPr>
        <w:t>次；经济效益指标促进了非公经济两个健康发展；服务对象满意度指标：非公经济人士反响良好。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年会计代理计账项目支出绩效评价报告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项目评价实施方案情况：为了规范西区工商联财务工作，指标包括项目完成指标、效益指标、满意度指标。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项目绩效评价总体结论：圆满完成了目标任务。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必要性和可行性分析是由西区工商联的人员情况决定的，西区工商联只有一名正式的工作人员，而财务人员必须是正式职工，因此西区工商联必须聘请一名正式会计。绩效目标设置情况：是根据西区工商联日常工作需要来做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资金分配情况：用于支付会计代理计账。资金使用情况：严格按照计划来使用。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数量指标会计代理计账</w:t>
      </w:r>
      <w:r>
        <w:rPr>
          <w:rFonts w:ascii="仿宋" w:hAnsi="仿宋" w:eastAsia="仿宋" w:cs="仿宋_GB2312"/>
          <w:sz w:val="32"/>
          <w:szCs w:val="32"/>
        </w:rPr>
        <w:t>1</w:t>
      </w:r>
      <w:r>
        <w:rPr>
          <w:rFonts w:hint="eastAsia" w:ascii="仿宋" w:hAnsi="仿宋" w:eastAsia="仿宋" w:cs="仿宋_GB2312"/>
          <w:sz w:val="32"/>
          <w:szCs w:val="32"/>
        </w:rPr>
        <w:t>年服务</w:t>
      </w:r>
      <w:r>
        <w:rPr>
          <w:rFonts w:ascii="仿宋" w:hAnsi="仿宋" w:eastAsia="仿宋" w:cs="仿宋_GB2312"/>
          <w:sz w:val="32"/>
          <w:szCs w:val="32"/>
        </w:rPr>
        <w:t>12</w:t>
      </w:r>
      <w:r>
        <w:rPr>
          <w:rFonts w:hint="eastAsia" w:ascii="仿宋" w:hAnsi="仿宋" w:eastAsia="仿宋" w:cs="仿宋_GB2312"/>
          <w:sz w:val="32"/>
          <w:szCs w:val="32"/>
        </w:rPr>
        <w:t>次；质量指标规范了财务工作；时效指标：</w:t>
      </w:r>
      <w:r>
        <w:rPr>
          <w:rFonts w:ascii="仿宋" w:hAnsi="仿宋" w:eastAsia="仿宋" w:cs="仿宋_GB2312"/>
          <w:sz w:val="32"/>
          <w:szCs w:val="32"/>
        </w:rPr>
        <w:t>2017-2018</w:t>
      </w:r>
      <w:r>
        <w:rPr>
          <w:rFonts w:hint="eastAsia" w:ascii="仿宋" w:hAnsi="仿宋" w:eastAsia="仿宋" w:cs="仿宋_GB2312"/>
          <w:sz w:val="32"/>
          <w:szCs w:val="32"/>
        </w:rPr>
        <w:t>年；成本指标已支付费用</w:t>
      </w:r>
      <w:r>
        <w:rPr>
          <w:rFonts w:ascii="仿宋" w:hAnsi="仿宋" w:eastAsia="仿宋" w:cs="仿宋_GB2312"/>
          <w:sz w:val="32"/>
          <w:szCs w:val="32"/>
        </w:rPr>
        <w:t>1.2</w:t>
      </w:r>
      <w:r>
        <w:rPr>
          <w:rFonts w:hint="eastAsia" w:ascii="仿宋" w:hAnsi="仿宋" w:eastAsia="仿宋" w:cs="仿宋_GB2312"/>
          <w:sz w:val="32"/>
          <w:szCs w:val="32"/>
        </w:rPr>
        <w:t>万元；社会效益指标会计制度规范化；服务对象满意度指标：财务制度规范化。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Style w:val="17"/>
          <w:rFonts w:ascii="仿宋" w:hAnsi="仿宋" w:eastAsia="仿宋" w:cs="仿宋_GB2312"/>
          <w:b w:val="0"/>
          <w:bCs w:val="0"/>
          <w:kern w:val="2"/>
          <w:sz w:val="32"/>
          <w:szCs w:val="32"/>
        </w:rPr>
      </w:pPr>
      <w:r>
        <w:rPr>
          <w:rFonts w:hint="eastAsia" w:ascii="仿宋" w:hAnsi="仿宋" w:eastAsia="仿宋" w:cs="仿宋_GB2312"/>
          <w:sz w:val="32"/>
          <w:szCs w:val="32"/>
        </w:rPr>
        <w:t>四、相关措施建议</w:t>
      </w:r>
    </w:p>
    <w:p>
      <w:pPr>
        <w:spacing w:line="580" w:lineRule="exact"/>
        <w:ind w:firstLine="640" w:firstLineChars="200"/>
        <w:rPr>
          <w:rStyle w:val="17"/>
          <w:rFonts w:ascii="仿宋" w:hAnsi="仿宋" w:eastAsia="仿宋" w:cs="仿宋_GB2312"/>
          <w:b w:val="0"/>
          <w:bCs w:val="0"/>
          <w:kern w:val="2"/>
          <w:sz w:val="32"/>
          <w:szCs w:val="32"/>
        </w:rPr>
      </w:pPr>
      <w:r>
        <w:rPr>
          <w:rStyle w:val="17"/>
          <w:rFonts w:hint="eastAsia" w:ascii="仿宋" w:hAnsi="仿宋" w:eastAsia="仿宋" w:cs="仿宋_GB2312"/>
          <w:b w:val="0"/>
          <w:bCs w:val="0"/>
          <w:kern w:val="2"/>
          <w:sz w:val="32"/>
          <w:szCs w:val="32"/>
        </w:rPr>
        <w:t>无</w:t>
      </w: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580" w:lineRule="exact"/>
        <w:ind w:firstLine="640" w:firstLineChars="200"/>
        <w:rPr>
          <w:rStyle w:val="17"/>
          <w:rFonts w:ascii="仿宋" w:hAnsi="仿宋" w:eastAsia="仿宋" w:cs="仿宋_GB2312"/>
          <w:b w:val="0"/>
          <w:bCs w:val="0"/>
          <w:kern w:val="2"/>
          <w:sz w:val="32"/>
          <w:szCs w:val="32"/>
        </w:rPr>
      </w:pPr>
    </w:p>
    <w:p>
      <w:pPr>
        <w:spacing w:line="600" w:lineRule="exact"/>
        <w:jc w:val="center"/>
        <w:outlineLvl w:val="0"/>
        <w:rPr>
          <w:rStyle w:val="17"/>
          <w:rFonts w:ascii="黑体" w:hAnsi="黑体" w:eastAsia="黑体"/>
          <w:b w:val="0"/>
        </w:rPr>
      </w:pPr>
      <w:bookmarkStart w:id="62"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4"/>
    </w:p>
    <w:p>
      <w:pPr>
        <w:pStyle w:val="3"/>
        <w:rPr>
          <w:rFonts w:ascii="仿宋" w:hAnsi="仿宋" w:eastAsia="仿宋"/>
          <w:color w:val="000000"/>
        </w:rPr>
      </w:pPr>
      <w:bookmarkStart w:id="75"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785"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decimal"/>
      <w:lvlText w:val="%2、"/>
      <w:lvlJc w:val="left"/>
      <w:pPr>
        <w:tabs>
          <w:tab w:val="left" w:pos="1849"/>
        </w:tabs>
        <w:ind w:left="1849" w:hanging="720"/>
      </w:pPr>
      <w:rPr>
        <w:rFonts w:hint="default"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25B91"/>
    <w:rsid w:val="00035C6F"/>
    <w:rsid w:val="00044B46"/>
    <w:rsid w:val="00053875"/>
    <w:rsid w:val="0005408E"/>
    <w:rsid w:val="000644D6"/>
    <w:rsid w:val="0006487A"/>
    <w:rsid w:val="00065F8F"/>
    <w:rsid w:val="000666D5"/>
    <w:rsid w:val="00072352"/>
    <w:rsid w:val="000768F2"/>
    <w:rsid w:val="000903C3"/>
    <w:rsid w:val="0009184B"/>
    <w:rsid w:val="0009593C"/>
    <w:rsid w:val="000A2C79"/>
    <w:rsid w:val="000B047F"/>
    <w:rsid w:val="000B5923"/>
    <w:rsid w:val="000B5A48"/>
    <w:rsid w:val="000B6FF3"/>
    <w:rsid w:val="000C3467"/>
    <w:rsid w:val="000C3CA6"/>
    <w:rsid w:val="000D1267"/>
    <w:rsid w:val="000D1D50"/>
    <w:rsid w:val="000D5782"/>
    <w:rsid w:val="000D5AA0"/>
    <w:rsid w:val="000E1E97"/>
    <w:rsid w:val="000E5A19"/>
    <w:rsid w:val="000E6613"/>
    <w:rsid w:val="000E7119"/>
    <w:rsid w:val="000F68A7"/>
    <w:rsid w:val="000F7DDC"/>
    <w:rsid w:val="0010601C"/>
    <w:rsid w:val="00114E9B"/>
    <w:rsid w:val="00115607"/>
    <w:rsid w:val="00122A0E"/>
    <w:rsid w:val="00124061"/>
    <w:rsid w:val="0012436C"/>
    <w:rsid w:val="0014729F"/>
    <w:rsid w:val="00157BAB"/>
    <w:rsid w:val="001654D1"/>
    <w:rsid w:val="0018106D"/>
    <w:rsid w:val="001877A7"/>
    <w:rsid w:val="00187A61"/>
    <w:rsid w:val="00191536"/>
    <w:rsid w:val="00191825"/>
    <w:rsid w:val="00196687"/>
    <w:rsid w:val="001B065B"/>
    <w:rsid w:val="001B4C89"/>
    <w:rsid w:val="001C0962"/>
    <w:rsid w:val="001C10DF"/>
    <w:rsid w:val="001C45FC"/>
    <w:rsid w:val="001C7A05"/>
    <w:rsid w:val="001D56B8"/>
    <w:rsid w:val="001D7531"/>
    <w:rsid w:val="001E658E"/>
    <w:rsid w:val="001E737D"/>
    <w:rsid w:val="001F0592"/>
    <w:rsid w:val="001F317F"/>
    <w:rsid w:val="001F7506"/>
    <w:rsid w:val="001F7D4D"/>
    <w:rsid w:val="002006CD"/>
    <w:rsid w:val="00202B36"/>
    <w:rsid w:val="00204B7A"/>
    <w:rsid w:val="0021101A"/>
    <w:rsid w:val="002114DA"/>
    <w:rsid w:val="00220536"/>
    <w:rsid w:val="00231299"/>
    <w:rsid w:val="0023498F"/>
    <w:rsid w:val="00235629"/>
    <w:rsid w:val="00260C38"/>
    <w:rsid w:val="002616C0"/>
    <w:rsid w:val="002662AA"/>
    <w:rsid w:val="00270361"/>
    <w:rsid w:val="0027719F"/>
    <w:rsid w:val="00280496"/>
    <w:rsid w:val="002845CF"/>
    <w:rsid w:val="00295495"/>
    <w:rsid w:val="002B0409"/>
    <w:rsid w:val="002B2613"/>
    <w:rsid w:val="002F15C9"/>
    <w:rsid w:val="002F1818"/>
    <w:rsid w:val="002F567B"/>
    <w:rsid w:val="0030332D"/>
    <w:rsid w:val="0031487E"/>
    <w:rsid w:val="003216A9"/>
    <w:rsid w:val="00323C33"/>
    <w:rsid w:val="00357433"/>
    <w:rsid w:val="0037013F"/>
    <w:rsid w:val="00376B81"/>
    <w:rsid w:val="00380C92"/>
    <w:rsid w:val="003A484F"/>
    <w:rsid w:val="003B0BE0"/>
    <w:rsid w:val="003B0C1B"/>
    <w:rsid w:val="003B688C"/>
    <w:rsid w:val="003C0291"/>
    <w:rsid w:val="003C39AE"/>
    <w:rsid w:val="003C7B60"/>
    <w:rsid w:val="003D1FB2"/>
    <w:rsid w:val="003D5270"/>
    <w:rsid w:val="003D66DA"/>
    <w:rsid w:val="003E1310"/>
    <w:rsid w:val="003E6F55"/>
    <w:rsid w:val="00402B3F"/>
    <w:rsid w:val="00406254"/>
    <w:rsid w:val="004218DF"/>
    <w:rsid w:val="004223DE"/>
    <w:rsid w:val="00426A62"/>
    <w:rsid w:val="00431128"/>
    <w:rsid w:val="00434489"/>
    <w:rsid w:val="00437085"/>
    <w:rsid w:val="00443880"/>
    <w:rsid w:val="004464F4"/>
    <w:rsid w:val="00471401"/>
    <w:rsid w:val="00473F31"/>
    <w:rsid w:val="004813B8"/>
    <w:rsid w:val="0048263A"/>
    <w:rsid w:val="00487ACA"/>
    <w:rsid w:val="00487E5D"/>
    <w:rsid w:val="00492F39"/>
    <w:rsid w:val="004A5E45"/>
    <w:rsid w:val="004A711F"/>
    <w:rsid w:val="004B0BA2"/>
    <w:rsid w:val="004B199D"/>
    <w:rsid w:val="004B4215"/>
    <w:rsid w:val="004B4690"/>
    <w:rsid w:val="004C1CF0"/>
    <w:rsid w:val="004D5870"/>
    <w:rsid w:val="004E0A2D"/>
    <w:rsid w:val="004E206B"/>
    <w:rsid w:val="004E6DF7"/>
    <w:rsid w:val="004E78DE"/>
    <w:rsid w:val="004F0FBD"/>
    <w:rsid w:val="004F1BA1"/>
    <w:rsid w:val="00502470"/>
    <w:rsid w:val="00505A47"/>
    <w:rsid w:val="00507FE6"/>
    <w:rsid w:val="00512FDA"/>
    <w:rsid w:val="00514BD1"/>
    <w:rsid w:val="00520DA0"/>
    <w:rsid w:val="00535CB3"/>
    <w:rsid w:val="00551D38"/>
    <w:rsid w:val="005664BB"/>
    <w:rsid w:val="005710E7"/>
    <w:rsid w:val="0057481D"/>
    <w:rsid w:val="0058486E"/>
    <w:rsid w:val="00592FBD"/>
    <w:rsid w:val="005C7869"/>
    <w:rsid w:val="005D1C8B"/>
    <w:rsid w:val="005D5CED"/>
    <w:rsid w:val="005E25B8"/>
    <w:rsid w:val="005E7EC5"/>
    <w:rsid w:val="005F1A4C"/>
    <w:rsid w:val="005F6976"/>
    <w:rsid w:val="006025ED"/>
    <w:rsid w:val="00605688"/>
    <w:rsid w:val="00605A05"/>
    <w:rsid w:val="006070AF"/>
    <w:rsid w:val="00607E6C"/>
    <w:rsid w:val="006101B1"/>
    <w:rsid w:val="00614E44"/>
    <w:rsid w:val="00622830"/>
    <w:rsid w:val="00630AEF"/>
    <w:rsid w:val="006325F8"/>
    <w:rsid w:val="00634C9A"/>
    <w:rsid w:val="00640A32"/>
    <w:rsid w:val="006440E4"/>
    <w:rsid w:val="00661197"/>
    <w:rsid w:val="0066343B"/>
    <w:rsid w:val="00664777"/>
    <w:rsid w:val="006748A4"/>
    <w:rsid w:val="00683E73"/>
    <w:rsid w:val="00691602"/>
    <w:rsid w:val="0069243E"/>
    <w:rsid w:val="00694A4D"/>
    <w:rsid w:val="00695210"/>
    <w:rsid w:val="006A3141"/>
    <w:rsid w:val="006A5E34"/>
    <w:rsid w:val="006B0F41"/>
    <w:rsid w:val="006B2422"/>
    <w:rsid w:val="006B2B9A"/>
    <w:rsid w:val="006B5A4B"/>
    <w:rsid w:val="006C1937"/>
    <w:rsid w:val="006C1FE9"/>
    <w:rsid w:val="006D018D"/>
    <w:rsid w:val="006F020C"/>
    <w:rsid w:val="007127B7"/>
    <w:rsid w:val="00715331"/>
    <w:rsid w:val="00740BF2"/>
    <w:rsid w:val="007416B6"/>
    <w:rsid w:val="00746F48"/>
    <w:rsid w:val="0075404D"/>
    <w:rsid w:val="007550F1"/>
    <w:rsid w:val="0076058F"/>
    <w:rsid w:val="0076182A"/>
    <w:rsid w:val="00767B7E"/>
    <w:rsid w:val="007770C3"/>
    <w:rsid w:val="00784D24"/>
    <w:rsid w:val="00785FBA"/>
    <w:rsid w:val="00786E4A"/>
    <w:rsid w:val="007875EB"/>
    <w:rsid w:val="0079426B"/>
    <w:rsid w:val="007A124D"/>
    <w:rsid w:val="007D312A"/>
    <w:rsid w:val="007D3F19"/>
    <w:rsid w:val="007E23B0"/>
    <w:rsid w:val="007F1991"/>
    <w:rsid w:val="007F2C2F"/>
    <w:rsid w:val="007F55FC"/>
    <w:rsid w:val="007F5665"/>
    <w:rsid w:val="00800112"/>
    <w:rsid w:val="00814ECA"/>
    <w:rsid w:val="008238AC"/>
    <w:rsid w:val="0082476C"/>
    <w:rsid w:val="008253BB"/>
    <w:rsid w:val="0083706E"/>
    <w:rsid w:val="008423A5"/>
    <w:rsid w:val="00850625"/>
    <w:rsid w:val="00853718"/>
    <w:rsid w:val="00855221"/>
    <w:rsid w:val="00860645"/>
    <w:rsid w:val="00871F71"/>
    <w:rsid w:val="00884071"/>
    <w:rsid w:val="00885AF4"/>
    <w:rsid w:val="008939CD"/>
    <w:rsid w:val="00894879"/>
    <w:rsid w:val="008B1CDF"/>
    <w:rsid w:val="008B1FF2"/>
    <w:rsid w:val="008B223E"/>
    <w:rsid w:val="008B4715"/>
    <w:rsid w:val="008B768C"/>
    <w:rsid w:val="008C0290"/>
    <w:rsid w:val="008C4DB1"/>
    <w:rsid w:val="008C4EAF"/>
    <w:rsid w:val="008C5176"/>
    <w:rsid w:val="008C7FD0"/>
    <w:rsid w:val="008E1DE7"/>
    <w:rsid w:val="008E707C"/>
    <w:rsid w:val="008F50E3"/>
    <w:rsid w:val="00900B08"/>
    <w:rsid w:val="0090170D"/>
    <w:rsid w:val="00902155"/>
    <w:rsid w:val="00902FA3"/>
    <w:rsid w:val="0091338E"/>
    <w:rsid w:val="009137C7"/>
    <w:rsid w:val="00923564"/>
    <w:rsid w:val="0092392E"/>
    <w:rsid w:val="009315F9"/>
    <w:rsid w:val="00932561"/>
    <w:rsid w:val="00946945"/>
    <w:rsid w:val="00951248"/>
    <w:rsid w:val="0095152F"/>
    <w:rsid w:val="00954C49"/>
    <w:rsid w:val="009553F0"/>
    <w:rsid w:val="0097099F"/>
    <w:rsid w:val="00971997"/>
    <w:rsid w:val="00971FFC"/>
    <w:rsid w:val="0098660A"/>
    <w:rsid w:val="0099220C"/>
    <w:rsid w:val="009931C3"/>
    <w:rsid w:val="009B2C43"/>
    <w:rsid w:val="009B4EAE"/>
    <w:rsid w:val="009B7573"/>
    <w:rsid w:val="009C1BC8"/>
    <w:rsid w:val="009C22F4"/>
    <w:rsid w:val="009C2E98"/>
    <w:rsid w:val="009D3447"/>
    <w:rsid w:val="009D4711"/>
    <w:rsid w:val="009D517D"/>
    <w:rsid w:val="009F1185"/>
    <w:rsid w:val="009F18CD"/>
    <w:rsid w:val="009F2A13"/>
    <w:rsid w:val="00A04EB0"/>
    <w:rsid w:val="00A05EA1"/>
    <w:rsid w:val="00A06664"/>
    <w:rsid w:val="00A128F4"/>
    <w:rsid w:val="00A13CC1"/>
    <w:rsid w:val="00A16847"/>
    <w:rsid w:val="00A237D8"/>
    <w:rsid w:val="00A268C4"/>
    <w:rsid w:val="00A306C4"/>
    <w:rsid w:val="00A307CD"/>
    <w:rsid w:val="00A310C4"/>
    <w:rsid w:val="00A40A00"/>
    <w:rsid w:val="00A4142F"/>
    <w:rsid w:val="00A45178"/>
    <w:rsid w:val="00A56DF2"/>
    <w:rsid w:val="00A62B67"/>
    <w:rsid w:val="00A67AB5"/>
    <w:rsid w:val="00A91760"/>
    <w:rsid w:val="00A93B00"/>
    <w:rsid w:val="00A93C21"/>
    <w:rsid w:val="00A97288"/>
    <w:rsid w:val="00AC3C6A"/>
    <w:rsid w:val="00AC445B"/>
    <w:rsid w:val="00AD5620"/>
    <w:rsid w:val="00AD7C1B"/>
    <w:rsid w:val="00AE16BA"/>
    <w:rsid w:val="00AE1EBE"/>
    <w:rsid w:val="00B03C9D"/>
    <w:rsid w:val="00B060AE"/>
    <w:rsid w:val="00B10517"/>
    <w:rsid w:val="00B14B41"/>
    <w:rsid w:val="00B14E76"/>
    <w:rsid w:val="00B161B8"/>
    <w:rsid w:val="00B1787A"/>
    <w:rsid w:val="00B2048C"/>
    <w:rsid w:val="00B310B9"/>
    <w:rsid w:val="00B35F3F"/>
    <w:rsid w:val="00B36CBB"/>
    <w:rsid w:val="00B425E0"/>
    <w:rsid w:val="00B440AA"/>
    <w:rsid w:val="00B44B70"/>
    <w:rsid w:val="00B53C56"/>
    <w:rsid w:val="00B64AAE"/>
    <w:rsid w:val="00B77EA6"/>
    <w:rsid w:val="00B81598"/>
    <w:rsid w:val="00B8361F"/>
    <w:rsid w:val="00B841F1"/>
    <w:rsid w:val="00B944D6"/>
    <w:rsid w:val="00BA021C"/>
    <w:rsid w:val="00BB4DF0"/>
    <w:rsid w:val="00BC0151"/>
    <w:rsid w:val="00BC289F"/>
    <w:rsid w:val="00BC5361"/>
    <w:rsid w:val="00BC5460"/>
    <w:rsid w:val="00BC6B50"/>
    <w:rsid w:val="00BD0E25"/>
    <w:rsid w:val="00BE44CF"/>
    <w:rsid w:val="00BF5BD6"/>
    <w:rsid w:val="00C03E31"/>
    <w:rsid w:val="00C12FCE"/>
    <w:rsid w:val="00C21070"/>
    <w:rsid w:val="00C25A31"/>
    <w:rsid w:val="00C33E72"/>
    <w:rsid w:val="00C354B2"/>
    <w:rsid w:val="00C35554"/>
    <w:rsid w:val="00C40715"/>
    <w:rsid w:val="00C42709"/>
    <w:rsid w:val="00C50859"/>
    <w:rsid w:val="00C533CC"/>
    <w:rsid w:val="00C5751C"/>
    <w:rsid w:val="00C61BFC"/>
    <w:rsid w:val="00C62B85"/>
    <w:rsid w:val="00C65438"/>
    <w:rsid w:val="00C7275D"/>
    <w:rsid w:val="00C915F9"/>
    <w:rsid w:val="00C91CBB"/>
    <w:rsid w:val="00CA3A2C"/>
    <w:rsid w:val="00CB5E32"/>
    <w:rsid w:val="00CB6FD3"/>
    <w:rsid w:val="00CB7DF0"/>
    <w:rsid w:val="00CC09B6"/>
    <w:rsid w:val="00CC666F"/>
    <w:rsid w:val="00CD04C7"/>
    <w:rsid w:val="00CD1E3F"/>
    <w:rsid w:val="00CE44F6"/>
    <w:rsid w:val="00CE49DA"/>
    <w:rsid w:val="00CE7B61"/>
    <w:rsid w:val="00D00095"/>
    <w:rsid w:val="00D20620"/>
    <w:rsid w:val="00D21479"/>
    <w:rsid w:val="00D26091"/>
    <w:rsid w:val="00D34E7C"/>
    <w:rsid w:val="00D35489"/>
    <w:rsid w:val="00D419EB"/>
    <w:rsid w:val="00D51276"/>
    <w:rsid w:val="00D63AF8"/>
    <w:rsid w:val="00D7035F"/>
    <w:rsid w:val="00D76B78"/>
    <w:rsid w:val="00DA65AC"/>
    <w:rsid w:val="00DB1913"/>
    <w:rsid w:val="00DC1C99"/>
    <w:rsid w:val="00DC410D"/>
    <w:rsid w:val="00DC68CA"/>
    <w:rsid w:val="00DC7CBA"/>
    <w:rsid w:val="00DD73B7"/>
    <w:rsid w:val="00DF28BC"/>
    <w:rsid w:val="00DF34B9"/>
    <w:rsid w:val="00E01053"/>
    <w:rsid w:val="00E07ACF"/>
    <w:rsid w:val="00E201ED"/>
    <w:rsid w:val="00E3104D"/>
    <w:rsid w:val="00E331A1"/>
    <w:rsid w:val="00E33202"/>
    <w:rsid w:val="00E336A9"/>
    <w:rsid w:val="00E3449A"/>
    <w:rsid w:val="00E50624"/>
    <w:rsid w:val="00E568DF"/>
    <w:rsid w:val="00E64269"/>
    <w:rsid w:val="00E74955"/>
    <w:rsid w:val="00E82267"/>
    <w:rsid w:val="00E856FD"/>
    <w:rsid w:val="00EA010F"/>
    <w:rsid w:val="00EB3C99"/>
    <w:rsid w:val="00ED1B63"/>
    <w:rsid w:val="00ED3C1F"/>
    <w:rsid w:val="00ED4085"/>
    <w:rsid w:val="00ED420E"/>
    <w:rsid w:val="00EE2166"/>
    <w:rsid w:val="00EE2F57"/>
    <w:rsid w:val="00EE6221"/>
    <w:rsid w:val="00EF4C34"/>
    <w:rsid w:val="00EF77C6"/>
    <w:rsid w:val="00F05438"/>
    <w:rsid w:val="00F1249B"/>
    <w:rsid w:val="00F1361C"/>
    <w:rsid w:val="00F15769"/>
    <w:rsid w:val="00F160C7"/>
    <w:rsid w:val="00F1675F"/>
    <w:rsid w:val="00F36D8F"/>
    <w:rsid w:val="00F37245"/>
    <w:rsid w:val="00F37DD0"/>
    <w:rsid w:val="00F417B1"/>
    <w:rsid w:val="00F602DF"/>
    <w:rsid w:val="00F72CCA"/>
    <w:rsid w:val="00F81FD9"/>
    <w:rsid w:val="00F841AA"/>
    <w:rsid w:val="00F924C0"/>
    <w:rsid w:val="00F95466"/>
    <w:rsid w:val="00FA23E8"/>
    <w:rsid w:val="00FC3235"/>
    <w:rsid w:val="00FD047F"/>
    <w:rsid w:val="00FD3CC1"/>
    <w:rsid w:val="00FE08C6"/>
    <w:rsid w:val="00FF1E02"/>
    <w:rsid w:val="00FF30B4"/>
    <w:rsid w:val="00FF3972"/>
    <w:rsid w:val="00FF3D95"/>
    <w:rsid w:val="00FF5769"/>
    <w:rsid w:val="10C055FF"/>
    <w:rsid w:val="16BB723D"/>
    <w:rsid w:val="240371BF"/>
    <w:rsid w:val="29FD04D3"/>
    <w:rsid w:val="319F7F4E"/>
    <w:rsid w:val="6F264567"/>
    <w:rsid w:val="FDD7AD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Emphasis"/>
    <w:basedOn w:val="13"/>
    <w:qFormat/>
    <w:uiPriority w:val="99"/>
    <w:rPr>
      <w:rFonts w:cs="Times New Roman"/>
      <w:i/>
      <w:sz w:val="21"/>
    </w:rPr>
  </w:style>
  <w:style w:type="character" w:styleId="16">
    <w:name w:val="Hyperlink"/>
    <w:basedOn w:val="13"/>
    <w:qFormat/>
    <w:uiPriority w:val="99"/>
    <w:rPr>
      <w:rFonts w:cs="Times New Roman"/>
      <w:color w:val="0000FF"/>
      <w:u w:val="single"/>
    </w:rPr>
  </w:style>
  <w:style w:type="character" w:customStyle="1" w:styleId="17">
    <w:name w:val="Heading 1 Char"/>
    <w:basedOn w:val="13"/>
    <w:link w:val="2"/>
    <w:qFormat/>
    <w:locked/>
    <w:uiPriority w:val="99"/>
    <w:rPr>
      <w:rFonts w:ascii="Times New Roman" w:hAnsi="Times New Roman" w:cs="Times New Roman"/>
      <w:b/>
      <w:bCs/>
      <w:kern w:val="44"/>
      <w:sz w:val="44"/>
      <w:szCs w:val="44"/>
    </w:rPr>
  </w:style>
  <w:style w:type="character" w:customStyle="1" w:styleId="18">
    <w:name w:val="Heading 2 Char"/>
    <w:basedOn w:val="13"/>
    <w:link w:val="3"/>
    <w:qFormat/>
    <w:locked/>
    <w:uiPriority w:val="99"/>
    <w:rPr>
      <w:rFonts w:ascii="Cambria" w:hAnsi="Cambria" w:eastAsia="宋体" w:cs="Times New Roman"/>
      <w:b/>
      <w:bCs/>
      <w:kern w:val="2"/>
      <w:sz w:val="32"/>
      <w:szCs w:val="32"/>
    </w:rPr>
  </w:style>
  <w:style w:type="character" w:customStyle="1" w:styleId="19">
    <w:name w:val="Heading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uiPriority w:val="99"/>
    <w:rPr>
      <w:rFonts w:ascii="Times New Roman" w:hAnsi="Times New Roman" w:cs="Times New Roman"/>
      <w:sz w:val="24"/>
      <w:szCs w:val="24"/>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Balloon Text Char"/>
    <w:basedOn w:val="13"/>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21046;&#20316;2018&#241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21046;&#20316;2018&#241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21046;&#20316;2018&#241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21046;&#20316;2018&#241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39292;&#29366;&#22270;&#21046;&#20316;2018&#241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收支总决算</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367362019979663"/>
          <c:y val="0.0687177991639935"/>
        </c:manualLayout>
      </c:layout>
      <c:overlay val="0"/>
      <c:spPr>
        <a:noFill/>
        <a:ln>
          <a:noFill/>
          <a:round/>
        </a:ln>
      </c:spPr>
    </c:title>
    <c:autoTitleDeleted val="0"/>
    <c:plotArea>
      <c:layout>
        <c:manualLayout>
          <c:layoutTarget val="inner"/>
          <c:xMode val="edge"/>
          <c:yMode val="edge"/>
          <c:x val="0.158242241206637"/>
          <c:y val="0.237196850393701"/>
          <c:w val="0.80015806111696"/>
          <c:h val="0.630933333333338"/>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ext>
            </c:extLst>
          </c:dLbls>
          <c:cat>
            <c:strRef>
              <c:f>Sheet1!$G$1:$G$2</c:f>
              <c:strCache>
                <c:ptCount val="2"/>
                <c:pt idx="0">
                  <c:v>2017年</c:v>
                </c:pt>
                <c:pt idx="1">
                  <c:v>2018年</c:v>
                </c:pt>
              </c:strCache>
            </c:strRef>
          </c:cat>
          <c:val>
            <c:numRef>
              <c:f>Sheet1!$H$1:$H$2</c:f>
              <c:numCache>
                <c:formatCode>General</c:formatCode>
                <c:ptCount val="2"/>
                <c:pt idx="0">
                  <c:v>85.85</c:v>
                </c:pt>
                <c:pt idx="1">
                  <c:v>73.94</c:v>
                </c:pt>
              </c:numCache>
            </c:numRef>
          </c:val>
        </c:ser>
        <c:dLbls>
          <c:showLegendKey val="1"/>
          <c:showVal val="1"/>
          <c:showCatName val="1"/>
          <c:showSerName val="1"/>
          <c:showPercent val="1"/>
          <c:showBubbleSize val="1"/>
        </c:dLbls>
        <c:gapWidth val="219"/>
        <c:overlap val="-27"/>
        <c:axId val="47247360"/>
        <c:axId val="47248896"/>
      </c:barChart>
      <c:catAx>
        <c:axId val="47247360"/>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47248896"/>
        <c:crosses val="autoZero"/>
        <c:auto val="1"/>
        <c:lblAlgn val="ctr"/>
        <c:lblOffset val="100"/>
        <c:noMultiLvlLbl val="0"/>
      </c:catAx>
      <c:valAx>
        <c:axId val="47248896"/>
        <c:scaling>
          <c:orientation val="minMax"/>
        </c:scaling>
        <c:delete val="0"/>
        <c:axPos val="l"/>
        <c:majorGridlines>
          <c:spPr>
            <a:ln w="9525" cap="flat" cmpd="sng" algn="ctr">
              <a:solidFill>
                <a:srgbClr val="D9D9D9">
                  <a:alpha val="100000"/>
                </a:srgbClr>
              </a:solidFill>
              <a:prstDash val="solid"/>
              <a:round/>
            </a:ln>
          </c:spPr>
        </c:majorGridlines>
        <c:numFmt formatCode="General"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47247360"/>
        <c:crosses val="autoZero"/>
        <c:crossBetween val="between"/>
      </c:valAx>
      <c:spPr>
        <a:noFill/>
        <a:ln>
          <a:noFill/>
          <a:round/>
        </a:ln>
      </c:spPr>
    </c:plotArea>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400" b="0" i="0" u="none" baseline="0">
                <a:solidFill>
                  <a:srgbClr val="595959"/>
                </a:solidFill>
                <a:latin typeface="宋体" panose="02010600030101010101" charset="-122"/>
                <a:ea typeface="宋体" panose="02010600030101010101" charset="-122"/>
              </a:rPr>
              <a:t>支出分类</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316091752898704"/>
          <c:y val="0.0277777777777781"/>
        </c:manualLayout>
      </c:layout>
      <c:overlay val="0"/>
      <c:spPr>
        <a:noFill/>
        <a:ln>
          <a:noFill/>
          <a:round/>
        </a:ln>
      </c:spPr>
    </c:title>
    <c:autoTitleDeleted val="0"/>
    <c:plotArea>
      <c:layout/>
      <c:pieChart>
        <c:varyColors val="1"/>
        <c:ser>
          <c:idx val="0"/>
          <c:order val="0"/>
          <c:explosion val="0"/>
          <c:dPt>
            <c:idx val="0"/>
            <c:bubble3D val="0"/>
            <c:spPr>
              <a:solidFill>
                <a:srgbClr val="4F81BD">
                  <a:alpha val="100000"/>
                </a:srgbClr>
              </a:solidFill>
              <a:ln w="19050" cap="flat">
                <a:solidFill>
                  <a:srgbClr val="FFFFFF">
                    <a:alpha val="100000"/>
                  </a:srgbClr>
                </a:solidFill>
                <a:round/>
              </a:ln>
            </c:spPr>
          </c:dPt>
          <c:dPt>
            <c:idx val="1"/>
            <c:bubble3D val="0"/>
            <c:spPr>
              <a:solidFill>
                <a:srgbClr val="C0504D">
                  <a:alpha val="100000"/>
                </a:srgbClr>
              </a:solidFill>
              <a:ln w="19050" cap="flat">
                <a:solidFill>
                  <a:srgbClr val="FFFFFF">
                    <a:alpha val="100000"/>
                  </a:srgbClr>
                </a:solidFill>
                <a:round/>
              </a:ln>
            </c:spPr>
          </c:dPt>
          <c:dLbls>
            <c:dLbl>
              <c:idx val="0"/>
              <c:layout>
                <c:manualLayout>
                  <c:x val="-0.0105866707041336"/>
                  <c:y val="-0.256656935907357"/>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Sheet1!$D$1:$D$2</c:f>
              <c:strCache>
                <c:ptCount val="2"/>
                <c:pt idx="0">
                  <c:v>基本支出</c:v>
                </c:pt>
                <c:pt idx="1">
                  <c:v>项目支出</c:v>
                </c:pt>
              </c:strCache>
            </c:strRef>
          </c:cat>
          <c:val>
            <c:numRef>
              <c:f>Sheet1!$E$1:$E$2</c:f>
              <c:numCache>
                <c:formatCode>#,##0.00</c:formatCode>
                <c:ptCount val="2"/>
                <c:pt idx="0">
                  <c:v>70.74</c:v>
                </c:pt>
                <c:pt idx="1">
                  <c:v>3.2</c:v>
                </c:pt>
              </c:numCache>
            </c:numRef>
          </c:val>
        </c:ser>
        <c:dLbls>
          <c:showLegendKey val="1"/>
          <c:showVal val="1"/>
          <c:showCatName val="1"/>
          <c:showSerName val="1"/>
          <c:showPercent val="1"/>
          <c:showBubbleSize val="1"/>
          <c:showLeaderLines val="1"/>
        </c:dLbls>
        <c:firstSliceAng val="0"/>
      </c:pieChart>
      <c:spPr>
        <a:noFill/>
        <a:ln>
          <a:noFill/>
          <a:round/>
        </a:ln>
      </c:spPr>
    </c:plotArea>
    <c:legend>
      <c:legendPos val="b"/>
      <c:layout/>
      <c:overlay val="0"/>
      <c:spPr>
        <a:noFill/>
        <a:ln>
          <a:noFill/>
          <a:round/>
        </a:ln>
      </c:spPr>
      <c:txPr>
        <a:bodyPr rot="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zero"/>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zh-CN" altLang="zh-CN" sz="1400" b="0" i="0" u="none" strike="noStrike" baseline="0"/>
              <a:t>财政拨款收、支决算</a:t>
            </a:r>
            <a:endParaRPr lang="ko-KR" altLang="en-US" sz="1400" b="0" i="0" u="none" baseline="0">
              <a:solidFill>
                <a:srgbClr val="595959"/>
              </a:solidFill>
              <a:latin typeface="宋体" panose="02010600030101010101" charset="-122"/>
              <a:ea typeface="宋体" panose="02010600030101010101" charset="-122"/>
            </a:endParaRPr>
          </a:p>
        </c:rich>
      </c:tx>
      <c:layout>
        <c:manualLayout>
          <c:xMode val="edge"/>
          <c:yMode val="edge"/>
          <c:x val="0.153025185974164"/>
          <c:y val="0.0406476032601188"/>
        </c:manualLayout>
      </c:layout>
      <c:overlay val="0"/>
      <c:spPr>
        <a:noFill/>
        <a:ln>
          <a:noFill/>
          <a:round/>
        </a:ln>
      </c:spPr>
    </c:title>
    <c:autoTitleDeleted val="0"/>
    <c:plotArea>
      <c:layout>
        <c:manualLayout>
          <c:layoutTarget val="inner"/>
          <c:xMode val="edge"/>
          <c:yMode val="edge"/>
          <c:x val="0.128781693429069"/>
          <c:y val="0.195091587235806"/>
          <c:w val="0.80015806111696"/>
          <c:h val="0.630933333333338"/>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ext>
            </c:extLst>
          </c:dLbls>
          <c:cat>
            <c:strRef>
              <c:f>Sheet1!$D$44:$D$45</c:f>
              <c:strCache>
                <c:ptCount val="2"/>
                <c:pt idx="0">
                  <c:v>2017年</c:v>
                </c:pt>
                <c:pt idx="1">
                  <c:v>2018年</c:v>
                </c:pt>
              </c:strCache>
            </c:strRef>
          </c:cat>
          <c:val>
            <c:numRef>
              <c:f>Sheet1!$E$44:$E$45</c:f>
              <c:numCache>
                <c:formatCode>General</c:formatCode>
                <c:ptCount val="2"/>
                <c:pt idx="0">
                  <c:v>85.85</c:v>
                </c:pt>
                <c:pt idx="1">
                  <c:v>73.94</c:v>
                </c:pt>
              </c:numCache>
            </c:numRef>
          </c:val>
        </c:ser>
        <c:dLbls>
          <c:showLegendKey val="1"/>
          <c:showVal val="1"/>
          <c:showCatName val="1"/>
          <c:showSerName val="1"/>
          <c:showPercent val="1"/>
          <c:showBubbleSize val="1"/>
        </c:dLbls>
        <c:gapWidth val="219"/>
        <c:overlap val="-27"/>
        <c:axId val="50192384"/>
        <c:axId val="50193920"/>
      </c:barChart>
      <c:catAx>
        <c:axId val="50192384"/>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50193920"/>
        <c:crosses val="autoZero"/>
        <c:auto val="1"/>
        <c:lblAlgn val="ctr"/>
        <c:lblOffset val="100"/>
        <c:noMultiLvlLbl val="0"/>
      </c:catAx>
      <c:valAx>
        <c:axId val="50193920"/>
        <c:scaling>
          <c:orientation val="minMax"/>
        </c:scaling>
        <c:delete val="0"/>
        <c:axPos val="l"/>
        <c:majorGridlines>
          <c:spPr>
            <a:ln w="9525" cap="flat" cmpd="sng" algn="ctr">
              <a:solidFill>
                <a:srgbClr val="D9D9D9">
                  <a:alpha val="100000"/>
                </a:srgbClr>
              </a:solidFill>
              <a:prstDash val="solid"/>
              <a:round/>
            </a:ln>
          </c:spPr>
        </c:majorGridlines>
        <c:numFmt formatCode="General"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50192384"/>
        <c:crosses val="autoZero"/>
        <c:crossBetween val="between"/>
      </c:valAx>
      <c:spPr>
        <a:noFill/>
        <a:ln>
          <a:noFill/>
          <a:round/>
        </a:ln>
      </c:spPr>
    </c:plotArea>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zh-CN" altLang="zh-CN" sz="1400" b="0" i="0" u="none" strike="noStrike" baseline="0"/>
              <a:t>一般公共预算财政拨款支出决算变动情况</a:t>
            </a:r>
            <a:endParaRPr lang="ko-KR" altLang="en-US" sz="1400" b="1" i="0" u="none" strike="noStrike" kern="1200" baseline="0">
              <a:solidFill>
                <a:srgbClr val="000000"/>
              </a:solidFill>
              <a:latin typeface="宋体" panose="02010600030101010101" charset="-122"/>
              <a:ea typeface="宋体" panose="02010600030101010101" charset="-122"/>
              <a:cs typeface="+mn-cs"/>
            </a:endParaRPr>
          </a:p>
        </c:rich>
      </c:tx>
      <c:layout>
        <c:manualLayout>
          <c:xMode val="edge"/>
          <c:yMode val="edge"/>
          <c:x val="0.153025185974164"/>
          <c:y val="0.0406476032601188"/>
        </c:manualLayout>
      </c:layout>
      <c:overlay val="0"/>
      <c:spPr>
        <a:noFill/>
        <a:ln>
          <a:noFill/>
          <a:round/>
        </a:ln>
      </c:spPr>
    </c:title>
    <c:autoTitleDeleted val="0"/>
    <c:plotArea>
      <c:layout>
        <c:manualLayout>
          <c:layoutTarget val="inner"/>
          <c:xMode val="edge"/>
          <c:yMode val="edge"/>
          <c:x val="0.0868430850697077"/>
          <c:y val="0.251231938112997"/>
          <c:w val="0.80015806111696"/>
          <c:h val="0.630933333333338"/>
        </c:manualLayout>
      </c:layout>
      <c:barChart>
        <c:barDir val="col"/>
        <c:grouping val="clustered"/>
        <c:varyColors val="0"/>
        <c:ser>
          <c:idx val="0"/>
          <c:order val="0"/>
          <c:spPr>
            <a:solidFill>
              <a:srgbClr val="4F81BD">
                <a:alpha val="100000"/>
              </a:srgbClr>
            </a:solidFill>
            <a:ln>
              <a:noFill/>
              <a:round/>
            </a:ln>
          </c:spPr>
          <c:invertIfNegative val="0"/>
          <c:dLbls>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ext>
            </c:extLst>
          </c:dLbls>
          <c:cat>
            <c:strRef>
              <c:f>Sheet1!$H$45:$H$46</c:f>
              <c:strCache>
                <c:ptCount val="2"/>
                <c:pt idx="0">
                  <c:v>2017年</c:v>
                </c:pt>
                <c:pt idx="1">
                  <c:v>2018年</c:v>
                </c:pt>
              </c:strCache>
            </c:strRef>
          </c:cat>
          <c:val>
            <c:numRef>
              <c:f>Sheet1!$I$45:$I$46</c:f>
              <c:numCache>
                <c:formatCode>General</c:formatCode>
                <c:ptCount val="2"/>
                <c:pt idx="0">
                  <c:v>85.85</c:v>
                </c:pt>
                <c:pt idx="1">
                  <c:v>73.94</c:v>
                </c:pt>
              </c:numCache>
            </c:numRef>
          </c:val>
        </c:ser>
        <c:dLbls>
          <c:showLegendKey val="1"/>
          <c:showVal val="1"/>
          <c:showCatName val="1"/>
          <c:showSerName val="1"/>
          <c:showPercent val="1"/>
          <c:showBubbleSize val="1"/>
        </c:dLbls>
        <c:gapWidth val="219"/>
        <c:overlap val="-27"/>
        <c:axId val="50231168"/>
        <c:axId val="50232704"/>
      </c:barChart>
      <c:catAx>
        <c:axId val="50231168"/>
        <c:scaling>
          <c:orientation val="minMax"/>
        </c:scaling>
        <c:delete val="0"/>
        <c:axPos val="b"/>
        <c:majorTickMark val="none"/>
        <c:minorTickMark val="none"/>
        <c:tickLblPos val="nextTo"/>
        <c:spPr>
          <a:noFill/>
          <a:ln w="9525" cap="flat" cmpd="sng" algn="ctr">
            <a:solidFill>
              <a:srgbClr val="D9D9D9">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50232704"/>
        <c:crosses val="autoZero"/>
        <c:auto val="1"/>
        <c:lblAlgn val="ctr"/>
        <c:lblOffset val="100"/>
        <c:noMultiLvlLbl val="0"/>
      </c:catAx>
      <c:valAx>
        <c:axId val="50232704"/>
        <c:scaling>
          <c:orientation val="minMax"/>
        </c:scaling>
        <c:delete val="0"/>
        <c:axPos val="l"/>
        <c:majorGridlines>
          <c:spPr>
            <a:ln w="9525" cap="flat" cmpd="sng" algn="ctr">
              <a:solidFill>
                <a:srgbClr val="D9D9D9">
                  <a:alpha val="100000"/>
                </a:srgbClr>
              </a:solidFill>
              <a:prstDash val="solid"/>
              <a:round/>
            </a:ln>
          </c:spPr>
        </c:majorGridlines>
        <c:numFmt formatCode="General" sourceLinked="1"/>
        <c:majorTickMark val="none"/>
        <c:minorTickMark val="none"/>
        <c:tickLblPos val="nextTo"/>
        <c:spPr>
          <a:noFill/>
          <a:ln w="952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crossAx val="50231168"/>
        <c:crosses val="autoZero"/>
        <c:crossBetween val="between"/>
      </c:valAx>
      <c:spPr>
        <a:noFill/>
        <a:ln>
          <a:noFill/>
          <a:round/>
        </a:ln>
      </c:spPr>
    </c:plotArea>
    <c:plotVisOnly val="1"/>
    <c:dispBlanksAs val="gap"/>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400" b="0" i="0" u="none" strike="noStrike" kern="1200" baseline="0">
                <a:solidFill>
                  <a:srgbClr val="000000"/>
                </a:solidFill>
                <a:latin typeface="宋体" panose="02010600030101010101" charset="-122"/>
                <a:ea typeface="宋体" panose="02010600030101010101" charset="-122"/>
                <a:cs typeface="+mn-cs"/>
              </a:defRPr>
            </a:pPr>
            <a:r>
              <a:rPr lang="ko-KR" altLang="en-US" sz="1200" b="0" i="0" u="none" baseline="0">
                <a:solidFill>
                  <a:srgbClr val="595959"/>
                </a:solidFill>
                <a:latin typeface="宋体" panose="02010600030101010101" charset="-122"/>
                <a:ea typeface="宋体" panose="02010600030101010101" charset="-122"/>
              </a:rPr>
              <a:t>一般公共预算财政拨款支出
</a:t>
            </a:r>
            <a:endParaRPr lang="ko-KR" altLang="en-US" sz="1200" b="0" i="0" u="none" baseline="0">
              <a:solidFill>
                <a:srgbClr val="595959"/>
              </a:solidFill>
              <a:latin typeface="宋体" panose="02010600030101010101" charset="-122"/>
              <a:ea typeface="宋体" panose="02010600030101010101" charset="-122"/>
            </a:endParaRPr>
          </a:p>
        </c:rich>
      </c:tx>
      <c:layout/>
      <c:overlay val="0"/>
      <c:spPr>
        <a:noFill/>
        <a:ln>
          <a:noFill/>
          <a:round/>
        </a:ln>
      </c:spPr>
    </c:title>
    <c:autoTitleDeleted val="0"/>
    <c:plotArea>
      <c:layout/>
      <c:pieChart>
        <c:varyColors val="1"/>
        <c:ser>
          <c:idx val="0"/>
          <c:order val="0"/>
          <c:explosion val="0"/>
          <c:dPt>
            <c:idx val="0"/>
            <c:bubble3D val="0"/>
            <c:spPr>
              <a:solidFill>
                <a:srgbClr val="4F81BD">
                  <a:alpha val="100000"/>
                </a:srgbClr>
              </a:solidFill>
              <a:ln w="19050" cap="flat">
                <a:solidFill>
                  <a:srgbClr val="FFFFFF">
                    <a:alpha val="100000"/>
                  </a:srgbClr>
                </a:solidFill>
                <a:round/>
              </a:ln>
            </c:spPr>
          </c:dPt>
          <c:dPt>
            <c:idx val="1"/>
            <c:bubble3D val="0"/>
            <c:spPr>
              <a:solidFill>
                <a:srgbClr val="C0504D">
                  <a:alpha val="100000"/>
                </a:srgbClr>
              </a:solidFill>
              <a:ln w="19050" cap="flat">
                <a:solidFill>
                  <a:srgbClr val="FFFFFF">
                    <a:alpha val="100000"/>
                  </a:srgbClr>
                </a:solidFill>
                <a:round/>
              </a:ln>
            </c:spPr>
          </c:dPt>
          <c:dPt>
            <c:idx val="2"/>
            <c:bubble3D val="0"/>
            <c:spPr>
              <a:solidFill>
                <a:srgbClr val="9BBB59">
                  <a:alpha val="100000"/>
                </a:srgbClr>
              </a:solidFill>
              <a:ln w="19050" cap="flat">
                <a:solidFill>
                  <a:srgbClr val="FFFFFF">
                    <a:alpha val="100000"/>
                  </a:srgbClr>
                </a:solidFill>
                <a:round/>
              </a:ln>
            </c:spPr>
          </c:dPt>
          <c:dPt>
            <c:idx val="3"/>
            <c:bubble3D val="0"/>
            <c:spPr>
              <a:solidFill>
                <a:srgbClr val="8064A2">
                  <a:alpha val="100000"/>
                </a:srgbClr>
              </a:solidFill>
              <a:ln w="19050" cap="flat">
                <a:solidFill>
                  <a:srgbClr val="FFFFFF">
                    <a:alpha val="100000"/>
                  </a:srgbClr>
                </a:solidFill>
                <a:round/>
              </a:ln>
            </c:spPr>
          </c:dPt>
          <c:dLbls>
            <c:dLbl>
              <c:idx val="0"/>
              <c:layout>
                <c:manualLayout>
                  <c:x val="-0.0542250338906467"/>
                  <c:y val="-0.172131147540984"/>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0.127423891571227"/>
                  <c:y val="0.0542207186638523"/>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0.0903018520740127"/>
                  <c:y val="-0.0721273447610094"/>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3"/>
              <c:layout>
                <c:manualLayout>
                  <c:x val="0.299481869695621"/>
                  <c:y val="-0.0474639850460326"/>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b" anchorCtr="1"/>
              <a:lstStyle/>
              <a:p>
                <a:pPr>
                  <a:defRPr lang="zh-CN" sz="900" b="0" i="0" u="none" strike="noStrike" kern="1200" baseline="0">
                    <a:solidFill>
                      <a:srgbClr val="404040"/>
                    </a:solidFill>
                    <a:latin typeface="宋体" panose="02010600030101010101" charset="-122"/>
                    <a:ea typeface="宋体" panose="02010600030101010101" charset="-122"/>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Sheet1!$D$23:$D$26</c:f>
              <c:strCache>
                <c:ptCount val="4"/>
                <c:pt idx="0">
                  <c:v>一般公共服务</c:v>
                </c:pt>
                <c:pt idx="1">
                  <c:v>社会保障和就业</c:v>
                </c:pt>
                <c:pt idx="2">
                  <c:v>住房保障支出</c:v>
                </c:pt>
                <c:pt idx="3">
                  <c:v>医疗卫生</c:v>
                </c:pt>
              </c:strCache>
            </c:strRef>
          </c:cat>
          <c:val>
            <c:numRef>
              <c:f>Sheet1!$E$23:$E$26</c:f>
              <c:numCache>
                <c:formatCode>General</c:formatCode>
                <c:ptCount val="4"/>
                <c:pt idx="0">
                  <c:v>57.86</c:v>
                </c:pt>
                <c:pt idx="1">
                  <c:v>6.16</c:v>
                </c:pt>
                <c:pt idx="2">
                  <c:v>6.03</c:v>
                </c:pt>
                <c:pt idx="3">
                  <c:v>3.9</c:v>
                </c:pt>
              </c:numCache>
            </c:numRef>
          </c:val>
        </c:ser>
        <c:dLbls>
          <c:showLegendKey val="1"/>
          <c:showVal val="1"/>
          <c:showCatName val="1"/>
          <c:showSerName val="1"/>
          <c:showPercent val="1"/>
          <c:showBubbleSize val="1"/>
          <c:showLeaderLines val="1"/>
        </c:dLbls>
        <c:firstSliceAng val="0"/>
      </c:pieChart>
      <c:spPr>
        <a:noFill/>
        <a:ln>
          <a:noFill/>
          <a:round/>
        </a:ln>
      </c:spPr>
    </c:plotArea>
    <c:legend>
      <c:legendPos val="b"/>
      <c:layout/>
      <c:overlay val="0"/>
      <c:spPr>
        <a:noFill/>
        <a:ln>
          <a:noFill/>
          <a:round/>
        </a:ln>
      </c:spPr>
      <c:txPr>
        <a:bodyPr rot="0" spcFirstLastPara="0" vertOverflow="ellipsis" vert="horz" wrap="square" anchor="ctr" anchorCtr="1"/>
        <a:lstStyle/>
        <a:p>
          <a:pPr>
            <a:defRPr lang="zh-CN" sz="900" b="0" i="0" u="none" strike="noStrike" kern="1200" baseline="0">
              <a:solidFill>
                <a:srgbClr val="595959"/>
              </a:solidFill>
              <a:latin typeface="宋体" panose="02010600030101010101" charset="-122"/>
              <a:ea typeface="宋体" panose="02010600030101010101" charset="-122"/>
              <a:cs typeface="+mn-cs"/>
            </a:defRPr>
          </a:pPr>
        </a:p>
      </c:txPr>
    </c:legend>
    <c:plotVisOnly val="1"/>
    <c:dispBlanksAs val="zero"/>
    <c:showDLblsOverMax val="0"/>
  </c:chart>
  <c:spPr>
    <a:solidFill>
      <a:srgbClr val="FFFFFF">
        <a:alpha val="100000"/>
      </a:srgbClr>
    </a:solidFill>
    <a:ln w="9525" cap="flat" cmpd="sng" algn="ctr">
      <a:solidFill>
        <a:srgbClr val="D9D9D9">
          <a:alpha val="100000"/>
        </a:srgbClr>
      </a:solidFill>
      <a:prstDash val="solid"/>
      <a:round/>
    </a:ln>
  </c:spPr>
  <c:txPr>
    <a:bodyPr/>
    <a:lstStyle/>
    <a:p>
      <a:pPr>
        <a:defRPr lang="zh-CN" sz="1000" b="0" i="0" u="none" baseline="0">
          <a:solidFill>
            <a:srgbClr val="000000"/>
          </a:solidFill>
          <a:latin typeface="宋体" panose="02010600030101010101" charset="-122"/>
          <a:ea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30</Pages>
  <Words>9673</Words>
  <Characters>10289</Characters>
  <Lines>0</Lines>
  <Paragraphs>0</Paragraphs>
  <TotalTime>1137</TotalTime>
  <ScaleCrop>false</ScaleCrop>
  <LinksUpToDate>false</LinksUpToDate>
  <CharactersWithSpaces>10359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2019-09-11T14:17:00Z</dcterms:created>
  <dc:creator>张彬茜</dc:creator>
  <cp:lastModifiedBy>WPS_1663123258</cp:lastModifiedBy>
  <cp:lastPrinted>2019-10-21T11:16:00Z</cp:lastPrinted>
  <dcterms:modified xsi:type="dcterms:W3CDTF">2023-03-09T02:56:43Z</dcterms:modified>
  <dc:title>四川省***</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7F58D309B4624AB3B6195466957DC61F</vt:lpwstr>
  </property>
</Properties>
</file>