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攀枝花市西区政府债务</w:t>
      </w:r>
      <w:r>
        <w:rPr>
          <w:rFonts w:hint="eastAsia" w:eastAsia="方正小标宋_GBK"/>
          <w:sz w:val="44"/>
          <w:szCs w:val="44"/>
          <w:lang w:val="en-US" w:eastAsia="zh-CN"/>
        </w:rPr>
        <w:t>管理</w:t>
      </w:r>
      <w:r>
        <w:rPr>
          <w:rFonts w:eastAsia="方正小标宋_GBK"/>
          <w:sz w:val="44"/>
          <w:szCs w:val="44"/>
        </w:rPr>
        <w:t>情况说明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</w:p>
    <w:p>
      <w:pPr>
        <w:spacing w:line="353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一、政府债务情况</w:t>
      </w:r>
    </w:p>
    <w:p>
      <w:pPr>
        <w:spacing w:line="353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西区政府债务系统余额为162,384万元，其中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一般债务124,680万元，专项债务37,704万元，控制在当年全区政府债务限额</w:t>
      </w:r>
      <w:r>
        <w:rPr>
          <w:rFonts w:hint="eastAsia" w:eastAsia="仿宋_GB2312"/>
          <w:sz w:val="32"/>
          <w:szCs w:val="32"/>
        </w:rPr>
        <w:t>190,866</w:t>
      </w:r>
      <w:r>
        <w:rPr>
          <w:rFonts w:eastAsia="仿宋_GB2312"/>
          <w:sz w:val="32"/>
          <w:szCs w:val="32"/>
        </w:rPr>
        <w:t>万元以内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债务风险总体可控</w:t>
      </w:r>
      <w:r>
        <w:rPr>
          <w:rFonts w:eastAsia="仿宋_GB2312"/>
          <w:sz w:val="32"/>
          <w:szCs w:val="32"/>
        </w:rPr>
        <w:t>。2020年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地方政府债券转贷收入52,166万元，其中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新增债券收入16,000万元（一般债券4,500</w:t>
      </w:r>
      <w:bookmarkStart w:id="0" w:name="_GoBack"/>
      <w:bookmarkEnd w:id="0"/>
      <w:r>
        <w:rPr>
          <w:rFonts w:eastAsia="仿宋_GB2312"/>
          <w:sz w:val="32"/>
          <w:szCs w:val="32"/>
        </w:rPr>
        <w:t>万元，专项债券11,500万元），主要用于梅子箐水库改扩建工程建设、园区污水处理厂建设、西城区公共服务基础设施项目建设、园区发展服务中心及配套设施项目建设及公办幼儿园建设。</w:t>
      </w:r>
    </w:p>
    <w:p>
      <w:pPr>
        <w:spacing w:line="353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二、管理措施</w:t>
      </w:r>
    </w:p>
    <w:p>
      <w:pPr>
        <w:spacing w:line="353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一是落实化债计划。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将政府债务纳入预算管理，科学编制债务化解计划，统筹安排资金用于偿还到期债务本息，防范逾期风险，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2020年，累计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化解债务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spacing w:line="353" w:lineRule="auto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优化债务结构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充分利用省厅置换债券、再融资债券政策，将高成本债务置换为长期低成本债务，进一步优化债务期限结构、降低利息支出、缓释债务风险。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2021年，累计争取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再融资债券收入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53" w:lineRule="auto"/>
        <w:ind w:firstLine="643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融资支持发展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认真测算债务风险水平，将债务与发展统筹起来，在风险可控的情况下，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聚焦省级发展重点，结合西区实际，着力梳理包装重点项目争取债券资金。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争取新增债券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1.88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亿元，为辖区重点基础项目建设提供资金保障。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3088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wMTY0ZmZiMDIzODA0M2RkZTE2MDZkZDhmNjZmY2MifQ=="/>
  </w:docVars>
  <w:rsids>
    <w:rsidRoot w:val="002D10FA"/>
    <w:rsid w:val="00003682"/>
    <w:rsid w:val="000B4676"/>
    <w:rsid w:val="002D10FA"/>
    <w:rsid w:val="007D6AB4"/>
    <w:rsid w:val="00AA1885"/>
    <w:rsid w:val="00C10AAD"/>
    <w:rsid w:val="36A13466"/>
    <w:rsid w:val="5F8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476</Words>
  <Characters>542</Characters>
  <Lines>1</Lines>
  <Paragraphs>1</Paragraphs>
  <TotalTime>0</TotalTime>
  <ScaleCrop>false</ScaleCrop>
  <LinksUpToDate>false</LinksUpToDate>
  <CharactersWithSpaces>542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Microsoft</dc:creator>
  <cp:lastModifiedBy>董·R</cp:lastModifiedBy>
  <dcterms:modified xsi:type="dcterms:W3CDTF">2022-07-17T13:48:09Z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7B35CD3BF9884A1A8158CC620BFE3268</vt:lpwstr>
  </property>
</Properties>
</file>