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589" w:rsidRDefault="005C6AEB">
      <w:pPr>
        <w:ind w:firstLineChars="0" w:firstLine="0"/>
        <w:jc w:val="center"/>
        <w:rPr>
          <w:rFonts w:ascii="方正小标宋_GBK" w:eastAsia="方正小标宋_GBK"/>
          <w:sz w:val="44"/>
          <w:szCs w:val="44"/>
        </w:rPr>
      </w:pPr>
      <w:bookmarkStart w:id="0" w:name="_GoBack"/>
      <w:bookmarkEnd w:id="0"/>
      <w:r>
        <w:rPr>
          <w:rFonts w:ascii="方正小标宋_GBK" w:eastAsia="方正小标宋_GBK" w:hint="eastAsia"/>
          <w:sz w:val="44"/>
          <w:szCs w:val="44"/>
        </w:rPr>
        <w:t>重点政策支出绩效自评报告</w:t>
      </w:r>
    </w:p>
    <w:p w:rsidR="00805589" w:rsidRDefault="005C6AEB" w:rsidP="00805589">
      <w:pPr>
        <w:ind w:firstLine="640"/>
        <w:jc w:val="center"/>
        <w:rPr>
          <w:rFonts w:ascii="仿宋_GB2312" w:eastAsia="仿宋_GB2312"/>
          <w:sz w:val="32"/>
          <w:szCs w:val="32"/>
        </w:rPr>
      </w:pPr>
      <w:r>
        <w:rPr>
          <w:rFonts w:ascii="仿宋_GB2312" w:eastAsia="仿宋_GB2312" w:hint="eastAsia"/>
          <w:sz w:val="32"/>
          <w:szCs w:val="32"/>
        </w:rPr>
        <w:t>(园保贷项目)</w:t>
      </w:r>
    </w:p>
    <w:p w:rsidR="00805589" w:rsidRDefault="005C6AEB">
      <w:pPr>
        <w:ind w:firstLine="640"/>
        <w:rPr>
          <w:rFonts w:ascii="黑体" w:eastAsia="黑体" w:hAnsi="黑体"/>
          <w:sz w:val="32"/>
          <w:szCs w:val="32"/>
        </w:rPr>
      </w:pPr>
      <w:r>
        <w:rPr>
          <w:rFonts w:ascii="黑体" w:eastAsia="黑体" w:hAnsi="黑体" w:hint="eastAsia"/>
          <w:sz w:val="32"/>
          <w:szCs w:val="32"/>
        </w:rPr>
        <w:t>一、财政政策基本情况</w:t>
      </w:r>
    </w:p>
    <w:p w:rsidR="00805589" w:rsidRDefault="005C6AEB">
      <w:pPr>
        <w:ind w:firstLine="640"/>
        <w:rPr>
          <w:rFonts w:ascii="仿宋_GB2312" w:eastAsia="仿宋_GB2312"/>
          <w:sz w:val="32"/>
          <w:szCs w:val="32"/>
        </w:rPr>
      </w:pPr>
      <w:r>
        <w:rPr>
          <w:rFonts w:ascii="仿宋_GB2312" w:eastAsia="仿宋_GB2312" w:hint="eastAsia"/>
          <w:sz w:val="32"/>
          <w:szCs w:val="32"/>
        </w:rPr>
        <w:t>建立政府支持企业风险共担的产业园区贷款风险补偿机制(即“园保贷”)，是省经济和信息化委联合省财政厅在全省产业园区开展的促进产业园区企业融资增信试点工作。省级财政和攀枝花格里坪工业园区(以下简称“园区”)安排补偿金、园区企业缴纳互保金共同形成风险补偿资金池。合作银行(现阶段邮储银行、工商银行、攀枝花市商业银行)按照省级财政和园区补偿金总额的10倍核定信贷业务合作总量，贷款总计最高可达6000万元，支持中小微企业融资。通过实施政府、银行、企业三方合作的“园保贷”，实现风险共担，增强企业信用，降低企业融资门槛和成本。省经济和信息化委财政厅委托四川工创企业管理服务有限公司(以下简称:管理公司)负责具体实施“园保贷”工作。管理公司统一管理“园保贷”风险补偿资金池，在合作银行开设专户归集和托管“园保贷”资金，专款专用、分账核算。管理公司通过竞争性谈判方式选择合作银行，报省经济和信息化委、财政厅确认。“园保贷”风险补偿资金池存续期间，除用于企业贷款风险损失补偿外，参与各方不得以任何理由支取或划转资金。园区管理委员会:负责筹集产业园区补偿金;负责指定专门机构和人员开展“园保贷”相关工作，具体负责“园</w:t>
      </w:r>
      <w:r>
        <w:rPr>
          <w:rFonts w:ascii="仿宋_GB2312" w:eastAsia="仿宋_GB2312" w:hint="eastAsia"/>
          <w:sz w:val="32"/>
          <w:szCs w:val="32"/>
        </w:rPr>
        <w:lastRenderedPageBreak/>
        <w:t>保贷”业务推广、企业入库及推荐、协助催款和追偿等工作，加强风险监控，发现问题及时与相关部门加强联系，防患应对风险。管理公司、合作银行应结合自身职责做好“园保贷”相关工作，双方要加强协作配合，分工负责，避免因自身原</w:t>
      </w:r>
    </w:p>
    <w:p w:rsidR="00805589" w:rsidRDefault="005C6AEB">
      <w:pPr>
        <w:ind w:firstLineChars="0" w:firstLine="0"/>
        <w:rPr>
          <w:rFonts w:ascii="仿宋_GB2312" w:eastAsia="仿宋_GB2312"/>
          <w:sz w:val="32"/>
          <w:szCs w:val="32"/>
        </w:rPr>
      </w:pPr>
      <w:r>
        <w:rPr>
          <w:rFonts w:ascii="仿宋_GB2312" w:eastAsia="仿宋_GB2312" w:hint="eastAsia"/>
          <w:sz w:val="32"/>
          <w:szCs w:val="32"/>
        </w:rPr>
        <w:t>因造成贷款产生滞纳金、罚息(具体内容通过相关协议约定)。根据在四川省经济和信息化委员会、四川省财政厅《关于实施“园保贷”促进融资增信试点工作的通知》(川经信园区</w:t>
      </w:r>
    </w:p>
    <w:p w:rsidR="00805589" w:rsidRDefault="005C6AEB">
      <w:pPr>
        <w:ind w:firstLineChars="0" w:firstLine="0"/>
        <w:rPr>
          <w:rFonts w:ascii="仿宋_GB2312" w:eastAsia="仿宋_GB2312"/>
          <w:sz w:val="32"/>
          <w:szCs w:val="32"/>
        </w:rPr>
      </w:pPr>
      <w:r>
        <w:rPr>
          <w:rFonts w:ascii="仿宋_GB2312" w:eastAsia="仿宋_GB2312" w:hint="eastAsia"/>
          <w:sz w:val="32"/>
          <w:szCs w:val="32"/>
        </w:rPr>
        <w:t>[2015]213号)文件精神，“园保贷”风险补偿资金池由省级财政补偿金产业园区补偿金、企业互保金三部分构成。省级财政补偿金和产业园区补偿金分别由省财政、试点产业园区按1:1的比例筹集省财政首期资金从2015年四川省产业园区产业发展引导资金中安排，试点产业园区首期资金由园区管委会负责筹集。</w:t>
      </w:r>
    </w:p>
    <w:p w:rsidR="00805589" w:rsidRDefault="005C6AEB">
      <w:pPr>
        <w:ind w:firstLine="640"/>
        <w:rPr>
          <w:rFonts w:ascii="仿宋_GB2312" w:eastAsia="仿宋_GB2312"/>
          <w:sz w:val="32"/>
          <w:szCs w:val="32"/>
        </w:rPr>
      </w:pPr>
      <w:r>
        <w:rPr>
          <w:rFonts w:ascii="仿宋_GB2312" w:eastAsia="仿宋_GB2312" w:hint="eastAsia"/>
          <w:sz w:val="32"/>
          <w:szCs w:val="32"/>
        </w:rPr>
        <w:t>目前，省级财政补偿金300万元已拨付到位，为顺利推进“园保贷”工作开展，由区财政按1:1的比例解决产业园区补偿金300万元。</w:t>
      </w:r>
    </w:p>
    <w:p w:rsidR="00805589" w:rsidRDefault="005C6AEB">
      <w:pPr>
        <w:ind w:firstLine="640"/>
        <w:rPr>
          <w:rFonts w:ascii="黑体" w:eastAsia="黑体" w:hAnsi="黑体" w:cs="黑体"/>
          <w:sz w:val="32"/>
          <w:szCs w:val="32"/>
        </w:rPr>
      </w:pPr>
      <w:r>
        <w:rPr>
          <w:rFonts w:ascii="黑体" w:eastAsia="黑体" w:hAnsi="黑体" w:cs="黑体" w:hint="eastAsia"/>
          <w:sz w:val="32"/>
          <w:szCs w:val="32"/>
        </w:rPr>
        <w:t>二、评价工作开展情况</w:t>
      </w:r>
      <w:r>
        <w:rPr>
          <w:rFonts w:ascii="黑体" w:eastAsia="黑体" w:hAnsi="黑体" w:cs="黑体" w:hint="eastAsia"/>
          <w:sz w:val="32"/>
          <w:szCs w:val="32"/>
        </w:rPr>
        <w:tab/>
      </w:r>
    </w:p>
    <w:p w:rsidR="00805589" w:rsidRDefault="005C6AEB">
      <w:pPr>
        <w:snapToGrid w:val="0"/>
        <w:spacing w:line="580" w:lineRule="exact"/>
        <w:ind w:firstLine="640"/>
        <w:rPr>
          <w:rFonts w:ascii="楷体_GB2312" w:eastAsia="楷体_GB2312" w:hAnsi="Times New Roman"/>
          <w:sz w:val="32"/>
          <w:szCs w:val="32"/>
        </w:rPr>
      </w:pPr>
      <w:r>
        <w:rPr>
          <w:rFonts w:ascii="楷体_GB2312" w:eastAsia="楷体_GB2312" w:hAnsi="Times New Roman" w:hint="eastAsia"/>
          <w:sz w:val="32"/>
          <w:szCs w:val="32"/>
        </w:rPr>
        <w:t>（一）现场评价抽样选点情况。</w:t>
      </w:r>
    </w:p>
    <w:p w:rsidR="00805589" w:rsidRDefault="00FD1462">
      <w:pPr>
        <w:snapToGrid w:val="0"/>
        <w:spacing w:line="580" w:lineRule="exact"/>
        <w:ind w:firstLine="640"/>
        <w:rPr>
          <w:rFonts w:ascii="楷体_GB2312" w:eastAsia="楷体_GB2312" w:hAnsi="Times New Roman"/>
          <w:sz w:val="32"/>
          <w:szCs w:val="32"/>
        </w:rPr>
      </w:pPr>
      <w:r>
        <w:rPr>
          <w:rFonts w:ascii="楷体_GB2312" w:eastAsia="楷体_GB2312" w:hAnsi="Times New Roman" w:hint="eastAsia"/>
          <w:sz w:val="32"/>
          <w:szCs w:val="32"/>
        </w:rPr>
        <w:t>无。</w:t>
      </w:r>
    </w:p>
    <w:p w:rsidR="00805589" w:rsidRDefault="005C6AEB">
      <w:pPr>
        <w:snapToGrid w:val="0"/>
        <w:spacing w:line="580" w:lineRule="exact"/>
        <w:ind w:firstLine="640"/>
        <w:rPr>
          <w:rFonts w:ascii="仿宋_GB2312" w:eastAsia="仿宋_GB2312"/>
          <w:sz w:val="32"/>
          <w:szCs w:val="32"/>
        </w:rPr>
      </w:pPr>
      <w:r>
        <w:rPr>
          <w:rFonts w:ascii="楷体_GB2312" w:eastAsia="楷体_GB2312" w:hAnsi="Times New Roman" w:hint="eastAsia"/>
          <w:sz w:val="32"/>
          <w:szCs w:val="32"/>
        </w:rPr>
        <w:t>（二）政策总体评价。</w:t>
      </w:r>
    </w:p>
    <w:p w:rsidR="00805589" w:rsidRDefault="005C6AEB">
      <w:pPr>
        <w:ind w:firstLine="640"/>
        <w:rPr>
          <w:rFonts w:ascii="仿宋_GB2312" w:eastAsia="仿宋_GB2312"/>
          <w:sz w:val="32"/>
          <w:szCs w:val="32"/>
        </w:rPr>
      </w:pPr>
      <w:r>
        <w:rPr>
          <w:rFonts w:ascii="仿宋_GB2312" w:eastAsia="仿宋_GB2312" w:hint="eastAsia"/>
          <w:sz w:val="32"/>
          <w:szCs w:val="32"/>
        </w:rPr>
        <w:t>园保贷项目资金主要分为两部分，一部分为省级补助资金300万元,另一部分为区级配套资金300万元，共600万</w:t>
      </w:r>
      <w:r>
        <w:rPr>
          <w:rFonts w:ascii="仿宋_GB2312" w:eastAsia="仿宋_GB2312" w:hint="eastAsia"/>
          <w:sz w:val="32"/>
          <w:szCs w:val="32"/>
        </w:rPr>
        <w:lastRenderedPageBreak/>
        <w:t>元，作为园保贷担保金。2021年园保贷项目一共为企业提供金融贷款2500万元。园区管委会对园保贷涉及项目资金情况进行了分析，得到了数据评价的结果，此外，又对园保贷涉及企业进行了访问，了解实际情况，综合分析，全面的对项目进行了自评。</w:t>
      </w:r>
    </w:p>
    <w:p w:rsidR="00805589" w:rsidRDefault="005C6AEB">
      <w:pPr>
        <w:ind w:firstLine="640"/>
        <w:rPr>
          <w:rFonts w:ascii="黑体" w:eastAsia="黑体" w:hAnsi="黑体"/>
          <w:sz w:val="32"/>
          <w:szCs w:val="32"/>
        </w:rPr>
      </w:pPr>
      <w:r>
        <w:rPr>
          <w:rFonts w:ascii="黑体" w:eastAsia="黑体" w:hAnsi="黑体" w:hint="eastAsia"/>
          <w:sz w:val="32"/>
          <w:szCs w:val="32"/>
        </w:rPr>
        <w:t>二、项目资金申报及使用情况</w:t>
      </w:r>
    </w:p>
    <w:p w:rsidR="00805589" w:rsidRDefault="005C6AEB">
      <w:pPr>
        <w:ind w:firstLineChars="150" w:firstLine="480"/>
        <w:rPr>
          <w:rFonts w:ascii="仿宋_GB2312" w:eastAsia="仿宋_GB2312"/>
          <w:sz w:val="32"/>
          <w:szCs w:val="32"/>
        </w:rPr>
      </w:pPr>
      <w:r>
        <w:rPr>
          <w:rFonts w:ascii="仿宋_GB2312" w:eastAsia="仿宋_GB2312" w:hint="eastAsia"/>
          <w:sz w:val="32"/>
          <w:szCs w:val="32"/>
        </w:rPr>
        <w:t>省级财政补偿金300万元已拨付到位，为顺利推进“园保贷”工作开展，由区财政按比例解决产业园区补偿金300万元，一共600万元作为担保金，银行授信额达6000万元，用于企业放贷。完成泓岩科技2020年-2021年度续贷工作，续贷额度800万元;</w:t>
      </w:r>
      <w:r>
        <w:rPr>
          <w:rFonts w:ascii="仿宋_GB2312" w:eastAsia="仿宋_GB2312" w:hint="eastAsia"/>
          <w:bCs/>
          <w:snapToGrid w:val="0"/>
          <w:spacing w:val="-8"/>
          <w:kern w:val="0"/>
          <w:sz w:val="32"/>
          <w:szCs w:val="32"/>
        </w:rPr>
        <w:t>构美科技已完成</w:t>
      </w:r>
      <w:r>
        <w:rPr>
          <w:rFonts w:ascii="仿宋_GB2312" w:eastAsia="仿宋_GB2312"/>
          <w:bCs/>
          <w:snapToGrid w:val="0"/>
          <w:spacing w:val="-8"/>
          <w:kern w:val="0"/>
          <w:sz w:val="32"/>
          <w:szCs w:val="32"/>
        </w:rPr>
        <w:t>于</w:t>
      </w:r>
      <w:r>
        <w:rPr>
          <w:rFonts w:ascii="仿宋_GB2312" w:eastAsia="仿宋_GB2312" w:hint="eastAsia"/>
          <w:bCs/>
          <w:snapToGrid w:val="0"/>
          <w:spacing w:val="-8"/>
          <w:kern w:val="0"/>
          <w:sz w:val="32"/>
          <w:szCs w:val="32"/>
        </w:rPr>
        <w:t>2020年-2021年度续贷工作，续贷金额</w:t>
      </w:r>
      <w:r>
        <w:rPr>
          <w:rFonts w:ascii="仿宋_GB2312" w:eastAsia="仿宋_GB2312" w:hAnsi="仿宋_GB2312" w:cs="仿宋_GB2312" w:hint="eastAsia"/>
          <w:sz w:val="32"/>
          <w:szCs w:val="32"/>
        </w:rPr>
        <w:t>1000万元</w:t>
      </w:r>
      <w:r>
        <w:rPr>
          <w:rFonts w:ascii="仿宋_GB2312" w:eastAsia="仿宋_GB2312" w:hint="eastAsia"/>
          <w:sz w:val="32"/>
          <w:szCs w:val="32"/>
        </w:rPr>
        <w:t>;森田新能源2021年新增700万元贷款金额。</w:t>
      </w:r>
    </w:p>
    <w:p w:rsidR="00805589" w:rsidRDefault="005C6AEB">
      <w:pPr>
        <w:numPr>
          <w:ilvl w:val="0"/>
          <w:numId w:val="1"/>
        </w:numPr>
        <w:ind w:firstLineChars="150" w:firstLine="480"/>
        <w:rPr>
          <w:rFonts w:ascii="黑体" w:eastAsia="黑体" w:hAnsi="黑体" w:cs="黑体"/>
          <w:sz w:val="32"/>
          <w:szCs w:val="32"/>
        </w:rPr>
      </w:pPr>
      <w:r>
        <w:rPr>
          <w:rFonts w:ascii="黑体" w:eastAsia="黑体" w:hAnsi="黑体" w:cs="黑体" w:hint="eastAsia"/>
          <w:sz w:val="32"/>
          <w:szCs w:val="32"/>
        </w:rPr>
        <w:t>政策绩效情况</w:t>
      </w:r>
    </w:p>
    <w:p w:rsidR="00805589" w:rsidRDefault="005C6AEB" w:rsidP="00805589">
      <w:pPr>
        <w:numPr>
          <w:ilvl w:val="0"/>
          <w:numId w:val="2"/>
        </w:numPr>
        <w:ind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政策设计</w:t>
      </w:r>
    </w:p>
    <w:p w:rsidR="00805589" w:rsidRDefault="005C6AEB">
      <w:pPr>
        <w:ind w:firstLine="640"/>
        <w:rPr>
          <w:rFonts w:ascii="仿宋_GB2312" w:eastAsia="仿宋_GB2312"/>
          <w:sz w:val="32"/>
          <w:szCs w:val="32"/>
        </w:rPr>
      </w:pPr>
      <w:r>
        <w:rPr>
          <w:rFonts w:ascii="仿宋_GB2312" w:eastAsia="仿宋_GB2312" w:hint="eastAsia"/>
          <w:sz w:val="32"/>
          <w:szCs w:val="32"/>
        </w:rPr>
        <w:t>园保贷政策设计科学合理，省级财政补偿金在合作银行开设的账户，集中存储，产业园区补偿金采取“统一管理、就地存储”(存于合作银行在试点产业园区的分支机构)方式。在委托管理协议签订后的10个工作日内，省财政、试点产业园区将各自筹集的补偿金拨付到管理公司指定账户。省级财政补偿金、企业互保金产生的利息分别用于增加本金，产业园区补偿金产生的利息由产业园区按规定自行安排。"园</w:t>
      </w:r>
      <w:r>
        <w:rPr>
          <w:rFonts w:ascii="仿宋_GB2312" w:eastAsia="仿宋_GB2312" w:hint="eastAsia"/>
          <w:sz w:val="32"/>
          <w:szCs w:val="32"/>
        </w:rPr>
        <w:lastRenderedPageBreak/>
        <w:t>保贷”试点工作结束后对风险补偿资金池进行清算，省级财政补偿金、产业园区补偿金结余部分，按筹集渠道分别退回省财政、园区管委会。对于逾期贷款，合作银行在贷款逾期后的3日内将向企业发出的贷款逾期通知抄送管理公司;管理公司在收到贷款逾期通知后的10个工作日内启动风险损失认定和代偿程序，并将代偿情况报“园保贷”监督协调小组备案。贷款发生损失后，合作银行向管理公司提交代偿申请;省级财政补偿金、产业园区补偿金扣完为止，承担有限责任。在“园保贷”风险补偿资金池代偿后，由合作银行牵头，管理公司、园区管委会配合实施债务追偿程序，追偿回收的款项按原代偿比例先行偿还省级财政补偿金、产业园区补偿金和合作银行，剩余部分偿还企业互保金。</w:t>
      </w:r>
    </w:p>
    <w:p w:rsidR="00805589" w:rsidRDefault="005C6AEB" w:rsidP="00805589">
      <w:pPr>
        <w:numPr>
          <w:ilvl w:val="0"/>
          <w:numId w:val="2"/>
        </w:numPr>
        <w:ind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政策执行</w:t>
      </w:r>
    </w:p>
    <w:p w:rsidR="00805589" w:rsidRDefault="005C6AEB">
      <w:pPr>
        <w:ind w:firstLine="640"/>
        <w:rPr>
          <w:rFonts w:ascii="仿宋_GB2312" w:eastAsia="仿宋_GB2312"/>
          <w:sz w:val="32"/>
          <w:szCs w:val="32"/>
        </w:rPr>
      </w:pPr>
      <w:r>
        <w:rPr>
          <w:rFonts w:ascii="仿宋_GB2312" w:eastAsia="仿宋_GB2312" w:hint="eastAsia"/>
          <w:sz w:val="32"/>
          <w:szCs w:val="32"/>
        </w:rPr>
        <w:t>完成泓岩科技2020年-2021年度续贷工作，续贷额度800万元;</w:t>
      </w:r>
      <w:r>
        <w:rPr>
          <w:rFonts w:ascii="仿宋_GB2312" w:eastAsia="仿宋_GB2312" w:hint="eastAsia"/>
          <w:bCs/>
          <w:snapToGrid w:val="0"/>
          <w:spacing w:val="-8"/>
          <w:kern w:val="0"/>
          <w:sz w:val="32"/>
          <w:szCs w:val="32"/>
        </w:rPr>
        <w:t>构美科技已</w:t>
      </w:r>
      <w:r>
        <w:rPr>
          <w:rFonts w:ascii="仿宋_GB2312" w:eastAsia="仿宋_GB2312"/>
          <w:bCs/>
          <w:snapToGrid w:val="0"/>
          <w:spacing w:val="-8"/>
          <w:kern w:val="0"/>
          <w:sz w:val="32"/>
          <w:szCs w:val="32"/>
        </w:rPr>
        <w:t>于</w:t>
      </w:r>
      <w:r>
        <w:rPr>
          <w:rFonts w:ascii="仿宋_GB2312" w:eastAsia="仿宋_GB2312" w:hint="eastAsia"/>
          <w:bCs/>
          <w:snapToGrid w:val="0"/>
          <w:spacing w:val="-8"/>
          <w:kern w:val="0"/>
          <w:sz w:val="32"/>
          <w:szCs w:val="32"/>
        </w:rPr>
        <w:t>2020年-2021年度续贷工作。续贷金额</w:t>
      </w:r>
      <w:r>
        <w:rPr>
          <w:rFonts w:ascii="仿宋_GB2312" w:eastAsia="仿宋_GB2312" w:hAnsi="仿宋_GB2312" w:cs="仿宋_GB2312" w:hint="eastAsia"/>
          <w:sz w:val="32"/>
          <w:szCs w:val="32"/>
        </w:rPr>
        <w:t>1000万元</w:t>
      </w:r>
      <w:r>
        <w:rPr>
          <w:rFonts w:ascii="仿宋_GB2312" w:eastAsia="仿宋_GB2312" w:hint="eastAsia"/>
          <w:sz w:val="32"/>
          <w:szCs w:val="32"/>
        </w:rPr>
        <w:t>;森田新能源2021年新增700万元贷款金额。</w:t>
      </w:r>
    </w:p>
    <w:p w:rsidR="00805589" w:rsidRDefault="005C6AEB" w:rsidP="00805589">
      <w:pPr>
        <w:numPr>
          <w:ilvl w:val="0"/>
          <w:numId w:val="2"/>
        </w:numPr>
        <w:ind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政策效果</w:t>
      </w:r>
    </w:p>
    <w:p w:rsidR="00805589" w:rsidRDefault="005C6AEB">
      <w:pPr>
        <w:ind w:firstLine="640"/>
        <w:rPr>
          <w:rFonts w:ascii="仿宋_GB2312" w:eastAsia="仿宋_GB2312"/>
          <w:sz w:val="32"/>
          <w:szCs w:val="32"/>
        </w:rPr>
      </w:pPr>
      <w:r>
        <w:rPr>
          <w:rFonts w:ascii="仿宋_GB2312" w:eastAsia="仿宋_GB2312" w:hint="eastAsia"/>
          <w:sz w:val="32"/>
          <w:szCs w:val="32"/>
        </w:rPr>
        <w:t>创新支持产业发展方式，放大财政资金引导效应，切实缓解中小微企业融资难、融资贵的难题，根据国务院办公厅《关于多措并举着力缓解企业融资成本高问题的指导意见》(国办发(2014)39号)和省政府办公厅《关于进一步缓解企业融资难、融资贵问题的通知》(川办发(2015)32号)等文件精</w:t>
      </w:r>
      <w:r>
        <w:rPr>
          <w:rFonts w:ascii="仿宋_GB2312" w:eastAsia="仿宋_GB2312" w:hint="eastAsia"/>
          <w:sz w:val="32"/>
          <w:szCs w:val="32"/>
        </w:rPr>
        <w:lastRenderedPageBreak/>
        <w:t>神，按照《四川省经济和信息化委员会四川省财政厅关于实施“园保贷”促进融资增信试点工作的通知》(川经信园区(2015213号)和《四川省经济和信息化委员会四川省财政厅关于进一步加强“园保贷”项目管理的通知》(川经信园区[2017)419号)要求，实施攀枝花格里坪工业园区“园保贷”工作。</w:t>
      </w:r>
    </w:p>
    <w:p w:rsidR="00805589" w:rsidRDefault="005C6AEB">
      <w:pPr>
        <w:ind w:firstLineChars="0" w:firstLine="0"/>
        <w:rPr>
          <w:rFonts w:ascii="黑体" w:eastAsia="黑体" w:hAnsi="黑体" w:hint="eastAsia"/>
          <w:sz w:val="32"/>
          <w:szCs w:val="32"/>
        </w:rPr>
      </w:pPr>
      <w:r>
        <w:rPr>
          <w:rFonts w:ascii="黑体" w:eastAsia="黑体" w:hAnsi="黑体" w:hint="eastAsia"/>
          <w:sz w:val="32"/>
          <w:szCs w:val="32"/>
        </w:rPr>
        <w:t>四、存在问题</w:t>
      </w:r>
    </w:p>
    <w:p w:rsidR="00FD1462" w:rsidRDefault="00FD1462">
      <w:pPr>
        <w:ind w:firstLineChars="0" w:firstLine="0"/>
        <w:rPr>
          <w:rFonts w:ascii="黑体" w:eastAsia="黑体" w:hAnsi="黑体"/>
          <w:sz w:val="32"/>
          <w:szCs w:val="32"/>
        </w:rPr>
      </w:pPr>
      <w:r>
        <w:rPr>
          <w:rFonts w:ascii="黑体" w:eastAsia="黑体" w:hAnsi="黑体" w:hint="eastAsia"/>
          <w:sz w:val="32"/>
          <w:szCs w:val="32"/>
        </w:rPr>
        <w:t>无。</w:t>
      </w:r>
    </w:p>
    <w:p w:rsidR="00805589" w:rsidRDefault="005C6AEB">
      <w:pPr>
        <w:ind w:firstLineChars="0" w:firstLine="0"/>
        <w:rPr>
          <w:rFonts w:ascii="黑体" w:eastAsia="黑体" w:hAnsi="黑体" w:hint="eastAsia"/>
          <w:sz w:val="32"/>
          <w:szCs w:val="32"/>
        </w:rPr>
      </w:pPr>
      <w:r>
        <w:rPr>
          <w:rFonts w:ascii="黑体" w:eastAsia="黑体" w:hAnsi="黑体" w:hint="eastAsia"/>
          <w:sz w:val="32"/>
          <w:szCs w:val="32"/>
        </w:rPr>
        <w:t>五、相关建议</w:t>
      </w:r>
    </w:p>
    <w:p w:rsidR="00FD1462" w:rsidRDefault="00FD1462">
      <w:pPr>
        <w:ind w:firstLineChars="0" w:firstLine="0"/>
        <w:rPr>
          <w:rFonts w:ascii="黑体" w:eastAsia="黑体" w:hAnsi="黑体"/>
          <w:sz w:val="32"/>
          <w:szCs w:val="32"/>
        </w:rPr>
      </w:pPr>
      <w:r>
        <w:rPr>
          <w:rFonts w:ascii="黑体" w:eastAsia="黑体" w:hAnsi="黑体" w:hint="eastAsia"/>
          <w:sz w:val="32"/>
          <w:szCs w:val="32"/>
        </w:rPr>
        <w:t>无。</w:t>
      </w:r>
    </w:p>
    <w:p w:rsidR="00805589" w:rsidRDefault="005C6AEB">
      <w:pPr>
        <w:ind w:firstLineChars="0" w:firstLine="0"/>
        <w:rPr>
          <w:rFonts w:ascii="仿宋_GB2312" w:eastAsia="仿宋_GB2312"/>
          <w:sz w:val="32"/>
          <w:szCs w:val="32"/>
        </w:rPr>
      </w:pPr>
      <w:r>
        <w:rPr>
          <w:rFonts w:ascii="仿宋_GB2312" w:eastAsia="仿宋_GB2312" w:hint="eastAsia"/>
          <w:sz w:val="32"/>
          <w:szCs w:val="32"/>
        </w:rPr>
        <w:t xml:space="preserve">   </w:t>
      </w:r>
    </w:p>
    <w:p w:rsidR="00805589" w:rsidRDefault="00805589">
      <w:pPr>
        <w:ind w:firstLineChars="0" w:firstLine="0"/>
        <w:rPr>
          <w:rFonts w:ascii="仿宋_GB2312" w:eastAsia="仿宋_GB2312"/>
          <w:sz w:val="32"/>
          <w:szCs w:val="32"/>
        </w:rPr>
      </w:pPr>
    </w:p>
    <w:p w:rsidR="00805589" w:rsidRDefault="005C6AEB" w:rsidP="00805589">
      <w:pPr>
        <w:ind w:firstLine="640"/>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四川攀枝花格里坪特色产业园区管理委员会</w:t>
      </w:r>
    </w:p>
    <w:p w:rsidR="00805589" w:rsidRDefault="005C6AEB" w:rsidP="00805589">
      <w:pPr>
        <w:wordWrap w:val="0"/>
        <w:ind w:firstLine="640"/>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16</w:t>
      </w:r>
      <w:r>
        <w:rPr>
          <w:rFonts w:ascii="Times New Roman" w:eastAsia="仿宋_GB2312" w:hAnsi="Times New Roman" w:cs="Times New Roman" w:hint="eastAsia"/>
          <w:sz w:val="32"/>
          <w:szCs w:val="32"/>
        </w:rPr>
        <w:t>日</w:t>
      </w:r>
      <w:r>
        <w:rPr>
          <w:rFonts w:ascii="Times New Roman" w:eastAsia="仿宋_GB2312" w:hAnsi="Times New Roman" w:cs="Times New Roman" w:hint="eastAsia"/>
          <w:sz w:val="32"/>
          <w:szCs w:val="32"/>
        </w:rPr>
        <w:t xml:space="preserve">        </w:t>
      </w:r>
    </w:p>
    <w:p w:rsidR="00805589" w:rsidRDefault="00805589">
      <w:pPr>
        <w:ind w:firstLineChars="0" w:firstLine="0"/>
        <w:rPr>
          <w:rFonts w:ascii="仿宋_GB2312" w:eastAsia="仿宋_GB2312"/>
          <w:sz w:val="32"/>
          <w:szCs w:val="32"/>
        </w:rPr>
      </w:pPr>
    </w:p>
    <w:sectPr w:rsidR="00805589" w:rsidSect="0080558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589" w:rsidRDefault="005C6AEB">
      <w:pPr>
        <w:spacing w:line="240" w:lineRule="auto"/>
        <w:ind w:firstLine="420"/>
      </w:pPr>
      <w:r>
        <w:separator/>
      </w:r>
    </w:p>
  </w:endnote>
  <w:endnote w:type="continuationSeparator" w:id="1">
    <w:p w:rsidR="00805589" w:rsidRDefault="005C6AEB">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AEB" w:rsidRDefault="005C6AEB" w:rsidP="005C6AEB">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AEB" w:rsidRDefault="005C6AEB" w:rsidP="005C6AEB">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AEB" w:rsidRDefault="005C6AEB" w:rsidP="005C6AEB">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589" w:rsidRDefault="005C6AEB">
      <w:pPr>
        <w:ind w:firstLine="420"/>
      </w:pPr>
      <w:r>
        <w:separator/>
      </w:r>
    </w:p>
  </w:footnote>
  <w:footnote w:type="continuationSeparator" w:id="1">
    <w:p w:rsidR="00805589" w:rsidRDefault="005C6AEB">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AEB" w:rsidRDefault="005C6AEB" w:rsidP="005C6AEB">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AEB" w:rsidRDefault="005C6AEB" w:rsidP="005C6AEB">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AEB" w:rsidRDefault="005C6AEB" w:rsidP="005C6AEB">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D6FFA80"/>
    <w:multiLevelType w:val="singleLevel"/>
    <w:tmpl w:val="CD6FFA80"/>
    <w:lvl w:ilvl="0">
      <w:start w:val="3"/>
      <w:numFmt w:val="chineseCounting"/>
      <w:suff w:val="nothing"/>
      <w:lvlText w:val="%1、"/>
      <w:lvlJc w:val="left"/>
      <w:rPr>
        <w:rFonts w:hint="eastAsia"/>
      </w:rPr>
    </w:lvl>
  </w:abstractNum>
  <w:abstractNum w:abstractNumId="1">
    <w:nsid w:val="43F49C9A"/>
    <w:multiLevelType w:val="singleLevel"/>
    <w:tmpl w:val="43F49C9A"/>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3C53"/>
    <w:rsid w:val="000D1F64"/>
    <w:rsid w:val="001161E9"/>
    <w:rsid w:val="00203D63"/>
    <w:rsid w:val="00593C53"/>
    <w:rsid w:val="005C6AEB"/>
    <w:rsid w:val="00805589"/>
    <w:rsid w:val="00BE10D6"/>
    <w:rsid w:val="00C87F6B"/>
    <w:rsid w:val="00D9085B"/>
    <w:rsid w:val="00FD1462"/>
    <w:rsid w:val="112E71B2"/>
    <w:rsid w:val="309311B3"/>
    <w:rsid w:val="4C0E0118"/>
    <w:rsid w:val="7AAF6F30"/>
    <w:rsid w:val="7DFA12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589"/>
    <w:pPr>
      <w:widowControl w:val="0"/>
      <w:spacing w:line="353" w:lineRule="auto"/>
      <w:ind w:firstLineChars="200" w:firstLine="20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C6AEB"/>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5C6AEB"/>
    <w:rPr>
      <w:rFonts w:asciiTheme="minorHAnsi" w:eastAsiaTheme="minorEastAsia" w:hAnsiTheme="minorHAnsi" w:cstheme="minorBidi"/>
      <w:kern w:val="2"/>
      <w:sz w:val="18"/>
      <w:szCs w:val="18"/>
    </w:rPr>
  </w:style>
  <w:style w:type="paragraph" w:styleId="a4">
    <w:name w:val="footer"/>
    <w:basedOn w:val="a"/>
    <w:link w:val="Char0"/>
    <w:uiPriority w:val="99"/>
    <w:semiHidden/>
    <w:unhideWhenUsed/>
    <w:rsid w:val="005C6AEB"/>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5C6AE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340</Words>
  <Characters>1940</Characters>
  <Application>Microsoft Office Word</Application>
  <DocSecurity>0</DocSecurity>
  <Lines>16</Lines>
  <Paragraphs>4</Paragraphs>
  <ScaleCrop>false</ScaleCrop>
  <Company>Microsoft</Company>
  <LinksUpToDate>false</LinksUpToDate>
  <CharactersWithSpaces>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蔡重馨</dc:creator>
  <cp:lastModifiedBy>PC</cp:lastModifiedBy>
  <cp:revision>5</cp:revision>
  <cp:lastPrinted>2022-07-06T02:27:00Z</cp:lastPrinted>
  <dcterms:created xsi:type="dcterms:W3CDTF">2021-09-01T06:55:00Z</dcterms:created>
  <dcterms:modified xsi:type="dcterms:W3CDTF">2022-07-06T02:27:00Z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955E38A3782A4BD6ACADDEB1B5A12688</vt:lpwstr>
  </property>
</Properties>
</file>