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8441"/>
      <w:bookmarkStart w:id="4" w:name="_Toc15377193"/>
      <w:bookmarkStart w:id="5" w:name="_Toc1539647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96476"/>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攀枝花市西区工商业联合会</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w:t>
      </w:r>
      <w:r>
        <w:rPr>
          <w:rFonts w:hint="eastAsia"/>
          <w:lang w:val="en-US" w:eastAsia="zh-CN"/>
        </w:rPr>
        <w:t>0</w:t>
      </w:r>
      <w:r>
        <w:rPr>
          <w:rFonts w:hint="eastAsia"/>
        </w:rPr>
        <w:t>月</w:t>
      </w:r>
      <w:r>
        <w:rPr>
          <w:rFonts w:hint="eastAsia"/>
          <w:lang w:val="en-US" w:eastAsia="zh-CN"/>
        </w:rPr>
        <w:t>1</w:t>
      </w:r>
      <w:r>
        <w:rPr>
          <w:rFonts w:hint="eastAsia"/>
        </w:rPr>
        <w:t>7日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ind w:firstLine="640" w:firstLineChars="20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（1）参与区委、区政府大政方针及政治、经济、社会生活中的重要问题的政治协商，发挥民主监督作用，参政议政。</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 w:eastAsia="仿宋_GB2312"/>
          <w:sz w:val="32"/>
          <w:szCs w:val="32"/>
        </w:rPr>
        <w:t>引导会员积极参加国家经济建设，推动社会主义市场经济体制逐步完善，促进社会全面发展</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eastAsia" w:ascii="仿宋_GB2312" w:hAnsi="仿宋" w:eastAsia="仿宋_GB2312"/>
          <w:sz w:val="32"/>
          <w:szCs w:val="32"/>
        </w:rPr>
        <w:t>做好工商界代表人士政治安排的推荐工作</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w:t>
      </w:r>
      <w:r>
        <w:rPr>
          <w:rFonts w:hint="eastAsia" w:ascii="仿宋_GB2312" w:hAnsi="仿宋" w:eastAsia="仿宋_GB2312"/>
          <w:sz w:val="32"/>
          <w:szCs w:val="32"/>
        </w:rPr>
        <w:t>指导同业公会和行业商会等专业组织的工作</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 w:eastAsia="仿宋_GB2312"/>
          <w:sz w:val="32"/>
          <w:szCs w:val="32"/>
        </w:rPr>
        <w:t>发扬自我教育的优良传统，宣传、贯彻党和国家的方针政策，加强和改进思想政治工作，坚持对广大会员进行团结、帮助、引导、教育，促进非公有制经济健康发展，提倡爱国、敬业、守法，提高会员素质，培养积极分子队伍</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w:t>
      </w:r>
      <w:r>
        <w:rPr>
          <w:rFonts w:hint="eastAsia" w:ascii="仿宋_GB2312" w:hAnsi="仿宋" w:eastAsia="仿宋_GB2312"/>
          <w:sz w:val="32"/>
          <w:szCs w:val="32"/>
        </w:rPr>
        <w:t>代表并维护会员的合法权益，反映会员的意见、要求和建议为会员提供有关证明，协调关系，参与调解经济纠纷</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w:t>
      </w:r>
      <w:r>
        <w:rPr>
          <w:rFonts w:hint="eastAsia" w:ascii="仿宋_GB2312" w:hAnsi="仿宋" w:eastAsia="仿宋_GB2312"/>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w:t>
      </w:r>
      <w:r>
        <w:rPr>
          <w:rFonts w:hint="eastAsia" w:ascii="仿宋_GB2312" w:hAnsi="仿宋" w:eastAsia="仿宋_GB2312"/>
          <w:sz w:val="32"/>
          <w:szCs w:val="32"/>
        </w:rPr>
        <w:t>为会员提供信息、培训、科技、管理、法律、会计、审计、融资、咨询等服务，帮助会员改进经营管理、完善财务制度，照章纳税，提高自身素质和生产技术、产品质量等</w:t>
      </w:r>
      <w:r>
        <w:rPr>
          <w:rFonts w:hint="eastAsia" w:ascii="仿宋_GB2312" w:hAnsi="仿宋_GB2312" w:eastAsia="仿宋_GB2312" w:cs="仿宋_GB2312"/>
          <w:spacing w:val="-6"/>
          <w:sz w:val="32"/>
          <w:szCs w:val="32"/>
        </w:rPr>
        <w:t>。</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w:t>
      </w:r>
      <w:r>
        <w:rPr>
          <w:rFonts w:hint="eastAsia" w:ascii="仿宋_GB2312" w:hAnsi="仿宋" w:eastAsia="仿宋_GB2312"/>
          <w:sz w:val="32"/>
          <w:szCs w:val="32"/>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才</w:t>
      </w:r>
      <w:r>
        <w:rPr>
          <w:rFonts w:hint="eastAsia" w:ascii="仿宋_GB2312" w:hAnsi="仿宋_GB2312" w:eastAsia="仿宋_GB2312" w:cs="仿宋_GB2312"/>
          <w:spacing w:val="-6"/>
          <w:sz w:val="32"/>
          <w:szCs w:val="32"/>
        </w:rPr>
        <w:t>。</w:t>
      </w:r>
    </w:p>
    <w:p>
      <w:pPr>
        <w:ind w:firstLine="616" w:firstLineChars="200"/>
        <w:rPr>
          <w:rFonts w:ascii="仿宋" w:hAnsi="仿宋" w:eastAsia="仿宋"/>
          <w:bCs/>
          <w:color w:val="000000"/>
          <w:sz w:val="32"/>
          <w:szCs w:val="32"/>
        </w:rPr>
      </w:pPr>
      <w:r>
        <w:rPr>
          <w:rFonts w:hint="eastAsia" w:ascii="仿宋_GB2312" w:hAnsi="仿宋_GB2312" w:eastAsia="仿宋_GB2312" w:cs="仿宋_GB2312"/>
          <w:spacing w:val="-6"/>
          <w:sz w:val="32"/>
          <w:szCs w:val="32"/>
        </w:rPr>
        <w:t>（10）</w:t>
      </w:r>
      <w:r>
        <w:rPr>
          <w:rFonts w:hint="eastAsia" w:ascii="仿宋_GB2312" w:hAnsi="仿宋" w:eastAsia="仿宋_GB2312"/>
          <w:sz w:val="32"/>
          <w:szCs w:val="32"/>
        </w:rPr>
        <w:t>承办政府交办和有关部门委托事项</w:t>
      </w:r>
      <w:r>
        <w:rPr>
          <w:rFonts w:hint="eastAsia" w:ascii="仿宋_GB2312" w:hAnsi="仿宋_GB2312" w:eastAsia="仿宋_GB2312" w:cs="仿宋_GB2312"/>
          <w:spacing w:val="-6"/>
          <w:sz w:val="32"/>
          <w:szCs w:val="32"/>
        </w:rPr>
        <w:t>。</w:t>
      </w:r>
      <w:bookmarkEnd w:id="16"/>
      <w:bookmarkEnd w:id="17"/>
    </w:p>
    <w:p>
      <w:pPr>
        <w:spacing w:line="560" w:lineRule="exact"/>
        <w:ind w:firstLine="640" w:firstLineChars="200"/>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（一）有力推进、扎实落实疫情防控相关工作</w:t>
      </w:r>
    </w:p>
    <w:p>
      <w:pPr>
        <w:spacing w:line="560" w:lineRule="exact"/>
        <w:ind w:firstLine="643" w:firstLineChars="200"/>
        <w:rPr>
          <w:rFonts w:hint="eastAsia" w:ascii="Times New Roman" w:hAnsi="Times New Roman" w:eastAsia="仿宋_GB2312" w:cs="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、领导班子高度重视、组织有保障。</w:t>
      </w:r>
      <w:r>
        <w:rPr>
          <w:rFonts w:hint="eastAsia" w:ascii="Times New Roman" w:hAnsi="Times New Roman" w:eastAsia="仿宋_GB2312" w:cs="仿宋_GB2312"/>
          <w:sz w:val="32"/>
          <w:szCs w:val="32"/>
        </w:rPr>
        <w:t>面对疫情，区工商联领导班子按照区上要求，第一时间召开了新型冠状病毒疫情防控工作安排会，第一时间成立了由区政协副主席、工商联主席杨华友和区委统战部副部长、区工商联党组书记、常务副主席刘伟任双组长，区工商联副主席、秘书长（兼）柳絮任副组长，其他两名工作人员为成员的应对新型冠状病毒感染的肺炎疫情防控工作领导小组</w:t>
      </w:r>
      <w:r>
        <w:rPr>
          <w:rFonts w:hint="eastAsia" w:eastAsia="仿宋_GB2312" w:cs="仿宋_GB2312"/>
          <w:sz w:val="32"/>
          <w:szCs w:val="32"/>
          <w:lang w:eastAsia="zh-CN"/>
        </w:rPr>
        <w:t>。</w:t>
      </w:r>
    </w:p>
    <w:p>
      <w:pPr>
        <w:spacing w:line="560" w:lineRule="exact"/>
        <w:ind w:firstLine="643" w:firstLineChars="200"/>
        <w:rPr>
          <w:rFonts w:hint="eastAsia" w:eastAsia="仿宋_GB2312" w:cs="仿宋_GB2312"/>
          <w:sz w:val="32"/>
          <w:szCs w:val="32"/>
          <w:lang w:eastAsia="zh-CN"/>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、迅速传达市工商联防疫精神。</w:t>
      </w:r>
      <w:r>
        <w:rPr>
          <w:rFonts w:hint="eastAsia" w:ascii="Times New Roman" w:hAnsi="Times New Roman" w:eastAsia="仿宋_GB2312" w:cs="仿宋_GB2312"/>
          <w:sz w:val="32"/>
          <w:szCs w:val="32"/>
        </w:rPr>
        <w:t>通过西区工商联微信工作群的形式，向西区民营企业传达市工商联《关于切实做好民营企业防控新型冠状病毒感染肺炎疫情工作的指导意见》等相关文件精神、发起《攀枝花市工商联（总商会）关于做好新型冠状病毒感染肺炎疫情防控工作的倡议书》，做好防疫工作期间的宣传引导</w:t>
      </w:r>
      <w:r>
        <w:rPr>
          <w:rFonts w:hint="eastAsia" w:eastAsia="仿宋_GB2312" w:cs="仿宋_GB2312"/>
          <w:sz w:val="32"/>
          <w:szCs w:val="32"/>
          <w:lang w:eastAsia="zh-CN"/>
        </w:rPr>
        <w:t>。</w:t>
      </w:r>
    </w:p>
    <w:p>
      <w:pPr>
        <w:spacing w:line="56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不忘初心、领导带头奋战在抗击疫情第一线。</w:t>
      </w:r>
      <w:r>
        <w:rPr>
          <w:rFonts w:hint="eastAsia" w:ascii="Times New Roman" w:hAnsi="Times New Roman" w:eastAsia="仿宋_GB2312" w:cs="仿宋_GB2312"/>
          <w:sz w:val="32"/>
          <w:szCs w:val="32"/>
        </w:rPr>
        <w:t>按照《攀枝花市西区应对新型冠状病毒感染肺炎疫情应急指挥部办公室关于区级领导包社区、区级部门包楼栋工作的通知》（攀西指［2020］4号）文件要求，区政协副主席、区工商联主席杨华友负责因疫情被封的2栋楼：清香坪街道梨树坪社区智学南路2号4栋封楼点位和后来新增的清香坪街道梨树坪社区清香坪东街95号1栋封楼点位。区工商联党员干部带上党徽，亮出党员身份，深入康家坪社区协助开展居民基本信息核查、返攀外来人员摸排、政策宣传、舆论引导等工作，以严格认真负责的态度做好返攀人员居家观察制度，坚守岗位、抗击疫情</w:t>
      </w:r>
      <w:r>
        <w:rPr>
          <w:rFonts w:hint="eastAsia" w:eastAsia="仿宋_GB2312" w:cs="仿宋_GB2312"/>
          <w:sz w:val="32"/>
          <w:szCs w:val="32"/>
          <w:lang w:eastAsia="zh-CN"/>
        </w:rPr>
        <w:t>。</w:t>
      </w:r>
    </w:p>
    <w:p>
      <w:pPr>
        <w:spacing w:line="56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4、</w:t>
      </w:r>
      <w:r>
        <w:rPr>
          <w:rFonts w:hint="eastAsia" w:ascii="Times New Roman" w:hAnsi="Times New Roman" w:eastAsia="仿宋_GB2312" w:cs="仿宋_GB2312"/>
          <w:b/>
          <w:bCs/>
          <w:sz w:val="32"/>
          <w:szCs w:val="32"/>
        </w:rPr>
        <w:t>发挥桥梁纽带作用、有序推进非公企业复工复产工作。</w:t>
      </w:r>
      <w:r>
        <w:rPr>
          <w:rFonts w:hint="eastAsia" w:ascii="Times New Roman" w:hAnsi="Times New Roman" w:eastAsia="仿宋_GB2312" w:cs="仿宋_GB2312"/>
          <w:sz w:val="32"/>
          <w:szCs w:val="32"/>
        </w:rPr>
        <w:t>根据市委市政府及工商联防控安排部署，区工商联发挥基层党组织作用，第一时间向会员企业详细调查了解了：一是辖区企业汇报本企业急需防控物资，各是什么，多大的量，主要用来做什么（如复工复产检修等），区工商联统计了18家企业汇报，共预计需要 N95口罩3万个，消毒水100箱。已分别报送到市工商联和区政府办；二是因为本市生产的口罩、消杀液的数量有限，建议人员尽量待在家中，如果不涉及国计民生紧缺物品生产供应，企业尽量推迟复产复工，等候市委市政府统一安排；三是主动调查汇总西区企业集中组织返攀人员情况，并上报市工商联，做好企业复工复产相关准备工作。</w:t>
      </w:r>
    </w:p>
    <w:p>
      <w:pPr>
        <w:spacing w:line="560" w:lineRule="exact"/>
        <w:ind w:firstLine="640" w:firstLineChars="200"/>
        <w:rPr>
          <w:rFonts w:ascii="Times New Roman" w:hAnsi="Times New Roman" w:eastAsia="仿宋_GB2312" w:cs="Times New Roman"/>
          <w:sz w:val="32"/>
          <w:szCs w:val="32"/>
        </w:rPr>
      </w:pPr>
      <w:r>
        <w:rPr>
          <w:rFonts w:hint="eastAsia" w:eastAsia="仿宋_GB2312" w:cs="仿宋_GB2312"/>
          <w:sz w:val="32"/>
          <w:szCs w:val="32"/>
          <w:lang w:val="en-US" w:eastAsia="zh-CN"/>
        </w:rPr>
        <w:t>5、</w:t>
      </w:r>
      <w:r>
        <w:rPr>
          <w:rFonts w:hint="eastAsia" w:ascii="Times New Roman" w:hAnsi="Times New Roman" w:eastAsia="仿宋_GB2312" w:cs="仿宋_GB2312"/>
          <w:b/>
          <w:bCs/>
          <w:sz w:val="32"/>
          <w:szCs w:val="32"/>
        </w:rPr>
        <w:t>号召非公经济人士积极投身光彩事业。</w:t>
      </w:r>
      <w:r>
        <w:rPr>
          <w:rFonts w:hint="eastAsia" w:ascii="Times New Roman" w:hAnsi="Times New Roman" w:eastAsia="仿宋_GB2312" w:cs="仿宋_GB2312"/>
          <w:sz w:val="32"/>
          <w:szCs w:val="32"/>
        </w:rPr>
        <w:t>区工商联党组号召非公经济人士主动承担社会责任，自觉参与到防控战中来。据区工商联不完全统计，防疫期间，已有11家企业捐款，累计捐款额60余万元。企业家的善举彰显了在国家危难之时民营企业应有的社会责任与担当精神。</w:t>
      </w:r>
    </w:p>
    <w:p>
      <w:pPr>
        <w:spacing w:line="540" w:lineRule="exact"/>
        <w:ind w:firstLine="643" w:firstLineChars="200"/>
        <w:rPr>
          <w:rFonts w:hint="eastAsia" w:ascii="方正黑体_GBK" w:eastAsia="方正黑体_GBK"/>
          <w:sz w:val="33"/>
          <w:szCs w:val="33"/>
        </w:rPr>
      </w:pPr>
      <w:r>
        <w:rPr>
          <w:rFonts w:hint="eastAsia" w:ascii="Times New Roman" w:hAnsi="Times New Roman" w:eastAsia="楷体_GB2312" w:cs="楷体_GB2312"/>
          <w:b/>
          <w:bCs/>
          <w:sz w:val="32"/>
          <w:szCs w:val="32"/>
        </w:rPr>
        <w:t>（二）服务经济，着力促进民营经济健康发展</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Times New Roman"/>
          <w:b/>
          <w:bCs/>
          <w:sz w:val="32"/>
          <w:szCs w:val="32"/>
        </w:rPr>
        <w:t>一是积极做好高管培训</w:t>
      </w:r>
      <w:r>
        <w:rPr>
          <w:rFonts w:hint="eastAsia" w:ascii="方正楷体_GBK" w:hAnsi="Calibri" w:eastAsia="方正楷体_GBK"/>
          <w:b/>
          <w:sz w:val="33"/>
          <w:szCs w:val="33"/>
        </w:rPr>
        <w:t>。</w:t>
      </w:r>
      <w:r>
        <w:rPr>
          <w:rFonts w:hint="eastAsia" w:ascii="Times New Roman" w:hAnsi="Times New Roman" w:eastAsia="仿宋_GB2312" w:cs="仿宋_GB2312"/>
          <w:sz w:val="32"/>
          <w:szCs w:val="32"/>
        </w:rPr>
        <w:t>截止目前，区工商联已组织线上培训18次，线下培训2次，参加培训共计约上千人次</w:t>
      </w:r>
      <w:r>
        <w:rPr>
          <w:rFonts w:hint="eastAsia" w:eastAsia="仿宋_GB2312" w:cs="仿宋_GB2312"/>
          <w:sz w:val="32"/>
          <w:szCs w:val="32"/>
          <w:lang w:eastAsia="zh-CN"/>
        </w:rPr>
        <w:t>。</w:t>
      </w:r>
      <w:r>
        <w:rPr>
          <w:rFonts w:hint="eastAsia" w:ascii="Times New Roman" w:hAnsi="Times New Roman" w:eastAsia="仿宋_GB2312" w:cs="Times New Roman"/>
          <w:b/>
          <w:spacing w:val="-16"/>
          <w:sz w:val="32"/>
          <w:szCs w:val="32"/>
        </w:rPr>
        <w:t>二是积极融入成渝双城经济圈。</w:t>
      </w:r>
      <w:r>
        <w:rPr>
          <w:rFonts w:hint="eastAsia" w:ascii="Times New Roman" w:hAnsi="Times New Roman" w:eastAsia="仿宋_GB2312" w:cs="仿宋_GB2312"/>
          <w:sz w:val="32"/>
          <w:szCs w:val="32"/>
        </w:rPr>
        <w:t>为贯彻落实区委统战部安排部署，推动攀枝花市西区融入成渝双城经济圈，发挥工商联优势，搭建好平台，助力西区经济社会发展，区工商联迅速召开了推进成渝地区双城经济圈建设动员会。持续挖掘人脉资源，充分发挥工商联、商协会民间性的优势，争取省市工商联的帮助，与重庆市永川区缔结为友好工商联，签订了战略合作框架协议，重点加强智能装备、机械制造、汽车及零部件加工、康复康养、电子信息产业的链接和合作，相互增进了解，加强合作，为招商引资搭建平台，发挥桥梁纽带和以商招商的作用</w:t>
      </w:r>
      <w:r>
        <w:rPr>
          <w:rFonts w:hint="eastAsia" w:ascii="Times New Roman" w:hAnsi="Times New Roman" w:eastAsia="仿宋_GB2312" w:cs="仿宋_GB2312"/>
          <w:bCs/>
          <w:sz w:val="32"/>
          <w:szCs w:val="32"/>
        </w:rPr>
        <w:t>。</w:t>
      </w:r>
      <w:r>
        <w:rPr>
          <w:rFonts w:hint="eastAsia" w:ascii="Times New Roman" w:hAnsi="Times New Roman" w:eastAsia="仿宋_GB2312" w:cs="Times New Roman"/>
          <w:b/>
          <w:spacing w:val="-16"/>
          <w:sz w:val="32"/>
          <w:szCs w:val="32"/>
        </w:rPr>
        <w:t>三是积极护航西区非公企业。</w:t>
      </w:r>
      <w:r>
        <w:rPr>
          <w:rFonts w:hint="eastAsia" w:ascii="Times New Roman" w:hAnsi="Times New Roman" w:eastAsia="仿宋_GB2312" w:cs="仿宋_GB2312"/>
          <w:sz w:val="32"/>
          <w:szCs w:val="32"/>
        </w:rPr>
        <w:t>按照按照最高人民检察院、全国工商联《关于共同举办“服务‘六稳’‘六保’护航民企发展”检察开放日活动的通知》，为更好地为民营经济发展提供优质检察产品和法治保障。区工商联联合西区人民检察院组织辖区11家民营企业代表参加检察开放日活动，倾听民企呼声，增进司法认同，凝聚各方力量，齐心协力护航民营经济健康发展。</w:t>
      </w:r>
    </w:p>
    <w:p>
      <w:pPr>
        <w:spacing w:line="540" w:lineRule="exact"/>
        <w:ind w:firstLine="643" w:firstLineChars="200"/>
        <w:rPr>
          <w:rFonts w:hint="eastAsia" w:eastAsia="方正仿宋_GBK"/>
          <w:sz w:val="33"/>
          <w:szCs w:val="33"/>
        </w:rPr>
      </w:pPr>
      <w:r>
        <w:rPr>
          <w:rFonts w:hint="eastAsia" w:ascii="Times New Roman" w:hAnsi="Times New Roman" w:eastAsia="楷体_GB2312" w:cs="楷体_GB2312"/>
          <w:b/>
          <w:bCs/>
          <w:sz w:val="32"/>
          <w:szCs w:val="32"/>
        </w:rPr>
        <w:t>（三）夯实基础，巩固加强组织建设</w:t>
      </w:r>
    </w:p>
    <w:p>
      <w:pPr>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Times New Roman"/>
          <w:b/>
          <w:bCs/>
          <w:sz w:val="32"/>
          <w:szCs w:val="32"/>
        </w:rPr>
        <w:t>1、积极推进商协会发展和会员发展。</w:t>
      </w:r>
      <w:r>
        <w:rPr>
          <w:rFonts w:hint="eastAsia" w:ascii="Times New Roman" w:hAnsi="Times New Roman" w:eastAsia="仿宋_GB2312" w:cs="仿宋_GB2312"/>
          <w:sz w:val="32"/>
          <w:szCs w:val="32"/>
        </w:rPr>
        <w:t>区工商联按照《攀枝花市促进工商联所属商会改革发展工作方案》各项工作任务的落实，大力组建和吸收商协会，大力发展会员企业</w:t>
      </w:r>
      <w:r>
        <w:rPr>
          <w:rFonts w:hint="eastAsia" w:ascii="Times New Roman" w:hAnsi="Times New Roman" w:eastAsia="仿宋_GB2312" w:cs="仿宋_GB2312"/>
          <w:spacing w:val="-6"/>
          <w:sz w:val="32"/>
          <w:szCs w:val="32"/>
        </w:rPr>
        <w:t>。</w:t>
      </w:r>
    </w:p>
    <w:p>
      <w:pPr>
        <w:spacing w:line="560" w:lineRule="exact"/>
        <w:ind w:firstLine="643" w:firstLineChars="200"/>
        <w:rPr>
          <w:rFonts w:ascii="仿宋" w:hAnsi="仿宋" w:eastAsia="仿宋"/>
          <w:bCs/>
          <w:color w:val="000000"/>
          <w:sz w:val="32"/>
          <w:szCs w:val="32"/>
        </w:rPr>
      </w:pPr>
      <w:r>
        <w:rPr>
          <w:rFonts w:hint="eastAsia"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、加强机关自身建设。</w:t>
      </w:r>
      <w:r>
        <w:rPr>
          <w:rFonts w:hint="eastAsia" w:ascii="Times New Roman" w:hAnsi="Times New Roman" w:eastAsia="仿宋_GB2312" w:cs="仿宋_GB2312"/>
          <w:sz w:val="32"/>
          <w:szCs w:val="32"/>
        </w:rPr>
        <w:t>区工商联深入开展“守纪律、提效能、强执行、做表率”活动；加强学习教育，提高干部素质；加强制度建设，打造服务型机关；加强职能意识，提高办事效率；加强廉洁自律意识，创建廉洁型机关；加强督促考核，确保各项工作再上新台阶。</w:t>
      </w:r>
    </w:p>
    <w:p>
      <w:pPr>
        <w:pStyle w:val="3"/>
        <w:rPr>
          <w:rStyle w:val="25"/>
          <w:rFonts w:hint="eastAsia"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w:t>
      </w:r>
      <w:bookmarkStart w:id="73" w:name="_GoBack"/>
      <w:bookmarkEnd w:id="73"/>
      <w:r>
        <w:rPr>
          <w:rStyle w:val="25"/>
          <w:rFonts w:hint="eastAsia" w:ascii="黑体" w:hAnsi="黑体" w:eastAsia="黑体"/>
          <w:b w:val="0"/>
          <w:bCs w:val="0"/>
        </w:rPr>
        <w:t>设置</w:t>
      </w:r>
      <w:bookmarkEnd w:id="20"/>
      <w:bookmarkEnd w:id="21"/>
    </w:p>
    <w:p>
      <w:pPr>
        <w:pStyle w:val="3"/>
        <w:rPr>
          <w:rFonts w:ascii="仿宋" w:hAnsi="仿宋" w:eastAsia="仿宋"/>
          <w:color w:val="000000"/>
          <w:kern w:val="0"/>
          <w:szCs w:val="32"/>
        </w:rPr>
      </w:pPr>
      <w:r>
        <w:rPr>
          <w:rStyle w:val="25"/>
          <w:rFonts w:hint="eastAsia" w:ascii="黑体" w:hAnsi="黑体" w:eastAsia="黑体"/>
          <w:b w:val="0"/>
          <w:bCs w:val="0"/>
          <w:lang w:val="en-US" w:eastAsia="zh-CN"/>
        </w:rPr>
        <w:t xml:space="preserve"> </w:t>
      </w:r>
      <w:r>
        <w:rPr>
          <w:rFonts w:hint="eastAsia" w:ascii="Times New Roman" w:hAnsi="Times New Roman" w:eastAsia="仿宋_GB2312" w:cs="仿宋_GB2312"/>
          <w:b w:val="0"/>
          <w:bCs w:val="0"/>
          <w:kern w:val="2"/>
          <w:sz w:val="32"/>
          <w:szCs w:val="32"/>
          <w:lang w:val="en-US" w:eastAsia="zh-CN" w:bidi="ar-SA"/>
        </w:rPr>
        <w:t xml:space="preserve">  内设股室0个，下属二级单位</w:t>
      </w:r>
      <w:r>
        <w:rPr>
          <w:rFonts w:hint="default" w:ascii="Times New Roman" w:hAnsi="Times New Roman" w:eastAsia="仿宋_GB2312" w:cs="仿宋_GB2312"/>
          <w:b w:val="0"/>
          <w:bCs w:val="0"/>
          <w:kern w:val="2"/>
          <w:sz w:val="32"/>
          <w:szCs w:val="32"/>
          <w:lang w:val="en-US" w:eastAsia="zh-CN" w:bidi="ar-SA"/>
        </w:rPr>
        <w:t>0</w:t>
      </w:r>
      <w:r>
        <w:rPr>
          <w:rFonts w:hint="eastAsia" w:ascii="Times New Roman" w:hAnsi="Times New Roman" w:eastAsia="仿宋_GB2312" w:cs="仿宋_GB2312"/>
          <w:b w:val="0"/>
          <w:bCs w:val="0"/>
          <w:kern w:val="2"/>
          <w:sz w:val="32"/>
          <w:szCs w:val="32"/>
          <w:lang w:val="en-US" w:eastAsia="zh-CN" w:bidi="ar-SA"/>
        </w:rPr>
        <w:t>个，其中行政单位</w:t>
      </w:r>
      <w:r>
        <w:rPr>
          <w:rFonts w:hint="default" w:ascii="Times New Roman" w:hAnsi="Times New Roman" w:eastAsia="仿宋_GB2312" w:cs="仿宋_GB2312"/>
          <w:b w:val="0"/>
          <w:bCs w:val="0"/>
          <w:kern w:val="2"/>
          <w:sz w:val="32"/>
          <w:szCs w:val="32"/>
          <w:lang w:val="en-US" w:eastAsia="zh-CN" w:bidi="ar-SA"/>
        </w:rPr>
        <w:t>1</w:t>
      </w:r>
      <w:r>
        <w:rPr>
          <w:rFonts w:hint="eastAsia" w:ascii="Times New Roman" w:hAnsi="Times New Roman" w:eastAsia="仿宋_GB2312" w:cs="仿宋_GB2312"/>
          <w:b w:val="0"/>
          <w:bCs w:val="0"/>
          <w:kern w:val="2"/>
          <w:sz w:val="32"/>
          <w:szCs w:val="32"/>
          <w:lang w:val="en-US" w:eastAsia="zh-CN" w:bidi="ar-SA"/>
        </w:rPr>
        <w:t>个，分别是西区工商业联合会，参照公务员法管理的事业单位</w:t>
      </w:r>
      <w:r>
        <w:rPr>
          <w:rFonts w:hint="default" w:ascii="Times New Roman" w:hAnsi="Times New Roman" w:eastAsia="仿宋_GB2312" w:cs="仿宋_GB2312"/>
          <w:b w:val="0"/>
          <w:bCs w:val="0"/>
          <w:kern w:val="2"/>
          <w:sz w:val="32"/>
          <w:szCs w:val="32"/>
          <w:lang w:val="en-US" w:eastAsia="zh-CN" w:bidi="ar-SA"/>
        </w:rPr>
        <w:t>0</w:t>
      </w:r>
      <w:r>
        <w:rPr>
          <w:rFonts w:hint="eastAsia" w:ascii="Times New Roman" w:hAnsi="Times New Roman" w:eastAsia="仿宋_GB2312" w:cs="仿宋_GB2312"/>
          <w:b w:val="0"/>
          <w:bCs w:val="0"/>
          <w:kern w:val="2"/>
          <w:sz w:val="32"/>
          <w:szCs w:val="32"/>
          <w:lang w:val="en-US" w:eastAsia="zh-CN" w:bidi="ar-SA"/>
        </w:rPr>
        <w:t>个，其他事业单位</w:t>
      </w:r>
      <w:r>
        <w:rPr>
          <w:rFonts w:hint="default" w:ascii="Times New Roman" w:hAnsi="Times New Roman" w:eastAsia="仿宋_GB2312" w:cs="仿宋_GB2312"/>
          <w:b w:val="0"/>
          <w:bCs w:val="0"/>
          <w:kern w:val="2"/>
          <w:sz w:val="32"/>
          <w:szCs w:val="32"/>
          <w:lang w:val="en-US" w:eastAsia="zh-CN" w:bidi="ar-SA"/>
        </w:rPr>
        <w:t>0</w:t>
      </w:r>
      <w:r>
        <w:rPr>
          <w:rFonts w:hint="eastAsia" w:ascii="Times New Roman" w:hAnsi="Times New Roman" w:eastAsia="仿宋_GB2312" w:cs="仿宋_GB2312"/>
          <w:b w:val="0"/>
          <w:bCs w:val="0"/>
          <w:kern w:val="2"/>
          <w:sz w:val="32"/>
          <w:szCs w:val="32"/>
          <w:lang w:val="en-US" w:eastAsia="zh-CN" w:bidi="ar-SA"/>
        </w:rPr>
        <w:t>个。</w:t>
      </w:r>
      <w:r>
        <w:rPr>
          <w:rFonts w:ascii="仿宋" w:hAnsi="仿宋" w:eastAsia="仿宋"/>
          <w:color w:val="000000"/>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w:t>
      </w:r>
      <w:r>
        <w:rPr>
          <w:rStyle w:val="24"/>
          <w:rFonts w:hint="eastAsia" w:ascii="黑体" w:hAnsi="黑体" w:eastAsia="黑体"/>
          <w:b w:val="0"/>
          <w:bCs w:val="0"/>
          <w:lang w:val="en-US" w:eastAsia="zh-CN"/>
        </w:rPr>
        <w:t>20</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97.71</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8.22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人员增加，使运行成本增加、项目预算增加</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keepNext w:val="0"/>
        <w:keepLines w:val="0"/>
        <w:widowControl/>
        <w:suppressLineNumbers w:val="0"/>
        <w:jc w:val="left"/>
        <w:rPr>
          <w:rFonts w:ascii="仿宋_GB2312" w:eastAsia="仿宋_GB2312"/>
          <w:color w:val="000000"/>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"C:\\Users\\w\\AppData\\Roaming\\Tencent\\Users\\248301485\\QQ\\WinTemp\\RichOle\\7T2HLQ8{B){WGBS~KOQ($HR.png"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495550" cy="17335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6"/>
                    <a:stretch>
                      <a:fillRect/>
                    </a:stretch>
                  </pic:blipFill>
                  <pic:spPr>
                    <a:xfrm>
                      <a:off x="0" y="0"/>
                      <a:ext cx="2495550" cy="17335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88.39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88.39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keepNext w:val="0"/>
        <w:keepLines w:val="0"/>
        <w:widowControl/>
        <w:suppressLineNumbers w:val="0"/>
        <w:jc w:val="left"/>
        <w:rPr>
          <w:rFonts w:ascii="仿宋_GB2312" w:eastAsia="仿宋_GB2312"/>
          <w:color w:val="FF0000"/>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"C:\\Users\\w\\AppData\\Roaming\\Tencent\\Users\\248301485\\QQ\\WinTemp\\RichOle\\CAD}1CFJO9LN9YS{4VA%PJI.png"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2158365" cy="2028190"/>
            <wp:effectExtent l="0" t="0" r="13335" b="1016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2158365" cy="20281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97.71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88.39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90.46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keepNext w:val="0"/>
        <w:keepLines w:val="0"/>
        <w:widowControl/>
        <w:suppressLineNumbers w:val="0"/>
        <w:jc w:val="left"/>
      </w:pPr>
      <w:r>
        <w:drawing>
          <wp:inline distT="0" distB="0" distL="114300" distR="114300">
            <wp:extent cx="2828290" cy="2095500"/>
            <wp:effectExtent l="0" t="0" r="1016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8"/>
                    <a:stretch>
                      <a:fillRect/>
                    </a:stretch>
                  </pic:blipFill>
                  <pic:spPr>
                    <a:xfrm>
                      <a:off x="0" y="0"/>
                      <a:ext cx="2828290" cy="2095500"/>
                    </a:xfrm>
                    <a:prstGeom prst="rect">
                      <a:avLst/>
                    </a:prstGeom>
                    <a:noFill/>
                    <a:ln w="9525">
                      <a:noFill/>
                    </a:ln>
                  </pic:spPr>
                </pic:pic>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97.71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8.22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人员增加，使运行成本增加、项目预算增加</w:t>
      </w:r>
      <w:r>
        <w:rPr>
          <w:rFonts w:hint="eastAsia" w:ascii="仿宋" w:hAnsi="仿宋" w:eastAsia="仿宋"/>
          <w:color w:val="000000"/>
          <w:sz w:val="32"/>
          <w:szCs w:val="32"/>
          <w:lang w:eastAsia="zh-CN"/>
        </w:rPr>
        <w:t>。</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keepNext w:val="0"/>
        <w:keepLines w:val="0"/>
        <w:widowControl/>
        <w:suppressLineNumbers w:val="0"/>
        <w:jc w:val="left"/>
        <w:rPr>
          <w:rFonts w:ascii="仿宋" w:hAnsi="仿宋" w:eastAsia="仿宋"/>
          <w:b/>
          <w:color w:val="00B050"/>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"C:\\Users\\w\\AppData\\Roaming\\Tencent\\Users\\248301485\\QQ\\WinTemp\\RichOle\\08A0C(VS`FS78GXQ9@C){YF.png"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343275" cy="22574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3343275" cy="22574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95.71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97.94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6.02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6.29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sz w:val="32"/>
          <w:szCs w:val="32"/>
        </w:rPr>
        <w:t>人员增加，使运行成本增加、项目预算增加</w:t>
      </w:r>
      <w:r>
        <w:rPr>
          <w:rFonts w:hint="eastAsia" w:ascii="仿宋" w:hAnsi="仿宋" w:eastAsia="仿宋"/>
          <w:color w:val="000000"/>
          <w:sz w:val="32"/>
          <w:szCs w:val="32"/>
          <w:lang w:eastAsia="zh-CN"/>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keepNext w:val="0"/>
        <w:keepLines w:val="0"/>
        <w:widowControl/>
        <w:suppressLineNumbers w:val="0"/>
        <w:jc w:val="left"/>
        <w:rPr>
          <w:rFonts w:ascii="仿宋" w:hAnsi="仿宋" w:eastAsia="仿宋"/>
          <w:color w:val="000000" w:themeColor="text1"/>
          <w:sz w:val="32"/>
          <w:szCs w:val="32"/>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"C:\\Users\\w\\AppData\\Roaming\\Tencent\\Users\\248301485\\QQ\\WinTemp\\RichOle\\X60N0C0)]B_Y(PRBGJ}Z]TU.png"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895725" cy="2457450"/>
            <wp:effectExtent l="0" t="0" r="9525" b="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10"/>
                    <a:stretch>
                      <a:fillRect/>
                    </a:stretch>
                  </pic:blipFill>
                  <pic:spPr>
                    <a:xfrm>
                      <a:off x="0" y="0"/>
                      <a:ext cx="3895725" cy="24574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97.71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75.78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77.56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7.37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4.67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lang w:val="en-US" w:eastAsia="zh-CN"/>
        </w:rPr>
        <w:t>8.06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8.25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城乡社区支出</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"C:\\Users\\w\\AppData\\Roaming\\Tencent\\Users\\248301485\\QQ\\WinTemp\\RichOle\\~`L]Q`D9{3UQ]750NUMH7VY.png"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343275" cy="2343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3343275" cy="23431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pP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w:t>
      </w:r>
      <w:r>
        <w:rPr>
          <w:rFonts w:hint="eastAsia" w:ascii="仿宋" w:hAnsi="仿宋" w:eastAsia="仿宋"/>
          <w:b/>
          <w:color w:val="000000" w:themeColor="text1"/>
          <w:sz w:val="32"/>
          <w:szCs w:val="32"/>
          <w:lang w:val="en-US" w:eastAsia="zh-CN"/>
        </w:rPr>
        <w:t>20</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95.71万元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民主党派及工商联事务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68.45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lang w:eastAsia="zh-CN"/>
        </w:rPr>
        <w:t>社会保障和就业支出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行政单位离退休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lang w:eastAsia="zh-CN"/>
        </w:rPr>
        <w:t>社会保障和就业支出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行政事业单位养老支出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5.57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lang w:eastAsia="zh-CN"/>
        </w:rPr>
        <w:t>卫生健康支出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（款）公务员医疗补助（项）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0.48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8.06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88.39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80.04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8.35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万元，本单位无该项目支出。</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eastAsia="仿宋_GB2312"/>
          <w:color w:val="000000"/>
          <w:sz w:val="32"/>
          <w:szCs w:val="32"/>
          <w:lang w:val="en-US" w:eastAsia="zh-CN"/>
        </w:rPr>
        <w:t>2019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万元，具体内容包括：…（接待具体项目、金额）。</w:t>
      </w:r>
    </w:p>
    <w:p>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（具体项目）。主要用于……</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西区工商联</w:t>
      </w:r>
      <w:r>
        <w:rPr>
          <w:rFonts w:hint="eastAsia" w:ascii="仿宋_GB2312" w:eastAsia="仿宋_GB2312"/>
          <w:color w:val="000000"/>
          <w:sz w:val="32"/>
          <w:szCs w:val="32"/>
        </w:rPr>
        <w:t>机关运行经费支出</w:t>
      </w:r>
      <w:r>
        <w:rPr>
          <w:rFonts w:hint="eastAsia" w:ascii="仿宋_GB2312" w:eastAsia="仿宋_GB2312"/>
          <w:color w:val="auto"/>
          <w:sz w:val="32"/>
          <w:szCs w:val="32"/>
          <w:lang w:val="en-US" w:eastAsia="zh-CN"/>
        </w:rPr>
        <w:t>8.35</w:t>
      </w:r>
      <w:r>
        <w:rPr>
          <w:rFonts w:hint="eastAsia" w:ascii="仿宋_GB2312" w:eastAsia="仿宋_GB2312"/>
          <w:color w:val="auto"/>
          <w:sz w:val="32"/>
          <w:szCs w:val="32"/>
        </w:rPr>
        <w:t>万元，</w:t>
      </w:r>
      <w:r>
        <w:rPr>
          <w:rFonts w:hint="eastAsia" w:ascii="仿宋_GB2312" w:eastAsia="仿宋_GB2312"/>
          <w:color w:val="000000"/>
          <w:sz w:val="32"/>
          <w:szCs w:val="32"/>
        </w:rPr>
        <w:t>比</w:t>
      </w:r>
      <w:r>
        <w:rPr>
          <w:rFonts w:ascii="仿宋_GB2312" w:eastAsia="仿宋_GB2312"/>
          <w:color w:val="000000"/>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3.74</w:t>
      </w:r>
      <w:r>
        <w:rPr>
          <w:rFonts w:hint="eastAsia" w:ascii="仿宋_GB2312" w:eastAsia="仿宋_GB2312"/>
          <w:color w:val="auto"/>
          <w:sz w:val="32"/>
          <w:szCs w:val="32"/>
        </w:rPr>
        <w:t>万元，</w:t>
      </w:r>
      <w:r>
        <w:rPr>
          <w:rFonts w:hint="eastAsia" w:ascii="仿宋_GB2312" w:eastAsia="仿宋_GB2312"/>
          <w:color w:val="auto"/>
          <w:sz w:val="32"/>
          <w:szCs w:val="32"/>
          <w:lang w:eastAsia="zh-CN"/>
        </w:rPr>
        <w:t>降低</w:t>
      </w:r>
      <w:r>
        <w:rPr>
          <w:rFonts w:hint="eastAsia" w:ascii="仿宋_GB2312" w:eastAsia="仿宋_GB2312"/>
          <w:color w:val="auto"/>
          <w:sz w:val="32"/>
          <w:szCs w:val="32"/>
          <w:lang w:val="en-US" w:eastAsia="zh-CN"/>
        </w:rPr>
        <w:t>44.79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减少了办公经费支出</w:t>
      </w:r>
      <w:r>
        <w:rPr>
          <w:rFonts w:hint="eastAsia" w:ascii="仿宋_GB2312" w:eastAsia="仿宋_GB2312"/>
          <w:color w:val="000000" w:themeColor="text1"/>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西区工商联政府</w:t>
      </w:r>
      <w:r>
        <w:rPr>
          <w:rFonts w:hint="eastAsia" w:ascii="仿宋_GB2312" w:eastAsia="仿宋_GB2312"/>
          <w:color w:val="000000"/>
          <w:sz w:val="32"/>
          <w:szCs w:val="32"/>
        </w:rPr>
        <w:t>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西区工商联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联系协调非公企业经费</w:t>
      </w:r>
      <w:r>
        <w:rPr>
          <w:rFonts w:hint="eastAsia" w:ascii="仿宋_GB2312" w:hAnsi="仿宋_GB2312" w:eastAsia="仿宋_GB2312" w:cs="仿宋_GB2312"/>
          <w:sz w:val="32"/>
          <w:szCs w:val="32"/>
        </w:rPr>
        <w:t>（项目名称）开展了预算事前绩效评估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Ansi="仿宋" w:eastAsia="仿宋"/>
          <w:sz w:val="32"/>
          <w:szCs w:val="32"/>
        </w:rPr>
        <w:t>本部门按要求对20</w:t>
      </w:r>
      <w:r>
        <w:rPr>
          <w:rFonts w:hint="eastAsia" w:hAnsi="仿宋" w:eastAsia="仿宋"/>
          <w:sz w:val="32"/>
          <w:szCs w:val="32"/>
          <w:lang w:val="en-US" w:eastAsia="zh-CN"/>
        </w:rPr>
        <w:t>20</w:t>
      </w:r>
      <w:r>
        <w:rPr>
          <w:rFonts w:hAnsi="仿宋" w:eastAsia="仿宋"/>
          <w:sz w:val="32"/>
          <w:szCs w:val="32"/>
        </w:rPr>
        <w:t>年部门整体支出开展绩效自评，从评价情况来看接受评价项目的省报、立项程序完整，预算执行及时，绩效目标</w:t>
      </w:r>
      <w:r>
        <w:rPr>
          <w:rFonts w:hAnsi="仿宋" w:eastAsia="仿宋"/>
          <w:sz w:val="32"/>
          <w:szCs w:val="32"/>
          <w:highlight w:val="none"/>
        </w:rPr>
        <w:t>得到</w:t>
      </w:r>
      <w:r>
        <w:rPr>
          <w:rFonts w:hint="eastAsia" w:hAnsi="仿宋" w:eastAsia="仿宋"/>
          <w:sz w:val="32"/>
          <w:szCs w:val="32"/>
          <w:highlight w:val="none"/>
          <w:lang w:eastAsia="zh-CN"/>
        </w:rPr>
        <w:t>较好地实现</w:t>
      </w:r>
      <w:r>
        <w:rPr>
          <w:rFonts w:hAnsi="仿宋" w:eastAsia="仿宋"/>
          <w:sz w:val="32"/>
          <w:szCs w:val="32"/>
        </w:rPr>
        <w:t>，绩效水平得到稳步提升。本部门还自行组织</w:t>
      </w:r>
      <w:r>
        <w:rPr>
          <w:rFonts w:hAnsi="仿宋" w:eastAsia="仿宋"/>
          <w:color w:val="auto"/>
          <w:sz w:val="32"/>
          <w:szCs w:val="32"/>
        </w:rPr>
        <w:t>了</w:t>
      </w:r>
      <w:r>
        <w:rPr>
          <w:rFonts w:hint="eastAsia" w:hAnsi="仿宋" w:eastAsia="仿宋"/>
          <w:color w:val="auto"/>
          <w:sz w:val="32"/>
          <w:szCs w:val="32"/>
          <w:lang w:val="en-US" w:eastAsia="zh-CN"/>
        </w:rPr>
        <w:t>1</w:t>
      </w:r>
      <w:r>
        <w:rPr>
          <w:rFonts w:hAnsi="仿宋" w:eastAsia="仿宋"/>
          <w:color w:val="auto"/>
          <w:sz w:val="32"/>
          <w:szCs w:val="32"/>
        </w:rPr>
        <w:t>个项目支出绩效</w:t>
      </w:r>
      <w:r>
        <w:rPr>
          <w:rFonts w:hAnsi="仿宋" w:eastAsia="仿宋"/>
          <w:sz w:val="32"/>
          <w:szCs w:val="32"/>
        </w:rPr>
        <w:t>评价，从评价情况来看基本能按照绩效目标完成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本部门在20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年度部门决算中反映“</w:t>
      </w:r>
      <w:r>
        <w:rPr>
          <w:rFonts w:hint="eastAsia" w:ascii="仿宋_GB2312" w:hAnsi="仿宋_GB2312" w:eastAsia="仿宋_GB2312" w:cs="仿宋_GB2312"/>
          <w:color w:val="auto"/>
          <w:sz w:val="32"/>
          <w:szCs w:val="32"/>
          <w:lang w:eastAsia="zh-CN"/>
        </w:rPr>
        <w:t>联系协调非公企业经费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“购买社会服务经费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“招商引资工作经费”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lang w:eastAsia="zh-CN"/>
        </w:rPr>
        <w:t>联系协调非公企业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%。通过项目实施，促进非公经济健康发展</w:t>
      </w:r>
      <w:r>
        <w:rPr>
          <w:rFonts w:hint="eastAsia" w:ascii="Times New Roman" w:hAnsi="Times New Roman" w:eastAsia="仿宋_GB2312" w:cs="Times New Roman"/>
          <w:sz w:val="32"/>
          <w:szCs w:val="32"/>
        </w:rPr>
        <w:t>。非公经济人士好评达到95%以上</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auto"/>
          <w:sz w:val="32"/>
          <w:szCs w:val="32"/>
          <w:lang w:eastAsia="zh-CN"/>
        </w:rPr>
        <w:t>购买社会服务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%。区工商联工作人员少工作繁忙，且无具有专业知识能力的工作人员任会计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通过项目实施，</w:t>
      </w:r>
      <w:r>
        <w:rPr>
          <w:rFonts w:hint="eastAsia" w:ascii="Times New Roman" w:hAnsi="Times New Roman" w:eastAsia="仿宋_GB2312" w:cs="Times New Roman"/>
          <w:sz w:val="32"/>
          <w:szCs w:val="32"/>
        </w:rPr>
        <w:t>规范会计制度</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招商引资工作</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工商联、商协会民间性的优势，争取省市工商联的帮助，与重庆市永川区等缔结为友好工商联，签订了战略合作框架协议，重点加强智能装备、机械制造、汽车及零部件加工、康复康养、电子信息产业的链接和合作</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招商引资工作经费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区工商联</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6.26万元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6.26万元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0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Times New Roman" w:hAnsi="Times New Roman" w:eastAsia="仿宋_GB2312" w:cs="Times New Roman"/>
                <w:sz w:val="21"/>
                <w:szCs w:val="21"/>
              </w:rPr>
              <w:t>发挥工商联优势，为招商引资搭建平台，发挥桥梁纽带和以商招商的作用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Times New Roman" w:hAnsi="Times New Roman" w:eastAsia="仿宋_GB2312" w:cs="Times New Roman"/>
                <w:sz w:val="21"/>
                <w:szCs w:val="21"/>
              </w:rPr>
              <w:t>充分发挥工商联、商协会民间性的优势，争取省市工商联的帮助，与重庆市永川区等缔结为友好工商联，签订了战略合作框架协议，重点加强智能装备、机械制造、汽车及零部件加工、康复康养、电子信息产业的链接和合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7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缔结友好商会数量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缔结友好商会1个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已与重庆市永川区签订战略合作框架协议</w:t>
            </w:r>
          </w:p>
        </w:tc>
      </w:tr>
      <w:tr>
        <w:tblPrEx>
          <w:tblCellMar>
            <w:top w:w="0" w:type="dxa"/>
            <w:left w:w="0" w:type="dxa"/>
            <w:bottom w:w="0" w:type="dxa"/>
            <w:right w:w="0" w:type="dxa"/>
          </w:tblCellMar>
        </w:tblPrEx>
        <w:trPr>
          <w:trHeight w:val="65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搭建平台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搭建好的平台，助力非公经济发展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已搭建平台，推动西区融入成渝双城经济圈。</w:t>
            </w:r>
          </w:p>
        </w:tc>
      </w:tr>
      <w:tr>
        <w:tblPrEx>
          <w:tblCellMar>
            <w:top w:w="0" w:type="dxa"/>
            <w:left w:w="0" w:type="dxa"/>
            <w:bottom w:w="0" w:type="dxa"/>
            <w:right w:w="0" w:type="dxa"/>
          </w:tblCellMar>
        </w:tblPrEx>
        <w:trPr>
          <w:trHeight w:val="4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项目完成时限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2020年全年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eastAsia="zh-CN"/>
              </w:rPr>
              <w:t>成本指标</w:t>
            </w:r>
            <w:r>
              <w:rPr>
                <w:rFonts w:hint="eastAsia" w:ascii="Times New Roman" w:hAnsi="Times New Roman" w:eastAsia="仿宋_GB2312" w:cs="Times New Roman"/>
                <w:sz w:val="21"/>
                <w:szCs w:val="21"/>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 xml:space="preserve">组织培训学习考察等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组织非公经济培训、外出学习考察等，费用共计6.26万元。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差旅费4.5万元，制作相关宣传资料费等1.76万元，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非公经济人士评价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 组织非公有制经济代表人士赴发达地区开展考察调研活动，促进非公经济人士发展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已与重庆市永川区签订战略合作框架协议 。促进非公经济人士“两个健康”发展</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非公经济人士好评达到95%以上。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非公经济人士好评达到95%以上。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非公经济人士好评达到98%。</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购买社会服务</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区工商联</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1.06万元</w:t>
            </w:r>
          </w:p>
        </w:tc>
      </w:tr>
      <w:tr>
        <w:tblPrEx>
          <w:tblCellMar>
            <w:top w:w="0" w:type="dxa"/>
            <w:left w:w="0" w:type="dxa"/>
            <w:bottom w:w="0" w:type="dxa"/>
            <w:right w:w="0" w:type="dxa"/>
          </w:tblCellMar>
        </w:tblPrEx>
        <w:trPr>
          <w:trHeight w:val="12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区工商联工作人员少工作繁忙，且无具有专业知识能力的工作人员任会计。只能聘请华光会计师事务所的会计。金蝶服务费1千元每年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华光会计师事务所履行合同义务，工商联已按合同规定支付全部服务费。金碟软件2020年已支付服务费1千元</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服务次数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金碟软件服务、华光会计师事务所服务一年服务12次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8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规范会计制度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规范会计制度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7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2020年全年</w:t>
            </w:r>
          </w:p>
        </w:tc>
      </w:tr>
      <w:tr>
        <w:tblPrEx>
          <w:tblCellMar>
            <w:top w:w="0" w:type="dxa"/>
            <w:left w:w="0" w:type="dxa"/>
            <w:bottom w:w="0" w:type="dxa"/>
            <w:right w:w="0" w:type="dxa"/>
          </w:tblCellMar>
        </w:tblPrEx>
        <w:trPr>
          <w:trHeight w:val="9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成本指标</w:t>
            </w:r>
            <w:r>
              <w:rPr>
                <w:rFonts w:hint="eastAsia" w:ascii="宋体" w:hAnsi="宋体" w:cs="宋体"/>
                <w:color w:val="000000"/>
                <w:sz w:val="18"/>
                <w:szCs w:val="18"/>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服务费用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金碟软件服务费1千元，华光会计师事务所服务费0.96万元。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6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会计制度规范化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会计制度规范化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财务人员满意度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财务人员满意率达到95%以上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财务人员满意率达到95%以上</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联系协调非公企业经费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区工商联</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2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根据工作职责，为西区民营企业和中心企业牵线搭桥、组织银企对接、搭建融资平年</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很好完成了年度目标任务。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召开会议、培训次数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金召开执委会2次，主席会1次、组织参加各种培训10次以上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87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提高非公经济人士思想素质和参政议政能力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提高非公经济人士思想素质和参政议政能力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tblPrEx>
          <w:tblCellMar>
            <w:top w:w="0" w:type="dxa"/>
            <w:left w:w="0" w:type="dxa"/>
            <w:bottom w:w="0" w:type="dxa"/>
            <w:right w:w="0" w:type="dxa"/>
          </w:tblCellMar>
        </w:tblPrEx>
        <w:trPr>
          <w:trHeight w:val="72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时效指标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完成时间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2020年全年</w:t>
            </w:r>
          </w:p>
        </w:tc>
      </w:tr>
      <w:tr>
        <w:tblPrEx>
          <w:tblCellMar>
            <w:top w:w="0" w:type="dxa"/>
            <w:left w:w="0" w:type="dxa"/>
            <w:bottom w:w="0" w:type="dxa"/>
            <w:right w:w="0" w:type="dxa"/>
          </w:tblCellMar>
        </w:tblPrEx>
        <w:trPr>
          <w:trHeight w:val="9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成本指标</w:t>
            </w:r>
            <w:r>
              <w:rPr>
                <w:rFonts w:hint="eastAsia" w:ascii="宋体" w:hAnsi="宋体" w:cs="宋体"/>
                <w:color w:val="000000"/>
                <w:sz w:val="18"/>
                <w:szCs w:val="18"/>
                <w:lang w:val="en-US" w:eastAsia="zh-CN"/>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eastAsia="zh-CN"/>
              </w:rPr>
              <w:t xml:space="preserve">会议费和培训费等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会议费和培训费等共计2万元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会议费5000元/次，共3次，共计1.5万元。培训费0.5万元。</w:t>
            </w:r>
          </w:p>
        </w:tc>
      </w:tr>
      <w:tr>
        <w:tblPrEx>
          <w:tblCellMar>
            <w:top w:w="0" w:type="dxa"/>
            <w:left w:w="0" w:type="dxa"/>
            <w:bottom w:w="0" w:type="dxa"/>
            <w:right w:w="0" w:type="dxa"/>
          </w:tblCellMar>
        </w:tblPrEx>
        <w:trPr>
          <w:trHeight w:val="63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促进非公经济健康发展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促进非公经济健康发展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非公经济人士评价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非公经济人士好评达到95%以上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非公经济人士好评达到98%</w:t>
            </w:r>
          </w:p>
        </w:tc>
      </w:tr>
    </w:tbl>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西区工商联</w:t>
      </w:r>
      <w:r>
        <w:rPr>
          <w:rFonts w:hint="eastAsia" w:ascii="仿宋_GB2312" w:hAnsi="仿宋_GB2312" w:eastAsia="仿宋_GB2312" w:cs="仿宋_GB2312"/>
          <w:sz w:val="32"/>
          <w:szCs w:val="32"/>
        </w:rPr>
        <w:t>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联系协调非公企业经费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“购买社会服务经费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“招商引资工作经费”项目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color w:val="auto"/>
          <w:sz w:val="32"/>
          <w:szCs w:val="32"/>
          <w:lang w:eastAsia="zh-CN"/>
        </w:rPr>
        <w:t>联系协调非公企业经费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购买社会服务经费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招商引资工作经费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一般公共服务（类）民主党派及工商联事务（款）行政运行（项）</w:t>
      </w:r>
      <w:r>
        <w:rPr>
          <w:rFonts w:ascii="仿宋_GB2312" w:eastAsia="仿宋_GB2312"/>
          <w:color w:val="000000"/>
          <w:sz w:val="32"/>
          <w:szCs w:val="32"/>
        </w:rPr>
        <w:t>2012801</w:t>
      </w:r>
      <w:r>
        <w:rPr>
          <w:rFonts w:hint="eastAsia" w:ascii="仿宋_GB2312" w:eastAsia="仿宋_GB2312"/>
          <w:color w:val="000000"/>
          <w:sz w:val="32"/>
          <w:szCs w:val="32"/>
        </w:rPr>
        <w:t>：反映行政单位（包括实行公务员管理的事业单位）的基本支出。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一般公共服务（类）民主党派及工商联事务（款）一般行政管理事务（项）</w:t>
      </w:r>
      <w:r>
        <w:rPr>
          <w:rFonts w:ascii="仿宋_GB2312" w:eastAsia="仿宋_GB2312"/>
          <w:color w:val="000000"/>
          <w:sz w:val="32"/>
          <w:szCs w:val="32"/>
        </w:rPr>
        <w:t>2012802</w:t>
      </w:r>
      <w:r>
        <w:rPr>
          <w:rFonts w:hint="eastAsia" w:ascii="仿宋_GB2312" w:eastAsia="仿宋_GB2312"/>
          <w:color w:val="000000"/>
          <w:sz w:val="32"/>
          <w:szCs w:val="32"/>
        </w:rPr>
        <w:t>：指反映行政单位（包括实行公务员管理的事业单位）未单独设置项级科目的其他项目支出。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eastAsia"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西区工商联</w:t>
      </w:r>
      <w:r>
        <w:rPr>
          <w:rFonts w:hint="eastAsia" w:ascii="方正小标宋简体" w:hAnsi="宋体" w:eastAsia="方正小标宋简体"/>
          <w:color w:val="000000"/>
          <w:kern w:val="0"/>
          <w:sz w:val="40"/>
          <w:szCs w:val="44"/>
          <w:lang w:val="zh-CN"/>
        </w:rPr>
        <w:t>部门</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属于一级决算单位，无下属单位。根据《攀枝花市西区人民政府办公室关于印发攀枝花市西区工商业联合会主要职责内设机构和人员编制规定的通知》（攀西府办</w:t>
      </w:r>
      <w:r>
        <w:rPr>
          <w:rFonts w:ascii="仿宋" w:hAnsi="仿宋" w:eastAsia="仿宋"/>
          <w:sz w:val="32"/>
          <w:szCs w:val="32"/>
        </w:rPr>
        <w:t>[2011]48</w:t>
      </w:r>
      <w:r>
        <w:rPr>
          <w:rFonts w:hint="eastAsia" w:ascii="仿宋" w:hAnsi="仿宋" w:eastAsia="仿宋"/>
          <w:sz w:val="32"/>
          <w:szCs w:val="32"/>
        </w:rPr>
        <w:t>号）文件精神，区工商联内设机构数量完全符合规定要求，无擅自提高机构规格，无擅自增设、变更机构等情况，内设机构工作人员分工明确，机构运行良好。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（二）机构职能。</w:t>
      </w:r>
    </w:p>
    <w:p>
      <w:pPr>
        <w:snapToGrid w:val="0"/>
        <w:spacing w:line="520" w:lineRule="exact"/>
        <w:ind w:firstLine="640" w:firstLineChars="200"/>
        <w:rPr>
          <w:rFonts w:ascii="仿宋_GB2312" w:hAnsi="仿宋" w:eastAsia="仿宋_GB2312"/>
          <w:sz w:val="32"/>
          <w:szCs w:val="32"/>
        </w:rPr>
      </w:pPr>
      <w:r>
        <w:rPr>
          <w:rFonts w:ascii="仿宋" w:hAnsi="仿宋" w:eastAsia="仿宋"/>
          <w:sz w:val="32"/>
          <w:szCs w:val="32"/>
        </w:rPr>
        <w:t>1</w:t>
      </w:r>
      <w:r>
        <w:rPr>
          <w:rFonts w:hint="eastAsia" w:ascii="仿宋" w:hAnsi="仿宋" w:eastAsia="仿宋"/>
          <w:sz w:val="32"/>
          <w:szCs w:val="32"/>
        </w:rPr>
        <w:t>、参与区委、区政府大政方针及政治、经济、社会生活中的重要问题的政治协商，发挥</w:t>
      </w:r>
      <w:r>
        <w:rPr>
          <w:rFonts w:hint="eastAsia" w:ascii="仿宋_GB2312" w:hAnsi="仿宋" w:eastAsia="仿宋_GB2312"/>
          <w:sz w:val="32"/>
          <w:szCs w:val="32"/>
        </w:rPr>
        <w:t>民主监督作用，参政议政。</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、引导会员积极参加国家经济建设，推动社会主义市场经济体制逐步完善，促进社会全面发展。</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、做好工商界代表人士政治安排的推荐工作。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、指导同业公会和行业商会等专业组织的工作。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发扬自我教育的优良传统，宣传、贯彻党和国家的方针政策，加强和改进思想政治工作，坚持对广大会员进行团结、帮助、引导、教育，促进促进非公有制经济健康发展，提倡爱国、敬业、守法，提高会员素质，培养积极分子队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、代表并维护会员的合法权益，反映会员的意见、要求和建议为会员提供有关证明，协调关系，参与调解经济纠纷。</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引导会员把自身企业的发展与国家发展结合起来，把个人富裕与全体人民的共同富裕结合起来，把遵守市场规则与发扬社会主义道德结合起来，弘扬中华民族传统美德，先富帮后富，走共同富裕的道路，热心社会公益事业，积极参加扶贫光彩事业。</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、为会员提供信息、培训、科技、管理、法律、会计、审计、融资、咨询等服务，帮助会员改进经营管理、完善财务制度，照章纳税，提高自身素质和生产技术、产品质量等。</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9</w:t>
      </w:r>
      <w:r>
        <w:rPr>
          <w:rFonts w:hint="eastAsia" w:ascii="仿宋_GB2312" w:hAnsi="仿宋" w:eastAsia="仿宋_GB2312"/>
          <w:sz w:val="32"/>
          <w:szCs w:val="32"/>
        </w:rPr>
        <w:t>、组织会员出国、出境考察访问，举办和参加各种对内对外展销会、交易会，帮助会员开拓国内、国际市场；增进与香港、澳门特别行政区、台湾地区和世界各国工商社团及工商经济界人士的联系和友谊，促进经济、技术和贸易合作的发展，协助引进资金、技术、人才。</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10</w:t>
      </w:r>
      <w:r>
        <w:rPr>
          <w:rFonts w:hint="eastAsia" w:ascii="仿宋_GB2312" w:hAnsi="仿宋" w:eastAsia="仿宋_GB2312"/>
          <w:sz w:val="32"/>
          <w:szCs w:val="32"/>
        </w:rPr>
        <w:t>、承办政府交办和有关部门委托事项。</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（三）人员概况。</w:t>
      </w:r>
    </w:p>
    <w:p>
      <w:pPr>
        <w:widowControl/>
        <w:adjustRightInd w:val="0"/>
        <w:snapToGrid w:val="0"/>
        <w:spacing w:line="580" w:lineRule="exact"/>
        <w:ind w:firstLine="640" w:firstLineChars="200"/>
        <w:contextualSpacing/>
        <w:jc w:val="left"/>
        <w:rPr>
          <w:rFonts w:hint="eastAsia" w:ascii="仿宋" w:hAnsi="仿宋" w:eastAsia="仿宋"/>
          <w:sz w:val="32"/>
          <w:szCs w:val="32"/>
        </w:rPr>
      </w:pPr>
      <w:r>
        <w:rPr>
          <w:rFonts w:hint="eastAsia" w:ascii="仿宋_GB2312" w:hAnsi="仿宋" w:eastAsia="仿宋_GB2312"/>
          <w:sz w:val="32"/>
          <w:szCs w:val="32"/>
        </w:rPr>
        <w:t>区工商联核定行政编制</w:t>
      </w:r>
      <w:r>
        <w:rPr>
          <w:rFonts w:ascii="仿宋_GB2312" w:hAnsi="仿宋" w:eastAsia="仿宋_GB2312"/>
          <w:sz w:val="32"/>
          <w:szCs w:val="32"/>
        </w:rPr>
        <w:t>2</w:t>
      </w:r>
      <w:r>
        <w:rPr>
          <w:rFonts w:hint="eastAsia" w:ascii="仿宋_GB2312" w:hAnsi="仿宋" w:eastAsia="仿宋_GB2312"/>
          <w:sz w:val="32"/>
          <w:szCs w:val="32"/>
        </w:rPr>
        <w:t>名，临聘人员编制</w:t>
      </w:r>
      <w:r>
        <w:rPr>
          <w:rFonts w:ascii="仿宋_GB2312" w:hAnsi="仿宋" w:eastAsia="仿宋_GB2312"/>
          <w:sz w:val="32"/>
          <w:szCs w:val="32"/>
        </w:rPr>
        <w:t>1</w:t>
      </w:r>
      <w:r>
        <w:rPr>
          <w:rFonts w:hint="eastAsia" w:ascii="仿宋_GB2312" w:hAnsi="仿宋" w:eastAsia="仿宋_GB2312"/>
          <w:sz w:val="32"/>
          <w:szCs w:val="32"/>
        </w:rPr>
        <w:t>名。区工商联现有行政人员4名（其中一</w:t>
      </w:r>
      <w:r>
        <w:rPr>
          <w:rFonts w:hint="eastAsia" w:ascii="仿宋" w:hAnsi="仿宋" w:eastAsia="仿宋"/>
          <w:sz w:val="32"/>
          <w:szCs w:val="32"/>
        </w:rPr>
        <w:t>名为县级领导，编制在区政协，但工资关系在区工商联。一名保留正科级待遇，编制在人才交流中心。），临聘人员</w:t>
      </w:r>
      <w:r>
        <w:rPr>
          <w:rFonts w:ascii="仿宋" w:hAnsi="仿宋" w:eastAsia="仿宋"/>
          <w:sz w:val="32"/>
          <w:szCs w:val="32"/>
        </w:rPr>
        <w:t>1</w:t>
      </w:r>
      <w:r>
        <w:rPr>
          <w:rFonts w:hint="eastAsia" w:ascii="仿宋" w:hAnsi="仿宋" w:eastAsia="仿宋"/>
          <w:sz w:val="32"/>
          <w:szCs w:val="32"/>
        </w:rPr>
        <w:t>名。核定常务副主席一名，工作人员一名。区工商联现有主席</w:t>
      </w:r>
      <w:r>
        <w:rPr>
          <w:rFonts w:ascii="仿宋" w:hAnsi="仿宋" w:eastAsia="仿宋"/>
          <w:sz w:val="32"/>
          <w:szCs w:val="32"/>
        </w:rPr>
        <w:t>1</w:t>
      </w:r>
      <w:r>
        <w:rPr>
          <w:rFonts w:hint="eastAsia" w:ascii="仿宋" w:hAnsi="仿宋" w:eastAsia="仿宋"/>
          <w:sz w:val="32"/>
          <w:szCs w:val="32"/>
        </w:rPr>
        <w:t>名、常务副主席</w:t>
      </w:r>
      <w:r>
        <w:rPr>
          <w:rFonts w:ascii="仿宋" w:hAnsi="仿宋" w:eastAsia="仿宋"/>
          <w:sz w:val="32"/>
          <w:szCs w:val="32"/>
        </w:rPr>
        <w:t>1</w:t>
      </w:r>
      <w:r>
        <w:rPr>
          <w:rFonts w:hint="eastAsia" w:ascii="仿宋" w:hAnsi="仿宋" w:eastAsia="仿宋"/>
          <w:sz w:val="32"/>
          <w:szCs w:val="32"/>
        </w:rPr>
        <w:t>名，副主席兼秘书长1名，工作人员</w:t>
      </w:r>
      <w:r>
        <w:rPr>
          <w:rFonts w:ascii="仿宋" w:hAnsi="仿宋" w:eastAsia="仿宋"/>
          <w:sz w:val="32"/>
          <w:szCs w:val="32"/>
        </w:rPr>
        <w:t>1</w:t>
      </w:r>
      <w:r>
        <w:rPr>
          <w:rFonts w:hint="eastAsia" w:ascii="仿宋" w:hAnsi="仿宋" w:eastAsia="仿宋"/>
          <w:sz w:val="32"/>
          <w:szCs w:val="32"/>
        </w:rPr>
        <w:t>名，无超职数配备领导干部和高配领导干部情况。均严格按照编制执行</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3" w:firstLineChars="200"/>
        <w:rPr>
          <w:rFonts w:eastAsia="仿宋"/>
          <w:sz w:val="32"/>
          <w:szCs w:val="32"/>
        </w:rPr>
      </w:pPr>
      <w:r>
        <w:rPr>
          <w:rFonts w:eastAsia="楷体"/>
          <w:b/>
          <w:bCs/>
          <w:sz w:val="32"/>
          <w:szCs w:val="32"/>
        </w:rPr>
        <w:t>（一）部门财政资金收入情况</w:t>
      </w:r>
      <w:r>
        <w:rPr>
          <w:rFonts w:eastAsia="仿宋"/>
          <w:sz w:val="32"/>
          <w:szCs w:val="32"/>
        </w:rPr>
        <w:t>。</w:t>
      </w:r>
    </w:p>
    <w:p>
      <w:pPr>
        <w:spacing w:line="580" w:lineRule="exact"/>
        <w:ind w:firstLine="640" w:firstLineChars="200"/>
        <w:rPr>
          <w:rFonts w:eastAsia="仿宋"/>
          <w:sz w:val="32"/>
          <w:szCs w:val="32"/>
        </w:rPr>
      </w:pPr>
      <w:r>
        <w:rPr>
          <w:rFonts w:hint="eastAsia" w:eastAsia="仿宋"/>
          <w:sz w:val="32"/>
          <w:szCs w:val="32"/>
          <w:lang w:eastAsia="zh-CN"/>
        </w:rPr>
        <w:t>区工商联</w:t>
      </w:r>
      <w:r>
        <w:rPr>
          <w:rFonts w:eastAsia="仿宋"/>
          <w:sz w:val="32"/>
          <w:szCs w:val="32"/>
        </w:rPr>
        <w:t>本年政拨款收入共</w:t>
      </w:r>
      <w:r>
        <w:rPr>
          <w:rFonts w:hint="eastAsia" w:eastAsia="仿宋"/>
          <w:sz w:val="32"/>
          <w:szCs w:val="32"/>
          <w:lang w:val="en-US" w:eastAsia="zh-CN"/>
        </w:rPr>
        <w:t>97.71</w:t>
      </w:r>
      <w:r>
        <w:rPr>
          <w:rFonts w:eastAsia="仿宋"/>
          <w:sz w:val="32"/>
          <w:szCs w:val="32"/>
        </w:rPr>
        <w:t>万元。其中一般公共预算财政拨款</w:t>
      </w:r>
      <w:r>
        <w:rPr>
          <w:rFonts w:hint="eastAsia" w:eastAsia="仿宋"/>
          <w:sz w:val="32"/>
          <w:szCs w:val="32"/>
          <w:lang w:val="en-US" w:eastAsia="zh-CN"/>
        </w:rPr>
        <w:t>95.71</w:t>
      </w:r>
      <w:r>
        <w:rPr>
          <w:rFonts w:eastAsia="仿宋"/>
          <w:sz w:val="32"/>
          <w:szCs w:val="32"/>
        </w:rPr>
        <w:t>万元，政府性基金预算财政拨款</w:t>
      </w:r>
      <w:r>
        <w:rPr>
          <w:rFonts w:hint="eastAsia" w:eastAsia="仿宋"/>
          <w:sz w:val="32"/>
          <w:szCs w:val="32"/>
          <w:lang w:val="en-US" w:eastAsia="zh-CN"/>
        </w:rPr>
        <w:t>2</w:t>
      </w:r>
      <w:r>
        <w:rPr>
          <w:rFonts w:eastAsia="仿宋"/>
          <w:sz w:val="32"/>
          <w:szCs w:val="32"/>
        </w:rPr>
        <w:t>万元。</w:t>
      </w:r>
    </w:p>
    <w:p>
      <w:pPr>
        <w:spacing w:line="580" w:lineRule="exact"/>
        <w:ind w:firstLine="643" w:firstLineChars="200"/>
        <w:rPr>
          <w:rFonts w:eastAsia="楷体"/>
          <w:b/>
          <w:bCs/>
          <w:sz w:val="32"/>
          <w:szCs w:val="32"/>
        </w:rPr>
      </w:pPr>
      <w:r>
        <w:rPr>
          <w:rFonts w:eastAsia="楷体"/>
          <w:b/>
          <w:bCs/>
          <w:sz w:val="32"/>
          <w:szCs w:val="32"/>
        </w:rPr>
        <w:t>（二）部门财政资金支出情况。</w:t>
      </w:r>
    </w:p>
    <w:p>
      <w:pPr>
        <w:widowControl/>
        <w:adjustRightInd w:val="0"/>
        <w:snapToGrid w:val="0"/>
        <w:spacing w:line="580" w:lineRule="exact"/>
        <w:ind w:firstLine="640" w:firstLineChars="200"/>
        <w:contextualSpacing/>
        <w:jc w:val="left"/>
        <w:rPr>
          <w:rFonts w:hint="default" w:eastAsia="仿宋"/>
          <w:sz w:val="32"/>
          <w:szCs w:val="32"/>
          <w:lang w:val="en-US" w:eastAsia="zh-CN"/>
        </w:rPr>
      </w:pPr>
      <w:r>
        <w:rPr>
          <w:rFonts w:eastAsia="仿宋"/>
          <w:sz w:val="32"/>
          <w:szCs w:val="32"/>
        </w:rPr>
        <w:t>本年财政拨款支出</w:t>
      </w:r>
      <w:r>
        <w:rPr>
          <w:rFonts w:hint="eastAsia" w:eastAsia="仿宋"/>
          <w:sz w:val="32"/>
          <w:szCs w:val="32"/>
          <w:lang w:val="en-US" w:eastAsia="zh-CN"/>
        </w:rPr>
        <w:t>97.71</w:t>
      </w:r>
      <w:r>
        <w:rPr>
          <w:rFonts w:eastAsia="仿宋"/>
          <w:sz w:val="32"/>
          <w:szCs w:val="32"/>
        </w:rPr>
        <w:t>万元。其中一般公共服务支出</w:t>
      </w:r>
      <w:r>
        <w:rPr>
          <w:rFonts w:hint="eastAsia" w:eastAsia="仿宋"/>
          <w:sz w:val="32"/>
          <w:szCs w:val="32"/>
          <w:lang w:val="en-US" w:eastAsia="zh-CN"/>
        </w:rPr>
        <w:t>75.78</w:t>
      </w:r>
      <w:r>
        <w:rPr>
          <w:rFonts w:eastAsia="仿宋"/>
          <w:sz w:val="32"/>
          <w:szCs w:val="32"/>
        </w:rPr>
        <w:t>万元，社会保障和就业支出</w:t>
      </w:r>
      <w:r>
        <w:rPr>
          <w:rFonts w:hint="eastAsia" w:eastAsia="仿宋"/>
          <w:sz w:val="32"/>
          <w:szCs w:val="32"/>
          <w:lang w:val="en-US" w:eastAsia="zh-CN"/>
        </w:rPr>
        <w:t>7.2</w:t>
      </w:r>
      <w:r>
        <w:rPr>
          <w:rFonts w:eastAsia="仿宋"/>
          <w:sz w:val="32"/>
          <w:szCs w:val="32"/>
        </w:rPr>
        <w:t>万元，</w:t>
      </w:r>
      <w:r>
        <w:rPr>
          <w:rFonts w:hint="eastAsia" w:eastAsia="仿宋"/>
          <w:sz w:val="32"/>
          <w:szCs w:val="32"/>
        </w:rPr>
        <w:t>卫生健康支出</w:t>
      </w:r>
      <w:r>
        <w:rPr>
          <w:rFonts w:hint="eastAsia" w:eastAsia="仿宋"/>
          <w:sz w:val="32"/>
          <w:szCs w:val="32"/>
          <w:lang w:val="en-US" w:eastAsia="zh-CN"/>
        </w:rPr>
        <w:t>4.67</w:t>
      </w:r>
      <w:r>
        <w:rPr>
          <w:rFonts w:hint="eastAsia" w:eastAsia="仿宋"/>
          <w:sz w:val="32"/>
          <w:szCs w:val="32"/>
        </w:rPr>
        <w:t>万元，</w:t>
      </w:r>
      <w:r>
        <w:rPr>
          <w:rFonts w:hint="eastAsia" w:eastAsia="仿宋"/>
          <w:sz w:val="32"/>
          <w:szCs w:val="32"/>
          <w:lang w:eastAsia="zh-CN"/>
        </w:rPr>
        <w:t>城乡社区</w:t>
      </w:r>
      <w:r>
        <w:rPr>
          <w:rFonts w:hint="eastAsia" w:eastAsia="仿宋"/>
          <w:sz w:val="32"/>
          <w:szCs w:val="32"/>
        </w:rPr>
        <w:t>支出</w:t>
      </w:r>
      <w:r>
        <w:rPr>
          <w:rFonts w:hint="eastAsia" w:eastAsia="仿宋"/>
          <w:sz w:val="32"/>
          <w:szCs w:val="32"/>
          <w:lang w:val="en-US" w:eastAsia="zh-CN"/>
        </w:rPr>
        <w:t>2</w:t>
      </w:r>
      <w:r>
        <w:rPr>
          <w:rFonts w:hint="eastAsia" w:eastAsia="仿宋"/>
          <w:sz w:val="32"/>
          <w:szCs w:val="32"/>
        </w:rPr>
        <w:t>万元</w:t>
      </w:r>
      <w:r>
        <w:rPr>
          <w:rFonts w:eastAsia="仿宋"/>
          <w:sz w:val="32"/>
          <w:szCs w:val="32"/>
        </w:rPr>
        <w:t>，住房保障支出</w:t>
      </w:r>
      <w:r>
        <w:rPr>
          <w:rFonts w:hint="eastAsia" w:eastAsia="仿宋"/>
          <w:sz w:val="32"/>
          <w:szCs w:val="32"/>
          <w:lang w:val="en-US" w:eastAsia="zh-CN"/>
        </w:rPr>
        <w:t>8.06</w:t>
      </w:r>
      <w:r>
        <w:rPr>
          <w:rFonts w:eastAsia="仿宋"/>
          <w:sz w:val="32"/>
          <w:szCs w:val="32"/>
        </w:rPr>
        <w:t>万元</w:t>
      </w:r>
      <w:r>
        <w:rPr>
          <w:rFonts w:hint="eastAsia" w:eastAsia="仿宋"/>
          <w:sz w:val="32"/>
          <w:szCs w:val="32"/>
          <w:lang w:val="en-US"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eastAsia="仿宋"/>
          <w:sz w:val="32"/>
          <w:szCs w:val="32"/>
        </w:rPr>
        <w:t>严格预算管理，强化预算约束，制定绩效目标，各项收入都已经列入部门预算，规范编制基本支出和项目支出，完整编制政府采购预算，结余结转资金管理规范，按规定公开了部门预算。在20</w:t>
      </w:r>
      <w:r>
        <w:rPr>
          <w:rFonts w:hint="eastAsia" w:eastAsia="仿宋"/>
          <w:sz w:val="32"/>
          <w:szCs w:val="32"/>
          <w:lang w:val="en-US" w:eastAsia="zh-CN"/>
        </w:rPr>
        <w:t>20</w:t>
      </w:r>
      <w:r>
        <w:rPr>
          <w:rFonts w:eastAsia="仿宋"/>
          <w:sz w:val="32"/>
          <w:szCs w:val="32"/>
        </w:rPr>
        <w:t>年均无违规违纪记录</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eastAsia="仿宋"/>
          <w:sz w:val="32"/>
          <w:szCs w:val="32"/>
        </w:rPr>
        <w:t>我</w:t>
      </w:r>
      <w:r>
        <w:rPr>
          <w:rFonts w:hint="eastAsia" w:eastAsia="仿宋"/>
          <w:sz w:val="32"/>
          <w:szCs w:val="32"/>
          <w:lang w:eastAsia="zh-CN"/>
        </w:rPr>
        <w:t>单位</w:t>
      </w:r>
      <w:r>
        <w:rPr>
          <w:rFonts w:eastAsia="仿宋"/>
          <w:sz w:val="32"/>
          <w:szCs w:val="32"/>
        </w:rPr>
        <w:t>充分重视绩效自评结果，将结果应用在绩效制定的过程中，不断完善绩效制定水平，提高绩效编制的准确性</w:t>
      </w:r>
      <w:r>
        <w:rPr>
          <w:rFonts w:hint="eastAsia" w:ascii="仿宋_GB2312" w:hAnsi="宋体" w:eastAsia="仿宋_GB2312" w:cs="宋体"/>
          <w:color w:val="000000"/>
          <w:kern w:val="0"/>
          <w:sz w:val="32"/>
          <w:szCs w:val="32"/>
          <w:shd w:val="clear" w:color="auto" w:fill="FFFFFF"/>
          <w:lang w:val="zh-CN"/>
        </w:rPr>
        <w:t>。</w:t>
      </w:r>
    </w:p>
    <w:p>
      <w:pPr>
        <w:spacing w:line="580" w:lineRule="exact"/>
        <w:ind w:firstLine="640" w:firstLineChars="200"/>
        <w:rPr>
          <w:rFonts w:eastAsia="仿宋"/>
          <w:sz w:val="32"/>
          <w:szCs w:val="32"/>
        </w:rPr>
      </w:pPr>
      <w:r>
        <w:rPr>
          <w:rFonts w:eastAsia="仿宋"/>
          <w:sz w:val="32"/>
          <w:szCs w:val="32"/>
        </w:rPr>
        <w:t>20</w:t>
      </w:r>
      <w:r>
        <w:rPr>
          <w:rFonts w:hint="eastAsia" w:eastAsia="仿宋"/>
          <w:sz w:val="32"/>
          <w:szCs w:val="32"/>
          <w:lang w:val="en-US" w:eastAsia="zh-CN"/>
        </w:rPr>
        <w:t>20</w:t>
      </w:r>
      <w:r>
        <w:rPr>
          <w:rFonts w:eastAsia="仿宋"/>
          <w:sz w:val="32"/>
          <w:szCs w:val="32"/>
        </w:rPr>
        <w:t>年，我</w:t>
      </w:r>
      <w:r>
        <w:rPr>
          <w:rFonts w:hint="eastAsia" w:eastAsia="仿宋"/>
          <w:sz w:val="32"/>
          <w:szCs w:val="32"/>
          <w:lang w:eastAsia="zh-CN"/>
        </w:rPr>
        <w:t>单位</w:t>
      </w:r>
      <w:r>
        <w:rPr>
          <w:rFonts w:eastAsia="仿宋"/>
          <w:sz w:val="32"/>
          <w:szCs w:val="32"/>
        </w:rPr>
        <w:t>积极履职，强化管理，较好地完成了年度工作目标。通过加强预算收支管理，不断建立健全内部管理制度，梳理内部管理流程，部门整体支出管理水平得到提升。</w:t>
      </w:r>
    </w:p>
    <w:p>
      <w:pPr>
        <w:spacing w:line="580" w:lineRule="exact"/>
        <w:ind w:firstLine="640" w:firstLineChars="200"/>
        <w:rPr>
          <w:rFonts w:eastAsia="仿宋"/>
          <w:sz w:val="32"/>
          <w:szCs w:val="32"/>
        </w:rPr>
      </w:pPr>
      <w:r>
        <w:rPr>
          <w:rFonts w:eastAsia="仿宋"/>
          <w:sz w:val="32"/>
          <w:szCs w:val="32"/>
        </w:rPr>
        <w:t>1.预算配置控制较好。按照20</w:t>
      </w:r>
      <w:r>
        <w:rPr>
          <w:rFonts w:hint="eastAsia" w:eastAsia="仿宋"/>
          <w:sz w:val="32"/>
          <w:szCs w:val="32"/>
          <w:lang w:val="en-US" w:eastAsia="zh-CN"/>
        </w:rPr>
        <w:t>20</w:t>
      </w:r>
      <w:r>
        <w:rPr>
          <w:rFonts w:eastAsia="仿宋"/>
          <w:sz w:val="32"/>
          <w:szCs w:val="32"/>
        </w:rPr>
        <w:t>年绩效目标编制，我</w:t>
      </w:r>
      <w:r>
        <w:rPr>
          <w:rFonts w:hint="eastAsia" w:eastAsia="仿宋"/>
          <w:sz w:val="32"/>
          <w:szCs w:val="32"/>
          <w:lang w:eastAsia="zh-CN"/>
        </w:rPr>
        <w:t>单位</w:t>
      </w:r>
      <w:r>
        <w:rPr>
          <w:rFonts w:eastAsia="仿宋"/>
          <w:sz w:val="32"/>
          <w:szCs w:val="32"/>
        </w:rPr>
        <w:t>在基本支出、项目支出配置上科学合理，配置到保障，工作扎实推进。</w:t>
      </w:r>
    </w:p>
    <w:p>
      <w:pPr>
        <w:spacing w:line="580" w:lineRule="exact"/>
        <w:ind w:firstLine="640" w:firstLineChars="200"/>
        <w:rPr>
          <w:rFonts w:eastAsia="仿宋"/>
          <w:sz w:val="32"/>
          <w:szCs w:val="32"/>
        </w:rPr>
      </w:pPr>
      <w:r>
        <w:rPr>
          <w:rFonts w:eastAsia="仿宋"/>
          <w:sz w:val="32"/>
          <w:szCs w:val="32"/>
        </w:rPr>
        <w:t>2.预算执行到位。20</w:t>
      </w:r>
      <w:r>
        <w:rPr>
          <w:rFonts w:hint="eastAsia" w:eastAsia="仿宋"/>
          <w:sz w:val="32"/>
          <w:szCs w:val="32"/>
          <w:lang w:val="en-US" w:eastAsia="zh-CN"/>
        </w:rPr>
        <w:t>20</w:t>
      </w:r>
      <w:r>
        <w:rPr>
          <w:rFonts w:eastAsia="仿宋"/>
          <w:sz w:val="32"/>
          <w:szCs w:val="32"/>
        </w:rPr>
        <w:t>年财政拨款收入</w:t>
      </w:r>
      <w:r>
        <w:rPr>
          <w:rFonts w:hint="eastAsia" w:eastAsia="仿宋"/>
          <w:sz w:val="32"/>
          <w:szCs w:val="32"/>
          <w:lang w:val="en-US" w:eastAsia="zh-CN"/>
        </w:rPr>
        <w:t>97.71</w:t>
      </w:r>
      <w:r>
        <w:rPr>
          <w:rFonts w:eastAsia="仿宋"/>
          <w:sz w:val="32"/>
          <w:szCs w:val="32"/>
        </w:rPr>
        <w:t>万元，财政拨款支出</w:t>
      </w:r>
      <w:r>
        <w:rPr>
          <w:rFonts w:hint="eastAsia" w:eastAsia="仿宋"/>
          <w:sz w:val="32"/>
          <w:szCs w:val="32"/>
          <w:lang w:val="en-US" w:eastAsia="zh-CN"/>
        </w:rPr>
        <w:t>97.71</w:t>
      </w:r>
      <w:r>
        <w:rPr>
          <w:rFonts w:hint="eastAsia" w:eastAsia="仿宋"/>
          <w:sz w:val="32"/>
          <w:szCs w:val="32"/>
        </w:rPr>
        <w:t>万元</w:t>
      </w:r>
      <w:r>
        <w:rPr>
          <w:rFonts w:eastAsia="仿宋"/>
          <w:sz w:val="32"/>
          <w:szCs w:val="32"/>
        </w:rPr>
        <w:t>，预算执行率达</w:t>
      </w:r>
      <w:r>
        <w:rPr>
          <w:rFonts w:hint="eastAsia" w:eastAsia="仿宋"/>
          <w:sz w:val="32"/>
          <w:szCs w:val="32"/>
          <w:lang w:val="en-US" w:eastAsia="zh-CN"/>
        </w:rPr>
        <w:t>100</w:t>
      </w:r>
      <w:r>
        <w:rPr>
          <w:rFonts w:eastAsia="仿宋"/>
          <w:sz w:val="32"/>
          <w:szCs w:val="32"/>
        </w:rPr>
        <w:t>%</w:t>
      </w:r>
    </w:p>
    <w:p>
      <w:pPr>
        <w:spacing w:line="580" w:lineRule="exact"/>
        <w:ind w:firstLine="640" w:firstLineChars="200"/>
        <w:rPr>
          <w:rFonts w:eastAsia="仿宋"/>
          <w:sz w:val="32"/>
          <w:szCs w:val="32"/>
        </w:rPr>
      </w:pPr>
      <w:r>
        <w:rPr>
          <w:rFonts w:eastAsia="仿宋"/>
          <w:sz w:val="32"/>
          <w:szCs w:val="32"/>
        </w:rPr>
        <w:t>部门预算收支严格按年初部门预算方案执行，全年支出总额控制在预算总额以内，全年无截留或滞留专项资金情况，部门预决算、“三公”经费预决算按要求及时进行了公开。</w:t>
      </w:r>
    </w:p>
    <w:p>
      <w:pPr>
        <w:spacing w:line="580" w:lineRule="exact"/>
        <w:ind w:firstLine="640" w:firstLineChars="200"/>
        <w:rPr>
          <w:rFonts w:eastAsia="仿宋"/>
          <w:sz w:val="32"/>
          <w:szCs w:val="32"/>
        </w:rPr>
      </w:pPr>
      <w:r>
        <w:rPr>
          <w:rFonts w:eastAsia="仿宋"/>
          <w:sz w:val="32"/>
          <w:szCs w:val="32"/>
        </w:rPr>
        <w:t>3.预算管理较理想。切实加强预算管理，根据年初目标和工作进度，管理执行预算，预算制度执行总体较为有效。</w:t>
      </w:r>
    </w:p>
    <w:p>
      <w:pPr>
        <w:spacing w:line="580" w:lineRule="exact"/>
        <w:ind w:firstLine="640" w:firstLineChars="200"/>
        <w:rPr>
          <w:rFonts w:eastAsia="仿宋"/>
          <w:sz w:val="32"/>
          <w:szCs w:val="32"/>
        </w:rPr>
      </w:pPr>
      <w:r>
        <w:rPr>
          <w:rFonts w:eastAsia="仿宋"/>
          <w:sz w:val="32"/>
          <w:szCs w:val="32"/>
        </w:rPr>
        <w:t>4.管理制度健全。我局系统制定有财务管理制度、内部控制制度等管理制度，相关管理制度合法、合规、完整，相关管理制度得到有效执行。</w:t>
      </w:r>
    </w:p>
    <w:p>
      <w:pPr>
        <w:spacing w:line="580" w:lineRule="exact"/>
        <w:ind w:firstLine="640" w:firstLineChars="200"/>
        <w:rPr>
          <w:rFonts w:eastAsia="仿宋"/>
          <w:sz w:val="32"/>
          <w:szCs w:val="32"/>
        </w:rPr>
      </w:pPr>
      <w:r>
        <w:rPr>
          <w:rFonts w:eastAsia="仿宋"/>
          <w:sz w:val="32"/>
          <w:szCs w:val="32"/>
        </w:rPr>
        <w:t>5.资金使用合规。切实做好厉行节约工作，努力降低行政成本。各项支出严格按照有关财经法规和财务管理制度规定执行，费用开支有标准、有预算。严格公务接待费、差旅费、会议费和培训费审核审批程序，加强对公务用车的管理，会议费和培训费严格按年初计划和制度规定的标准执行。资金使用无截留、挤占、挪用、虚列支出等情况,无大额现金支付现象。</w:t>
      </w:r>
    </w:p>
    <w:p>
      <w:pPr>
        <w:spacing w:line="580" w:lineRule="exact"/>
        <w:ind w:firstLine="640" w:firstLineChars="200"/>
        <w:rPr>
          <w:rFonts w:eastAsia="仿宋"/>
          <w:sz w:val="32"/>
          <w:szCs w:val="32"/>
        </w:rPr>
      </w:pPr>
      <w:r>
        <w:rPr>
          <w:rFonts w:eastAsia="仿宋"/>
          <w:sz w:val="32"/>
          <w:szCs w:val="32"/>
        </w:rPr>
        <w:t>6.信息公开及时。预决算信息根据要求，及时在财政系统和局政务信息系统中公开。</w:t>
      </w:r>
    </w:p>
    <w:p>
      <w:pPr>
        <w:spacing w:line="580" w:lineRule="exact"/>
        <w:ind w:firstLine="643" w:firstLineChars="200"/>
        <w:rPr>
          <w:rFonts w:eastAsia="楷体"/>
          <w:b/>
          <w:bCs/>
          <w:sz w:val="32"/>
          <w:szCs w:val="32"/>
        </w:rPr>
      </w:pPr>
      <w:r>
        <w:rPr>
          <w:rFonts w:eastAsia="楷体"/>
          <w:b/>
          <w:bCs/>
          <w:sz w:val="32"/>
          <w:szCs w:val="32"/>
        </w:rPr>
        <w:t>（二）存在问题。</w:t>
      </w:r>
    </w:p>
    <w:p>
      <w:pPr>
        <w:spacing w:line="580" w:lineRule="exact"/>
        <w:ind w:firstLine="640" w:firstLineChars="200"/>
        <w:rPr>
          <w:rFonts w:eastAsia="仿宋"/>
          <w:sz w:val="32"/>
          <w:szCs w:val="32"/>
        </w:rPr>
      </w:pPr>
      <w:r>
        <w:rPr>
          <w:rFonts w:eastAsia="仿宋"/>
          <w:sz w:val="32"/>
          <w:szCs w:val="32"/>
        </w:rPr>
        <w:t>1.预算编制时间短，任务重，需要财政做更系统的培训和指导。</w:t>
      </w:r>
    </w:p>
    <w:p>
      <w:pPr>
        <w:spacing w:line="580" w:lineRule="exact"/>
        <w:ind w:firstLine="640" w:firstLineChars="200"/>
        <w:rPr>
          <w:rFonts w:eastAsia="仿宋"/>
          <w:sz w:val="32"/>
          <w:szCs w:val="32"/>
        </w:rPr>
      </w:pPr>
      <w:r>
        <w:rPr>
          <w:rFonts w:eastAsia="仿宋"/>
          <w:sz w:val="32"/>
          <w:szCs w:val="32"/>
        </w:rPr>
        <w:t>2.绩效从制定、评价到使用都缺少系统性训练。</w:t>
      </w:r>
    </w:p>
    <w:p>
      <w:pPr>
        <w:spacing w:line="580" w:lineRule="exact"/>
        <w:ind w:firstLine="640" w:firstLineChars="200"/>
        <w:rPr>
          <w:rFonts w:eastAsia="仿宋"/>
          <w:sz w:val="32"/>
          <w:szCs w:val="32"/>
        </w:rPr>
      </w:pPr>
      <w:r>
        <w:rPr>
          <w:rFonts w:eastAsia="仿宋"/>
          <w:sz w:val="32"/>
          <w:szCs w:val="32"/>
        </w:rPr>
        <w:t>3.预算编制的合理性需要提高。</w:t>
      </w:r>
    </w:p>
    <w:p>
      <w:pPr>
        <w:spacing w:line="580" w:lineRule="exact"/>
        <w:ind w:firstLine="643" w:firstLineChars="200"/>
        <w:rPr>
          <w:rFonts w:eastAsia="楷体"/>
          <w:b/>
          <w:bCs/>
          <w:sz w:val="32"/>
          <w:szCs w:val="32"/>
        </w:rPr>
      </w:pPr>
      <w:r>
        <w:rPr>
          <w:rFonts w:eastAsia="楷体"/>
          <w:b/>
          <w:bCs/>
          <w:sz w:val="32"/>
          <w:szCs w:val="32"/>
        </w:rPr>
        <w:t>（三）改进建议。</w:t>
      </w:r>
    </w:p>
    <w:p>
      <w:pPr>
        <w:spacing w:line="580" w:lineRule="exact"/>
        <w:ind w:firstLine="640" w:firstLineChars="200"/>
        <w:rPr>
          <w:rFonts w:eastAsia="仿宋_GB2312"/>
          <w:sz w:val="32"/>
          <w:szCs w:val="32"/>
        </w:rPr>
      </w:pPr>
      <w:r>
        <w:rPr>
          <w:rFonts w:eastAsia="仿宋"/>
          <w:sz w:val="32"/>
          <w:szCs w:val="32"/>
        </w:rPr>
        <w:t>加强预算编制的合理性，平衡预算配置。加强对预算编制和绩效的培训，绩效不仅是在绩效填报上培训，还需要从绩效编制、绩效编制、绩效评价（自评和第三方评价）、绩效结果应用上做一体化培训，促进绩效系统的成熟和稳定。</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年西区工商联联系服务西区非公经济企业项目支出绩效评价报告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项目评价实施方案情况：根据西区工商联职能目标进行选点，指标包括项目完成指标、效益指标、满意度指标。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项目绩效评价总体结论：圆满完成了目标任务。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必要性和可行性分析：是由西区工商联的职能目标决定的，服务非公企业。绩效目标设置情况：是根据西区工商联日常工作实际来做预算。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资金分配情况：用于召开执委会、主席会，对企业进行培训。资金使用情况：严格按照计划来使用。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项目目标完成情况：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数量指标已召开执委会</w:t>
      </w:r>
      <w:r>
        <w:rPr>
          <w:rFonts w:ascii="仿宋" w:hAnsi="仿宋" w:eastAsia="仿宋" w:cs="仿宋_GB2312"/>
          <w:sz w:val="32"/>
          <w:szCs w:val="32"/>
        </w:rPr>
        <w:t>2</w:t>
      </w:r>
      <w:r>
        <w:rPr>
          <w:rFonts w:hint="eastAsia" w:ascii="仿宋" w:hAnsi="仿宋" w:eastAsia="仿宋" w:cs="仿宋_GB2312"/>
          <w:sz w:val="32"/>
          <w:szCs w:val="32"/>
        </w:rPr>
        <w:t>次，主席会</w:t>
      </w:r>
      <w:r>
        <w:rPr>
          <w:rFonts w:ascii="仿宋" w:hAnsi="仿宋" w:eastAsia="仿宋" w:cs="仿宋_GB2312"/>
          <w:sz w:val="32"/>
          <w:szCs w:val="32"/>
        </w:rPr>
        <w:t>1</w:t>
      </w:r>
      <w:r>
        <w:rPr>
          <w:rFonts w:hint="eastAsia" w:ascii="仿宋" w:hAnsi="仿宋" w:eastAsia="仿宋" w:cs="仿宋_GB2312"/>
          <w:sz w:val="32"/>
          <w:szCs w:val="32"/>
        </w:rPr>
        <w:t>次；质量指标提高了非公经济人士思想素质和参政议政能力；成本指标已</w:t>
      </w:r>
      <w:r>
        <w:rPr>
          <w:rFonts w:hint="eastAsia" w:ascii="仿宋" w:hAnsi="仿宋" w:eastAsia="仿宋"/>
          <w:bCs/>
          <w:color w:val="000000"/>
          <w:sz w:val="32"/>
          <w:szCs w:val="32"/>
        </w:rPr>
        <w:t>组织非公经济人士参加各类培训活动</w:t>
      </w:r>
      <w:r>
        <w:rPr>
          <w:rFonts w:ascii="仿宋" w:hAnsi="仿宋" w:eastAsia="仿宋"/>
          <w:bCs/>
          <w:color w:val="000000"/>
          <w:sz w:val="32"/>
          <w:szCs w:val="32"/>
        </w:rPr>
        <w:t>10</w:t>
      </w:r>
      <w:r>
        <w:rPr>
          <w:rFonts w:hint="eastAsia" w:ascii="仿宋" w:hAnsi="仿宋" w:eastAsia="仿宋"/>
          <w:bCs/>
          <w:color w:val="000000"/>
          <w:sz w:val="32"/>
          <w:szCs w:val="32"/>
        </w:rPr>
        <w:t>余次，参训人员达</w:t>
      </w:r>
      <w:r>
        <w:rPr>
          <w:rFonts w:ascii="仿宋" w:hAnsi="仿宋" w:eastAsia="仿宋"/>
          <w:bCs/>
          <w:color w:val="000000"/>
          <w:sz w:val="32"/>
          <w:szCs w:val="32"/>
        </w:rPr>
        <w:t>130</w:t>
      </w:r>
      <w:r>
        <w:rPr>
          <w:rFonts w:hint="eastAsia" w:ascii="仿宋" w:hAnsi="仿宋" w:eastAsia="仿宋"/>
          <w:bCs/>
          <w:color w:val="000000"/>
          <w:sz w:val="32"/>
          <w:szCs w:val="32"/>
        </w:rPr>
        <w:t>余人次。</w:t>
      </w:r>
      <w:r>
        <w:rPr>
          <w:rFonts w:hint="eastAsia" w:ascii="仿宋" w:hAnsi="仿宋" w:eastAsia="仿宋" w:cs="仿宋_GB2312"/>
          <w:sz w:val="32"/>
          <w:szCs w:val="32"/>
        </w:rPr>
        <w:t>经济效益指标促进了非公经济两个健康发展；服务对象满意度指标：非公经济人士反响良好。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年购买社会服务经费项目支出绩效评价报告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项目评价实施方案情况：为了规范西区工商联财务工作，指标包括项目完成指标、效益指标、满意度指标。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项目绩效评价总体结论：圆满完成了目标任务。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必要性和可行性分析是由西区工商联的人员情况决定的，需要规范工商联内部控制工作。绩效目标设置情况：是根据西区工商联日常工作需要来做预算。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资金分配情况：用于购买社会服务费用。资金使用情况：严格按照计划来使用。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数量指标软件服务</w:t>
      </w:r>
      <w:r>
        <w:rPr>
          <w:rFonts w:ascii="仿宋" w:hAnsi="仿宋" w:eastAsia="仿宋" w:cs="仿宋_GB2312"/>
          <w:sz w:val="32"/>
          <w:szCs w:val="32"/>
        </w:rPr>
        <w:t>1</w:t>
      </w:r>
      <w:r>
        <w:rPr>
          <w:rFonts w:hint="eastAsia" w:ascii="仿宋" w:hAnsi="仿宋" w:eastAsia="仿宋" w:cs="仿宋_GB2312"/>
          <w:sz w:val="32"/>
          <w:szCs w:val="32"/>
        </w:rPr>
        <w:t>年服务</w:t>
      </w:r>
      <w:r>
        <w:rPr>
          <w:rFonts w:ascii="仿宋" w:hAnsi="仿宋" w:eastAsia="仿宋" w:cs="仿宋_GB2312"/>
          <w:sz w:val="32"/>
          <w:szCs w:val="32"/>
        </w:rPr>
        <w:t>12</w:t>
      </w:r>
      <w:r>
        <w:rPr>
          <w:rFonts w:hint="eastAsia" w:ascii="仿宋" w:hAnsi="仿宋" w:eastAsia="仿宋" w:cs="仿宋_GB2312"/>
          <w:sz w:val="32"/>
          <w:szCs w:val="32"/>
        </w:rPr>
        <w:t>次；质量指标规范了财务工作；时效指标：一年；成本指标已支付费用</w:t>
      </w:r>
      <w:r>
        <w:rPr>
          <w:rFonts w:ascii="仿宋" w:hAnsi="仿宋" w:eastAsia="仿宋" w:cs="仿宋_GB2312"/>
          <w:sz w:val="32"/>
          <w:szCs w:val="32"/>
        </w:rPr>
        <w:t>1.</w:t>
      </w:r>
      <w:r>
        <w:rPr>
          <w:rFonts w:hint="eastAsia" w:ascii="仿宋" w:hAnsi="仿宋" w:eastAsia="仿宋" w:cs="仿宋_GB2312"/>
          <w:sz w:val="32"/>
          <w:szCs w:val="32"/>
        </w:rPr>
        <w:t>06万元；社会效益指标工商联内部控制规范化；服务对象满意度指标：干部职工满意度100%。</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四、相关措施建议</w:t>
      </w:r>
    </w:p>
    <w:p>
      <w:pPr>
        <w:adjustRightInd w:val="0"/>
        <w:snapToGrid w:val="0"/>
        <w:spacing w:line="600" w:lineRule="exact"/>
        <w:ind w:firstLine="640" w:firstLineChars="200"/>
        <w:rPr>
          <w:rFonts w:ascii="仿宋_GB2312" w:hAnsi="宋体" w:eastAsia="仿宋_GB2312"/>
          <w:sz w:val="32"/>
          <w:szCs w:val="32"/>
          <w:lang w:val="zh-CN"/>
        </w:rPr>
      </w:pPr>
      <w:r>
        <w:rPr>
          <w:rStyle w:val="24"/>
          <w:rFonts w:hint="eastAsia" w:ascii="仿宋" w:hAnsi="仿宋" w:eastAsia="仿宋" w:cs="仿宋_GB2312"/>
          <w:b w:val="0"/>
          <w:sz w:val="32"/>
          <w:szCs w:val="32"/>
        </w:rPr>
        <w:t>无</w:t>
      </w:r>
      <w:r>
        <w:rPr>
          <w:rFonts w:hint="eastAsia" w:ascii="仿宋_GB2312" w:hAnsi="宋体" w:eastAsia="仿宋_GB2312"/>
          <w:sz w:val="32"/>
          <w:szCs w:val="32"/>
          <w:lang w:val="zh-CN"/>
        </w:rPr>
        <w:t>。</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招商引资工作经费</w:t>
      </w:r>
      <w:r>
        <w:rPr>
          <w:rFonts w:hint="eastAsia" w:ascii="黑体" w:hAnsi="黑体" w:eastAsia="黑体" w:cs="方正小标宋简体"/>
          <w:sz w:val="44"/>
          <w:szCs w:val="44"/>
        </w:rPr>
        <w:t>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评价实施方案情况：充分发挥工商联、商协会民间性的优势，争取省市工商联的帮助，与重庆市永川区等缔结为友好工商联，签订了战略合作框架协议，重点加强智能装备、机械制造、汽车及零部件加工、康复康养、电子信息产业的链接和合作，指标包括项目完成指标、效益指标、满意度指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项目绩效评价总体结论：圆满完成了目标任务。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充分发挥工商联、商协会民间性的优势，争取省市工商联的帮助，与重庆市永川区等缔结为友好工商联，签订了战略合作框架协议，重点加强智能装备、机械制造、汽车及零部件加工、康复康养、电子信息产业的链接和合作。绩效目标设置情况：是根据西区工商联工作需要来做预算。</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资金分配情况：缔结友好商会。资金使用情况：严格按照计划来使用。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数量指标与重庆市永川区签订战略合作框架协议 ；质量指标已搭建平台，推动西区融入成渝双城经济圈；时效指标：一年；成本指标已支付费用</w:t>
      </w:r>
      <w:r>
        <w:rPr>
          <w:rFonts w:hint="eastAsia" w:ascii="仿宋" w:hAnsi="仿宋" w:eastAsia="仿宋" w:cs="仿宋_GB2312"/>
          <w:sz w:val="32"/>
          <w:szCs w:val="32"/>
          <w:lang w:val="en-US" w:eastAsia="zh-CN"/>
        </w:rPr>
        <w:t>6.26</w:t>
      </w:r>
      <w:r>
        <w:rPr>
          <w:rFonts w:hint="eastAsia" w:ascii="仿宋" w:hAnsi="仿宋" w:eastAsia="仿宋" w:cs="仿宋_GB2312"/>
          <w:sz w:val="32"/>
          <w:szCs w:val="32"/>
        </w:rPr>
        <w:t>万元；社会效益指标组织非公有制经济代表人士赴发达地区开展考察调研活动，促进非公经济人士发展；服务对象满意度指标：非公经济人士好评达到95%以上。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无</w:t>
      </w:r>
    </w:p>
    <w:p>
      <w:pPr>
        <w:spacing w:line="580" w:lineRule="exact"/>
        <w:ind w:firstLine="640" w:firstLineChars="200"/>
        <w:rPr>
          <w:rStyle w:val="24"/>
          <w:rFonts w:ascii="仿宋" w:hAnsi="仿宋" w:eastAsia="仿宋" w:cs="仿宋_GB2312"/>
          <w:b w:val="0"/>
          <w:bCs w:val="0"/>
          <w:sz w:val="32"/>
          <w:szCs w:val="32"/>
        </w:rPr>
      </w:pPr>
      <w:r>
        <w:rPr>
          <w:rFonts w:hint="eastAsia" w:ascii="仿宋" w:hAnsi="仿宋" w:eastAsia="仿宋" w:cs="仿宋_GB2312"/>
          <w:sz w:val="32"/>
          <w:szCs w:val="32"/>
        </w:rPr>
        <w:t>四、相关措施建议</w:t>
      </w:r>
    </w:p>
    <w:p>
      <w:pPr>
        <w:adjustRightInd w:val="0"/>
        <w:snapToGrid w:val="0"/>
        <w:spacing w:line="600" w:lineRule="exact"/>
        <w:ind w:firstLine="640" w:firstLineChars="200"/>
        <w:rPr>
          <w:rFonts w:ascii="仿宋_GB2312" w:hAnsi="宋体" w:eastAsia="仿宋_GB2312"/>
          <w:sz w:val="32"/>
          <w:szCs w:val="32"/>
          <w:lang w:val="zh-CN"/>
        </w:rPr>
      </w:pPr>
      <w:r>
        <w:rPr>
          <w:rStyle w:val="24"/>
          <w:rFonts w:hint="eastAsia" w:ascii="仿宋" w:hAnsi="仿宋" w:eastAsia="仿宋" w:cs="仿宋_GB2312"/>
          <w:b w:val="0"/>
          <w:sz w:val="32"/>
          <w:szCs w:val="32"/>
        </w:rPr>
        <w:t>无</w:t>
      </w:r>
      <w:r>
        <w:rPr>
          <w:rFonts w:hint="eastAsia" w:ascii="仿宋_GB2312" w:hAnsi="宋体" w:eastAsia="仿宋_GB2312"/>
          <w:sz w:val="32"/>
          <w:szCs w:val="32"/>
          <w:lang w:val="zh-CN"/>
        </w:rPr>
        <w:t>。</w:t>
      </w: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18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013"/>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1A94185E"/>
    <w:rsid w:val="240371BF"/>
    <w:rsid w:val="29FD04D3"/>
    <w:rsid w:val="319F7F4E"/>
    <w:rsid w:val="31E646B5"/>
    <w:rsid w:val="3322407A"/>
    <w:rsid w:val="36B323F3"/>
    <w:rsid w:val="49A5393A"/>
    <w:rsid w:val="4ECE2238"/>
    <w:rsid w:val="58EB6075"/>
    <w:rsid w:val="614D625D"/>
    <w:rsid w:val="7220002D"/>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3DDB2-A11E-44C4-A0BB-0A77C00CB53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932</Characters>
  <Lines>7</Lines>
  <Paragraphs>17</Paragraphs>
  <TotalTime>1</TotalTime>
  <ScaleCrop>false</ScaleCrop>
  <LinksUpToDate>false</LinksUpToDate>
  <CharactersWithSpaces>8537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2020-11-07T06:48:00Z</dcterms:created>
  <dc:creator>曹颖</dc:creator>
  <cp:lastModifiedBy>淡然若水</cp:lastModifiedBy>
  <cp:lastPrinted>2020-07-23T02:58:00Z</cp:lastPrinted>
  <dcterms:modified xsi:type="dcterms:W3CDTF">2022-06-22T08:38:54Z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A991505F8C2C4D6A8940902EDC07980C</vt:lpwstr>
  </property>
</Properties>
</file>