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黑体" w:hAnsi="黑体" w:eastAsia="黑体"/>
          <w:color w:val="000000"/>
          <w:sz w:val="72"/>
          <w:szCs w:val="72"/>
          <w:lang w:val="en-US" w:eastAsia="zh-CN"/>
        </w:rPr>
      </w:pPr>
      <w:r>
        <w:rPr>
          <w:rFonts w:hint="eastAsia" w:ascii="黑体" w:hAnsi="黑体" w:eastAsia="黑体"/>
          <w:color w:val="000000"/>
          <w:sz w:val="72"/>
          <w:szCs w:val="72"/>
          <w:lang w:val="en-US" w:eastAsia="zh-CN"/>
        </w:rPr>
        <w:t>四川省攀枝花市西区</w:t>
      </w:r>
    </w:p>
    <w:p>
      <w:pPr>
        <w:adjustRightInd w:val="0"/>
        <w:snapToGrid w:val="0"/>
        <w:spacing w:line="360" w:lineRule="auto"/>
        <w:jc w:val="center"/>
        <w:outlineLvl w:val="0"/>
        <w:rPr>
          <w:rFonts w:hint="eastAsia" w:ascii="黑体" w:hAnsi="黑体" w:eastAsia="黑体"/>
          <w:color w:val="000000"/>
          <w:sz w:val="72"/>
          <w:szCs w:val="72"/>
          <w:lang w:val="en-US" w:eastAsia="zh-CN"/>
        </w:rPr>
      </w:pPr>
      <w:r>
        <w:rPr>
          <w:rFonts w:hint="eastAsia" w:ascii="黑体" w:hAnsi="黑体" w:eastAsia="黑体"/>
          <w:color w:val="000000"/>
          <w:sz w:val="72"/>
          <w:szCs w:val="72"/>
          <w:lang w:val="en-US" w:eastAsia="zh-CN"/>
        </w:rPr>
        <w:t>公共卫生管理中心</w:t>
      </w:r>
    </w:p>
    <w:p>
      <w:pPr>
        <w:adjustRightInd w:val="0"/>
        <w:snapToGrid w:val="0"/>
        <w:spacing w:line="360" w:lineRule="auto"/>
        <w:jc w:val="center"/>
        <w:outlineLvl w:val="0"/>
        <w:rPr>
          <w:rFonts w:ascii="黑体" w:hAnsi="黑体" w:eastAsia="黑体"/>
          <w:color w:val="000000"/>
          <w:sz w:val="48"/>
          <w:szCs w:val="48"/>
        </w:rPr>
      </w:pPr>
      <w:r>
        <w:rPr>
          <w:rFonts w:hint="eastAsia" w:ascii="黑体" w:hAnsi="黑体" w:eastAsia="黑体"/>
          <w:color w:val="000000"/>
          <w:sz w:val="72"/>
          <w:szCs w:val="72"/>
          <w:lang w:val="en-US" w:eastAsia="zh-CN"/>
        </w:rPr>
        <w:t>部门决算编制说明</w:t>
      </w:r>
      <w:r>
        <w:rPr>
          <w:rFonts w:ascii="黑体" w:hAnsi="黑体" w:eastAsia="黑体"/>
          <w:color w:val="000000"/>
          <w:sz w:val="72"/>
          <w:szCs w:val="72"/>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w:t>
      </w:r>
      <w:r>
        <w:rPr>
          <w:rFonts w:hint="eastAsia"/>
          <w:lang w:val="en-US" w:eastAsia="zh-CN"/>
        </w:rPr>
        <w:t>11</w:t>
      </w:r>
      <w:r>
        <w:rPr>
          <w:rFonts w:hint="eastAsia"/>
        </w:rPr>
        <w:t>月</w:t>
      </w:r>
      <w:r>
        <w:rPr>
          <w:rFonts w:hint="eastAsia"/>
          <w:lang w:val="en-US" w:eastAsia="zh-CN"/>
        </w:rPr>
        <w:t>23</w:t>
      </w:r>
      <w:r>
        <w:rPr>
          <w:rFonts w:hint="eastAsia"/>
        </w:rPr>
        <w:t>日</w:t>
      </w:r>
    </w:p>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2"/>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.......................................................................................4</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 .........................7</w:t>
      </w:r>
    </w:p>
    <w:p>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w:t>
      </w:r>
      <w:r>
        <w:rPr>
          <w:rFonts w:hint="eastAsia"/>
          <w:sz w:val="24"/>
          <w:lang w:val="en-US" w:eastAsia="zh-CN"/>
        </w:rPr>
        <w:t xml:space="preserve"> 2019</w:t>
      </w:r>
      <w:r>
        <w:rPr>
          <w:rFonts w:hint="eastAsia"/>
          <w:sz w:val="24"/>
        </w:rPr>
        <w:t>度部门决算情况说明</w:t>
      </w:r>
      <w:r>
        <w:rPr>
          <w:rFonts w:hint="eastAsia"/>
          <w:sz w:val="24"/>
          <w:lang w:val="en-US" w:eastAsia="zh-CN"/>
        </w:rPr>
        <w:t>....................................8</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..........................................................................8</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..........................................................................................8</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.........................................................10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................................................11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........................................13</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..................................................14</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...........................................................14</w:t>
      </w:r>
    </w:p>
    <w:p>
      <w:pPr>
        <w:pStyle w:val="12"/>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rPr>
          <w:rFonts w:hint="eastAsia"/>
          <w:sz w:val="24"/>
          <w:lang w:val="en-US" w:eastAsia="zh-CN"/>
        </w:rPr>
        <w:t>.....................................................14</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rPr>
        <w:t>十、</w:t>
      </w:r>
      <w:r>
        <w:rPr>
          <w:rFonts w:hint="eastAsia"/>
          <w:sz w:val="24"/>
        </w:rPr>
        <w:t>其他重要事项的情况说明</w:t>
      </w:r>
      <w:r>
        <w:rPr>
          <w:rFonts w:hint="eastAsia"/>
          <w:sz w:val="24"/>
          <w:lang w:val="en-US" w:eastAsia="zh-CN"/>
        </w:rPr>
        <w:t>..........................................................................14</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..................................................23</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......................................................26</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rPr>
          <w:rFonts w:hint="eastAsia"/>
          <w:sz w:val="24"/>
          <w:lang w:val="en-US" w:eastAsia="zh-CN"/>
        </w:rPr>
        <w:t>....................................................................................................................26</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rPr>
          <w:rFonts w:hint="eastAsia"/>
          <w:sz w:val="24"/>
          <w:lang w:val="en-US" w:eastAsia="zh-CN"/>
        </w:rPr>
        <w:t>....................................................................................................................29</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......................................................32</w:t>
      </w:r>
    </w:p>
    <w:p>
      <w:pPr>
        <w:pStyle w:val="12"/>
        <w:adjustRightInd w:val="0"/>
        <w:snapToGrid w:val="0"/>
        <w:spacing w:line="440" w:lineRule="exact"/>
        <w:jc w:val="left"/>
        <w:rPr>
          <w:rFonts w:hint="default"/>
          <w:sz w:val="24"/>
          <w:lang w:val="en-US" w:eastAsia="zh-CN"/>
        </w:rPr>
      </w:pPr>
      <w:r>
        <w:rPr>
          <w:rFonts w:hint="eastAsia"/>
          <w:sz w:val="24"/>
        </w:rPr>
        <w:t>一、</w:t>
      </w:r>
      <w:r>
        <w:rPr>
          <w:rFonts w:hint="eastAsia"/>
          <w:sz w:val="24"/>
        </w:rPr>
        <w:t>收入支出决算总表</w:t>
      </w:r>
      <w:r>
        <w:rPr>
          <w:rFonts w:hint="eastAsia"/>
          <w:sz w:val="24"/>
          <w:lang w:val="en-US" w:eastAsia="zh-CN"/>
        </w:rPr>
        <w:t>.......................................................................................32</w:t>
      </w:r>
    </w:p>
    <w:p>
      <w:pPr>
        <w:pStyle w:val="12"/>
        <w:adjustRightInd w:val="0"/>
        <w:snapToGrid w:val="0"/>
        <w:spacing w:line="440" w:lineRule="exact"/>
        <w:jc w:val="left"/>
        <w:rPr>
          <w:rFonts w:hint="default"/>
          <w:sz w:val="24"/>
          <w:lang w:val="en-US" w:eastAsia="zh-CN"/>
        </w:rPr>
      </w:pPr>
      <w:r>
        <w:rPr>
          <w:rFonts w:hint="eastAsia"/>
          <w:sz w:val="24"/>
        </w:rPr>
        <w:t>二、</w:t>
      </w:r>
      <w:r>
        <w:rPr>
          <w:rFonts w:hint="eastAsia"/>
          <w:sz w:val="24"/>
        </w:rPr>
        <w:t>收入决算</w:t>
      </w:r>
      <w:r>
        <w:rPr>
          <w:rFonts w:hint="eastAsia"/>
          <w:sz w:val="24"/>
        </w:rPr>
        <w:t>表</w:t>
      </w:r>
      <w:r>
        <w:rPr>
          <w:rFonts w:hint="eastAsia"/>
          <w:sz w:val="24"/>
          <w:lang w:val="en-US" w:eastAsia="zh-CN"/>
        </w:rPr>
        <w:t>...................................................................................................32</w:t>
      </w:r>
    </w:p>
    <w:p>
      <w:pPr>
        <w:pStyle w:val="12"/>
        <w:adjustRightInd w:val="0"/>
        <w:snapToGrid w:val="0"/>
        <w:spacing w:line="440" w:lineRule="exact"/>
        <w:jc w:val="left"/>
        <w:rPr>
          <w:rFonts w:hint="default"/>
          <w:sz w:val="24"/>
          <w:lang w:val="en-US" w:eastAsia="zh-CN"/>
        </w:rPr>
      </w:pPr>
      <w:r>
        <w:rPr>
          <w:rFonts w:hint="eastAsia"/>
          <w:sz w:val="24"/>
        </w:rPr>
        <w:t>三、</w:t>
      </w:r>
      <w:r>
        <w:rPr>
          <w:rFonts w:hint="eastAsia"/>
          <w:sz w:val="24"/>
        </w:rPr>
        <w:t>支出决算</w:t>
      </w:r>
      <w:r>
        <w:rPr>
          <w:rFonts w:hint="eastAsia"/>
          <w:sz w:val="24"/>
        </w:rPr>
        <w:t>表</w:t>
      </w:r>
      <w:r>
        <w:rPr>
          <w:rFonts w:hint="eastAsia"/>
          <w:sz w:val="24"/>
          <w:lang w:val="en-US" w:eastAsia="zh-CN"/>
        </w:rPr>
        <w:t>...................................................................................................32</w:t>
      </w:r>
    </w:p>
    <w:p>
      <w:pPr>
        <w:pStyle w:val="12"/>
        <w:adjustRightInd w:val="0"/>
        <w:snapToGrid w:val="0"/>
        <w:spacing w:line="440" w:lineRule="exact"/>
        <w:jc w:val="left"/>
        <w:rPr>
          <w:rFonts w:hint="default"/>
          <w:sz w:val="24"/>
          <w:lang w:val="en-US" w:eastAsia="zh-CN"/>
        </w:rPr>
      </w:pPr>
      <w:r>
        <w:rPr>
          <w:rFonts w:hint="eastAsia"/>
          <w:sz w:val="24"/>
        </w:rPr>
        <w:t>四、</w:t>
      </w:r>
      <w:r>
        <w:rPr>
          <w:rFonts w:hint="eastAsia"/>
          <w:sz w:val="24"/>
        </w:rPr>
        <w:t>财政拨款收入支出决算总表</w:t>
      </w:r>
      <w:r>
        <w:rPr>
          <w:rFonts w:hint="eastAsia"/>
          <w:sz w:val="24"/>
          <w:lang w:val="en-US" w:eastAsia="zh-CN"/>
        </w:rPr>
        <w:t>.......................................................................32</w:t>
      </w:r>
    </w:p>
    <w:p>
      <w:pPr>
        <w:pStyle w:val="12"/>
        <w:adjustRightInd w:val="0"/>
        <w:snapToGrid w:val="0"/>
        <w:spacing w:line="440" w:lineRule="exact"/>
        <w:jc w:val="left"/>
        <w:rPr>
          <w:rFonts w:hint="default"/>
          <w:sz w:val="24"/>
          <w:lang w:val="en-US" w:eastAsia="zh-CN"/>
        </w:rPr>
      </w:pPr>
      <w:r>
        <w:rPr>
          <w:rFonts w:hint="eastAsia"/>
          <w:sz w:val="24"/>
        </w:rPr>
        <w:t>五、财政拨款支出决算明细表</w:t>
      </w:r>
      <w:r>
        <w:rPr>
          <w:rFonts w:hint="eastAsia"/>
          <w:sz w:val="24"/>
          <w:lang w:val="en-US" w:eastAsia="zh-CN"/>
        </w:rPr>
        <w:t>......................................32</w:t>
      </w:r>
    </w:p>
    <w:p>
      <w:pPr>
        <w:pStyle w:val="12"/>
        <w:adjustRightInd w:val="0"/>
        <w:snapToGrid w:val="0"/>
        <w:spacing w:line="440" w:lineRule="exact"/>
        <w:jc w:val="left"/>
        <w:rPr>
          <w:rFonts w:hint="default"/>
          <w:sz w:val="24"/>
          <w:lang w:val="en-US" w:eastAsia="zh-CN"/>
        </w:rPr>
      </w:pPr>
      <w:r>
        <w:rPr>
          <w:rFonts w:hint="eastAsia"/>
          <w:sz w:val="24"/>
        </w:rPr>
        <w:t>六、</w:t>
      </w:r>
      <w:r>
        <w:rPr>
          <w:rFonts w:hint="eastAsia"/>
          <w:sz w:val="24"/>
        </w:rPr>
        <w:t>一般公共预</w:t>
      </w:r>
      <w:bookmarkStart w:id="65" w:name="_GoBack"/>
      <w:bookmarkEnd w:id="65"/>
      <w:r>
        <w:rPr>
          <w:rFonts w:hint="eastAsia"/>
          <w:sz w:val="24"/>
        </w:rPr>
        <w:t>算财政拨款支出决算表</w:t>
      </w:r>
      <w:r>
        <w:rPr>
          <w:rFonts w:hint="eastAsia"/>
          <w:sz w:val="24"/>
          <w:lang w:val="en-US" w:eastAsia="zh-CN"/>
        </w:rPr>
        <w:t>............................................................33</w:t>
      </w:r>
    </w:p>
    <w:p>
      <w:pPr>
        <w:pStyle w:val="12"/>
        <w:adjustRightInd w:val="0"/>
        <w:snapToGrid w:val="0"/>
        <w:spacing w:line="440" w:lineRule="exact"/>
        <w:jc w:val="left"/>
        <w:rPr>
          <w:rFonts w:hint="default"/>
          <w:sz w:val="24"/>
          <w:lang w:val="en-US" w:eastAsia="zh-CN"/>
        </w:rPr>
      </w:pPr>
      <w:r>
        <w:rPr>
          <w:rFonts w:hint="eastAsia"/>
          <w:sz w:val="24"/>
        </w:rPr>
        <w:t>七、</w:t>
      </w:r>
      <w:r>
        <w:rPr>
          <w:rFonts w:hint="eastAsia"/>
          <w:sz w:val="24"/>
        </w:rPr>
        <w:t>一般公共预算财政拨款支出决算明细表</w:t>
      </w:r>
      <w:r>
        <w:rPr>
          <w:rFonts w:hint="eastAsia"/>
          <w:sz w:val="24"/>
          <w:lang w:val="en-US" w:eastAsia="zh-CN"/>
        </w:rPr>
        <w:t>...................................................33</w:t>
      </w:r>
    </w:p>
    <w:p>
      <w:pPr>
        <w:pStyle w:val="12"/>
        <w:adjustRightInd w:val="0"/>
        <w:snapToGrid w:val="0"/>
        <w:spacing w:line="440" w:lineRule="exact"/>
        <w:jc w:val="left"/>
        <w:rPr>
          <w:rFonts w:hint="default"/>
          <w:sz w:val="24"/>
          <w:lang w:val="en-US" w:eastAsia="zh-CN"/>
        </w:rPr>
      </w:pPr>
      <w:r>
        <w:rPr>
          <w:rFonts w:hint="eastAsia"/>
          <w:sz w:val="24"/>
        </w:rPr>
        <w:t>八、</w:t>
      </w:r>
      <w:r>
        <w:rPr>
          <w:rFonts w:hint="eastAsia"/>
          <w:sz w:val="24"/>
        </w:rPr>
        <w:t>一般公共预算财政拨款基本支出决算表</w:t>
      </w:r>
      <w:r>
        <w:rPr>
          <w:rFonts w:hint="eastAsia"/>
          <w:sz w:val="24"/>
          <w:lang w:val="en-US" w:eastAsia="zh-CN"/>
        </w:rPr>
        <w:t>...................................................33</w:t>
      </w:r>
    </w:p>
    <w:p>
      <w:pPr>
        <w:pStyle w:val="12"/>
        <w:adjustRightInd w:val="0"/>
        <w:snapToGrid w:val="0"/>
        <w:spacing w:line="440" w:lineRule="exact"/>
        <w:jc w:val="left"/>
        <w:rPr>
          <w:rFonts w:hint="default"/>
          <w:sz w:val="24"/>
          <w:lang w:val="en-US" w:eastAsia="zh-CN"/>
        </w:rPr>
      </w:pPr>
      <w:r>
        <w:rPr>
          <w:rFonts w:hint="eastAsia"/>
          <w:sz w:val="24"/>
        </w:rPr>
        <w:t>九、</w:t>
      </w:r>
      <w:r>
        <w:rPr>
          <w:rFonts w:hint="eastAsia"/>
          <w:sz w:val="24"/>
        </w:rPr>
        <w:t>一般公共预算财政拨款项目支出决算表</w:t>
      </w:r>
      <w:r>
        <w:rPr>
          <w:rFonts w:hint="eastAsia"/>
          <w:sz w:val="24"/>
          <w:lang w:val="en-US" w:eastAsia="zh-CN"/>
        </w:rPr>
        <w:t>....................................................33</w:t>
      </w:r>
    </w:p>
    <w:p>
      <w:pPr>
        <w:pStyle w:val="12"/>
        <w:adjustRightInd w:val="0"/>
        <w:snapToGrid w:val="0"/>
        <w:spacing w:line="440" w:lineRule="exact"/>
        <w:jc w:val="left"/>
        <w:rPr>
          <w:rFonts w:hint="default"/>
          <w:sz w:val="24"/>
          <w:lang w:val="en-US" w:eastAsia="zh-CN"/>
        </w:rPr>
      </w:pPr>
      <w:r>
        <w:rPr>
          <w:rFonts w:hint="eastAsia"/>
          <w:sz w:val="24"/>
        </w:rPr>
        <w:t>十、</w:t>
      </w:r>
      <w:r>
        <w:rPr>
          <w:rFonts w:hint="eastAsia"/>
          <w:sz w:val="24"/>
        </w:rPr>
        <w:t>一般公共预算财政拨款“三公”经费支出决算表</w:t>
      </w:r>
      <w:r>
        <w:rPr>
          <w:rFonts w:hint="eastAsia"/>
          <w:sz w:val="24"/>
          <w:lang w:val="en-US" w:eastAsia="zh-CN"/>
        </w:rPr>
        <w:t>....................................33</w:t>
      </w:r>
    </w:p>
    <w:p>
      <w:pPr>
        <w:pStyle w:val="12"/>
        <w:adjustRightInd w:val="0"/>
        <w:snapToGrid w:val="0"/>
        <w:spacing w:line="440" w:lineRule="exact"/>
        <w:jc w:val="left"/>
        <w:rPr>
          <w:rFonts w:hint="default"/>
          <w:sz w:val="24"/>
          <w:lang w:val="en-US" w:eastAsia="zh-CN"/>
        </w:rPr>
      </w:pPr>
      <w:r>
        <w:rPr>
          <w:rFonts w:hint="eastAsia"/>
          <w:sz w:val="24"/>
        </w:rPr>
        <w:t>十一、</w:t>
      </w:r>
      <w:r>
        <w:rPr>
          <w:rFonts w:hint="eastAsia"/>
          <w:sz w:val="24"/>
        </w:rPr>
        <w:t>政府性基金预算财政拨款收入支出决算表</w:t>
      </w:r>
      <w:r>
        <w:rPr>
          <w:rFonts w:hint="eastAsia"/>
          <w:sz w:val="24"/>
          <w:lang w:val="en-US" w:eastAsia="zh-CN"/>
        </w:rPr>
        <w:t>.............................................33</w:t>
      </w:r>
    </w:p>
    <w:p>
      <w:pPr>
        <w:pStyle w:val="12"/>
        <w:adjustRightInd w:val="0"/>
        <w:snapToGrid w:val="0"/>
        <w:spacing w:line="440" w:lineRule="exact"/>
        <w:jc w:val="left"/>
        <w:rPr>
          <w:rFonts w:hint="default"/>
          <w:sz w:val="24"/>
          <w:lang w:val="en-US" w:eastAsia="zh-CN"/>
        </w:rPr>
      </w:pPr>
      <w:r>
        <w:rPr>
          <w:rFonts w:hint="eastAsia"/>
          <w:sz w:val="24"/>
        </w:rPr>
        <w:t>十二、</w:t>
      </w:r>
      <w:r>
        <w:rPr>
          <w:rFonts w:hint="eastAsia"/>
          <w:sz w:val="24"/>
        </w:rPr>
        <w:t>政府性基金预算财政拨款“三公”经费支出决算表</w:t>
      </w:r>
      <w:r>
        <w:rPr>
          <w:rFonts w:hint="eastAsia"/>
          <w:sz w:val="24"/>
          <w:lang w:val="en-US" w:eastAsia="zh-CN"/>
        </w:rPr>
        <w:t>............................33</w:t>
      </w:r>
    </w:p>
    <w:p>
      <w:pPr>
        <w:pStyle w:val="12"/>
        <w:adjustRightInd w:val="0"/>
        <w:snapToGrid w:val="0"/>
        <w:spacing w:line="440" w:lineRule="exact"/>
        <w:jc w:val="left"/>
        <w:rPr>
          <w:rFonts w:hint="default"/>
          <w:sz w:val="24"/>
          <w:lang w:val="en-US" w:eastAsia="zh-CN"/>
        </w:rPr>
      </w:pPr>
      <w:r>
        <w:rPr>
          <w:rFonts w:hint="eastAsia"/>
          <w:sz w:val="24"/>
        </w:rPr>
        <w:t>十三、</w:t>
      </w:r>
      <w:r>
        <w:rPr>
          <w:rFonts w:hint="eastAsia"/>
          <w:sz w:val="24"/>
        </w:rPr>
        <w:t>国有资本经营预算支出决算表</w:t>
      </w:r>
      <w:r>
        <w:rPr>
          <w:rFonts w:hint="eastAsia"/>
          <w:sz w:val="24"/>
          <w:lang w:val="en-US" w:eastAsia="zh-CN"/>
        </w:rPr>
        <w:t>................................................................33</w:t>
      </w:r>
    </w:p>
    <w:p>
      <w:pPr>
        <w:pStyle w:val="2"/>
        <w:jc w:val="center"/>
        <w:rPr>
          <w:rFonts w:hint="eastAsia" w:ascii="黑体" w:hAnsi="黑体" w:eastAsia="黑体"/>
          <w:b w:val="0"/>
        </w:rPr>
      </w:pPr>
      <w:bookmarkStart w:id="6" w:name="_Toc15377196"/>
      <w:bookmarkStart w:id="7" w:name="_Toc15396599"/>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both"/>
        <w:rPr>
          <w:rFonts w:hint="eastAsia" w:ascii="黑体" w:hAnsi="黑体" w:eastAsia="黑体"/>
          <w:b w:val="0"/>
        </w:rPr>
      </w:pPr>
    </w:p>
    <w:p>
      <w:pPr>
        <w:rPr>
          <w:rFonts w:hint="eastAsia"/>
        </w:rPr>
      </w:pP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6"/>
      <w:bookmarkEnd w:id="7"/>
    </w:p>
    <w:p>
      <w:pPr>
        <w:widowControl/>
        <w:jc w:val="left"/>
        <w:rPr>
          <w:rFonts w:ascii="黑体" w:eastAsia="黑体"/>
          <w:color w:val="000000"/>
          <w:sz w:val="32"/>
          <w:szCs w:val="32"/>
        </w:rPr>
      </w:pPr>
    </w:p>
    <w:p>
      <w:pPr>
        <w:pStyle w:val="3"/>
        <w:pageBreakBefore w:val="0"/>
        <w:widowControl w:val="0"/>
        <w:kinsoku/>
        <w:wordWrap/>
        <w:overflowPunct/>
        <w:topLinePunct w:val="0"/>
        <w:autoSpaceDE/>
        <w:autoSpaceDN/>
        <w:bidi w:val="0"/>
        <w:spacing w:line="353" w:lineRule="auto"/>
        <w:ind w:firstLine="640" w:firstLineChars="200"/>
        <w:textAlignment w:val="auto"/>
        <w:rPr>
          <w:rStyle w:val="26"/>
          <w:rFonts w:ascii="仿宋" w:hAnsi="仿宋" w:eastAsia="仿宋"/>
          <w:b w:val="0"/>
          <w:bCs w:val="0"/>
        </w:rPr>
      </w:pPr>
      <w:bookmarkStart w:id="8" w:name="_Toc15377197"/>
      <w:bookmarkStart w:id="9"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8"/>
      <w:bookmarkEnd w:id="9"/>
    </w:p>
    <w:p>
      <w:pPr>
        <w:pStyle w:val="5"/>
        <w:keepNext w:val="0"/>
        <w:keepLines w:val="0"/>
        <w:pageBreakBefore w:val="0"/>
        <w:widowControl w:val="0"/>
        <w:kinsoku/>
        <w:wordWrap/>
        <w:overflowPunct/>
        <w:topLinePunct w:val="0"/>
        <w:autoSpaceDE/>
        <w:autoSpaceDN/>
        <w:bidi w:val="0"/>
        <w:adjustRightInd w:val="0"/>
        <w:snapToGrid w:val="0"/>
        <w:spacing w:before="93" w:line="353" w:lineRule="auto"/>
        <w:ind w:firstLine="672" w:firstLineChars="210"/>
        <w:textAlignment w:val="auto"/>
        <w:outlineLvl w:val="2"/>
        <w:rPr>
          <w:rFonts w:hint="eastAsia" w:ascii="仿宋" w:hAnsi="仿宋" w:eastAsia="仿宋"/>
          <w:bCs/>
          <w:color w:val="000000"/>
          <w:sz w:val="32"/>
          <w:szCs w:val="32"/>
        </w:rPr>
      </w:pPr>
      <w:bookmarkStart w:id="10" w:name="_Toc15377198"/>
      <w:bookmarkStart w:id="11" w:name="_Toc15378445"/>
      <w:r>
        <w:rPr>
          <w:rFonts w:hint="eastAsia" w:ascii="仿宋" w:hAnsi="仿宋" w:eastAsia="仿宋"/>
          <w:bCs/>
          <w:color w:val="000000"/>
          <w:sz w:val="32"/>
          <w:szCs w:val="32"/>
        </w:rPr>
        <w:t>（一）主要职能。</w:t>
      </w:r>
    </w:p>
    <w:bookmarkEnd w:id="10"/>
    <w:bookmarkEnd w:id="11"/>
    <w:p>
      <w:pPr>
        <w:pStyle w:val="7"/>
        <w:keepNext w:val="0"/>
        <w:keepLines w:val="0"/>
        <w:pageBreakBefore w:val="0"/>
        <w:widowControl w:val="0"/>
        <w:kinsoku/>
        <w:wordWrap/>
        <w:overflowPunct/>
        <w:topLinePunct w:val="0"/>
        <w:autoSpaceDE/>
        <w:autoSpaceDN/>
        <w:bidi w:val="0"/>
        <w:snapToGrid/>
        <w:spacing w:line="353" w:lineRule="auto"/>
        <w:ind w:firstLine="640" w:firstLineChars="200"/>
        <w:textAlignment w:val="auto"/>
        <w:rPr>
          <w:rFonts w:ascii="Times New Roman" w:hAnsi="Times New Roman" w:eastAsia="仿宋_GB2312" w:cs="Times New Roman"/>
          <w:sz w:val="32"/>
          <w:szCs w:val="32"/>
        </w:rPr>
      </w:pPr>
      <w:bookmarkStart w:id="12" w:name="_Toc15377199"/>
      <w:bookmarkStart w:id="13" w:name="_Toc15378446"/>
      <w:r>
        <w:rPr>
          <w:rFonts w:ascii="Times New Roman" w:hAnsi="Times New Roman" w:eastAsia="仿宋_GB2312"/>
          <w:sz w:val="32"/>
          <w:szCs w:val="32"/>
        </w:rPr>
        <w:t xml:space="preserve">负责社区、农村卫生服务体系建设，对社区、农村卫生服务机构的建设项目进行管理。负责制定社区、农村卫生建设规划、年度计划，并组织实施。负责社区、农村卫生服务标准化、规范化建设与管理；负责社区、农村卫生服务。拟订基层卫生健康政策并组织实施。拟订基层医疗卫生机构绩效评价和考核制度并组织实施。牵头负责基本公共卫生服务均等化工作。指导基层卫生健康服务体系建设、基本医疗、基本公共卫生服务等工作，推进家庭医生签约服务和乡村医生相关管理工作。负责探索社区卫生服务机构“收支两条线”“首诊制”“药品零利率”等运行机制体制。负责对社区卫生服务公共补助经费的划拨和管理。负责对社区卫生服务机构人事管理。负责深化医药卫生体制改革相关工作，研究提出深化医药卫生体制改革重大政策、措施的建议。组织建立分级诊疗制度。负责基层医疗卫生机构基本药物制度的实施、考核及补助经费的划拨、管理。负责社区、农村医务人员的培训考试。负责公共卫生统计工作。完成区卫生健康局交办的其他任务。 </w:t>
      </w:r>
    </w:p>
    <w:p>
      <w:pPr>
        <w:pStyle w:val="5"/>
        <w:keepNext w:val="0"/>
        <w:keepLines w:val="0"/>
        <w:pageBreakBefore w:val="0"/>
        <w:widowControl w:val="0"/>
        <w:kinsoku/>
        <w:wordWrap/>
        <w:overflowPunct/>
        <w:topLinePunct w:val="0"/>
        <w:autoSpaceDE/>
        <w:autoSpaceDN/>
        <w:bidi w:val="0"/>
        <w:adjustRightInd w:val="0"/>
        <w:snapToGrid w:val="0"/>
        <w:spacing w:before="93" w:line="353" w:lineRule="auto"/>
        <w:ind w:firstLine="672" w:firstLineChars="21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rPr>
        <w:t>（二）2019年重点工作完成情况。</w:t>
      </w:r>
      <w:bookmarkEnd w:id="12"/>
      <w:bookmarkEnd w:id="13"/>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1.基本</w:t>
      </w:r>
      <w:r>
        <w:rPr>
          <w:rFonts w:hint="eastAsia" w:ascii="仿宋_GB2312" w:hAnsi="仿宋_GB2312" w:eastAsia="仿宋_GB2312" w:cs="仿宋_GB2312"/>
          <w:b/>
          <w:bCs/>
          <w:sz w:val="32"/>
          <w:szCs w:val="32"/>
        </w:rPr>
        <w:t>公共卫生工作</w:t>
      </w:r>
      <w:r>
        <w:rPr>
          <w:rFonts w:hint="eastAsia" w:ascii="仿宋_GB2312" w:hAnsi="仿宋_GB2312" w:eastAsia="仿宋_GB2312" w:cs="仿宋_GB2312"/>
          <w:b/>
          <w:bCs/>
          <w:sz w:val="32"/>
          <w:szCs w:val="32"/>
          <w:lang w:val="en-US" w:eastAsia="zh-CN"/>
        </w:rPr>
        <w:t>开展情况。</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以儿童、老年人、孕产妇、</w:t>
      </w:r>
      <w:r>
        <w:rPr>
          <w:rFonts w:hint="eastAsia" w:ascii="仿宋_GB2312" w:hAnsi="仿宋_GB2312" w:eastAsia="仿宋_GB2312" w:cs="仿宋_GB2312"/>
          <w:sz w:val="32"/>
          <w:szCs w:val="32"/>
          <w:lang w:val="en-US" w:eastAsia="zh-CN"/>
        </w:rPr>
        <w:t>严重精神障碍患者、</w:t>
      </w:r>
      <w:r>
        <w:rPr>
          <w:rFonts w:hint="eastAsia" w:ascii="仿宋_GB2312" w:hAnsi="仿宋_GB2312" w:eastAsia="仿宋_GB2312" w:cs="仿宋_GB2312"/>
          <w:sz w:val="32"/>
          <w:szCs w:val="32"/>
        </w:rPr>
        <w:t>慢性病患者为重点人群，面向全</w:t>
      </w:r>
      <w:r>
        <w:rPr>
          <w:rFonts w:hint="eastAsia" w:ascii="仿宋_GB2312" w:hAnsi="仿宋_GB2312" w:eastAsia="仿宋_GB2312" w:cs="仿宋_GB2312"/>
          <w:sz w:val="32"/>
          <w:szCs w:val="32"/>
          <w:lang w:val="en-US" w:eastAsia="zh-CN"/>
        </w:rPr>
        <w:t>区14.61</w:t>
      </w:r>
      <w:r>
        <w:rPr>
          <w:rFonts w:hint="eastAsia" w:ascii="仿宋_GB2312" w:hAnsi="仿宋_GB2312" w:eastAsia="仿宋_GB2312" w:cs="仿宋_GB2312"/>
          <w:sz w:val="32"/>
          <w:szCs w:val="32"/>
        </w:rPr>
        <w:t>万城乡居民免费提供健康档案管理、</w:t>
      </w:r>
      <w:r>
        <w:rPr>
          <w:rFonts w:hint="eastAsia" w:ascii="仿宋_GB2312" w:hAnsi="仿宋_GB2312" w:eastAsia="仿宋_GB2312" w:cs="仿宋_GB2312"/>
          <w:color w:val="auto"/>
          <w:sz w:val="32"/>
          <w:szCs w:val="32"/>
          <w:lang w:val="en-US" w:eastAsia="zh-CN"/>
        </w:rPr>
        <w:t>健康教育、慢性病管理等14类基本公共卫生服务。目前，累计为127990人提供基本公共卫生服务；为辖区140271人建立了居民电子健康档案，宣传普及《中国公民健康素养--基本知识与技能（2015年版）》，各基层医疗卫生机构为居民提供健康教育咨询服务，设置健康教育宣传栏并定期更新内容，开展健康知识讲座及个体化健康教育，并有一定比例的中医药内容。2019年共发放印刷资料约97533份，更新宣传栏内容119次，音像资料播放时间7567小时，开展公众健康咨询活动239次，受益人群24922人，举办健康知识讲座150次，受益人群6480人。</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2.基层卫生工作开展情况。</w:t>
      </w:r>
    </w:p>
    <w:p>
      <w:pPr>
        <w:keepNext w:val="0"/>
        <w:keepLines w:val="0"/>
        <w:pageBreakBefore w:val="0"/>
        <w:widowControl w:val="0"/>
        <w:kinsoku/>
        <w:wordWrap/>
        <w:overflowPunct/>
        <w:topLinePunct w:val="0"/>
        <w:autoSpaceDE/>
        <w:autoSpaceDN/>
        <w:bidi w:val="0"/>
        <w:spacing w:line="353" w:lineRule="auto"/>
        <w:ind w:firstLine="643" w:firstLineChars="200"/>
        <w:textAlignment w:val="auto"/>
        <w:rPr>
          <w:rFonts w:hint="eastAsia" w:ascii="Times New Roman" w:hAnsi="Times New Roman" w:eastAsia="仿宋_GB2312" w:cs="Times New Roman"/>
          <w:snapToGrid w:val="0"/>
          <w:color w:val="auto"/>
          <w:spacing w:val="0"/>
          <w:kern w:val="0"/>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深化与市二医院协作，</w:t>
      </w:r>
      <w:r>
        <w:rPr>
          <w:rFonts w:hint="default" w:ascii="Times New Roman" w:hAnsi="Times New Roman" w:eastAsia="仿宋_GB2312" w:cs="Times New Roman"/>
          <w:color w:val="auto"/>
          <w:sz w:val="32"/>
          <w:szCs w:val="32"/>
        </w:rPr>
        <w:t>选派业务能力和管理能力强的</w:t>
      </w:r>
      <w:r>
        <w:rPr>
          <w:rFonts w:hint="default" w:ascii="Times New Roman" w:hAnsi="Times New Roman" w:eastAsia="仿宋_GB2312" w:cs="Times New Roman"/>
          <w:color w:val="auto"/>
          <w:sz w:val="32"/>
          <w:szCs w:val="32"/>
          <w:lang w:val="en-US" w:eastAsia="zh-CN"/>
        </w:rPr>
        <w:t>6名</w:t>
      </w:r>
      <w:r>
        <w:rPr>
          <w:rFonts w:hint="default" w:ascii="Times New Roman" w:hAnsi="Times New Roman" w:eastAsia="仿宋_GB2312" w:cs="Times New Roman"/>
          <w:color w:val="auto"/>
          <w:sz w:val="32"/>
          <w:szCs w:val="32"/>
        </w:rPr>
        <w:t>专家</w:t>
      </w:r>
      <w:r>
        <w:rPr>
          <w:rFonts w:hint="default" w:ascii="Times New Roman" w:hAnsi="Times New Roman" w:eastAsia="仿宋_GB2312" w:cs="Times New Roman"/>
          <w:color w:val="auto"/>
          <w:sz w:val="32"/>
          <w:szCs w:val="32"/>
          <w:lang w:val="en-US" w:eastAsia="zh-CN"/>
        </w:rPr>
        <w:t>到西区基层医疗卫生机构挂职</w:t>
      </w:r>
      <w:r>
        <w:rPr>
          <w:rFonts w:hint="eastAsia" w:ascii="Times New Roman" w:hAnsi="Times New Roman" w:eastAsia="仿宋_GB2312" w:cs="Times New Roman"/>
          <w:color w:val="auto"/>
          <w:sz w:val="32"/>
          <w:szCs w:val="32"/>
          <w:lang w:val="en-US" w:eastAsia="zh-CN"/>
        </w:rPr>
        <w:t>副主任</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协助基层医疗卫生机构服务能力建设</w:t>
      </w:r>
      <w:r>
        <w:rPr>
          <w:rFonts w:hint="default" w:ascii="Times New Roman" w:hAnsi="Times New Roman" w:eastAsia="仿宋_GB2312" w:cs="Times New Roman"/>
          <w:color w:val="auto"/>
          <w:sz w:val="32"/>
          <w:szCs w:val="32"/>
          <w:lang w:eastAsia="zh-CN"/>
        </w:rPr>
        <w:t>。基层医疗卫生机构</w:t>
      </w:r>
      <w:r>
        <w:rPr>
          <w:rFonts w:hint="default" w:ascii="Times New Roman" w:hAnsi="Times New Roman" w:eastAsia="仿宋_GB2312" w:cs="Times New Roman"/>
          <w:color w:val="auto"/>
          <w:sz w:val="32"/>
          <w:szCs w:val="32"/>
        </w:rPr>
        <w:t>充分利用派驻专家优势资源，与市二医院各科室之间建立联系机制，学习市二医院先进的经验和做法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eastAsia="zh-CN"/>
        </w:rPr>
        <w:t>临床</w:t>
      </w:r>
      <w:r>
        <w:rPr>
          <w:rFonts w:hint="default" w:ascii="Times New Roman" w:hAnsi="Times New Roman" w:eastAsia="仿宋_GB2312" w:cs="Times New Roman"/>
          <w:color w:val="auto"/>
          <w:sz w:val="32"/>
          <w:szCs w:val="32"/>
        </w:rPr>
        <w:t>医疗、慢病防治、健康管理、</w:t>
      </w:r>
      <w:r>
        <w:rPr>
          <w:rFonts w:hint="eastAsia" w:ascii="Times New Roman" w:hAnsi="Times New Roman" w:eastAsia="仿宋_GB2312" w:cs="Times New Roman"/>
          <w:color w:val="auto"/>
          <w:sz w:val="32"/>
          <w:szCs w:val="32"/>
          <w:lang w:eastAsia="zh-CN"/>
        </w:rPr>
        <w:t>疾病</w:t>
      </w:r>
      <w:r>
        <w:rPr>
          <w:rFonts w:hint="default" w:ascii="Times New Roman" w:hAnsi="Times New Roman" w:eastAsia="仿宋_GB2312" w:cs="Times New Roman"/>
          <w:color w:val="auto"/>
          <w:sz w:val="32"/>
          <w:szCs w:val="32"/>
        </w:rPr>
        <w:t>预防、</w:t>
      </w:r>
      <w:r>
        <w:rPr>
          <w:rFonts w:hint="eastAsia" w:ascii="Times New Roman" w:hAnsi="Times New Roman" w:eastAsia="仿宋_GB2312" w:cs="Times New Roman"/>
          <w:color w:val="auto"/>
          <w:sz w:val="32"/>
          <w:szCs w:val="32"/>
          <w:lang w:eastAsia="zh-CN"/>
        </w:rPr>
        <w:t>医院感染</w:t>
      </w:r>
      <w:r>
        <w:rPr>
          <w:rFonts w:hint="default" w:ascii="Times New Roman" w:hAnsi="Times New Roman" w:eastAsia="仿宋_GB2312" w:cs="Times New Roman"/>
          <w:color w:val="auto"/>
          <w:sz w:val="32"/>
          <w:szCs w:val="32"/>
        </w:rPr>
        <w:t>等工作中提升</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rPr>
        <w:t>与市五医院</w:t>
      </w:r>
      <w:r>
        <w:rPr>
          <w:rFonts w:hint="default" w:ascii="Times New Roman" w:hAnsi="Times New Roman" w:eastAsia="仿宋_GB2312" w:cs="Times New Roman"/>
          <w:color w:val="auto"/>
          <w:sz w:val="32"/>
          <w:szCs w:val="32"/>
          <w:lang w:eastAsia="zh-CN"/>
        </w:rPr>
        <w:t>和市</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医院开通远程心电、远程DR</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远程彩超</w:t>
      </w:r>
      <w:r>
        <w:rPr>
          <w:rFonts w:hint="default" w:ascii="Times New Roman" w:hAnsi="Times New Roman" w:eastAsia="仿宋_GB2312" w:cs="Times New Roman"/>
          <w:color w:val="auto"/>
          <w:sz w:val="32"/>
          <w:szCs w:val="32"/>
        </w:rPr>
        <w:t>等远程医疗服务，提升基层医疗卫生机构的医疗水平，使基层诊疗更智慧，患者就医更便捷。</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中心医院、市五医院、市二医院和攀钢医院达成专业医学知识培训协议，每月各医院根据基层医疗卫生机构需求派出专家进行专业知识培训。</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color w:val="auto"/>
          <w:sz w:val="32"/>
          <w:szCs w:val="32"/>
          <w:lang w:val="en-US" w:eastAsia="zh-CN"/>
        </w:rPr>
        <w:t>建立人才表扬制度，</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财政安排</w:t>
      </w:r>
      <w:r>
        <w:rPr>
          <w:rFonts w:hint="eastAsia" w:ascii="Times New Roman" w:hAnsi="Times New Roman" w:eastAsia="仿宋_GB2312" w:cs="Times New Roman"/>
          <w:color w:val="auto"/>
          <w:sz w:val="32"/>
          <w:szCs w:val="32"/>
          <w:lang w:val="en-US" w:eastAsia="zh-CN"/>
        </w:rPr>
        <w:t>10万元</w:t>
      </w:r>
      <w:r>
        <w:rPr>
          <w:rFonts w:hint="default" w:ascii="Times New Roman" w:hAnsi="Times New Roman" w:eastAsia="仿宋_GB2312" w:cs="Times New Roman"/>
          <w:color w:val="auto"/>
          <w:sz w:val="32"/>
          <w:szCs w:val="32"/>
        </w:rPr>
        <w:t>专项经费</w:t>
      </w:r>
      <w:r>
        <w:rPr>
          <w:rFonts w:hint="default" w:ascii="Times New Roman" w:hAnsi="Times New Roman" w:eastAsia="仿宋_GB2312" w:cs="Times New Roman"/>
          <w:color w:val="auto"/>
          <w:sz w:val="32"/>
          <w:szCs w:val="32"/>
          <w:lang w:val="en-US" w:eastAsia="zh-CN"/>
        </w:rPr>
        <w:t>对优秀医务工作者进行表扬，激发基层队伍活力。</w:t>
      </w:r>
      <w:r>
        <w:rPr>
          <w:rFonts w:hint="default" w:ascii="Times New Roman" w:hAnsi="Times New Roman" w:eastAsia="仿宋_GB2312" w:cs="Times New Roman"/>
          <w:b/>
          <w:bCs/>
          <w:color w:val="auto"/>
          <w:sz w:val="32"/>
          <w:szCs w:val="32"/>
          <w:lang w:val="en-US" w:eastAsia="zh-CN"/>
        </w:rPr>
        <w:t>五是</w:t>
      </w:r>
      <w:r>
        <w:rPr>
          <w:rFonts w:hint="default" w:ascii="Times New Roman" w:hAnsi="Times New Roman" w:eastAsia="仿宋_GB2312" w:cs="Times New Roman"/>
          <w:color w:val="auto"/>
          <w:sz w:val="32"/>
          <w:szCs w:val="32"/>
          <w:lang w:val="en-US" w:eastAsia="zh-CN"/>
        </w:rPr>
        <w:t>加强人员培训力度，提升基层服务能力。</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年先后共举办</w:t>
      </w:r>
      <w:r>
        <w:rPr>
          <w:rFonts w:hint="default" w:ascii="Times New Roman" w:hAnsi="Times New Roman" w:eastAsia="仿宋_GB2312" w:cs="Times New Roman"/>
          <w:color w:val="auto"/>
          <w:sz w:val="32"/>
          <w:szCs w:val="32"/>
          <w:lang w:val="en-US" w:eastAsia="zh-CN"/>
        </w:rPr>
        <w:t>中医适宜技术、</w:t>
      </w:r>
      <w:r>
        <w:rPr>
          <w:rFonts w:hint="default" w:ascii="Times New Roman" w:hAnsi="Times New Roman" w:eastAsia="仿宋_GB2312" w:cs="Times New Roman"/>
          <w:color w:val="auto"/>
          <w:sz w:val="32"/>
          <w:szCs w:val="32"/>
        </w:rPr>
        <w:t>健康教育、孕产妇保健、儿童保健、慢性病管理、重性精神病管理、传染病管理等项目培训会</w:t>
      </w:r>
      <w:r>
        <w:rPr>
          <w:rFonts w:hint="default" w:ascii="Times New Roman" w:hAnsi="Times New Roman" w:eastAsia="仿宋_GB2312" w:cs="Times New Roman"/>
          <w:color w:val="auto"/>
          <w:sz w:val="32"/>
          <w:szCs w:val="32"/>
          <w:lang w:val="en-US" w:eastAsia="zh-CN"/>
        </w:rPr>
        <w:t>10余</w:t>
      </w:r>
      <w:r>
        <w:rPr>
          <w:rFonts w:hint="default" w:ascii="Times New Roman" w:hAnsi="Times New Roman" w:eastAsia="仿宋_GB2312" w:cs="Times New Roman"/>
          <w:color w:val="auto"/>
          <w:sz w:val="32"/>
          <w:szCs w:val="32"/>
        </w:rPr>
        <w:t>次，参加培训人员达</w:t>
      </w:r>
      <w:r>
        <w:rPr>
          <w:rFonts w:hint="default" w:ascii="Times New Roman" w:hAnsi="Times New Roman" w:eastAsia="仿宋_GB2312" w:cs="Times New Roman"/>
          <w:color w:val="auto"/>
          <w:sz w:val="32"/>
          <w:szCs w:val="32"/>
          <w:lang w:val="en-US" w:eastAsia="zh-CN"/>
        </w:rPr>
        <w:t>800余</w:t>
      </w:r>
      <w:r>
        <w:rPr>
          <w:rFonts w:hint="default" w:ascii="Times New Roman" w:hAnsi="Times New Roman" w:eastAsia="仿宋_GB2312" w:cs="Times New Roman"/>
          <w:color w:val="auto"/>
          <w:sz w:val="32"/>
          <w:szCs w:val="32"/>
        </w:rPr>
        <w:t>人次。</w:t>
      </w:r>
      <w:r>
        <w:rPr>
          <w:rFonts w:hint="eastAsia" w:ascii="仿宋_GB2312" w:hAnsi="仿宋_GB2312" w:eastAsia="仿宋_GB2312" w:cs="仿宋_GB2312"/>
          <w:b/>
          <w:bCs/>
          <w:snapToGrid w:val="0"/>
          <w:spacing w:val="-4"/>
          <w:sz w:val="32"/>
          <w:szCs w:val="32"/>
          <w:lang w:eastAsia="zh-CN"/>
        </w:rPr>
        <w:t>六</w:t>
      </w:r>
      <w:r>
        <w:rPr>
          <w:rFonts w:hint="eastAsia" w:ascii="仿宋_GB2312" w:hAnsi="仿宋_GB2312" w:eastAsia="仿宋_GB2312" w:cs="仿宋_GB2312"/>
          <w:b/>
          <w:bCs/>
          <w:snapToGrid w:val="0"/>
          <w:spacing w:val="-4"/>
          <w:sz w:val="32"/>
          <w:szCs w:val="32"/>
        </w:rPr>
        <w:t>是</w:t>
      </w:r>
      <w:r>
        <w:rPr>
          <w:rFonts w:hint="eastAsia" w:ascii="仿宋_GB2312" w:hAnsi="仿宋_GB2312" w:eastAsia="仿宋_GB2312" w:cs="仿宋_GB2312"/>
          <w:snapToGrid w:val="0"/>
          <w:spacing w:val="-4"/>
          <w:sz w:val="32"/>
          <w:szCs w:val="32"/>
        </w:rPr>
        <w:t>加大基层医疗卫生机构重点设备配备力度，清香坪社区卫生服务中心配齐</w:t>
      </w:r>
      <w:r>
        <w:rPr>
          <w:rFonts w:hint="eastAsia" w:ascii="仿宋_GB2312" w:hAnsi="仿宋_GB2312" w:eastAsia="仿宋_GB2312" w:cs="仿宋_GB2312"/>
          <w:snapToGrid w:val="0"/>
          <w:spacing w:val="-4"/>
          <w:sz w:val="32"/>
          <w:szCs w:val="32"/>
          <w:lang w:val="en-US" w:eastAsia="zh-CN"/>
        </w:rPr>
        <w:t>彩</w:t>
      </w:r>
      <w:r>
        <w:rPr>
          <w:rFonts w:hint="eastAsia" w:ascii="仿宋_GB2312" w:hAnsi="仿宋_GB2312" w:eastAsia="仿宋_GB2312" w:cs="仿宋_GB2312"/>
          <w:snapToGrid w:val="0"/>
          <w:spacing w:val="-4"/>
          <w:sz w:val="32"/>
          <w:szCs w:val="32"/>
        </w:rPr>
        <w:t>超和数字化X射线系统</w:t>
      </w:r>
      <w:r>
        <w:rPr>
          <w:rFonts w:hint="eastAsia" w:ascii="仿宋_GB2312" w:hAnsi="仿宋_GB2312" w:eastAsia="仿宋_GB2312" w:cs="仿宋_GB2312"/>
          <w:snapToGrid w:val="0"/>
          <w:spacing w:val="-4"/>
          <w:sz w:val="32"/>
          <w:szCs w:val="32"/>
          <w:lang w:eastAsia="zh-CN"/>
        </w:rPr>
        <w:t>（简称</w:t>
      </w:r>
      <w:r>
        <w:rPr>
          <w:rFonts w:hint="eastAsia" w:ascii="仿宋_GB2312" w:hAnsi="仿宋_GB2312" w:eastAsia="仿宋_GB2312" w:cs="仿宋_GB2312"/>
          <w:snapToGrid w:val="0"/>
          <w:spacing w:val="-4"/>
          <w:sz w:val="32"/>
          <w:szCs w:val="32"/>
          <w:lang w:val="en-US" w:eastAsia="zh-CN"/>
        </w:rPr>
        <w:t>DR</w:t>
      </w:r>
      <w:r>
        <w:rPr>
          <w:rFonts w:hint="eastAsia" w:ascii="仿宋_GB2312" w:hAnsi="仿宋_GB2312" w:eastAsia="仿宋_GB2312" w:cs="仿宋_GB2312"/>
          <w:snapToGrid w:val="0"/>
          <w:spacing w:val="-4"/>
          <w:sz w:val="32"/>
          <w:szCs w:val="32"/>
          <w:lang w:eastAsia="zh-CN"/>
        </w:rPr>
        <w:t>）</w:t>
      </w:r>
      <w:r>
        <w:rPr>
          <w:rFonts w:hint="eastAsia" w:ascii="仿宋_GB2312" w:hAnsi="仿宋_GB2312" w:eastAsia="仿宋_GB2312" w:cs="仿宋_GB2312"/>
          <w:snapToGrid w:val="0"/>
          <w:spacing w:val="-4"/>
          <w:sz w:val="32"/>
          <w:szCs w:val="32"/>
        </w:rPr>
        <w:t>，陶家渡社区卫生服务中心配齐数字化X射线系统，并为基层医疗卫生机构配备了17台健康一体机，投入资金390余万元。</w:t>
      </w:r>
      <w:r>
        <w:rPr>
          <w:rFonts w:hint="eastAsia" w:ascii="Times New Roman" w:hAnsi="Times New Roman" w:eastAsia="仿宋_GB2312" w:cs="Times New Roman"/>
          <w:b/>
          <w:bCs/>
          <w:snapToGrid w:val="0"/>
          <w:color w:val="auto"/>
          <w:spacing w:val="0"/>
          <w:sz w:val="32"/>
          <w:szCs w:val="32"/>
          <w:lang w:val="en-US" w:eastAsia="zh-CN"/>
        </w:rPr>
        <w:t>七是</w:t>
      </w:r>
      <w:r>
        <w:rPr>
          <w:rFonts w:hint="default" w:ascii="Times New Roman" w:hAnsi="Times New Roman" w:eastAsia="仿宋_GB2312" w:cs="Times New Roman"/>
          <w:snapToGrid w:val="0"/>
          <w:color w:val="auto"/>
          <w:spacing w:val="0"/>
          <w:sz w:val="32"/>
          <w:szCs w:val="32"/>
          <w:lang w:val="en-US" w:eastAsia="zh-CN"/>
        </w:rPr>
        <w:t>开展“优质服</w:t>
      </w:r>
      <w:r>
        <w:rPr>
          <w:rFonts w:hint="default" w:ascii="Times New Roman" w:hAnsi="Times New Roman" w:eastAsia="仿宋_GB2312" w:cs="Times New Roman"/>
          <w:snapToGrid w:val="0"/>
          <w:color w:val="auto"/>
          <w:spacing w:val="0"/>
          <w:kern w:val="0"/>
          <w:sz w:val="32"/>
          <w:szCs w:val="32"/>
          <w:lang w:val="en-US" w:eastAsia="zh-CN"/>
        </w:rPr>
        <w:t>务基层行”申报活动，已上报2家达到基本标准的社区卫生服务中心。</w:t>
      </w:r>
    </w:p>
    <w:p>
      <w:pPr>
        <w:pStyle w:val="31"/>
        <w:pageBreakBefore w:val="0"/>
        <w:widowControl w:val="0"/>
        <w:kinsoku/>
        <w:wordWrap/>
        <w:overflowPunct/>
        <w:topLinePunct w:val="0"/>
        <w:autoSpaceDE/>
        <w:autoSpaceDN/>
        <w:bidi w:val="0"/>
        <w:spacing w:line="353" w:lineRule="auto"/>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3.持续推进</w:t>
      </w:r>
      <w:r>
        <w:rPr>
          <w:rFonts w:hint="eastAsia" w:ascii="仿宋_GB2312" w:hAnsi="仿宋_GB2312" w:eastAsia="仿宋_GB2312" w:cs="仿宋_GB2312"/>
          <w:b/>
          <w:bCs/>
          <w:lang w:eastAsia="zh-CN"/>
        </w:rPr>
        <w:t>家庭医生签约服务。</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成立</w:t>
      </w:r>
      <w:r>
        <w:rPr>
          <w:rFonts w:hint="eastAsia" w:ascii="仿宋_GB2312" w:hAnsi="仿宋_GB2312" w:eastAsia="仿宋_GB2312" w:cs="仿宋_GB2312"/>
          <w:color w:val="auto"/>
          <w:sz w:val="32"/>
          <w:szCs w:val="32"/>
          <w:lang w:val="en-US" w:eastAsia="zh-CN"/>
        </w:rPr>
        <w:t>34支家庭医生签约服务团队，</w:t>
      </w:r>
      <w:r>
        <w:rPr>
          <w:rFonts w:hint="eastAsia" w:ascii="仿宋_GB2312" w:hAnsi="仿宋_GB2312" w:eastAsia="仿宋_GB2312" w:cs="仿宋_GB2312"/>
          <w:sz w:val="32"/>
          <w:szCs w:val="32"/>
        </w:rPr>
        <w:t>由全科（执业）医生担任组长，综合医疗机构医生加入签约团队</w:t>
      </w:r>
      <w:r>
        <w:rPr>
          <w:rFonts w:hint="eastAsia" w:ascii="仿宋_GB2312" w:hAnsi="仿宋_GB2312" w:eastAsia="仿宋_GB2312" w:cs="仿宋_GB2312"/>
          <w:sz w:val="32"/>
          <w:szCs w:val="32"/>
          <w:lang w:eastAsia="zh-CN"/>
        </w:rPr>
        <w:t>，</w:t>
      </w:r>
      <w:r>
        <w:rPr>
          <w:rFonts w:hint="eastAsia" w:ascii="仿宋_GB2312" w:eastAsia="仿宋_GB2312"/>
          <w:sz w:val="32"/>
          <w:szCs w:val="32"/>
        </w:rPr>
        <w:t>构建了“区级主导、基层主体、政府买单、部门协作、社会参与、群众受益”的工作格局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eastAsia="zh-CN"/>
        </w:rPr>
        <w:t>二是</w:t>
      </w:r>
      <w:r>
        <w:rPr>
          <w:rFonts w:hint="eastAsia" w:ascii="仿宋_GB2312" w:hAnsi="仿宋_GB2312" w:eastAsia="仿宋_GB2312" w:cs="仿宋_GB2312"/>
          <w:b w:val="0"/>
          <w:bCs/>
          <w:sz w:val="32"/>
          <w:szCs w:val="32"/>
          <w:lang w:eastAsia="zh-CN"/>
        </w:rPr>
        <w:t>进一步优化家庭医生签约服务，</w:t>
      </w:r>
      <w:r>
        <w:rPr>
          <w:rFonts w:hint="eastAsia" w:ascii="仿宋_GB2312" w:hAnsi="仿宋_GB2312" w:eastAsia="仿宋_GB2312" w:cs="仿宋_GB2312"/>
          <w:snapToGrid w:val="0"/>
          <w:spacing w:val="-4"/>
          <w:sz w:val="32"/>
          <w:szCs w:val="32"/>
        </w:rPr>
        <w:t>搭建卫计E通平台，积极推进智慧家庭医生网上签约、团队选择、服务包查询等便捷服务。</w:t>
      </w:r>
      <w:r>
        <w:rPr>
          <w:rFonts w:hint="eastAsia" w:ascii="仿宋_GB2312" w:hAnsi="仿宋_GB2312" w:eastAsia="仿宋_GB2312" w:cs="仿宋_GB2312"/>
          <w:b/>
          <w:bCs/>
          <w:snapToGrid w:val="0"/>
          <w:spacing w:val="-4"/>
          <w:sz w:val="32"/>
          <w:szCs w:val="32"/>
          <w:lang w:eastAsia="zh-CN"/>
        </w:rPr>
        <w:t>三是</w:t>
      </w:r>
      <w:r>
        <w:rPr>
          <w:rFonts w:hint="eastAsia" w:ascii="仿宋_GB2312" w:hAnsi="仿宋_GB2312" w:eastAsia="仿宋_GB2312" w:cs="仿宋_GB2312"/>
          <w:b w:val="0"/>
          <w:bCs w:val="0"/>
          <w:snapToGrid w:val="0"/>
          <w:spacing w:val="-4"/>
          <w:sz w:val="32"/>
          <w:szCs w:val="32"/>
          <w:lang w:eastAsia="zh-CN"/>
        </w:rPr>
        <w:t>形成</w:t>
      </w:r>
      <w:r>
        <w:rPr>
          <w:rFonts w:hint="eastAsia" w:ascii="仿宋_GB2312" w:hAnsi="仿宋_GB2312" w:eastAsia="仿宋_GB2312" w:cs="仿宋_GB2312"/>
          <w:snapToGrid w:val="0"/>
          <w:spacing w:val="-4"/>
          <w:sz w:val="32"/>
          <w:szCs w:val="32"/>
        </w:rPr>
        <w:t>家庭医生签约服务团队与城</w:t>
      </w:r>
      <w:r>
        <w:rPr>
          <w:rFonts w:hint="eastAsia" w:ascii="仿宋_GB2312" w:hAnsi="仿宋_GB2312" w:eastAsia="仿宋_GB2312" w:cs="仿宋_GB2312"/>
          <w:color w:val="auto"/>
          <w:sz w:val="32"/>
          <w:szCs w:val="32"/>
          <w:lang w:val="en-US" w:eastAsia="zh-CN"/>
        </w:rPr>
        <w:t>乡居民建立稳定的契约服务关系，提供连续的公共卫生和基本医疗服务。2019年，重点人群签约人数为30711，率达到73.18%，一般人群签约人数为40538，签约率达到38.92%。</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4.乡村一体化工作开展情况。</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仿宋" w:hAnsi="仿宋" w:eastAsia="仿宋"/>
          <w:bCs/>
          <w:color w:val="000000"/>
          <w:sz w:val="32"/>
          <w:szCs w:val="32"/>
        </w:rPr>
      </w:pPr>
      <w:r>
        <w:rPr>
          <w:rFonts w:hint="eastAsia" w:ascii="仿宋_GB2312" w:hAnsi="微软雅黑" w:eastAsia="仿宋_GB2312"/>
          <w:color w:val="222222"/>
          <w:sz w:val="32"/>
          <w:szCs w:val="32"/>
        </w:rPr>
        <w:t>2019年全面实施乡村一体化管理</w:t>
      </w:r>
      <w:r>
        <w:rPr>
          <w:rFonts w:hint="eastAsia" w:ascii="仿宋_GB2312" w:hAnsi="微软雅黑" w:eastAsia="仿宋_GB2312"/>
          <w:color w:val="222222"/>
          <w:sz w:val="32"/>
          <w:szCs w:val="32"/>
          <w:lang w:eastAsia="zh-CN"/>
        </w:rPr>
        <w:t>，</w:t>
      </w:r>
      <w:r>
        <w:rPr>
          <w:rFonts w:hint="eastAsia" w:ascii="仿宋_GB2312" w:hAnsi="微软雅黑" w:eastAsia="仿宋_GB2312"/>
          <w:color w:val="222222"/>
          <w:sz w:val="32"/>
          <w:szCs w:val="32"/>
        </w:rPr>
        <w:t>在实施乡村一体化管理上，主要实行“1236”的运作模式。“一保留”即保留各村未达到退休年龄的村医继续留任村卫生室工作，有效稳定村医队伍；“二政策”即采取两种聘用方式，根据部分村上的特殊情况，卫生院对村医采取了财政全额保障和“花钱购买服务”两种方式进行聘用，</w:t>
      </w:r>
      <w:r>
        <w:rPr>
          <w:rFonts w:hint="eastAsia" w:ascii="仿宋_GB2312" w:hAnsi="仿宋_GB2312" w:eastAsia="仿宋_GB2312" w:cs="仿宋_GB2312"/>
          <w:color w:val="191919"/>
          <w:kern w:val="0"/>
          <w:sz w:val="32"/>
          <w:szCs w:val="32"/>
          <w:shd w:val="clear" w:color="auto" w:fill="FFFFFF"/>
          <w:lang w:val="en-US" w:eastAsia="zh-CN" w:bidi="ar-SA"/>
        </w:rPr>
        <w:t>将辖区9个村卫生室村医纳入卫生院编制管理，愿意纳入管理的村医工资待遇列入区财政预算，由卫生院聘用，派驻到村卫生室，</w:t>
      </w:r>
      <w:r>
        <w:rPr>
          <w:rFonts w:hint="eastAsia" w:ascii="仿宋_GB2312" w:hAnsi="微软雅黑" w:eastAsia="仿宋_GB2312"/>
          <w:color w:val="222222"/>
          <w:sz w:val="32"/>
          <w:szCs w:val="32"/>
        </w:rPr>
        <w:t>有效提高村医的积极性；“三制度”即医疗技术人员聘任制、工资待遇绩效考核制和全面实施养老保险制，为村医做好全面保障；“六统一”即</w:t>
      </w:r>
      <w:r>
        <w:rPr>
          <w:rFonts w:hint="eastAsia" w:ascii="仿宋_GB2312" w:hAnsi="微软雅黑" w:eastAsia="仿宋_GB2312"/>
          <w:bCs/>
          <w:color w:val="222222"/>
          <w:sz w:val="32"/>
          <w:szCs w:val="32"/>
        </w:rPr>
        <w:t>村卫生室与乡镇卫生院合为一体，实现行政、业务、人员、药械、财务、绩效考核“六统一”为主要内容的乡村一体化管理模式。</w:t>
      </w:r>
    </w:p>
    <w:p>
      <w:pPr>
        <w:pStyle w:val="3"/>
        <w:pageBreakBefore w:val="0"/>
        <w:widowControl w:val="0"/>
        <w:kinsoku/>
        <w:wordWrap/>
        <w:overflowPunct/>
        <w:topLinePunct w:val="0"/>
        <w:autoSpaceDE/>
        <w:autoSpaceDN/>
        <w:bidi w:val="0"/>
        <w:spacing w:line="353" w:lineRule="auto"/>
        <w:ind w:firstLine="640" w:firstLineChars="200"/>
        <w:textAlignment w:val="auto"/>
        <w:rPr>
          <w:rStyle w:val="26"/>
          <w:b w:val="0"/>
          <w:bCs w:val="0"/>
        </w:rPr>
      </w:pPr>
      <w:bookmarkStart w:id="14" w:name="_Toc15396601"/>
      <w:bookmarkStart w:id="15"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4"/>
      <w:bookmarkEnd w:id="15"/>
    </w:p>
    <w:p>
      <w:pPr>
        <w:spacing w:line="352" w:lineRule="auto"/>
        <w:ind w:firstLine="640" w:firstLineChars="200"/>
        <w:rPr>
          <w:rFonts w:ascii="仿宋" w:hAnsi="仿宋" w:eastAsia="仿宋"/>
          <w:color w:val="000000"/>
          <w:kern w:val="0"/>
          <w:sz w:val="32"/>
          <w:szCs w:val="32"/>
        </w:rPr>
      </w:pPr>
      <w:r>
        <w:rPr>
          <w:rFonts w:hint="eastAsia" w:ascii="仿宋" w:hAnsi="仿宋" w:eastAsia="仿宋"/>
          <w:color w:val="auto"/>
          <w:sz w:val="32"/>
          <w:szCs w:val="32"/>
          <w:lang w:val="en-US" w:eastAsia="zh-CN"/>
        </w:rPr>
        <w:t>攀枝花市西区公共卫生管理中心隶属攀枝花市西区卫生健康局，没有下属二级单位</w:t>
      </w:r>
      <w:r>
        <w:rPr>
          <w:rFonts w:hint="eastAsia" w:ascii="仿宋" w:hAnsi="仿宋" w:eastAsia="仿宋"/>
          <w:color w:val="auto"/>
          <w:sz w:val="32"/>
          <w:szCs w:val="32"/>
        </w:rPr>
        <w:t>。</w:t>
      </w:r>
    </w:p>
    <w:p>
      <w:pPr>
        <w:pStyle w:val="2"/>
        <w:ind w:right="440"/>
        <w:jc w:val="right"/>
        <w:rPr>
          <w:rStyle w:val="25"/>
          <w:rFonts w:ascii="黑体" w:hAnsi="黑体" w:eastAsia="黑体"/>
          <w:b w:val="0"/>
          <w:bCs w:val="0"/>
        </w:rPr>
      </w:pPr>
      <w:bookmarkStart w:id="16" w:name="_Toc15396602"/>
      <w:bookmarkStart w:id="1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16"/>
      <w:bookmarkEnd w:id="17"/>
    </w:p>
    <w:p/>
    <w:p>
      <w:pPr>
        <w:pStyle w:val="24"/>
        <w:numPr>
          <w:ilvl w:val="0"/>
          <w:numId w:val="1"/>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2472.67</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509.82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25.97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人员经费支出增加及项目经费增加。</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rPr>
          <w:rFonts w:hint="eastAsia" w:ascii="仿宋" w:hAnsi="仿宋" w:eastAsia="仿宋"/>
          <w:color w:val="000000" w:themeColor="text1"/>
          <w:sz w:val="32"/>
          <w:szCs w:val="32"/>
        </w:rPr>
      </w:pPr>
      <w:r>
        <w:drawing>
          <wp:anchor distT="0" distB="0" distL="114300" distR="114300" simplePos="0" relativeHeight="251665408" behindDoc="0" locked="0" layoutInCell="1" allowOverlap="1">
            <wp:simplePos x="0" y="0"/>
            <wp:positionH relativeFrom="column">
              <wp:posOffset>718820</wp:posOffset>
            </wp:positionH>
            <wp:positionV relativeFrom="paragraph">
              <wp:posOffset>52070</wp:posOffset>
            </wp:positionV>
            <wp:extent cx="4391025" cy="3258185"/>
            <wp:effectExtent l="4445" t="4445" r="5080" b="13970"/>
            <wp:wrapSquare wrapText="bothSides"/>
            <wp:docPr id="51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1379.54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1378.67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420" w:firstLineChars="200"/>
      </w:pPr>
      <w:r>
        <w:drawing>
          <wp:anchor distT="0" distB="0" distL="114300" distR="114300" simplePos="0" relativeHeight="251660288" behindDoc="0" locked="0" layoutInCell="1" allowOverlap="1">
            <wp:simplePos x="0" y="0"/>
            <wp:positionH relativeFrom="column">
              <wp:posOffset>233680</wp:posOffset>
            </wp:positionH>
            <wp:positionV relativeFrom="paragraph">
              <wp:posOffset>242570</wp:posOffset>
            </wp:positionV>
            <wp:extent cx="4095750" cy="2163445"/>
            <wp:effectExtent l="4445" t="4445" r="14605" b="22860"/>
            <wp:wrapSquare wrapText="bothSides"/>
            <wp:docPr id="210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pPr>
    </w:p>
    <w:p>
      <w:pPr>
        <w:pStyle w:val="24"/>
        <w:numPr>
          <w:ilvl w:val="0"/>
          <w:numId w:val="1"/>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2430.15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311.54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12.82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2118.61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87.18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1312" behindDoc="0" locked="0" layoutInCell="1" allowOverlap="1">
            <wp:simplePos x="0" y="0"/>
            <wp:positionH relativeFrom="column">
              <wp:posOffset>299720</wp:posOffset>
            </wp:positionH>
            <wp:positionV relativeFrom="paragraph">
              <wp:posOffset>280670</wp:posOffset>
            </wp:positionV>
            <wp:extent cx="4105275" cy="2685415"/>
            <wp:effectExtent l="4445" t="4445" r="5080" b="15240"/>
            <wp:wrapSquare wrapText="bothSides"/>
            <wp:docPr id="210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ind w:firstLine="640" w:firstLineChars="200"/>
        <w:outlineLvl w:val="1"/>
        <w:rPr>
          <w:rFonts w:hint="eastAsia" w:ascii="黑体" w:hAnsi="黑体" w:eastAsia="黑体"/>
          <w:color w:val="000000"/>
          <w:sz w:val="32"/>
          <w:szCs w:val="32"/>
        </w:rPr>
      </w:pPr>
      <w:bookmarkStart w:id="24" w:name="_Toc15377208"/>
      <w:bookmarkStart w:id="25"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2472.67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509.82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25.97</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val="en-US" w:eastAsia="zh-CN"/>
        </w:rPr>
        <w:t>人员经费支出增加及项目经费增加。</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r>
        <w:drawing>
          <wp:anchor distT="0" distB="0" distL="114300" distR="114300" simplePos="0" relativeHeight="251673600" behindDoc="0" locked="0" layoutInCell="1" allowOverlap="1">
            <wp:simplePos x="0" y="0"/>
            <wp:positionH relativeFrom="column">
              <wp:posOffset>394970</wp:posOffset>
            </wp:positionH>
            <wp:positionV relativeFrom="paragraph">
              <wp:posOffset>204470</wp:posOffset>
            </wp:positionV>
            <wp:extent cx="4391025" cy="3258185"/>
            <wp:effectExtent l="4445" t="4445" r="5080" b="1397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2430.15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593.63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32.32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人员经费支出增加及项目经费增加。</w:t>
      </w: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themeColor="text1"/>
          <w:sz w:val="32"/>
          <w:szCs w:val="32"/>
        </w:rPr>
      </w:pPr>
      <w:r>
        <w:drawing>
          <wp:anchor distT="0" distB="0" distL="114300" distR="114300" simplePos="0" relativeHeight="251663360" behindDoc="0" locked="0" layoutInCell="1" allowOverlap="1">
            <wp:simplePos x="0" y="0"/>
            <wp:positionH relativeFrom="column">
              <wp:posOffset>623570</wp:posOffset>
            </wp:positionH>
            <wp:positionV relativeFrom="paragraph">
              <wp:posOffset>671195</wp:posOffset>
            </wp:positionV>
            <wp:extent cx="4114800" cy="2733675"/>
            <wp:effectExtent l="4445" t="4445" r="14605" b="508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t>（二）一般公共预算财政拨款支出决算结构情况</w:t>
      </w:r>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lang w:val="en-US" w:eastAsia="zh-CN"/>
        </w:rPr>
        <w:t>2430.08</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30.46万元，占1.25%；</w:t>
      </w:r>
      <w:r>
        <w:rPr>
          <w:rFonts w:hint="eastAsia" w:ascii="仿宋" w:hAnsi="仿宋" w:eastAsia="仿宋"/>
          <w:b/>
          <w:color w:val="000000" w:themeColor="text1"/>
          <w:sz w:val="32"/>
          <w:szCs w:val="32"/>
          <w:lang w:val="en-US" w:eastAsia="zh-CN"/>
        </w:rPr>
        <w:t>卫生健康</w:t>
      </w:r>
      <w:r>
        <w:rPr>
          <w:rFonts w:hint="eastAsia" w:ascii="仿宋" w:hAnsi="仿宋" w:eastAsia="仿宋"/>
          <w:color w:val="000000" w:themeColor="text1"/>
          <w:sz w:val="32"/>
          <w:szCs w:val="32"/>
          <w:lang w:val="en-US" w:eastAsia="zh-CN"/>
        </w:rPr>
        <w:t>支出2347.99万元，占96.62%；</w:t>
      </w:r>
      <w:r>
        <w:rPr>
          <w:rFonts w:hint="eastAsia" w:ascii="仿宋" w:hAnsi="仿宋" w:eastAsia="仿宋"/>
          <w:b/>
          <w:color w:val="000000" w:themeColor="text1"/>
          <w:sz w:val="32"/>
          <w:szCs w:val="32"/>
          <w:lang w:val="en-US" w:eastAsia="zh-CN"/>
        </w:rPr>
        <w:t>城乡社区支出</w:t>
      </w:r>
      <w:r>
        <w:rPr>
          <w:rFonts w:hint="eastAsia" w:ascii="仿宋" w:hAnsi="仿宋" w:eastAsia="仿宋"/>
          <w:color w:val="000000" w:themeColor="text1"/>
          <w:sz w:val="32"/>
          <w:szCs w:val="32"/>
          <w:lang w:val="en-US" w:eastAsia="zh-CN"/>
        </w:rPr>
        <w:t>20万元，占0.82%；</w:t>
      </w:r>
      <w:r>
        <w:rPr>
          <w:rFonts w:hint="eastAsia" w:ascii="仿宋" w:hAnsi="仿宋" w:eastAsia="仿宋"/>
          <w:b/>
          <w:color w:val="000000" w:themeColor="text1"/>
          <w:sz w:val="32"/>
          <w:szCs w:val="32"/>
          <w:lang w:val="en-US" w:eastAsia="zh-CN"/>
        </w:rPr>
        <w:t>住房保障</w:t>
      </w:r>
      <w:r>
        <w:rPr>
          <w:rFonts w:hint="eastAsia" w:ascii="仿宋" w:hAnsi="仿宋" w:eastAsia="仿宋"/>
          <w:color w:val="000000" w:themeColor="text1"/>
          <w:sz w:val="32"/>
          <w:szCs w:val="32"/>
          <w:lang w:val="en-US" w:eastAsia="zh-CN"/>
        </w:rPr>
        <w:t>支出31.63万元，占1.3%</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4384" behindDoc="1" locked="0" layoutInCell="1" allowOverlap="1">
            <wp:simplePos x="0" y="0"/>
            <wp:positionH relativeFrom="column">
              <wp:posOffset>470535</wp:posOffset>
            </wp:positionH>
            <wp:positionV relativeFrom="paragraph">
              <wp:posOffset>133350</wp:posOffset>
            </wp:positionV>
            <wp:extent cx="4401185" cy="2029460"/>
            <wp:effectExtent l="5080" t="4445" r="13335" b="23495"/>
            <wp:wrapTight wrapText="bothSides">
              <wp:wrapPolygon>
                <wp:start x="-25" y="-47"/>
                <wp:lineTo x="-25" y="21445"/>
                <wp:lineTo x="21572" y="21445"/>
                <wp:lineTo x="21572" y="-47"/>
                <wp:lineTo x="-25" y="-47"/>
              </wp:wrapPolygon>
            </wp:wrapTight>
            <wp:docPr id="105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FF0000"/>
          <w:sz w:val="32"/>
          <w:szCs w:val="32"/>
        </w:rPr>
      </w:pPr>
      <w:bookmarkStart w:id="31" w:name="_Toc15377213"/>
      <w:bookmarkStart w:id="32" w:name="_Toc15378460"/>
      <w:bookmarkStart w:id="33" w:name="_Toc15377444"/>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val="en-US"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2430.08万元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highlight w:val="none"/>
        </w:rPr>
        <w:t>预算</w:t>
      </w:r>
      <w:r>
        <w:rPr>
          <w:rStyle w:val="15"/>
          <w:rFonts w:hint="eastAsia" w:ascii="仿宋" w:hAnsi="仿宋" w:eastAsia="仿宋"/>
          <w:bCs/>
          <w:color w:val="000000"/>
          <w:sz w:val="32"/>
          <w:szCs w:val="32"/>
          <w:highlight w:val="none"/>
          <w:lang w:val="en-US" w:eastAsia="zh-CN"/>
        </w:rPr>
        <w:t>98.28</w:t>
      </w:r>
      <w:r>
        <w:rPr>
          <w:rStyle w:val="15"/>
          <w:rFonts w:ascii="仿宋" w:hAnsi="仿宋" w:eastAsia="仿宋"/>
          <w:bCs/>
          <w:color w:val="000000"/>
          <w:sz w:val="32"/>
          <w:szCs w:val="32"/>
          <w:highlight w:val="none"/>
        </w:rPr>
        <w:t>%</w:t>
      </w:r>
      <w:r>
        <w:rPr>
          <w:rStyle w:val="15"/>
          <w:rFonts w:hint="eastAsia" w:ascii="仿宋" w:hAnsi="仿宋" w:eastAsia="仿宋"/>
          <w:bCs/>
          <w:color w:val="000000"/>
          <w:sz w:val="32"/>
          <w:szCs w:val="32"/>
          <w:highlight w:val="none"/>
        </w:rPr>
        <w:t>。其中：</w:t>
      </w:r>
      <w:bookmarkEnd w:id="31"/>
      <w:bookmarkEnd w:id="32"/>
      <w:bookmarkEnd w:id="33"/>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1.社会保障和就业支出：</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2080505机关事业单位基本养老保险缴费支出30.46万元，决算数等于预算数。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2.卫生健康支出：</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210301城市社区卫生机构支出911.24万元，决算数等于预算数；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2100399其他基层医疗卫生机构支出351.69万元；决算数等于预算数；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2100407其他专业公共卫生机构227.35万元，决算数等于预算数；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2100408基本公共卫生服务812.54万元，决算数等于预算数；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2100409重大公共卫生专项0.82万元，决算数等于预算数；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2100499其他公共卫生支出13.33万元，决算数等于预算数；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2100699其他中医药支出3.2万元，决算数小于预算数，主要原因是中医药发展专项资金；</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2101102事业单位医疗22.11万元，决算数等于预算数；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2101103公务员医疗补助1.88万元，决算数等于预算数；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2109901其他卫生健康支出5.79万元，决算数小于预算数，主要原因是河门口社区卫生卫生服务中心家庭医生示范工作室经费、基层能力提升服务经费；</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3.城乡社区支出</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2100399其他城乡社区公共卫生设施支出20万元，决算数等于预算数。</w:t>
      </w:r>
    </w:p>
    <w:p>
      <w:pPr>
        <w:spacing w:line="600" w:lineRule="exact"/>
        <w:ind w:firstLine="643" w:firstLineChars="200"/>
        <w:rPr>
          <w:rStyle w:val="15"/>
          <w:rFonts w:hint="eastAsia" w:ascii="仿宋" w:hAnsi="仿宋" w:eastAsia="仿宋"/>
          <w:bCs/>
          <w:color w:val="000000"/>
          <w:sz w:val="32"/>
          <w:szCs w:val="32"/>
          <w:lang w:val="en-US" w:eastAsia="zh-CN"/>
        </w:rPr>
      </w:pPr>
      <w:r>
        <w:rPr>
          <w:rStyle w:val="15"/>
          <w:rFonts w:hint="eastAsia" w:ascii="仿宋" w:hAnsi="仿宋" w:eastAsia="仿宋"/>
          <w:bCs/>
          <w:color w:val="000000"/>
          <w:sz w:val="32"/>
          <w:szCs w:val="32"/>
          <w:lang w:val="en-US" w:eastAsia="zh-CN"/>
        </w:rPr>
        <w:t>4.住房保障支出</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2210201住房公积金31.63万元，决算数等于预算数。</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311.47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301.23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10.24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1"/>
        <w:rPr>
          <w:rFonts w:hint="eastAsia" w:ascii="黑体" w:eastAsia="黑体"/>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w:t>
      </w:r>
      <w:r>
        <w:rPr>
          <w:rFonts w:hint="eastAsia" w:ascii="仿宋" w:hAnsi="仿宋" w:eastAsia="仿宋"/>
          <w:color w:val="000000"/>
          <w:sz w:val="32"/>
          <w:szCs w:val="32"/>
          <w:lang w:val="en-US" w:eastAsia="zh-CN"/>
        </w:rPr>
        <w:t>无</w:t>
      </w:r>
      <w:r>
        <w:rPr>
          <w:rFonts w:hint="eastAsia" w:ascii="仿宋" w:hAnsi="仿宋" w:eastAsia="仿宋"/>
          <w:color w:val="000000"/>
          <w:sz w:val="32"/>
          <w:szCs w:val="32"/>
        </w:rPr>
        <w:t>“三公”经费财政拨款支出</w:t>
      </w:r>
      <w:bookmarkStart w:id="38" w:name="_Toc15377218"/>
      <w:bookmarkStart w:id="39"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38"/>
      <w:bookmarkEnd w:id="3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0" w:name="_Toc15396611"/>
      <w:bookmarkStart w:id="41" w:name="_Toc15377219"/>
      <w:r>
        <w:rPr>
          <w:rStyle w:val="26"/>
          <w:rFonts w:hint="eastAsia" w:ascii="黑体" w:hAnsi="黑体" w:eastAsia="黑体"/>
          <w:b w:val="0"/>
        </w:rPr>
        <w:t>国有资本经营预算支出决算情况说明</w:t>
      </w:r>
      <w:bookmarkEnd w:id="40"/>
      <w:bookmarkEnd w:id="41"/>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42" w:name="_Toc15377221"/>
      <w:bookmarkStart w:id="43"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2"/>
      <w:bookmarkEnd w:id="43"/>
    </w:p>
    <w:p>
      <w:pPr>
        <w:spacing w:line="600" w:lineRule="exact"/>
        <w:ind w:firstLine="643" w:firstLineChars="200"/>
        <w:outlineLvl w:val="2"/>
        <w:rPr>
          <w:rFonts w:ascii="仿宋" w:hAnsi="仿宋" w:eastAsia="仿宋"/>
          <w:color w:val="000000"/>
          <w:sz w:val="32"/>
          <w:szCs w:val="32"/>
        </w:rPr>
      </w:pPr>
      <w:bookmarkStart w:id="44" w:name="_Toc15377222"/>
      <w:r>
        <w:rPr>
          <w:rFonts w:hint="eastAsia" w:ascii="仿宋" w:hAnsi="仿宋" w:eastAsia="仿宋"/>
          <w:b/>
          <w:color w:val="000000"/>
          <w:sz w:val="32"/>
          <w:szCs w:val="32"/>
        </w:rPr>
        <w:t>（一）机关运行经费支出情况</w:t>
      </w:r>
      <w:bookmarkEnd w:id="44"/>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本单位</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10.24万元，比2018年增加2.71万元。主要原因是差旅费、其他交通费用等增加的支出</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5" w:name="_Toc15377223"/>
      <w:r>
        <w:rPr>
          <w:rFonts w:hint="eastAsia" w:ascii="仿宋" w:hAnsi="仿宋" w:eastAsia="仿宋"/>
          <w:b/>
          <w:color w:val="000000"/>
          <w:sz w:val="32"/>
          <w:szCs w:val="32"/>
        </w:rPr>
        <w:t>（二）政府采购支出情况</w:t>
      </w:r>
      <w:bookmarkEnd w:id="4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我单位</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1.79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1.79</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主要用于</w:t>
      </w:r>
      <w:r>
        <w:rPr>
          <w:rFonts w:hint="eastAsia" w:ascii="仿宋_GB2312" w:eastAsia="仿宋_GB2312"/>
          <w:color w:val="000000"/>
          <w:sz w:val="32"/>
          <w:szCs w:val="32"/>
          <w:highlight w:val="none"/>
          <w:lang w:val="en-US" w:eastAsia="zh-CN"/>
        </w:rPr>
        <w:t>办公设备更新、补充</w:t>
      </w:r>
      <w:r>
        <w:rPr>
          <w:rFonts w:hint="eastAsia" w:ascii="仿宋_GB2312" w:eastAsia="仿宋_GB2312"/>
          <w:color w:val="000000"/>
          <w:sz w:val="32"/>
          <w:szCs w:val="32"/>
          <w:highlight w:val="none"/>
        </w:rPr>
        <w:t>。</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6" w:name="_Toc15377224"/>
      <w:r>
        <w:rPr>
          <w:rFonts w:hint="eastAsia" w:ascii="仿宋" w:hAnsi="仿宋" w:eastAsia="仿宋"/>
          <w:b/>
          <w:color w:val="000000"/>
          <w:sz w:val="32"/>
          <w:szCs w:val="32"/>
        </w:rPr>
        <w:t>（三）国有资产占有使用情况</w:t>
      </w:r>
      <w:bookmarkEnd w:id="46"/>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我单位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val="en-US" w:eastAsia="zh-CN"/>
        </w:rPr>
        <w:t>国家基本药物制度项目、基本公共卫生服务项目、基层医疗卫生机构表扬项目、中医适宜技术推广项目、基层医疗卫生机构人员经费项目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项目开展绩效监控，年终执行完毕后，对项目开展了绩效目标完成情况自评。</w:t>
      </w:r>
    </w:p>
    <w:p>
      <w:pPr>
        <w:pStyle w:val="7"/>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按要求对2019年部门整体支出开展绩效自评，从评价情况来看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全年通过</w:t>
      </w:r>
      <w:r>
        <w:rPr>
          <w:rFonts w:ascii="仿宋_GB2312" w:hAnsi="仿宋" w:eastAsia="仿宋_GB2312"/>
          <w:sz w:val="32"/>
          <w:szCs w:val="32"/>
        </w:rPr>
        <w:t>加强预算收支管理，健全内部管理制度，严格内部管理流程，部门整体支出</w:t>
      </w:r>
      <w:r>
        <w:rPr>
          <w:rFonts w:hint="eastAsia" w:ascii="仿宋_GB2312" w:hAnsi="仿宋" w:eastAsia="仿宋_GB2312"/>
          <w:sz w:val="32"/>
          <w:szCs w:val="32"/>
        </w:rPr>
        <w:t>控制在预算范围内，财务收支平衡，有效保障了单位各项工作有序开展。</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还自行组织了</w:t>
      </w:r>
      <w:r>
        <w:rPr>
          <w:rFonts w:hint="eastAsia" w:ascii="仿宋_GB2312" w:hAnsi="仿宋_GB2312" w:eastAsia="仿宋_GB2312" w:cs="仿宋_GB2312"/>
          <w:sz w:val="32"/>
          <w:szCs w:val="32"/>
          <w:lang w:val="en-US" w:eastAsia="zh-CN"/>
        </w:rPr>
        <w:t>基本公共卫生服务项目</w:t>
      </w:r>
      <w:r>
        <w:rPr>
          <w:rFonts w:hint="eastAsia" w:ascii="仿宋_GB2312" w:hAnsi="仿宋_GB2312" w:eastAsia="仿宋_GB2312" w:cs="仿宋_GB2312"/>
          <w:sz w:val="32"/>
          <w:szCs w:val="32"/>
        </w:rPr>
        <w:t>支出绩效评价，从评价情况来看</w:t>
      </w:r>
      <w:r>
        <w:rPr>
          <w:rFonts w:hint="eastAsia" w:ascii="仿宋_GB2312" w:hAnsi="仿宋_GB2312" w:eastAsia="仿宋_GB2312" w:cs="仿宋_GB2312"/>
          <w:sz w:val="32"/>
          <w:szCs w:val="32"/>
          <w:lang w:val="en-US" w:eastAsia="zh-CN"/>
        </w:rPr>
        <w:t>,</w:t>
      </w:r>
      <w:r>
        <w:rPr>
          <w:rFonts w:hint="eastAsia" w:ascii="仿宋_GB2312" w:hAnsi="仿宋" w:eastAsia="仿宋_GB2312"/>
          <w:sz w:val="32"/>
          <w:szCs w:val="32"/>
        </w:rPr>
        <w:t>全年各项目按照工作计划顺利推进，数量、质量、时效、社会效益和服务对象满意度指标均达标。</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国家基本药物制度经费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“基本公共卫生服务经费”“基层医疗卫生机构表扬专项经费”“中医适宜技术推广经费”4</w:t>
      </w:r>
      <w:r>
        <w:rPr>
          <w:rFonts w:hint="eastAsia" w:ascii="仿宋_GB2312" w:hAnsi="仿宋_GB2312" w:eastAsia="仿宋_GB2312" w:cs="仿宋_GB2312"/>
          <w:sz w:val="32"/>
          <w:szCs w:val="32"/>
        </w:rPr>
        <w:t>个项目绩效目标实际完成情况。</w:t>
      </w:r>
    </w:p>
    <w:p>
      <w:pPr>
        <w:pStyle w:val="7"/>
        <w:spacing w:line="353" w:lineRule="auto"/>
        <w:ind w:firstLine="640" w:firstLineChars="200"/>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国家基本药物经费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Times New Roman" w:hAnsi="Times New Roman" w:eastAsia="仿宋_GB2312"/>
          <w:sz w:val="32"/>
          <w:szCs w:val="32"/>
          <w:lang w:val="en-US" w:eastAsia="zh-CN"/>
        </w:rPr>
        <w:t>提升服务能力建设，惠及群众，在基层医疗卫生机构持续实施，增强人民群众的获得感和幸福感。</w:t>
      </w:r>
    </w:p>
    <w:p>
      <w:pPr>
        <w:pStyle w:val="7"/>
        <w:spacing w:line="353" w:lineRule="auto"/>
        <w:ind w:firstLine="640" w:firstLineChars="200"/>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基本公共卫生服务竟给</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53.568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53.568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Times New Roman" w:hAnsi="Times New Roman" w:eastAsia="仿宋_GB2312"/>
          <w:sz w:val="32"/>
          <w:szCs w:val="32"/>
          <w:lang w:val="en-US" w:eastAsia="zh-CN"/>
        </w:rPr>
        <w:t>提升服务能力建设，惠及群众，在基层医疗卫生机构持续实施，增强人民群众的获得感和幸福感。</w:t>
      </w:r>
    </w:p>
    <w:p>
      <w:p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基层医疗卫生机构表扬专项经费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Times New Roman" w:hAnsi="Times New Roman" w:eastAsia="仿宋_GB2312"/>
          <w:sz w:val="32"/>
          <w:szCs w:val="32"/>
          <w:lang w:val="en-US" w:eastAsia="zh-CN"/>
        </w:rPr>
        <w:t>有效的提升基层医疗卫生机构服务能力、提高医疗水平和医技人员技术水平、改善就医环境，提高就诊率。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中医适宜技术推广经费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Times New Roman" w:hAnsi="Times New Roman" w:eastAsia="仿宋_GB2312"/>
          <w:sz w:val="32"/>
          <w:szCs w:val="32"/>
          <w:lang w:val="en-US" w:eastAsia="zh-CN"/>
        </w:rPr>
        <w:t>有效的提升基层医疗卫生机构服务能力、提高医疗水平和医技人员技术水平、改善就医环境，提高就诊率。</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）基层医疗卫生机构人员经费</w:t>
      </w:r>
      <w:r>
        <w:rPr>
          <w:rFonts w:hint="eastAsia" w:ascii="仿宋_GB2312" w:hAnsi="仿宋_GB2312" w:eastAsia="仿宋_GB2312" w:cs="仿宋_GB2312"/>
          <w:sz w:val="32"/>
          <w:szCs w:val="32"/>
          <w:lang w:val="en-US" w:eastAsia="zh-CN"/>
        </w:rPr>
        <w:t>项目绩效目标完成情况综述。项目全年预算数911.24万元，执行数为911.24万元，完成预算的100%。通过项目实施，提高医技人员工资待遇，有效的减少人才流失。</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1109" w:tblpY="937"/>
        <w:tblOverlap w:val="never"/>
        <w:tblW w:w="9960" w:type="dxa"/>
        <w:jc w:val="center"/>
        <w:tblLayout w:type="fixed"/>
        <w:tblCellMar>
          <w:top w:w="0" w:type="dxa"/>
          <w:left w:w="0" w:type="dxa"/>
          <w:bottom w:w="0" w:type="dxa"/>
          <w:right w:w="0" w:type="dxa"/>
        </w:tblCellMar>
      </w:tblPr>
      <w:tblGrid>
        <w:gridCol w:w="758"/>
        <w:gridCol w:w="999"/>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国家基本药物制度经费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攀枝花市西区公共卫生管理中心</w:t>
            </w:r>
          </w:p>
        </w:tc>
      </w:tr>
      <w:tr>
        <w:tblPrEx>
          <w:tblCellMar>
            <w:top w:w="0" w:type="dxa"/>
            <w:left w:w="0" w:type="dxa"/>
            <w:bottom w:w="0" w:type="dxa"/>
            <w:right w:w="0" w:type="dxa"/>
          </w:tblCellMar>
        </w:tblPrEx>
        <w:trPr>
          <w:trHeight w:val="276"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r>
      <w:tr>
        <w:tblPrEx>
          <w:tblCellMar>
            <w:top w:w="0" w:type="dxa"/>
            <w:left w:w="0" w:type="dxa"/>
            <w:bottom w:w="0" w:type="dxa"/>
            <w:right w:w="0" w:type="dxa"/>
          </w:tblCellMar>
        </w:tblPrEx>
        <w:trPr>
          <w:trHeight w:val="276"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30万元</w:t>
            </w:r>
          </w:p>
        </w:tc>
      </w:tr>
      <w:tr>
        <w:tblPrEx>
          <w:tblCellMar>
            <w:top w:w="0" w:type="dxa"/>
            <w:left w:w="0" w:type="dxa"/>
            <w:bottom w:w="0" w:type="dxa"/>
            <w:right w:w="0" w:type="dxa"/>
          </w:tblCellMar>
        </w:tblPrEx>
        <w:trPr>
          <w:trHeight w:val="9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r>
      <w:tr>
        <w:tblPrEx>
          <w:tblCellMar>
            <w:top w:w="0" w:type="dxa"/>
            <w:left w:w="0" w:type="dxa"/>
            <w:bottom w:w="0" w:type="dxa"/>
            <w:right w:w="0" w:type="dxa"/>
          </w:tblCellMar>
        </w:tblPrEx>
        <w:trPr>
          <w:trHeight w:val="276"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75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75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全额拨付基本药物制度补助经费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按辖区人口数补助30万元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75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基层医疗卫生机构实施国家基本药物制度覆盖率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75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拨付时间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75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足额下拨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75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加强公众知晓率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≥90%</w:t>
            </w:r>
          </w:p>
        </w:tc>
      </w:tr>
      <w:tr>
        <w:tblPrEx>
          <w:tblCellMar>
            <w:top w:w="0" w:type="dxa"/>
            <w:left w:w="0" w:type="dxa"/>
            <w:bottom w:w="0" w:type="dxa"/>
            <w:right w:w="0" w:type="dxa"/>
          </w:tblCellMar>
        </w:tblPrEx>
        <w:trPr>
          <w:trHeight w:val="1042" w:hRule="atLeast"/>
          <w:jc w:val="center"/>
        </w:trPr>
        <w:tc>
          <w:tcPr>
            <w:tcW w:w="75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服务对象满意指标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63"/>
        <w:gridCol w:w="315"/>
        <w:gridCol w:w="879"/>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基本公共卫生服务经费</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攀枝花市西区公共卫生管理中心</w:t>
            </w:r>
          </w:p>
        </w:tc>
      </w:tr>
      <w:tr>
        <w:tblPrEx>
          <w:tblCellMar>
            <w:top w:w="0" w:type="dxa"/>
            <w:left w:w="0" w:type="dxa"/>
            <w:bottom w:w="0" w:type="dxa"/>
            <w:right w:w="0" w:type="dxa"/>
          </w:tblCellMar>
        </w:tblPrEx>
        <w:trPr>
          <w:trHeight w:val="276"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2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53.568万元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53.568万元</w:t>
            </w:r>
          </w:p>
        </w:tc>
      </w:tr>
      <w:tr>
        <w:tblPrEx>
          <w:tblCellMar>
            <w:top w:w="0" w:type="dxa"/>
            <w:left w:w="0" w:type="dxa"/>
            <w:bottom w:w="0" w:type="dxa"/>
            <w:right w:w="0" w:type="dxa"/>
          </w:tblCellMar>
        </w:tblPrEx>
        <w:trPr>
          <w:trHeight w:val="276"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2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53.568万元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53.568万元</w:t>
            </w:r>
          </w:p>
        </w:tc>
      </w:tr>
      <w:tr>
        <w:tblPrEx>
          <w:tblCellMar>
            <w:top w:w="0" w:type="dxa"/>
            <w:left w:w="0" w:type="dxa"/>
            <w:bottom w:w="0" w:type="dxa"/>
            <w:right w:w="0" w:type="dxa"/>
          </w:tblCellMar>
        </w:tblPrEx>
        <w:trPr>
          <w:trHeight w:val="966"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2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r>
      <w:tr>
        <w:tblPrEx>
          <w:tblCellMar>
            <w:top w:w="0" w:type="dxa"/>
            <w:left w:w="0" w:type="dxa"/>
            <w:bottom w:w="0" w:type="dxa"/>
            <w:right w:w="0" w:type="dxa"/>
          </w:tblCellMar>
        </w:tblPrEx>
        <w:trPr>
          <w:trHeight w:val="276"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1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24"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61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56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56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基本公共卫生服务经费。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各项目任务指标按进度开展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r>
      <w:tr>
        <w:tblPrEx>
          <w:tblCellMar>
            <w:top w:w="0" w:type="dxa"/>
            <w:left w:w="0" w:type="dxa"/>
            <w:bottom w:w="0" w:type="dxa"/>
            <w:right w:w="0" w:type="dxa"/>
          </w:tblCellMar>
        </w:tblPrEx>
        <w:trPr>
          <w:trHeight w:val="1297" w:hRule="atLeast"/>
          <w:jc w:val="center"/>
        </w:trPr>
        <w:tc>
          <w:tcPr>
            <w:tcW w:w="56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完成基本公共卫生服务项目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完成各项目预期指标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已完成</w:t>
            </w:r>
          </w:p>
        </w:tc>
      </w:tr>
      <w:tr>
        <w:tblPrEx>
          <w:tblCellMar>
            <w:top w:w="0" w:type="dxa"/>
            <w:left w:w="0" w:type="dxa"/>
            <w:bottom w:w="0" w:type="dxa"/>
            <w:right w:w="0" w:type="dxa"/>
          </w:tblCellMar>
        </w:tblPrEx>
        <w:trPr>
          <w:trHeight w:val="1042" w:hRule="atLeast"/>
          <w:jc w:val="center"/>
        </w:trPr>
        <w:tc>
          <w:tcPr>
            <w:tcW w:w="56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在收到资金30日内完成拨付，6月30日前拨付进度达到50%，9月30日前拨付进度达到80%，11月30日前拨付进度达到100%。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56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基本公共卫生服务经费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53.568万元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56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加强公众知晓率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r>
      <w:tr>
        <w:tblPrEx>
          <w:tblCellMar>
            <w:top w:w="0" w:type="dxa"/>
            <w:left w:w="0" w:type="dxa"/>
            <w:bottom w:w="0" w:type="dxa"/>
            <w:right w:w="0" w:type="dxa"/>
          </w:tblCellMar>
        </w:tblPrEx>
        <w:trPr>
          <w:trHeight w:val="1042" w:hRule="atLeast"/>
          <w:jc w:val="center"/>
        </w:trPr>
        <w:tc>
          <w:tcPr>
            <w:tcW w:w="56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9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服务对象满意指标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基层医疗卫生机构表扬专项经费</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攀枝花市西区公共卫生管理中心</w:t>
            </w:r>
          </w:p>
        </w:tc>
      </w:tr>
      <w:tr>
        <w:tblPrEx>
          <w:tblCellMar>
            <w:top w:w="0" w:type="dxa"/>
            <w:left w:w="0" w:type="dxa"/>
            <w:bottom w:w="0" w:type="dxa"/>
            <w:right w:w="0" w:type="dxa"/>
          </w:tblCellMar>
        </w:tblPrEx>
        <w:trPr>
          <w:trHeight w:val="276" w:hRule="atLeast"/>
          <w:jc w:val="center"/>
        </w:trPr>
        <w:tc>
          <w:tcPr>
            <w:tcW w:w="87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10万元</w:t>
            </w:r>
          </w:p>
        </w:tc>
      </w:tr>
      <w:tr>
        <w:tblPrEx>
          <w:tblCellMar>
            <w:top w:w="0" w:type="dxa"/>
            <w:left w:w="0" w:type="dxa"/>
            <w:bottom w:w="0" w:type="dxa"/>
            <w:right w:w="0" w:type="dxa"/>
          </w:tblCellMar>
        </w:tblPrEx>
        <w:trPr>
          <w:trHeight w:val="276" w:hRule="atLeast"/>
          <w:jc w:val="center"/>
        </w:trPr>
        <w:tc>
          <w:tcPr>
            <w:tcW w:w="8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10万元</w:t>
            </w:r>
          </w:p>
        </w:tc>
      </w:tr>
      <w:tr>
        <w:tblPrEx>
          <w:tblCellMar>
            <w:top w:w="0" w:type="dxa"/>
            <w:left w:w="0" w:type="dxa"/>
            <w:bottom w:w="0" w:type="dxa"/>
            <w:right w:w="0" w:type="dxa"/>
          </w:tblCellMar>
        </w:tblPrEx>
        <w:trPr>
          <w:trHeight w:val="831" w:hRule="atLeast"/>
          <w:jc w:val="center"/>
        </w:trPr>
        <w:tc>
          <w:tcPr>
            <w:tcW w:w="8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r>
      <w:tr>
        <w:tblPrEx>
          <w:tblCellMar>
            <w:top w:w="0" w:type="dxa"/>
            <w:left w:w="0" w:type="dxa"/>
            <w:bottom w:w="0" w:type="dxa"/>
            <w:right w:w="0" w:type="dxa"/>
          </w:tblCellMar>
        </w:tblPrEx>
        <w:trPr>
          <w:trHeight w:val="276" w:hRule="atLeast"/>
          <w:jc w:val="center"/>
        </w:trPr>
        <w:tc>
          <w:tcPr>
            <w:tcW w:w="87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2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0" w:hRule="atLeast"/>
          <w:jc w:val="center"/>
        </w:trPr>
        <w:tc>
          <w:tcPr>
            <w:tcW w:w="8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2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878"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878"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鼓励基层医疗卫生机构管理人才创新进步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鼓励基层医疗卫生机构每年优秀管理人才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鼓励基层医疗卫生机构每年优秀管理人才10万元。</w:t>
            </w:r>
          </w:p>
        </w:tc>
      </w:tr>
      <w:tr>
        <w:tblPrEx>
          <w:tblCellMar>
            <w:top w:w="0" w:type="dxa"/>
            <w:left w:w="0" w:type="dxa"/>
            <w:bottom w:w="0" w:type="dxa"/>
            <w:right w:w="0" w:type="dxa"/>
          </w:tblCellMar>
        </w:tblPrEx>
        <w:trPr>
          <w:trHeight w:val="752" w:hRule="atLeast"/>
          <w:jc w:val="center"/>
        </w:trPr>
        <w:tc>
          <w:tcPr>
            <w:tcW w:w="878"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制定评选表扬制度，完成优秀医技人才和管理人才的评选表扬工作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推荐选拔一批优秀医师、护士进行表彰，完成优秀管理人才选拔工作。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良好</w:t>
            </w:r>
          </w:p>
        </w:tc>
      </w:tr>
      <w:tr>
        <w:tblPrEx>
          <w:tblCellMar>
            <w:top w:w="0" w:type="dxa"/>
            <w:left w:w="0" w:type="dxa"/>
            <w:bottom w:w="0" w:type="dxa"/>
            <w:right w:w="0" w:type="dxa"/>
          </w:tblCellMar>
        </w:tblPrEx>
        <w:trPr>
          <w:trHeight w:val="889" w:hRule="atLeast"/>
          <w:jc w:val="center"/>
        </w:trPr>
        <w:tc>
          <w:tcPr>
            <w:tcW w:w="878"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完成表扬奖励时间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医师节进行奖励拨付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按时完成</w:t>
            </w:r>
          </w:p>
        </w:tc>
      </w:tr>
      <w:tr>
        <w:tblPrEx>
          <w:tblCellMar>
            <w:top w:w="0" w:type="dxa"/>
            <w:left w:w="0" w:type="dxa"/>
            <w:bottom w:w="0" w:type="dxa"/>
            <w:right w:w="0" w:type="dxa"/>
          </w:tblCellMar>
        </w:tblPrEx>
        <w:trPr>
          <w:trHeight w:val="889" w:hRule="atLeast"/>
          <w:jc w:val="center"/>
        </w:trPr>
        <w:tc>
          <w:tcPr>
            <w:tcW w:w="878"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完成各项选评选表扬工作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10万元</w:t>
            </w:r>
          </w:p>
        </w:tc>
      </w:tr>
      <w:tr>
        <w:tblPrEx>
          <w:tblCellMar>
            <w:top w:w="0" w:type="dxa"/>
            <w:left w:w="0" w:type="dxa"/>
            <w:bottom w:w="0" w:type="dxa"/>
            <w:right w:w="0" w:type="dxa"/>
          </w:tblCellMar>
        </w:tblPrEx>
        <w:trPr>
          <w:trHeight w:val="1042" w:hRule="atLeast"/>
          <w:jc w:val="center"/>
        </w:trPr>
        <w:tc>
          <w:tcPr>
            <w:tcW w:w="878"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加强公众知晓率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≥90%</w:t>
            </w:r>
          </w:p>
        </w:tc>
      </w:tr>
      <w:tr>
        <w:tblPrEx>
          <w:tblCellMar>
            <w:top w:w="0" w:type="dxa"/>
            <w:left w:w="0" w:type="dxa"/>
            <w:bottom w:w="0" w:type="dxa"/>
            <w:right w:w="0" w:type="dxa"/>
          </w:tblCellMar>
        </w:tblPrEx>
        <w:trPr>
          <w:trHeight w:val="1042" w:hRule="atLeast"/>
          <w:jc w:val="center"/>
        </w:trPr>
        <w:tc>
          <w:tcPr>
            <w:tcW w:w="878" w:type="dxa"/>
            <w:gridSpan w:val="2"/>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服务对象满意指标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≥95%</w:t>
            </w:r>
          </w:p>
        </w:tc>
      </w:tr>
    </w:tbl>
    <w:p>
      <w:pPr>
        <w:spacing w:line="580" w:lineRule="exact"/>
        <w:ind w:left="630"/>
        <w:rPr>
          <w:rFonts w:ascii="仿宋_GB2312" w:hAnsi="仿宋_GB2312" w:eastAsia="仿宋_GB2312" w:cs="仿宋_GB2312"/>
          <w:sz w:val="32"/>
          <w:szCs w:val="32"/>
        </w:rPr>
      </w:pPr>
    </w:p>
    <w:p>
      <w:pPr>
        <w:tabs>
          <w:tab w:val="left" w:pos="2556"/>
        </w:tabs>
        <w:spacing w:line="580" w:lineRule="exact"/>
        <w:rPr>
          <w:rFonts w:hint="eastAsia" w:ascii="仿宋_GB2312" w:hAnsi="仿宋_GB2312" w:eastAsia="仿宋_GB2312" w:cs="仿宋_GB2312"/>
          <w:sz w:val="32"/>
          <w:szCs w:val="32"/>
          <w:lang w:eastAsia="zh-CN"/>
        </w:rPr>
      </w:pPr>
    </w:p>
    <w:tbl>
      <w:tblPr>
        <w:tblStyle w:val="13"/>
        <w:tblpPr w:leftFromText="180" w:rightFromText="180" w:vertAnchor="text" w:horzAnchor="page" w:tblpX="982" w:tblpY="1113"/>
        <w:tblOverlap w:val="never"/>
        <w:tblW w:w="9960" w:type="dxa"/>
        <w:jc w:val="center"/>
        <w:tblLayout w:type="fixed"/>
        <w:tblCellMar>
          <w:top w:w="0" w:type="dxa"/>
          <w:left w:w="0" w:type="dxa"/>
          <w:bottom w:w="0" w:type="dxa"/>
          <w:right w:w="0" w:type="dxa"/>
        </w:tblCellMar>
      </w:tblPr>
      <w:tblGrid>
        <w:gridCol w:w="728"/>
        <w:gridCol w:w="1029"/>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中医药适宜技术推广经费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攀枝花市西区公共卫生管理中心</w:t>
            </w:r>
          </w:p>
        </w:tc>
      </w:tr>
      <w:tr>
        <w:tblPrEx>
          <w:tblCellMar>
            <w:top w:w="0" w:type="dxa"/>
            <w:left w:w="0" w:type="dxa"/>
            <w:bottom w:w="0" w:type="dxa"/>
            <w:right w:w="0" w:type="dxa"/>
          </w:tblCellMar>
        </w:tblPrEx>
        <w:trPr>
          <w:trHeight w:val="276"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0.2万元</w:t>
            </w:r>
          </w:p>
        </w:tc>
      </w:tr>
      <w:tr>
        <w:tblPrEx>
          <w:tblCellMar>
            <w:top w:w="0" w:type="dxa"/>
            <w:left w:w="0" w:type="dxa"/>
            <w:bottom w:w="0" w:type="dxa"/>
            <w:right w:w="0" w:type="dxa"/>
          </w:tblCellMar>
        </w:tblPrEx>
        <w:trPr>
          <w:trHeight w:val="27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0.2万元</w:t>
            </w:r>
          </w:p>
        </w:tc>
      </w:tr>
      <w:tr>
        <w:tblPrEx>
          <w:tblCellMar>
            <w:top w:w="0" w:type="dxa"/>
            <w:left w:w="0" w:type="dxa"/>
            <w:bottom w:w="0" w:type="dxa"/>
            <w:right w:w="0" w:type="dxa"/>
          </w:tblCellMar>
        </w:tblPrEx>
        <w:trPr>
          <w:trHeight w:val="100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r>
      <w:tr>
        <w:tblPrEx>
          <w:tblCellMar>
            <w:top w:w="0" w:type="dxa"/>
            <w:left w:w="0" w:type="dxa"/>
            <w:bottom w:w="0" w:type="dxa"/>
            <w:right w:w="0" w:type="dxa"/>
          </w:tblCellMar>
        </w:tblPrEx>
        <w:trPr>
          <w:trHeight w:val="276"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69"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4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7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中医适宜技术推广项目人员培训、宣传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0.2万元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完成中医适宜技术推广项目人员培训、宣传工作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提升医技水平，提高知晓率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良好</w:t>
            </w:r>
          </w:p>
        </w:tc>
      </w:tr>
      <w:tr>
        <w:tblPrEx>
          <w:tblCellMar>
            <w:top w:w="0" w:type="dxa"/>
            <w:left w:w="0" w:type="dxa"/>
            <w:bottom w:w="0" w:type="dxa"/>
            <w:right w:w="0" w:type="dxa"/>
          </w:tblCellMar>
        </w:tblPrEx>
        <w:trPr>
          <w:trHeight w:val="1042"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2019年全年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按时完成</w:t>
            </w:r>
          </w:p>
        </w:tc>
      </w:tr>
      <w:tr>
        <w:tblPrEx>
          <w:tblCellMar>
            <w:top w:w="0" w:type="dxa"/>
            <w:left w:w="0" w:type="dxa"/>
            <w:bottom w:w="0" w:type="dxa"/>
            <w:right w:w="0" w:type="dxa"/>
          </w:tblCellMar>
        </w:tblPrEx>
        <w:trPr>
          <w:trHeight w:val="1042"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中医药适宜技术推广经费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0.2万元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0.2万元</w:t>
            </w:r>
          </w:p>
        </w:tc>
      </w:tr>
      <w:tr>
        <w:tblPrEx>
          <w:tblCellMar>
            <w:top w:w="0" w:type="dxa"/>
            <w:left w:w="0" w:type="dxa"/>
            <w:bottom w:w="0" w:type="dxa"/>
            <w:right w:w="0" w:type="dxa"/>
          </w:tblCellMar>
        </w:tblPrEx>
        <w:trPr>
          <w:trHeight w:val="1042"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加强公众知晓率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≥90%</w:t>
            </w:r>
          </w:p>
        </w:tc>
      </w:tr>
      <w:tr>
        <w:tblPrEx>
          <w:tblCellMar>
            <w:top w:w="0" w:type="dxa"/>
            <w:left w:w="0" w:type="dxa"/>
            <w:bottom w:w="0" w:type="dxa"/>
            <w:right w:w="0" w:type="dxa"/>
          </w:tblCellMar>
        </w:tblPrEx>
        <w:trPr>
          <w:trHeight w:val="1042" w:hRule="atLeast"/>
          <w:jc w:val="center"/>
        </w:trPr>
        <w:tc>
          <w:tcPr>
            <w:tcW w:w="72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服务对象满意指标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982" w:tblpY="1113"/>
        <w:tblOverlap w:val="never"/>
        <w:tblW w:w="9960" w:type="dxa"/>
        <w:jc w:val="center"/>
        <w:tblLayout w:type="fixed"/>
        <w:tblCellMar>
          <w:top w:w="0" w:type="dxa"/>
          <w:left w:w="0" w:type="dxa"/>
          <w:bottom w:w="0" w:type="dxa"/>
          <w:right w:w="0" w:type="dxa"/>
        </w:tblCellMar>
      </w:tblPr>
      <w:tblGrid>
        <w:gridCol w:w="728"/>
        <w:gridCol w:w="1029"/>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基层医疗卫生机构人员经费项目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攀枝花市西区公共卫生管理中心</w:t>
            </w:r>
          </w:p>
        </w:tc>
      </w:tr>
      <w:tr>
        <w:tblPrEx>
          <w:tblCellMar>
            <w:top w:w="0" w:type="dxa"/>
            <w:left w:w="0" w:type="dxa"/>
            <w:bottom w:w="0" w:type="dxa"/>
            <w:right w:w="0" w:type="dxa"/>
          </w:tblCellMar>
        </w:tblPrEx>
        <w:trPr>
          <w:trHeight w:val="276"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911.24万元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911.24万元</w:t>
            </w:r>
          </w:p>
        </w:tc>
      </w:tr>
      <w:tr>
        <w:tblPrEx>
          <w:tblCellMar>
            <w:top w:w="0" w:type="dxa"/>
            <w:left w:w="0" w:type="dxa"/>
            <w:bottom w:w="0" w:type="dxa"/>
            <w:right w:w="0" w:type="dxa"/>
          </w:tblCellMar>
        </w:tblPrEx>
        <w:trPr>
          <w:trHeight w:val="27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911.24万元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911.24万元</w:t>
            </w:r>
          </w:p>
        </w:tc>
      </w:tr>
      <w:tr>
        <w:tblPrEx>
          <w:tblCellMar>
            <w:top w:w="0" w:type="dxa"/>
            <w:left w:w="0" w:type="dxa"/>
            <w:bottom w:w="0" w:type="dxa"/>
            <w:right w:w="0" w:type="dxa"/>
          </w:tblCellMar>
        </w:tblPrEx>
        <w:trPr>
          <w:trHeight w:val="60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无</w:t>
            </w:r>
          </w:p>
        </w:tc>
      </w:tr>
      <w:tr>
        <w:tblPrEx>
          <w:tblCellMar>
            <w:top w:w="0" w:type="dxa"/>
            <w:left w:w="0" w:type="dxa"/>
            <w:bottom w:w="0" w:type="dxa"/>
            <w:right w:w="0" w:type="dxa"/>
          </w:tblCellMar>
        </w:tblPrEx>
        <w:trPr>
          <w:trHeight w:val="276"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629"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4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7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基层医疗卫生机构人员经费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足额下拨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按时下拨经费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每月15日前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按时下拨人员经费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每月15日前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基层医疗卫生机构人员数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default" w:ascii="宋体" w:hAnsi="宋体" w:cs="宋体"/>
                <w:color w:val="000000"/>
                <w:sz w:val="24"/>
                <w:lang w:val="en-US" w:eastAsia="zh-CN"/>
              </w:rPr>
              <w:t>按照西区卫生健康系统事业单位在编专业技术人员平均工资水平（含五险一金）核算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72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减少人才流失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default"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≥90%</w:t>
            </w:r>
          </w:p>
        </w:tc>
      </w:tr>
      <w:tr>
        <w:tblPrEx>
          <w:tblCellMar>
            <w:top w:w="0" w:type="dxa"/>
            <w:left w:w="0" w:type="dxa"/>
            <w:bottom w:w="0" w:type="dxa"/>
            <w:right w:w="0" w:type="dxa"/>
          </w:tblCellMar>
        </w:tblPrEx>
        <w:trPr>
          <w:trHeight w:val="1042" w:hRule="atLeast"/>
          <w:jc w:val="center"/>
        </w:trPr>
        <w:tc>
          <w:tcPr>
            <w:tcW w:w="72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服务对象满意指标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按要求对2019年部门整体支出绩效评价情况开展自评，《</w:t>
      </w:r>
      <w:r>
        <w:rPr>
          <w:rFonts w:hint="eastAsia" w:ascii="仿宋_GB2312" w:hAnsi="仿宋_GB2312" w:eastAsia="仿宋_GB2312" w:cs="仿宋_GB2312"/>
          <w:sz w:val="32"/>
          <w:szCs w:val="32"/>
          <w:lang w:val="en-US" w:eastAsia="zh-CN"/>
        </w:rPr>
        <w:t>西区公共卫生管理中心</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val="en-US" w:eastAsia="zh-CN"/>
        </w:rPr>
        <w:t>基本公共卫生服务</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val="en-US" w:eastAsia="zh-CN"/>
        </w:rPr>
        <w:t>基本公共卫生服务</w:t>
      </w:r>
      <w:r>
        <w:rPr>
          <w:rFonts w:hint="eastAsia" w:ascii="仿宋_GB2312" w:hAnsi="仿宋_GB2312" w:eastAsia="仿宋_GB2312" w:cs="仿宋_GB2312"/>
          <w:sz w:val="32"/>
          <w:szCs w:val="32"/>
        </w:rPr>
        <w:t>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47" w:name="_Toc15396613"/>
      <w:bookmarkStart w:id="48"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47"/>
      <w:bookmarkEnd w:id="48"/>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w:t>
      </w:r>
      <w:r>
        <w:rPr>
          <w:rFonts w:hint="eastAsia" w:ascii="仿宋_GB2312" w:eastAsia="仿宋_GB2312"/>
          <w:color w:val="000000" w:themeColor="text1"/>
          <w:sz w:val="32"/>
          <w:szCs w:val="32"/>
        </w:rPr>
        <w:t>财政拨款收入：指单位从同级财政部门取得的财政预算资金。</w:t>
      </w:r>
    </w:p>
    <w:p>
      <w:pPr>
        <w:pStyle w:val="23"/>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w:t>
      </w:r>
      <w:r>
        <w:rPr>
          <w:rFonts w:hint="eastAsia" w:ascii="仿宋_GB2312" w:eastAsia="仿宋_GB2312"/>
          <w:color w:val="000000" w:themeColor="text1"/>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color w:val="000000" w:themeColor="text1"/>
          <w:sz w:val="32"/>
          <w:szCs w:val="32"/>
        </w:rPr>
      </w:pPr>
      <w:r>
        <w:rPr>
          <w:rFonts w:ascii="仿宋_GB2312" w:eastAsia="仿宋_GB2312"/>
          <w:color w:val="000000" w:themeColor="text1"/>
          <w:sz w:val="32"/>
          <w:szCs w:val="32"/>
        </w:rPr>
        <w:t>3.</w:t>
      </w:r>
      <w:r>
        <w:rPr>
          <w:rFonts w:hint="eastAsia" w:ascii="仿宋_GB2312" w:eastAsia="仿宋_GB2312"/>
          <w:color w:val="000000" w:themeColor="text1"/>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4.</w:t>
      </w:r>
      <w:r>
        <w:rPr>
          <w:rFonts w:hint="eastAsia" w:ascii="仿宋_GB2312" w:eastAsia="仿宋_GB2312"/>
          <w:color w:val="000000" w:themeColor="text1"/>
          <w:sz w:val="32"/>
          <w:szCs w:val="32"/>
        </w:rPr>
        <w:t>其他收入：指单位取得的除上述收入以外的各项收入。全部是利息收入。</w:t>
      </w:r>
    </w:p>
    <w:p>
      <w:pPr>
        <w:pStyle w:val="23"/>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5.</w:t>
      </w:r>
      <w:r>
        <w:rPr>
          <w:rFonts w:hint="eastAsia" w:ascii="仿宋_GB2312" w:eastAsia="仿宋_GB2312"/>
          <w:color w:val="000000" w:themeColor="text1"/>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6.</w:t>
      </w:r>
      <w:r>
        <w:rPr>
          <w:rFonts w:hint="eastAsia" w:ascii="仿宋_GB2312" w:eastAsia="仿宋_GB2312"/>
          <w:color w:val="000000" w:themeColor="text1"/>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7.</w:t>
      </w:r>
      <w:r>
        <w:rPr>
          <w:rFonts w:hint="eastAsia" w:ascii="仿宋_GB2312" w:eastAsia="仿宋_GB2312"/>
          <w:color w:val="000000" w:themeColor="text1"/>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8</w:t>
      </w:r>
      <w:r>
        <w:rPr>
          <w:rFonts w:hint="eastAsia" w:ascii="仿宋_GB2312" w:eastAsia="仿宋_GB2312"/>
          <w:color w:val="000000" w:themeColor="text1"/>
          <w:sz w:val="32"/>
          <w:szCs w:val="32"/>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9.社会保障和就业:</w:t>
      </w:r>
    </w:p>
    <w:p>
      <w:pPr>
        <w:ind w:firstLine="420" w:firstLineChars="200"/>
        <w:rPr>
          <w:rFonts w:hint="eastAsia" w:ascii="仿宋_GB2312" w:eastAsia="仿宋_GB2312"/>
          <w:color w:val="auto"/>
          <w:sz w:val="32"/>
          <w:szCs w:val="32"/>
        </w:rPr>
      </w:pPr>
      <w:r>
        <w:rPr>
          <w:rFonts w:hint="eastAsia"/>
          <w:color w:val="0000FF"/>
        </w:rPr>
        <w:t xml:space="preserve">     </w:t>
      </w:r>
      <w:r>
        <w:rPr>
          <w:rFonts w:hint="eastAsia" w:ascii="仿宋" w:hAnsi="仿宋" w:eastAsia="仿宋"/>
          <w:color w:val="auto"/>
          <w:sz w:val="32"/>
          <w:szCs w:val="32"/>
        </w:rPr>
        <w:t>未归口管理的行政单位离退休</w:t>
      </w:r>
      <w:r>
        <w:rPr>
          <w:rStyle w:val="15"/>
          <w:rFonts w:hint="eastAsia" w:ascii="仿宋" w:hAnsi="仿宋" w:eastAsia="仿宋"/>
          <w:b w:val="0"/>
          <w:bCs/>
          <w:color w:val="auto"/>
          <w:sz w:val="32"/>
          <w:szCs w:val="32"/>
        </w:rPr>
        <w:t>支出</w:t>
      </w:r>
      <w:r>
        <w:rPr>
          <w:rStyle w:val="15"/>
          <w:rFonts w:hint="eastAsia" w:ascii="仿宋" w:hAnsi="仿宋" w:eastAsia="仿宋"/>
          <w:b w:val="0"/>
          <w:bCs/>
          <w:color w:val="auto"/>
          <w:sz w:val="32"/>
          <w:szCs w:val="32"/>
          <w:lang w:eastAsia="zh-CN"/>
        </w:rPr>
        <w:t>：</w:t>
      </w:r>
      <w:r>
        <w:rPr>
          <w:rFonts w:hint="eastAsia" w:ascii="仿宋_GB2312" w:eastAsia="仿宋_GB2312"/>
          <w:color w:val="auto"/>
          <w:sz w:val="32"/>
          <w:szCs w:val="32"/>
        </w:rPr>
        <w:t>指退休人员退休费；</w:t>
      </w:r>
    </w:p>
    <w:p>
      <w:pPr>
        <w:rPr>
          <w:rStyle w:val="15"/>
          <w:rFonts w:hint="eastAsia" w:ascii="仿宋" w:hAnsi="仿宋" w:eastAsia="仿宋"/>
          <w:b w:val="0"/>
          <w:bCs/>
          <w:color w:val="0000FF"/>
          <w:sz w:val="32"/>
          <w:szCs w:val="32"/>
          <w:lang w:eastAsia="zh-CN"/>
        </w:rPr>
      </w:pPr>
    </w:p>
    <w:p>
      <w:pPr>
        <w:ind w:firstLine="645"/>
        <w:rPr>
          <w:rFonts w:hint="eastAsia" w:ascii="仿宋_GB2312" w:eastAsia="仿宋_GB2312"/>
          <w:color w:val="000000" w:themeColor="text1"/>
          <w:sz w:val="32"/>
          <w:szCs w:val="32"/>
        </w:rPr>
      </w:pPr>
      <w:r>
        <w:rPr>
          <w:rStyle w:val="15"/>
          <w:rFonts w:hint="eastAsia" w:ascii="仿宋" w:hAnsi="仿宋" w:eastAsia="仿宋"/>
          <w:b w:val="0"/>
          <w:bCs/>
          <w:color w:val="auto"/>
          <w:sz w:val="32"/>
          <w:szCs w:val="32"/>
        </w:rPr>
        <w:t>机关事业单位基本养老保险缴费支出</w:t>
      </w:r>
      <w:r>
        <w:rPr>
          <w:rFonts w:hint="eastAsia" w:ascii="仿宋_GB2312" w:eastAsia="仿宋_GB2312"/>
          <w:color w:val="0000FF"/>
          <w:sz w:val="32"/>
          <w:szCs w:val="32"/>
        </w:rPr>
        <w:t>：</w:t>
      </w:r>
      <w:r>
        <w:rPr>
          <w:rFonts w:hint="eastAsia" w:ascii="仿宋_GB2312" w:eastAsia="仿宋_GB2312"/>
          <w:color w:val="000000" w:themeColor="text1"/>
          <w:sz w:val="32"/>
          <w:szCs w:val="32"/>
        </w:rPr>
        <w:t>指在职人员养老保险；</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 xml:space="preserve"> 医疗卫生与计划生育支出</w:t>
      </w:r>
    </w:p>
    <w:p>
      <w:pPr>
        <w:ind w:firstLine="645"/>
        <w:rPr>
          <w:rStyle w:val="15"/>
          <w:rFonts w:hint="eastAsia"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其他医疗卫生与计划生育管理事务支出：指基层医疗卫生机构污水处理设备维护费；</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城市社区卫生机构：指基层医疗卫生机构人员经费；</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乡镇卫生院：指乡镇卫生院招聘执业医师项目补助经费；</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其他基层医疗卫生机构支出：指家庭医生签约服务补助经费、基层医疗卫生机构实施基本药物制度补助资金、村卫生室实施基本药物制度补助资金；</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其他专业公共卫生机构：指人员经费和公用经费；</w:t>
      </w:r>
    </w:p>
    <w:p>
      <w:pPr>
        <w:ind w:firstLine="645"/>
        <w:rPr>
          <w:rStyle w:val="15"/>
          <w:rFonts w:hint="eastAsia"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基本公共卫生服务：指基本公共卫生服务补助资金；</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重大公共卫生专项：指精神卫生与慢性病防治经费；</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其他公共卫生卫生支出：指精神卫生补助经费；</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中医（民族医）药专项：指省级财政中医药发展专项资金；</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其他中医药支出：指中医药适宜技术推广经费；</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事业单位医疗：指事业人员医疗保险；</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公务员医疗补助：指事业人员公务员医疗补助；</w:t>
      </w:r>
    </w:p>
    <w:p>
      <w:pPr>
        <w:ind w:firstLine="645"/>
        <w:rPr>
          <w:rStyle w:val="15"/>
          <w:rFonts w:hint="default" w:ascii="仿宋" w:hAnsi="仿宋" w:eastAsia="仿宋"/>
          <w:b w:val="0"/>
          <w:bCs/>
          <w:color w:val="000000" w:themeColor="text1"/>
          <w:sz w:val="32"/>
          <w:szCs w:val="32"/>
          <w:lang w:val="en-US" w:eastAsia="zh-CN"/>
        </w:rPr>
      </w:pPr>
      <w:r>
        <w:rPr>
          <w:rStyle w:val="15"/>
          <w:rFonts w:hint="eastAsia" w:ascii="仿宋" w:hAnsi="仿宋" w:eastAsia="仿宋"/>
          <w:b w:val="0"/>
          <w:bCs/>
          <w:color w:val="000000" w:themeColor="text1"/>
          <w:sz w:val="32"/>
          <w:szCs w:val="32"/>
          <w:lang w:val="en-US" w:eastAsia="zh-CN"/>
        </w:rPr>
        <w:t>其他医疗卫生与计划生育支出：指卫生事业专项发展资金。</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11.住房保障：指行政、事业人员住房公积金。</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12</w:t>
      </w:r>
      <w:r>
        <w:rPr>
          <w:rFonts w:ascii="仿宋_GB2312" w:eastAsia="仿宋_GB2312"/>
          <w:color w:val="000000" w:themeColor="text1"/>
          <w:sz w:val="32"/>
          <w:szCs w:val="32"/>
        </w:rPr>
        <w:t>.</w:t>
      </w:r>
      <w:r>
        <w:rPr>
          <w:rFonts w:hint="eastAsia" w:ascii="仿宋_GB2312" w:eastAsia="仿宋_GB2312"/>
          <w:color w:val="000000" w:themeColor="text1"/>
          <w:sz w:val="32"/>
          <w:szCs w:val="32"/>
        </w:rPr>
        <w:t>基本支出：指为保障机构正常运转、完成日常工作任务而发生的人员支出和公用支出。</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13</w:t>
      </w:r>
      <w:r>
        <w:rPr>
          <w:rFonts w:ascii="仿宋_GB2312" w:eastAsia="仿宋_GB2312"/>
          <w:color w:val="000000" w:themeColor="text1"/>
          <w:sz w:val="32"/>
          <w:szCs w:val="32"/>
        </w:rPr>
        <w:t>.</w:t>
      </w:r>
      <w:r>
        <w:rPr>
          <w:rFonts w:hint="eastAsia" w:ascii="仿宋_GB2312" w:eastAsia="仿宋_GB2312"/>
          <w:color w:val="000000" w:themeColor="text1"/>
          <w:sz w:val="32"/>
          <w:szCs w:val="32"/>
        </w:rPr>
        <w:t>项目支出：指在基本支出之外为完成特定行政任务和事业发展目标所发生的支出。</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14</w:t>
      </w:r>
      <w:r>
        <w:rPr>
          <w:rFonts w:ascii="仿宋_GB2312" w:eastAsia="仿宋_GB2312"/>
          <w:color w:val="000000" w:themeColor="text1"/>
          <w:sz w:val="32"/>
          <w:szCs w:val="32"/>
        </w:rPr>
        <w:t>.</w:t>
      </w:r>
      <w:r>
        <w:rPr>
          <w:rFonts w:hint="eastAsia" w:ascii="仿宋_GB2312" w:eastAsia="仿宋_GB2312"/>
          <w:color w:val="000000" w:themeColor="text1"/>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15</w:t>
      </w:r>
      <w:r>
        <w:rPr>
          <w:rFonts w:ascii="仿宋_GB2312" w:eastAsia="仿宋_GB2312"/>
          <w:color w:val="000000" w:themeColor="text1"/>
          <w:sz w:val="32"/>
          <w:szCs w:val="32"/>
        </w:rPr>
        <w:t>.</w:t>
      </w:r>
      <w:r>
        <w:rPr>
          <w:rFonts w:hint="eastAsia" w:ascii="仿宋_GB2312" w:eastAsia="仿宋_GB2312"/>
          <w:color w:val="000000" w:themeColor="text1"/>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16</w:t>
      </w:r>
      <w:r>
        <w:rPr>
          <w:rFonts w:ascii="仿宋_GB2312" w:eastAsia="仿宋_GB2312"/>
          <w:color w:val="000000" w:themeColor="text1"/>
          <w:sz w:val="32"/>
          <w:szCs w:val="32"/>
        </w:rPr>
        <w:t>.</w:t>
      </w:r>
      <w:r>
        <w:rPr>
          <w:rFonts w:hint="eastAsia" w:ascii="仿宋_GB2312" w:eastAsia="仿宋_GB2312"/>
          <w:color w:val="000000" w:themeColor="text1"/>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49" w:name="_Toc15377226"/>
      <w:r>
        <w:rPr>
          <w:rFonts w:ascii="宋体"/>
          <w:b/>
          <w:color w:val="000000"/>
          <w:sz w:val="44"/>
          <w:szCs w:val="44"/>
        </w:rPr>
        <w:br w:type="page"/>
      </w:r>
      <w:bookmarkStart w:id="50"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0"/>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攀枝花市西区公共卫生管理中心</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我单位事业编制114名（现实有人数22人）。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pStyle w:val="7"/>
        <w:keepNext w:val="0"/>
        <w:keepLines w:val="0"/>
        <w:pageBreakBefore w:val="0"/>
        <w:widowControl w:val="0"/>
        <w:kinsoku/>
        <w:wordWrap/>
        <w:overflowPunct/>
        <w:topLinePunct w:val="0"/>
        <w:autoSpaceDE/>
        <w:autoSpaceDN/>
        <w:bidi w:val="0"/>
        <w:snapToGrid/>
        <w:spacing w:line="353" w:lineRule="auto"/>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ascii="Times New Roman" w:hAnsi="Times New Roman" w:eastAsia="仿宋_GB2312"/>
          <w:sz w:val="32"/>
          <w:szCs w:val="32"/>
        </w:rPr>
        <w:t xml:space="preserve">负责社区、农村卫生服务体系建设，对社区、农村卫生服务机构的建设项目进行管理。负责制定社区、农村卫生建设规划、年度计划，并组织实施。负责社区、农村卫生服务标准化、规范化建设与管理；负责社区、农村卫生服务。拟订基层卫生健康政策并组织实施。拟订基层医疗卫生机构绩效评价和考核制度并组织实施。牵头负责基本公共卫生服务均等化工作。指导基层卫生健康服务体系建设、基本医疗、基本公共卫生服务等工作，推进家庭医生签约服务和乡村医生相关管理工作。负责探索社区卫生服务机构“收支两条线”“首诊制”“药品零利率”等运行机制体制。负责对社区卫生服务公共补助经费的划拨和管理。负责对社区卫生服务机构人事管理。负责深化医药卫生体制改革相关工作，研究提出深化医药卫生体制改革重大政策、措施的建议。组织建立分级诊疗制度。负责基层医疗卫生机构基本药物制度的实施、考核及补助经费的划拨、管理。负责社区、农村医务人员的培训考试。负责公共卫生统计工作。完成区卫生健康局交办的其他任务。 </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截止2019年12月，我单位基本情况如下：事业编制114人，实有22人。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2019年财政拨款收入1379.54万元，其中：一般公共预算财政拨款收入1378.67万元，其他收入0.86万元。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2019年财政拨款支出2430.08万元，其中：一般公共预算财政拨款收入2430.08万元。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keepNext w:val="0"/>
        <w:keepLines w:val="0"/>
        <w:pageBreakBefore w:val="0"/>
        <w:widowControl w:val="0"/>
        <w:kinsoku/>
        <w:wordWrap/>
        <w:overflowPunct/>
        <w:topLinePunct w:val="0"/>
        <w:autoSpaceDE/>
        <w:autoSpaceDN/>
        <w:bidi w:val="0"/>
        <w:adjustRightInd/>
        <w:snapToGrid w:val="0"/>
        <w:spacing w:line="588" w:lineRule="exact"/>
        <w:ind w:firstLine="640" w:firstLineChars="200"/>
        <w:textAlignment w:val="auto"/>
        <w:rPr>
          <w:rFonts w:hint="eastAsia" w:ascii="仿宋_GB2312" w:hAnsi="仿宋" w:eastAsia="仿宋_GB2312"/>
          <w:sz w:val="32"/>
          <w:szCs w:val="32"/>
        </w:rPr>
      </w:pPr>
      <w:r>
        <w:rPr>
          <w:rFonts w:hint="eastAsia" w:ascii="仿宋_GB2312" w:eastAsia="仿宋_GB2312" w:cs="Times New Roman"/>
          <w:sz w:val="32"/>
          <w:szCs w:val="32"/>
          <w:lang w:val="en-US" w:eastAsia="zh-CN"/>
        </w:rPr>
        <w:t>2019年</w:t>
      </w:r>
      <w:r>
        <w:rPr>
          <w:rFonts w:hint="eastAsia" w:ascii="仿宋_GB2312" w:hAnsi="Calibri" w:eastAsia="仿宋_GB2312" w:cs="Times New Roman"/>
          <w:sz w:val="32"/>
          <w:szCs w:val="32"/>
          <w:lang w:val="en-US" w:eastAsia="zh-CN"/>
        </w:rPr>
        <w:t>全年部门预算执行</w:t>
      </w:r>
      <w:r>
        <w:rPr>
          <w:rFonts w:hint="eastAsia" w:ascii="仿宋_GB2312" w:eastAsia="仿宋_GB2312" w:cs="Times New Roman"/>
          <w:sz w:val="32"/>
          <w:szCs w:val="32"/>
          <w:lang w:val="en-US" w:eastAsia="zh-CN"/>
        </w:rPr>
        <w:t>情况较好，</w:t>
      </w:r>
      <w:r>
        <w:rPr>
          <w:rFonts w:ascii="仿宋_GB2312" w:hAnsi="仿宋" w:eastAsia="仿宋_GB2312"/>
          <w:sz w:val="32"/>
          <w:szCs w:val="32"/>
        </w:rPr>
        <w:t>部门整体支出</w:t>
      </w:r>
      <w:r>
        <w:rPr>
          <w:rFonts w:hint="eastAsia" w:ascii="仿宋_GB2312" w:hAnsi="仿宋" w:eastAsia="仿宋_GB2312"/>
          <w:sz w:val="32"/>
          <w:szCs w:val="32"/>
          <w:lang w:eastAsia="zh-CN"/>
        </w:rPr>
        <w:t>将</w:t>
      </w:r>
      <w:r>
        <w:rPr>
          <w:rFonts w:hint="eastAsia" w:ascii="仿宋_GB2312" w:hAnsi="仿宋" w:eastAsia="仿宋_GB2312"/>
          <w:sz w:val="32"/>
          <w:szCs w:val="32"/>
        </w:rPr>
        <w:t>控制在预算范围内，</w:t>
      </w:r>
      <w:r>
        <w:rPr>
          <w:rFonts w:hint="eastAsia" w:ascii="仿宋_GB2312" w:hAnsi="仿宋" w:eastAsia="仿宋_GB2312"/>
          <w:sz w:val="32"/>
          <w:szCs w:val="32"/>
          <w:lang w:eastAsia="zh-CN"/>
        </w:rPr>
        <w:t>保证</w:t>
      </w:r>
      <w:r>
        <w:rPr>
          <w:rFonts w:hint="eastAsia" w:ascii="仿宋_GB2312" w:hAnsi="仿宋" w:eastAsia="仿宋_GB2312"/>
          <w:sz w:val="32"/>
          <w:szCs w:val="32"/>
        </w:rPr>
        <w:t>财务收支平衡，有效保障单位各项工作有序开展。</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本单位按相关要求顺利完成</w:t>
      </w:r>
      <w:r>
        <w:rPr>
          <w:rFonts w:hint="eastAsia" w:ascii="仿宋_GB2312" w:hAnsi="宋体" w:eastAsia="仿宋_GB2312" w:cs="宋体"/>
          <w:color w:val="000000"/>
          <w:kern w:val="0"/>
          <w:sz w:val="32"/>
          <w:szCs w:val="32"/>
          <w:shd w:val="clear" w:color="auto" w:fill="FFFFFF"/>
          <w:lang w:val="en-US" w:eastAsia="zh-CN"/>
        </w:rPr>
        <w:t>2019年绩效评价公开工作，并将成熟经验运用于2020年绩效管理中。</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snapToGrid w:val="0"/>
        <w:spacing w:line="588"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全年通过</w:t>
      </w:r>
      <w:r>
        <w:rPr>
          <w:rFonts w:ascii="仿宋_GB2312" w:hAnsi="仿宋" w:eastAsia="仿宋_GB2312"/>
          <w:sz w:val="32"/>
          <w:szCs w:val="32"/>
        </w:rPr>
        <w:t>加强预算收支管理，健全内部管理制度，严格内部管理流程，部门整体支出</w:t>
      </w:r>
      <w:r>
        <w:rPr>
          <w:rFonts w:hint="eastAsia" w:ascii="仿宋_GB2312" w:hAnsi="仿宋" w:eastAsia="仿宋_GB2312"/>
          <w:sz w:val="32"/>
          <w:szCs w:val="32"/>
        </w:rPr>
        <w:t>控制在预算范围内，财务收支平衡，有效保障了单位各项工作有序开展。</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lang w:val="en-US" w:eastAsia="zh-CN"/>
        </w:rPr>
        <w:t>本单位绩效目标无调整、无偏差，且按照工作计划推进，不存在问题。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numPr>
          <w:ilvl w:val="0"/>
          <w:numId w:val="0"/>
        </w:numPr>
        <w:spacing w:line="353" w:lineRule="auto"/>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本单位绩效目标无调整、无偏差，且按照工作计划推进，故无改进建议。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基本公共卫生服务</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基本公共卫生服务项目经费年初预算53.568万元，主要用于完成十四项基本公共卫生服务工作。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全面开展基本公共卫生服务项目工作，保障十四项基本公共卫生服务项目按照目标任务顺利完成。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7"/>
        <w:keepNext w:val="0"/>
        <w:keepLines w:val="0"/>
        <w:pageBreakBefore w:val="0"/>
        <w:widowControl w:val="0"/>
        <w:kinsoku/>
        <w:wordWrap/>
        <w:overflowPunct/>
        <w:topLinePunct w:val="0"/>
        <w:autoSpaceDE/>
        <w:autoSpaceDN/>
        <w:bidi w:val="0"/>
        <w:adjustRightInd/>
        <w:spacing w:line="588"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按照</w:t>
      </w:r>
      <w:r>
        <w:rPr>
          <w:rFonts w:ascii="Times New Roman" w:hAnsi="Times New Roman" w:eastAsia="仿宋_GB2312"/>
          <w:sz w:val="32"/>
          <w:szCs w:val="32"/>
        </w:rPr>
        <w:t>产出指标</w:t>
      </w:r>
      <w:r>
        <w:rPr>
          <w:rFonts w:hint="eastAsia" w:eastAsia="仿宋_GB2312"/>
          <w:sz w:val="32"/>
          <w:szCs w:val="32"/>
          <w:lang w:eastAsia="zh-CN"/>
        </w:rPr>
        <w:t>（</w:t>
      </w:r>
      <w:r>
        <w:rPr>
          <w:rFonts w:ascii="Times New Roman" w:hAnsi="Times New Roman" w:eastAsia="仿宋_GB2312"/>
          <w:sz w:val="32"/>
          <w:szCs w:val="32"/>
        </w:rPr>
        <w:t>数量指标、质量指标、时效指标和成本指标</w:t>
      </w:r>
      <w:r>
        <w:rPr>
          <w:rFonts w:hint="eastAsia" w:eastAsia="仿宋_GB2312"/>
          <w:sz w:val="32"/>
          <w:szCs w:val="32"/>
          <w:lang w:eastAsia="zh-CN"/>
        </w:rPr>
        <w:t>）、效益指标、满意度指标的完成情况，通过事前、事中、事后的方式评价项目资金的执行情况。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按照工作计划及要求，经单位规范财务审批流程后支付。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en-US" w:eastAsia="zh-CN"/>
        </w:rPr>
        <w:t>基本公共卫生服务项目经费年初预算53.568万元，全部为区级财政拨款资金。</w:t>
      </w:r>
      <w:r>
        <w:rPr>
          <w:rFonts w:hint="eastAsia" w:ascii="Times New Roman" w:hAnsi="Times New Roman" w:eastAsia="楷体_GB2312"/>
          <w:sz w:val="32"/>
          <w:szCs w:val="32"/>
          <w:lang w:val="en-US" w:eastAsia="zh-CN"/>
        </w:rPr>
        <w:t>上级财政资金812.54万元</w:t>
      </w:r>
      <w:r>
        <w:rPr>
          <w:rFonts w:hint="eastAsia" w:eastAsia="楷体_GB2312"/>
          <w:sz w:val="32"/>
          <w:szCs w:val="32"/>
          <w:lang w:val="en-US" w:eastAsia="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en-US" w:eastAsia="zh-CN"/>
        </w:rPr>
        <w:t>截止评价时点该项目资金全部到位</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en-US" w:eastAsia="zh-CN"/>
        </w:rPr>
        <w:t>截止评价时点该项目资金已全部下拨基层医疗卫生机构，完成进度100%</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4"/>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按照工作计划及合同要求，推进国库支付管理业务。</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eastAsia="仿宋_GB2312"/>
          <w:sz w:val="32"/>
          <w:szCs w:val="32"/>
          <w:lang w:val="en-US" w:eastAsia="zh-CN"/>
        </w:rPr>
        <w:t>基本公共卫生服务</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lang w:eastAsia="zh-CN"/>
        </w:rPr>
        <w:t>资金</w:t>
      </w:r>
      <w:r>
        <w:rPr>
          <w:rFonts w:hint="eastAsia" w:eastAsia="仿宋_GB2312"/>
          <w:sz w:val="32"/>
          <w:szCs w:val="32"/>
          <w:lang w:eastAsia="zh-CN"/>
        </w:rPr>
        <w:t>的管理严格按照《预算法》，</w:t>
      </w:r>
      <w:r>
        <w:rPr>
          <w:rFonts w:hint="eastAsia" w:ascii="仿宋_GB2312" w:hAnsi="宋体" w:eastAsia="仿宋_GB2312"/>
          <w:sz w:val="32"/>
          <w:szCs w:val="32"/>
          <w:lang w:val="zh-CN"/>
        </w:rPr>
        <w:t>相关法律法规及项目管理制度的相关规定执行。</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本单位为加强项目管理所采取了事前、事中、事后的绩效评价监管工作方式方法，做到了及时监督项目开展情况，实现了项目按照工作计划顺利开展。</w:t>
      </w:r>
      <w:r>
        <w:rPr>
          <w:rFonts w:hint="eastAsia" w:ascii="仿宋_GB2312" w:hAnsi="宋体" w:eastAsia="仿宋_GB2312"/>
          <w:sz w:val="32"/>
          <w:szCs w:val="32"/>
          <w:lang w:val="en-US" w:eastAsia="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按照工作计划的顺利推进，</w:t>
      </w:r>
      <w:r>
        <w:rPr>
          <w:rFonts w:hint="eastAsia" w:ascii="Times New Roman" w:hAnsi="Times New Roman" w:eastAsia="仿宋_GB2312"/>
          <w:sz w:val="32"/>
          <w:szCs w:val="32"/>
          <w:lang w:val="en-US" w:eastAsia="zh-CN"/>
        </w:rPr>
        <w:t>基本公共卫生服务项目</w:t>
      </w:r>
      <w:r>
        <w:rPr>
          <w:rFonts w:hint="eastAsia" w:ascii="Times New Roman" w:hAnsi="Times New Roman" w:eastAsia="仿宋_GB2312"/>
          <w:sz w:val="32"/>
          <w:szCs w:val="32"/>
          <w:lang w:eastAsia="zh-CN"/>
        </w:rPr>
        <w:t>资金的数量、质量、时效、成本指标均达标。</w:t>
      </w:r>
      <w:r>
        <w:rPr>
          <w:rFonts w:hint="eastAsia" w:ascii="仿宋_GB2312" w:hAnsi="宋体" w:eastAsia="仿宋_GB2312"/>
          <w:sz w:val="32"/>
          <w:szCs w:val="32"/>
          <w:lang w:val="en-US" w:eastAsia="zh-CN"/>
        </w:rPr>
        <w:t>截止评价时点该项目资金已全部下拨基层医疗卫生机构，完成进度100%</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7"/>
        <w:keepNext w:val="0"/>
        <w:keepLines w:val="0"/>
        <w:pageBreakBefore w:val="0"/>
        <w:widowControl w:val="0"/>
        <w:kinsoku/>
        <w:wordWrap/>
        <w:overflowPunct/>
        <w:topLinePunct w:val="0"/>
        <w:autoSpaceDE/>
        <w:autoSpaceDN/>
        <w:bidi w:val="0"/>
        <w:adjustRightInd/>
        <w:spacing w:line="588" w:lineRule="exact"/>
        <w:ind w:firstLine="640" w:firstLineChars="200"/>
        <w:textAlignment w:val="auto"/>
        <w:rPr>
          <w:rFonts w:hint="default" w:ascii="仿宋_GB2312" w:hAnsi="宋体" w:eastAsia="仿宋_GB2312"/>
          <w:sz w:val="32"/>
          <w:szCs w:val="32"/>
          <w:lang w:val="en-US"/>
        </w:rPr>
      </w:pPr>
      <w:r>
        <w:rPr>
          <w:rFonts w:hint="eastAsia" w:ascii="Times New Roman" w:hAnsi="Times New Roman" w:eastAsia="仿宋_GB2312"/>
          <w:sz w:val="32"/>
          <w:szCs w:val="32"/>
          <w:lang w:eastAsia="zh-CN"/>
        </w:rPr>
        <w:t>通过项目实施，</w:t>
      </w:r>
      <w:r>
        <w:rPr>
          <w:rFonts w:hint="eastAsia" w:ascii="Times New Roman" w:hAnsi="Times New Roman" w:eastAsia="仿宋_GB2312"/>
          <w:sz w:val="32"/>
          <w:szCs w:val="32"/>
          <w:lang w:val="en-US" w:eastAsia="zh-CN"/>
        </w:rPr>
        <w:t>全</w:t>
      </w:r>
      <w:r>
        <w:rPr>
          <w:rFonts w:hint="eastAsia" w:ascii="Times New Roman" w:hAnsi="Times New Roman" w:eastAsia="仿宋_GB2312"/>
          <w:sz w:val="32"/>
          <w:szCs w:val="32"/>
          <w:lang w:eastAsia="zh-CN"/>
        </w:rPr>
        <w:t>面完成基本公共卫生服务项目下达的各项指标、服务内容，</w:t>
      </w:r>
      <w:r>
        <w:rPr>
          <w:rFonts w:hint="eastAsia" w:ascii="Times New Roman" w:hAnsi="Times New Roman" w:eastAsia="仿宋_GB2312"/>
          <w:sz w:val="32"/>
          <w:szCs w:val="32"/>
          <w:lang w:val="en-US" w:eastAsia="zh-CN"/>
        </w:rPr>
        <w:t>使</w:t>
      </w:r>
      <w:r>
        <w:rPr>
          <w:rFonts w:hint="eastAsia" w:ascii="Times New Roman" w:hAnsi="Times New Roman" w:eastAsia="仿宋_GB2312"/>
          <w:sz w:val="32"/>
          <w:szCs w:val="32"/>
          <w:lang w:eastAsia="zh-CN"/>
        </w:rPr>
        <w:t>相关疾病发病率逐年下降，减少群众看病支出。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widowControl w:val="0"/>
        <w:numPr>
          <w:ilvl w:val="0"/>
          <w:numId w:val="0"/>
        </w:numPr>
        <w:kinsoku/>
        <w:wordWrap/>
        <w:overflowPunct/>
        <w:topLinePunct w:val="0"/>
        <w:autoSpaceDE/>
        <w:autoSpaceDN/>
        <w:bidi w:val="0"/>
        <w:adjustRightInd/>
        <w:snapToGrid w:val="0"/>
        <w:spacing w:line="588" w:lineRule="exact"/>
        <w:ind w:firstLine="640" w:firstLineChars="200"/>
        <w:textAlignment w:val="auto"/>
        <w:rPr>
          <w:rFonts w:ascii="仿宋_GB2312" w:hAnsi="宋体" w:eastAsia="仿宋_GB2312"/>
          <w:sz w:val="32"/>
          <w:szCs w:val="32"/>
          <w:bdr w:val="single" w:color="auto" w:sz="4" w:space="0"/>
          <w:lang w:val="zh-CN"/>
        </w:rPr>
      </w:pPr>
      <w:r>
        <w:rPr>
          <w:rFonts w:hint="eastAsia" w:ascii="仿宋_GB2312" w:hAnsi="仿宋" w:eastAsia="仿宋_GB2312"/>
          <w:sz w:val="32"/>
          <w:szCs w:val="32"/>
        </w:rPr>
        <w:t>全年各项目按照工作计划顺利推进，数量、质量、时效、社会效益和服务对象满意度指标均达标。</w:t>
      </w:r>
      <w:r>
        <w:rPr>
          <w:rFonts w:hint="eastAsia" w:ascii="仿宋_GB2312" w:hAnsi="仿宋" w:eastAsia="仿宋_GB2312"/>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Style w:val="7"/>
        <w:keepNext w:val="0"/>
        <w:keepLines w:val="0"/>
        <w:pageBreakBefore w:val="0"/>
        <w:widowControl w:val="0"/>
        <w:kinsoku/>
        <w:wordWrap/>
        <w:overflowPunct/>
        <w:topLinePunct w:val="0"/>
        <w:autoSpaceDE/>
        <w:autoSpaceDN/>
        <w:bidi w:val="0"/>
        <w:adjustRightInd/>
        <w:spacing w:line="588" w:lineRule="exact"/>
        <w:ind w:firstLine="640" w:firstLineChars="200"/>
        <w:textAlignment w:val="auto"/>
        <w:rPr>
          <w:rFonts w:ascii="仿宋_GB2312" w:hAnsi="宋体" w:eastAsia="仿宋_GB2312"/>
          <w:sz w:val="32"/>
          <w:szCs w:val="32"/>
          <w:lang w:val="zh-CN"/>
        </w:rPr>
      </w:pPr>
      <w:r>
        <w:rPr>
          <w:rFonts w:hint="eastAsia" w:ascii="仿宋_GB2312" w:hAnsi="仿宋_GB2312" w:eastAsia="仿宋_GB2312" w:cs="仿宋_GB2312"/>
          <w:sz w:val="32"/>
          <w:szCs w:val="32"/>
          <w:lang w:eastAsia="zh-CN"/>
        </w:rPr>
        <w:t>本单位在</w:t>
      </w:r>
      <w:r>
        <w:rPr>
          <w:rFonts w:hint="eastAsia" w:ascii="仿宋_GB2312" w:hAnsi="宋体" w:eastAsia="仿宋_GB2312"/>
          <w:sz w:val="32"/>
          <w:szCs w:val="32"/>
          <w:lang w:val="zh-CN"/>
        </w:rPr>
        <w:t>项目自评中未发现问题，且</w:t>
      </w:r>
      <w:r>
        <w:rPr>
          <w:rFonts w:hint="eastAsia" w:ascii="仿宋_GB2312" w:hAnsi="仿宋_GB2312" w:eastAsia="仿宋_GB2312" w:cs="仿宋_GB2312"/>
          <w:sz w:val="32"/>
          <w:szCs w:val="32"/>
          <w:lang w:eastAsia="zh-CN"/>
        </w:rPr>
        <w:t>无偏离绩效目标的情况。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snapToGrid w:val="0"/>
        <w:spacing w:line="588" w:lineRule="exact"/>
        <w:ind w:firstLine="640" w:firstLineChars="200"/>
        <w:textAlignment w:val="auto"/>
        <w:rPr>
          <w:rFonts w:ascii="仿宋_GB2312" w:hAnsi="仿宋_GB2312" w:eastAsia="仿宋_GB2312" w:cs="仿宋_GB2312"/>
          <w:sz w:val="32"/>
          <w:szCs w:val="32"/>
        </w:rPr>
      </w:pPr>
      <w:r>
        <w:rPr>
          <w:rFonts w:ascii="仿宋_GB2312" w:hAnsi="仿宋" w:eastAsia="仿宋_GB2312"/>
          <w:sz w:val="32"/>
          <w:szCs w:val="32"/>
        </w:rPr>
        <w:t>加强预算收支管理，健全内部管理制度，</w:t>
      </w:r>
      <w:r>
        <w:rPr>
          <w:rFonts w:hint="eastAsia" w:ascii="仿宋_GB2312" w:hAnsi="仿宋" w:eastAsia="仿宋_GB2312"/>
          <w:sz w:val="32"/>
          <w:szCs w:val="32"/>
          <w:lang w:eastAsia="zh-CN"/>
        </w:rPr>
        <w:t>严格按照工作计划推进项目。</w:t>
      </w:r>
    </w:p>
    <w:p>
      <w:pPr>
        <w:widowControl/>
        <w:jc w:val="left"/>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1"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49"/>
      <w:bookmarkEnd w:id="5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2"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2"/>
    </w:p>
    <w:p>
      <w:pPr>
        <w:pStyle w:val="3"/>
        <w:rPr>
          <w:rFonts w:ascii="仿宋" w:hAnsi="仿宋" w:eastAsia="仿宋"/>
          <w:color w:val="000000"/>
        </w:rPr>
      </w:pPr>
      <w:bookmarkStart w:id="53"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3"/>
    </w:p>
    <w:p>
      <w:pPr>
        <w:pStyle w:val="3"/>
        <w:rPr>
          <w:rFonts w:ascii="仿宋" w:hAnsi="仿宋" w:eastAsia="仿宋"/>
          <w:color w:val="000000"/>
        </w:rPr>
      </w:pPr>
      <w:bookmarkStart w:id="5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4"/>
    </w:p>
    <w:p>
      <w:pPr>
        <w:pStyle w:val="3"/>
        <w:rPr>
          <w:rFonts w:ascii="仿宋" w:hAnsi="仿宋" w:eastAsia="仿宋"/>
          <w:b w:val="0"/>
          <w:color w:val="000000"/>
        </w:rPr>
      </w:pPr>
      <w:bookmarkStart w:id="5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55"/>
    </w:p>
    <w:p>
      <w:pPr>
        <w:pStyle w:val="3"/>
        <w:rPr>
          <w:rStyle w:val="26"/>
          <w:rFonts w:ascii="仿宋" w:hAnsi="仿宋" w:eastAsia="仿宋"/>
          <w:b w:val="0"/>
          <w:bCs w:val="0"/>
        </w:rPr>
      </w:pPr>
      <w:bookmarkStart w:id="5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56"/>
      <w:bookmarkStart w:id="57"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57"/>
    </w:p>
    <w:p>
      <w:pPr>
        <w:pStyle w:val="3"/>
        <w:rPr>
          <w:rFonts w:ascii="仿宋" w:hAnsi="仿宋" w:eastAsia="仿宋"/>
          <w:color w:val="000000"/>
        </w:rPr>
      </w:pPr>
      <w:bookmarkStart w:id="5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58"/>
    </w:p>
    <w:p>
      <w:pPr>
        <w:pStyle w:val="3"/>
        <w:rPr>
          <w:rFonts w:ascii="仿宋" w:hAnsi="仿宋" w:eastAsia="仿宋"/>
          <w:color w:val="000000"/>
        </w:rPr>
      </w:pPr>
      <w:bookmarkStart w:id="5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59"/>
    </w:p>
    <w:p>
      <w:pPr>
        <w:pStyle w:val="3"/>
        <w:rPr>
          <w:rFonts w:ascii="仿宋" w:hAnsi="仿宋" w:eastAsia="仿宋"/>
          <w:color w:val="000000"/>
        </w:rPr>
      </w:pPr>
      <w:bookmarkStart w:id="6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0"/>
    </w:p>
    <w:p>
      <w:pPr>
        <w:pStyle w:val="3"/>
        <w:rPr>
          <w:rFonts w:ascii="仿宋" w:hAnsi="仿宋" w:eastAsia="仿宋"/>
          <w:color w:val="000000"/>
        </w:rPr>
      </w:pPr>
      <w:bookmarkStart w:id="6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1"/>
    </w:p>
    <w:p>
      <w:pPr>
        <w:pStyle w:val="3"/>
        <w:rPr>
          <w:rFonts w:ascii="仿宋" w:hAnsi="仿宋" w:eastAsia="仿宋"/>
          <w:color w:val="000000"/>
        </w:rPr>
      </w:pPr>
      <w:bookmarkStart w:id="6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2"/>
    </w:p>
    <w:p>
      <w:pPr>
        <w:pStyle w:val="3"/>
        <w:rPr>
          <w:rFonts w:ascii="仿宋" w:hAnsi="仿宋" w:eastAsia="仿宋"/>
          <w:color w:val="000000"/>
        </w:rPr>
      </w:pPr>
      <w:bookmarkStart w:id="6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3"/>
    </w:p>
    <w:p>
      <w:pPr>
        <w:pStyle w:val="3"/>
        <w:rPr>
          <w:rFonts w:ascii="仿宋" w:hAnsi="仿宋" w:eastAsia="仿宋"/>
          <w:color w:val="000000" w:themeColor="text1"/>
        </w:rPr>
      </w:pPr>
      <w:bookmarkStart w:id="6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62A60A8"/>
    <w:multiLevelType w:val="singleLevel"/>
    <w:tmpl w:val="662A60A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225E"/>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B020C5"/>
    <w:rsid w:val="03476993"/>
    <w:rsid w:val="03E709C9"/>
    <w:rsid w:val="058559DB"/>
    <w:rsid w:val="07477869"/>
    <w:rsid w:val="079F1DB6"/>
    <w:rsid w:val="08902291"/>
    <w:rsid w:val="09594AED"/>
    <w:rsid w:val="0D4059C0"/>
    <w:rsid w:val="0D5139E8"/>
    <w:rsid w:val="0E9F70AC"/>
    <w:rsid w:val="109419BA"/>
    <w:rsid w:val="10972D1F"/>
    <w:rsid w:val="10C055FF"/>
    <w:rsid w:val="119825B4"/>
    <w:rsid w:val="13162C2D"/>
    <w:rsid w:val="132163F4"/>
    <w:rsid w:val="152505D7"/>
    <w:rsid w:val="15B04E65"/>
    <w:rsid w:val="15DA3EA0"/>
    <w:rsid w:val="16BB723D"/>
    <w:rsid w:val="17AB364C"/>
    <w:rsid w:val="17E14A76"/>
    <w:rsid w:val="18011761"/>
    <w:rsid w:val="181C3A8E"/>
    <w:rsid w:val="1AE457A9"/>
    <w:rsid w:val="1B286583"/>
    <w:rsid w:val="1B8D2BD5"/>
    <w:rsid w:val="1CA16590"/>
    <w:rsid w:val="20031BF4"/>
    <w:rsid w:val="20050CCB"/>
    <w:rsid w:val="20D24642"/>
    <w:rsid w:val="22FC3F98"/>
    <w:rsid w:val="236501A9"/>
    <w:rsid w:val="240371BF"/>
    <w:rsid w:val="24DD6367"/>
    <w:rsid w:val="24F516E7"/>
    <w:rsid w:val="25167CFA"/>
    <w:rsid w:val="259E3BC0"/>
    <w:rsid w:val="272C13E2"/>
    <w:rsid w:val="28EE3C88"/>
    <w:rsid w:val="29FD04D3"/>
    <w:rsid w:val="2A496642"/>
    <w:rsid w:val="2BBE0CFD"/>
    <w:rsid w:val="2CCB08F6"/>
    <w:rsid w:val="303A7AFE"/>
    <w:rsid w:val="319F7F4E"/>
    <w:rsid w:val="31CE1298"/>
    <w:rsid w:val="3230246C"/>
    <w:rsid w:val="33543987"/>
    <w:rsid w:val="33D87B4D"/>
    <w:rsid w:val="33EC7244"/>
    <w:rsid w:val="36030CE6"/>
    <w:rsid w:val="374A325C"/>
    <w:rsid w:val="39536BBD"/>
    <w:rsid w:val="39867233"/>
    <w:rsid w:val="3BB57E71"/>
    <w:rsid w:val="3D017DF8"/>
    <w:rsid w:val="412C5625"/>
    <w:rsid w:val="419575A9"/>
    <w:rsid w:val="4274690A"/>
    <w:rsid w:val="443442C6"/>
    <w:rsid w:val="477635BD"/>
    <w:rsid w:val="48666E84"/>
    <w:rsid w:val="49D116CE"/>
    <w:rsid w:val="49E05359"/>
    <w:rsid w:val="4A691327"/>
    <w:rsid w:val="4D422049"/>
    <w:rsid w:val="4ECE2238"/>
    <w:rsid w:val="50483233"/>
    <w:rsid w:val="50F525F5"/>
    <w:rsid w:val="512322CA"/>
    <w:rsid w:val="51543E04"/>
    <w:rsid w:val="52900501"/>
    <w:rsid w:val="52D7210B"/>
    <w:rsid w:val="52EE4771"/>
    <w:rsid w:val="55C0640B"/>
    <w:rsid w:val="55F65A44"/>
    <w:rsid w:val="5864505D"/>
    <w:rsid w:val="5A221733"/>
    <w:rsid w:val="5A79467D"/>
    <w:rsid w:val="5AC1200F"/>
    <w:rsid w:val="5CAA1BD8"/>
    <w:rsid w:val="5D0636EE"/>
    <w:rsid w:val="5E964D6C"/>
    <w:rsid w:val="604235B3"/>
    <w:rsid w:val="636A08E8"/>
    <w:rsid w:val="66786237"/>
    <w:rsid w:val="680B1665"/>
    <w:rsid w:val="6AF93ADF"/>
    <w:rsid w:val="6B1B5E6C"/>
    <w:rsid w:val="6C2375C5"/>
    <w:rsid w:val="6C70115E"/>
    <w:rsid w:val="6CEF4C79"/>
    <w:rsid w:val="6E813824"/>
    <w:rsid w:val="6F0C4143"/>
    <w:rsid w:val="72496127"/>
    <w:rsid w:val="72734D90"/>
    <w:rsid w:val="73A354CE"/>
    <w:rsid w:val="766E5620"/>
    <w:rsid w:val="76931550"/>
    <w:rsid w:val="76A61FF0"/>
    <w:rsid w:val="79DF3809"/>
    <w:rsid w:val="7A54626E"/>
    <w:rsid w:val="7C404D1D"/>
    <w:rsid w:val="7C6E5783"/>
    <w:rsid w:val="7D0A03C7"/>
    <w:rsid w:val="7E713E3B"/>
    <w:rsid w:val="7F8F4A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二级标题"/>
    <w:basedOn w:val="1"/>
    <w:qFormat/>
    <w:uiPriority w:val="0"/>
    <w:pPr>
      <w:spacing w:line="353" w:lineRule="auto"/>
      <w:ind w:firstLine="880" w:firstLineChars="200"/>
    </w:pPr>
    <w:rPr>
      <w:rFonts w:ascii="Calibri" w:hAnsi="Calibri"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844;&#21355;&#20013;&#24515;\1&#26700;&#38754;\&#36130;&#21153;\2020\2019&#20915;&#31639;&#20844;&#24320;\&#27604;&#37325;&#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844;&#21355;&#20013;&#24515;\1&#26700;&#38754;\&#36130;&#21153;\2020\2019&#20915;&#31639;&#20844;&#24320;\&#27604;&#37325;&#2227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20844;&#21355;&#20013;&#24515;\1&#26700;&#38754;\&#36130;&#21153;\2020\2019&#20915;&#31639;&#20844;&#24320;\&#27604;&#37325;&#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844;&#21355;&#20013;&#24515;\1&#26700;&#38754;\&#36130;&#21153;\2020\2019&#20915;&#31639;&#20844;&#24320;\&#27604;&#37325;&#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0844;&#21355;&#20013;&#24515;\1&#26700;&#38754;\&#36130;&#21153;\2020\2019&#20915;&#31639;&#20844;&#24320;\&#27604;&#37325;&#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844;&#21355;&#20013;&#24515;\1&#26700;&#38754;\&#36130;&#21153;\2020\2019&#20915;&#31639;&#20844;&#24320;\&#27604;&#37325;&#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949013293803"/>
          <c:y val="0.286999211494636"/>
          <c:w val="0.400001001605072"/>
          <c:h val="0.454547135960937"/>
        </c:manualLayout>
      </c:layout>
      <c:barChart>
        <c:barDir val="col"/>
        <c:grouping val="clustered"/>
        <c:varyColors val="0"/>
        <c:ser>
          <c:idx val="0"/>
          <c:order val="0"/>
          <c:tx>
            <c:strRef>
              <c:f>"收入对比图"</c:f>
              <c:strCache>
                <c:ptCount val="1"/>
                <c:pt idx="0">
                  <c:v>收入对比图</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[比重图.xls]决算公开与上年对比收支!$B$2:$B$3</c:f>
              <c:strCache>
                <c:ptCount val="2"/>
                <c:pt idx="0">
                  <c:v>2018年度</c:v>
                </c:pt>
                <c:pt idx="1">
                  <c:v>2019年度</c:v>
                </c:pt>
              </c:strCache>
            </c:strRef>
          </c:cat>
          <c:val>
            <c:numRef>
              <c:f>[比重图.xls]决算公开与上年对比收支!$C$2:$C$3</c:f>
              <c:numCache>
                <c:formatCode>#,##0.00_ </c:formatCode>
                <c:ptCount val="2"/>
                <c:pt idx="0">
                  <c:v>1962.85</c:v>
                </c:pt>
                <c:pt idx="1">
                  <c:v>2472.67</c:v>
                </c:pt>
              </c:numCache>
            </c:numRef>
          </c:val>
        </c:ser>
        <c:dLbls>
          <c:showLegendKey val="0"/>
          <c:showVal val="0"/>
          <c:showCatName val="0"/>
          <c:showSerName val="0"/>
          <c:showPercent val="0"/>
          <c:showBubbleSize val="0"/>
        </c:dLbls>
        <c:gapWidth val="150"/>
        <c:overlap val="0"/>
        <c:axId val="819035773"/>
        <c:axId val="264424658"/>
      </c:barChart>
      <c:catAx>
        <c:axId val="819035773"/>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64424658"/>
        <c:crosses val="autoZero"/>
        <c:auto val="1"/>
        <c:lblAlgn val="ctr"/>
        <c:lblOffset val="100"/>
        <c:tickLblSkip val="1"/>
        <c:noMultiLvlLbl val="0"/>
      </c:catAx>
      <c:valAx>
        <c:axId val="264424658"/>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19035773"/>
        <c:crosses val="autoZero"/>
        <c:crossBetween val="between"/>
      </c:valAx>
      <c:spPr>
        <a:noFill/>
        <a:ln w="3175">
          <a:noFill/>
        </a:ln>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5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744234877617"/>
          <c:y val="0.042654028436019"/>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2860468364449"/>
          <c:y val="0.336493669685069"/>
          <c:w val="0.22325606746919"/>
          <c:h val="0.454977356193897"/>
        </c:manualLayout>
      </c:layout>
      <c:pieChart>
        <c:varyColors val="1"/>
        <c:ser>
          <c:idx val="0"/>
          <c:order val="0"/>
          <c:tx>
            <c:strRef>
              <c:f>"各项收入占总收入比重"</c:f>
              <c:strCache>
                <c:ptCount val="1"/>
                <c:pt idx="0">
                  <c:v>各项收入占总收入比重</c:v>
                </c:pt>
              </c:strCache>
            </c:strRef>
          </c:tx>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Lbls>
            <c:numFmt formatCode="0.00%" sourceLinked="0"/>
            <c:spPr>
              <a:noFill/>
              <a:ln w="3175">
                <a:noFill/>
              </a:ln>
              <a:effectLst/>
            </c:spPr>
            <c:txPr>
              <a:bodyPr rot="0" spcFirstLastPara="0" vertOverflow="ellipsis" vert="horz" wrap="square" lIns="38100" tIns="19050" rIns="38100" bIns="19050" anchor="ctr" anchorCtr="1"/>
              <a:lstStyle/>
              <a:p>
                <a:pPr>
                  <a:defRPr lang="zh-CN" sz="8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[比重图.xls]决算公开饼图!$B$3:$B$4</c:f>
              <c:strCache>
                <c:ptCount val="2"/>
                <c:pt idx="0">
                  <c:v>财政拨款收入</c:v>
                </c:pt>
                <c:pt idx="1">
                  <c:v>其他收入</c:v>
                </c:pt>
              </c:strCache>
            </c:strRef>
          </c:cat>
          <c:val>
            <c:numRef>
              <c:f>[比重图.xls]决算公开饼图!$C$3:$C$4</c:f>
              <c:numCache>
                <c:formatCode>General</c:formatCode>
                <c:ptCount val="2"/>
                <c:pt idx="0">
                  <c:v>1378.67</c:v>
                </c:pt>
                <c:pt idx="1">
                  <c:v>0.86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72093999877922"/>
          <c:y val="0.42451629026768"/>
          <c:w val="0.19525"/>
          <c:h val="0.156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7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8909512761021"/>
          <c:y val="0.0424528301886792"/>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31322505800464"/>
          <c:y val="0.339622641509434"/>
          <c:w val="0.220417633410673"/>
          <c:h val="0.44811320754717"/>
        </c:manualLayout>
      </c:layout>
      <c:pieChart>
        <c:varyColors val="1"/>
        <c:ser>
          <c:idx val="0"/>
          <c:order val="0"/>
          <c:tx>
            <c:strRef>
              <c:f>"各项支出占总支出比重"</c:f>
              <c:strCache>
                <c:ptCount val="1"/>
                <c:pt idx="0">
                  <c:v>各项支出占总支出比重</c:v>
                </c:pt>
              </c:strCache>
            </c:strRef>
          </c:tx>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Lbls>
            <c:numFmt formatCode="0.00%" sourceLinked="0"/>
            <c:spPr>
              <a:noFill/>
              <a:ln w="3175">
                <a:noFill/>
              </a:ln>
              <a:effectLst/>
            </c:spPr>
            <c:txPr>
              <a:bodyPr rot="0" spcFirstLastPara="0" vertOverflow="ellipsis" vert="horz" wrap="square" lIns="38100" tIns="19050" rIns="38100" bIns="19050" anchor="ctr" anchorCtr="1"/>
              <a:lstStyle/>
              <a:p>
                <a:pPr>
                  <a:defRPr lang="zh-CN" sz="8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[比重图.xls]决算公开饼图!$B$21:$B$22</c:f>
              <c:strCache>
                <c:ptCount val="2"/>
                <c:pt idx="0">
                  <c:v>基本支出</c:v>
                </c:pt>
                <c:pt idx="1">
                  <c:v>项目支出</c:v>
                </c:pt>
              </c:strCache>
            </c:strRef>
          </c:cat>
          <c:val>
            <c:numRef>
              <c:f>[比重图.xls]决算公开饼图!$C$21:$C$22</c:f>
              <c:numCache>
                <c:formatCode>General</c:formatCode>
                <c:ptCount val="2"/>
                <c:pt idx="0">
                  <c:v>311.54</c:v>
                </c:pt>
                <c:pt idx="1">
                  <c:v>2118.61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837587006960557"/>
          <c:y val="0.485849056603774"/>
          <c:w val="0.14375"/>
          <c:h val="0.155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7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949013293803"/>
          <c:y val="0.286999211494636"/>
          <c:w val="0.400001001605072"/>
          <c:h val="0.454547135960937"/>
        </c:manualLayout>
      </c:layout>
      <c:barChart>
        <c:barDir val="col"/>
        <c:grouping val="clustered"/>
        <c:varyColors val="0"/>
        <c:ser>
          <c:idx val="0"/>
          <c:order val="0"/>
          <c:tx>
            <c:strRef>
              <c:f>"收入对比图"</c:f>
              <c:strCache>
                <c:ptCount val="1"/>
                <c:pt idx="0">
                  <c:v>收入对比图</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[比重图.xls]决算公开与上年对比收支!$B$2:$B$3</c:f>
              <c:strCache>
                <c:ptCount val="2"/>
                <c:pt idx="0">
                  <c:v>2018年度</c:v>
                </c:pt>
                <c:pt idx="1">
                  <c:v>2019年度</c:v>
                </c:pt>
              </c:strCache>
            </c:strRef>
          </c:cat>
          <c:val>
            <c:numRef>
              <c:f>[比重图.xls]决算公开与上年对比收支!$C$2:$C$3</c:f>
              <c:numCache>
                <c:formatCode>#,##0.00_ </c:formatCode>
                <c:ptCount val="2"/>
                <c:pt idx="0">
                  <c:v>1962.85</c:v>
                </c:pt>
                <c:pt idx="1">
                  <c:v>2472.67</c:v>
                </c:pt>
              </c:numCache>
            </c:numRef>
          </c:val>
        </c:ser>
        <c:dLbls>
          <c:showLegendKey val="0"/>
          <c:showVal val="0"/>
          <c:showCatName val="0"/>
          <c:showSerName val="0"/>
          <c:showPercent val="0"/>
          <c:showBubbleSize val="0"/>
        </c:dLbls>
        <c:gapWidth val="150"/>
        <c:overlap val="0"/>
        <c:axId val="819035773"/>
        <c:axId val="264424658"/>
      </c:barChart>
      <c:catAx>
        <c:axId val="819035773"/>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64424658"/>
        <c:crosses val="autoZero"/>
        <c:auto val="1"/>
        <c:lblAlgn val="ctr"/>
        <c:lblOffset val="100"/>
        <c:tickLblSkip val="1"/>
        <c:noMultiLvlLbl val="0"/>
      </c:catAx>
      <c:valAx>
        <c:axId val="264424658"/>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19035773"/>
        <c:crosses val="autoZero"/>
        <c:crossBetween val="between"/>
      </c:valAx>
      <c:spPr>
        <a:noFill/>
        <a:ln w="3175">
          <a:noFill/>
        </a:ln>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5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444930494799"/>
          <c:y val="0.0313588850174216"/>
        </c:manualLayout>
      </c:layout>
      <c:overlay val="0"/>
      <c:spPr>
        <a:noFill/>
        <a:ln w="3175">
          <a:noFill/>
        </a:ln>
      </c:spPr>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20370642475592"/>
          <c:y val="0.278745644599303"/>
          <c:w val="0.409723148426533"/>
          <c:h val="0.463414634146341"/>
        </c:manualLayout>
      </c:layout>
      <c:barChart>
        <c:barDir val="col"/>
        <c:grouping val="clustered"/>
        <c:varyColors val="0"/>
        <c:ser>
          <c:idx val="0"/>
          <c:order val="0"/>
          <c:tx>
            <c:strRef>
              <c:f>"支出对比图"</c:f>
              <c:strCache>
                <c:ptCount val="1"/>
                <c:pt idx="0">
                  <c:v>支出对比图</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[比重图.xls]决算公开与上年对比收支!$B$19:$B$20</c:f>
              <c:strCache>
                <c:ptCount val="2"/>
                <c:pt idx="0">
                  <c:v>2018年支出</c:v>
                </c:pt>
                <c:pt idx="1">
                  <c:v>2019年支出</c:v>
                </c:pt>
              </c:strCache>
            </c:strRef>
          </c:cat>
          <c:val>
            <c:numRef>
              <c:f>[比重图.xls]决算公开与上年对比收支!$C$19:$C$20</c:f>
              <c:numCache>
                <c:formatCode>#,##0.00_ </c:formatCode>
                <c:ptCount val="2"/>
                <c:pt idx="0">
                  <c:v>1836.52</c:v>
                </c:pt>
                <c:pt idx="1">
                  <c:v>2430.15</c:v>
                </c:pt>
              </c:numCache>
            </c:numRef>
          </c:val>
        </c:ser>
        <c:dLbls>
          <c:showLegendKey val="0"/>
          <c:showVal val="0"/>
          <c:showCatName val="0"/>
          <c:showSerName val="0"/>
          <c:showPercent val="0"/>
          <c:showBubbleSize val="0"/>
        </c:dLbls>
        <c:gapWidth val="150"/>
        <c:overlap val="0"/>
        <c:axId val="522679536"/>
        <c:axId val="324263681"/>
      </c:barChart>
      <c:catAx>
        <c:axId val="52267953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24263681"/>
        <c:crosses val="autoZero"/>
        <c:auto val="1"/>
        <c:lblAlgn val="ctr"/>
        <c:lblOffset val="100"/>
        <c:tickLblSkip val="1"/>
        <c:noMultiLvlLbl val="0"/>
      </c:catAx>
      <c:valAx>
        <c:axId val="324263681"/>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22679536"/>
        <c:crosses val="autoZero"/>
        <c:crossBetween val="between"/>
      </c:valAx>
      <c:spPr>
        <a:noFill/>
        <a:ln w="3175">
          <a:noFill/>
        </a:ln>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Pt>
            <c:idx val="3"/>
            <c:bubble3D val="0"/>
            <c:explosion val="0"/>
          </c:dPt>
          <c:dLbls>
            <c:dLbl>
              <c:idx val="0"/>
              <c:layout>
                <c:manualLayout>
                  <c:x val="0.00675258566348256"/>
                  <c:y val="-0.042441083510154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0359127151951502"/>
                  <c:y val="0.10252045283777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dLblPos val="bestFit"/>
              <c:showLegendKey val="0"/>
              <c:showVal val="0"/>
              <c:showCatName val="0"/>
              <c:showSerName val="0"/>
              <c:showPercent val="1"/>
              <c:showBubbleSize val="0"/>
              <c:extLst>
                <c:ext xmlns:c15="http://schemas.microsoft.com/office/drawing/2012/chart" uri="{CE6537A1-D6FC-4f65-9D91-7224C49458BB}">
                  <c15:layout>
                    <c:manualLayout>
                      <c:w val="0.0894531813591112"/>
                      <c:h val="0.089486858573216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[比重图.xls]收支!$B$3:$B$6</c:f>
              <c:strCache>
                <c:ptCount val="4"/>
                <c:pt idx="0">
                  <c:v>社会保障和就业支出</c:v>
                </c:pt>
                <c:pt idx="1">
                  <c:v>卫生健康支出</c:v>
                </c:pt>
                <c:pt idx="2">
                  <c:v>城乡社区支出</c:v>
                </c:pt>
                <c:pt idx="3">
                  <c:v>住房保障支出</c:v>
                </c:pt>
              </c:strCache>
            </c:strRef>
          </c:cat>
          <c:val>
            <c:numRef>
              <c:f>[比重图.xls]收支!$C$3:$C$6</c:f>
              <c:numCache>
                <c:formatCode>General</c:formatCode>
                <c:ptCount val="4"/>
                <c:pt idx="0">
                  <c:v>30.46</c:v>
                </c:pt>
                <c:pt idx="1">
                  <c:v>2347.99</c:v>
                </c:pt>
                <c:pt idx="2">
                  <c:v>20</c:v>
                </c:pt>
                <c:pt idx="3">
                  <c:v>31.63</c:v>
                </c:pt>
              </c:numCache>
            </c:numRef>
          </c:val>
        </c:ser>
        <c:dLbls>
          <c:showLegendKey val="0"/>
          <c:showVal val="0"/>
          <c:showCatName val="0"/>
          <c:showSerName val="0"/>
          <c:showPercent val="0"/>
          <c:showBubbleSize val="0"/>
          <c:showLeaderLines val="0"/>
        </c:dLbls>
        <c:firstSliceAng val="283"/>
      </c:pieChart>
      <c:spPr>
        <a:noFill/>
        <a:ln w="3175">
          <a:noFill/>
        </a:ln>
      </c:spPr>
    </c:plotArea>
    <c:legend>
      <c:legendPos val="r"/>
      <c:layout/>
      <c:overlay val="0"/>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cdr:x>
      <cdr:y>0.49762</cdr:y>
    </cdr:from>
    <cdr:to>
      <cdr:x>0.51856</cdr:x>
      <cdr:y>0.57267</cdr:y>
    </cdr:to>
    <cdr:sp>
      <cdr:nvSpPr>
        <cdr:cNvPr id="2" name="矩形 1"/>
        <cdr:cNvSpPr/>
      </cdr:nvSpPr>
      <cdr:spPr xmlns:a="http://schemas.openxmlformats.org/drawingml/2006/main">
        <a:xfrm xmlns:a="http://schemas.openxmlformats.org/drawingml/2006/main">
          <a:off x="2052638" y="1004844"/>
          <a:ext cx="76194" cy="151548"/>
        </a:xfrm>
        <a:prstGeom xmlns:a="http://schemas.openxmlformats.org/drawingml/2006/main" prst="rect">
          <a:avLst/>
        </a:prstGeom>
        <a:noFill/>
        <a:ln w="1">
          <a:noFill/>
          <a:miter lim="800000"/>
        </a:ln>
        <a:effectLst/>
      </cdr:spPr>
      <cdr:txBody xmlns:a="http://schemas.openxmlformats.org/drawingml/2006/main">
        <a:bodyPr vertOverflow="clip" vert="horz" wrap="square" lIns="27432" tIns="18288" rIns="27432" bIns="18288" anchor="ctr" anchorCtr="0" upright="1">
          <a:normAutofit/>
        </a:bodyPr>
        <a:lstStyle/>
        <a:p>
          <a:pPr algn="ctr" rtl="1">
            <a:defRPr sz="1000"/>
          </a:pPr>
          <a:r>
            <a:rPr lang="zh-CN" altLang="en-US" sz="825" b="0" i="0" strike="noStrike">
              <a:solidFill>
                <a:srgbClr val="000000"/>
              </a:solidFill>
              <a:latin typeface="宋体" panose="02010600030101010101" charset="-122"/>
              <a:ea typeface="宋体" panose="02010600030101010101" charset="-122"/>
            </a:rPr>
            <a:t>                                 </a:t>
          </a:r>
          <a:endParaRPr lang="zh-CN" altLang="en-US" sz="825" b="0" i="0" strike="noStrike">
            <a:solidFill>
              <a:srgbClr val="000000"/>
            </a:solidFill>
            <a:latin typeface="宋体" panose="02010600030101010101" charset="-122"/>
            <a:ea typeface="宋体" panose="02010600030101010101"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15</TotalTime>
  <ScaleCrop>false</ScaleCrop>
  <LinksUpToDate>false</LinksUpToDate>
  <CharactersWithSpaces>8536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WPS_1533205704</cp:lastModifiedBy>
  <cp:lastPrinted>2020-11-23T04:49:00Z</cp:lastPrinted>
  <dcterms:modified xsi:type="dcterms:W3CDTF">2020-11-24T10:03:09Z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