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pStyle w:val="2"/>
        <w:rPr>
          <w:rFonts w:hint="default" w:ascii="Times New Roman" w:hAnsi="Times New Roman" w:cs="Times New Roman"/>
        </w:rPr>
      </w:pPr>
    </w:p>
    <w:p>
      <w:pPr>
        <w:spacing w:line="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2021年政务公开重点工作任务分解表</w:t>
      </w:r>
    </w:p>
    <w:tbl>
      <w:tblPr>
        <w:tblStyle w:val="7"/>
        <w:tblW w:w="15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05"/>
        <w:gridCol w:w="654"/>
        <w:gridCol w:w="9242"/>
        <w:gridCol w:w="322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15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任务名称</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具体内容</w:t>
            </w:r>
          </w:p>
        </w:tc>
        <w:tc>
          <w:tcPr>
            <w:tcW w:w="3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责任单位</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1</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r>
              <w:rPr>
                <w:rFonts w:hint="default" w:ascii="Times New Roman" w:hAnsi="Times New Roman" w:eastAsia="仿宋_GB2312" w:cs="Times New Roman"/>
                <w:szCs w:val="21"/>
              </w:rPr>
              <w:t>基层政务公开双化</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完善标准目录</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编制发布本地行政权力清单、公共服务事项清单并动态调整。完善基层政务公开标准目录，实现政务过程和结果全公开</w:t>
            </w:r>
          </w:p>
        </w:tc>
        <w:tc>
          <w:tcPr>
            <w:tcW w:w="32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格里坪镇政府、各街道办事处、区行政审批局等基层政务公开领域涉及的区级有关部门（单位）</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2</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规范工作流程</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遵照省级政务公开地方标准，优化工作流程和各环节管理，将政务公开事项标准目录、操作规范嵌入业务系统，区政府各部门自建尚未纳入省政务服务一体化平台的业务系统也要按照要求有序推进，逐步覆盖行政权力运行全过程和政务服务全流程</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区政府办公室</w:t>
            </w:r>
            <w:r>
              <w:rPr>
                <w:rFonts w:hint="default" w:ascii="Times New Roman" w:hAnsi="Times New Roman" w:eastAsia="仿宋_GB2312" w:cs="Times New Roman"/>
                <w:szCs w:val="21"/>
                <w:lang w:eastAsia="zh-CN"/>
              </w:rPr>
              <w:t>、</w:t>
            </w:r>
            <w:r>
              <w:rPr>
                <w:rFonts w:hint="eastAsia" w:ascii="Times New Roman" w:hAnsi="Times New Roman" w:eastAsia="仿宋_GB2312" w:cs="Times New Roman"/>
                <w:szCs w:val="21"/>
                <w:lang w:eastAsia="zh-CN"/>
              </w:rPr>
              <w:t>区行政审批局、区文广旅局等</w:t>
            </w:r>
            <w:r>
              <w:rPr>
                <w:rFonts w:hint="default" w:ascii="Times New Roman" w:hAnsi="Times New Roman" w:eastAsia="仿宋_GB2312" w:cs="Times New Roman"/>
                <w:szCs w:val="21"/>
              </w:rPr>
              <w:t>区政府各部门</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单位</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格里坪镇政府、各街道办事处</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3</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规范工作平台</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区政府门户网站集中分类发布</w:t>
            </w:r>
            <w:r>
              <w:rPr>
                <w:rFonts w:hint="eastAsia" w:ascii="Times New Roman" w:hAnsi="Times New Roman" w:eastAsia="仿宋_GB2312" w:cs="Times New Roman"/>
                <w:szCs w:val="21"/>
                <w:lang w:eastAsia="zh-CN"/>
              </w:rPr>
              <w:t>区</w:t>
            </w:r>
            <w:r>
              <w:rPr>
                <w:rFonts w:hint="default" w:ascii="Times New Roman" w:hAnsi="Times New Roman" w:eastAsia="仿宋_GB2312" w:cs="Times New Roman"/>
                <w:szCs w:val="21"/>
              </w:rPr>
              <w:t>政府及</w:t>
            </w:r>
            <w:r>
              <w:rPr>
                <w:rFonts w:hint="eastAsia" w:ascii="Times New Roman" w:hAnsi="Times New Roman" w:eastAsia="仿宋_GB2312" w:cs="Times New Roman"/>
                <w:szCs w:val="21"/>
                <w:lang w:eastAsia="zh-CN"/>
              </w:rPr>
              <w:t>区级各</w:t>
            </w:r>
            <w:r>
              <w:rPr>
                <w:rFonts w:hint="default" w:ascii="Times New Roman" w:hAnsi="Times New Roman" w:eastAsia="仿宋_GB2312" w:cs="Times New Roman"/>
                <w:szCs w:val="21"/>
              </w:rPr>
              <w:t>部门</w:t>
            </w:r>
            <w:r>
              <w:rPr>
                <w:rFonts w:hint="eastAsia" w:ascii="Times New Roman" w:hAnsi="Times New Roman" w:eastAsia="仿宋_GB2312" w:cs="Times New Roman"/>
                <w:szCs w:val="21"/>
                <w:lang w:eastAsia="zh-CN"/>
              </w:rPr>
              <w:t>（单位）</w:t>
            </w:r>
            <w:r>
              <w:rPr>
                <w:rFonts w:hint="default" w:ascii="Times New Roman" w:hAnsi="Times New Roman" w:eastAsia="仿宋_GB2312" w:cs="Times New Roman"/>
                <w:szCs w:val="21"/>
              </w:rPr>
              <w:t>、镇（街道）主动公开的政府信息，设置统一的互动交流和在线办事入口。按照“五统一”要求，在政务服务大厅、便民服务中心、档案馆、图书馆等场所设立标识清楚、方便实用的政务公开专区（窗口），提供信息查询、公开申请、办事咨询等服务</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4</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1"/>
                <w:szCs w:val="21"/>
                <w:lang w:val="en-US" w:eastAsia="zh-CN" w:bidi="ar-SA"/>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推进服务公开标准化</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全面梳理规范办事指南、流程、机构等服务事项，逐步完善线上基层政务公开专栏，实现与省一体化政务服务平台、政务服务场所发布的行政权力清单、公共服务事项清单内容同源、发布同源、管理同源。通过政府门户网站和政务服务一体化平台的数据对接，确保公开和服务数据共享、内容同源、标准一致。推行一次性告知、信息主动推送等服务。采用政府网站、政务新媒体、短信、电子邮件、纸质材料等方式，精准推送各项惠企利民政策和民生信息</w:t>
            </w:r>
          </w:p>
        </w:tc>
        <w:tc>
          <w:tcPr>
            <w:tcW w:w="32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区政府办公室</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区行政审批局</w:t>
            </w:r>
            <w:r>
              <w:rPr>
                <w:rFonts w:hint="default" w:ascii="Times New Roman" w:hAnsi="Times New Roman" w:eastAsia="仿宋_GB2312" w:cs="Times New Roman"/>
                <w:szCs w:val="21"/>
                <w:lang w:val="en-US" w:eastAsia="zh-CN"/>
              </w:rPr>
              <w:t>等区级</w:t>
            </w:r>
            <w:r>
              <w:rPr>
                <w:rFonts w:hint="eastAsia" w:ascii="Times New Roman" w:hAnsi="Times New Roman" w:eastAsia="仿宋_GB2312" w:cs="Times New Roman"/>
                <w:szCs w:val="21"/>
                <w:lang w:val="en-US" w:eastAsia="zh-CN"/>
              </w:rPr>
              <w:t>各</w:t>
            </w:r>
            <w:r>
              <w:rPr>
                <w:rFonts w:hint="default" w:ascii="Times New Roman" w:hAnsi="Times New Roman" w:eastAsia="仿宋_GB2312" w:cs="Times New Roman"/>
                <w:szCs w:val="21"/>
                <w:lang w:val="en-US" w:eastAsia="zh-CN"/>
              </w:rPr>
              <w:t>部门（单位）</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5</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1"/>
                <w:szCs w:val="21"/>
                <w:lang w:val="en-US" w:eastAsia="zh-CN" w:bidi="ar-SA"/>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扩大群众参与度</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确定决策事项目录、标准，通过</w:t>
            </w:r>
            <w:r>
              <w:rPr>
                <w:rFonts w:hint="eastAsia" w:ascii="Times New Roman" w:hAnsi="Times New Roman" w:eastAsia="仿宋_GB2312" w:cs="Times New Roman"/>
                <w:szCs w:val="21"/>
                <w:lang w:eastAsia="zh-CN"/>
              </w:rPr>
              <w:t>西</w:t>
            </w:r>
            <w:r>
              <w:rPr>
                <w:rFonts w:hint="default" w:ascii="Times New Roman" w:hAnsi="Times New Roman" w:eastAsia="仿宋_GB2312" w:cs="Times New Roman"/>
                <w:szCs w:val="21"/>
              </w:rPr>
              <w:t>区政府门户网站集中向社会公布。采取听证会、实地走访、公开征求意见、问卷调查等方式，充分听取意见，并通过政府网站、政务新媒体等多种形式公开意见征集结果。完善利益相关方、群众代表、专家、媒体等列席政府有关会议的制度，开展政务开放日活动</w:t>
            </w:r>
          </w:p>
        </w:tc>
        <w:tc>
          <w:tcPr>
            <w:tcW w:w="32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区级有关部门</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6</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促进治理能力提升</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完善工作机制、公开平台、专业队伍，以政务公开促落实、促规范、促服务，大幅提高基层政务公开标准化规范化水平，显著提升政务公开工作能力和水平</w:t>
            </w:r>
            <w:r>
              <w:rPr>
                <w:rFonts w:hint="default" w:ascii="Times New Roman" w:hAnsi="Times New Roman" w:eastAsia="仿宋_GB2312" w:cs="Times New Roman"/>
                <w:szCs w:val="21"/>
                <w:lang w:eastAsia="zh-CN"/>
              </w:rPr>
              <w:t>，带动基层政府加快提升治理能力和水平</w:t>
            </w:r>
            <w:r>
              <w:rPr>
                <w:rFonts w:hint="eastAsia" w:ascii="Times New Roman" w:hAnsi="Times New Roman" w:eastAsia="仿宋_GB2312" w:cs="Times New Roman"/>
                <w:szCs w:val="21"/>
                <w:lang w:val="en-US" w:eastAsia="zh-CN"/>
              </w:rPr>
              <w:t xml:space="preserve"> </w:t>
            </w:r>
          </w:p>
        </w:tc>
        <w:tc>
          <w:tcPr>
            <w:tcW w:w="32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区政府各部门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单位</w:t>
            </w:r>
            <w:r>
              <w:rPr>
                <w:rFonts w:hint="eastAsia" w:ascii="Times New Roman" w:hAnsi="Times New Roman" w:eastAsia="仿宋_GB2312" w:cs="Times New Roman"/>
                <w:szCs w:val="21"/>
                <w:lang w:eastAsia="zh-CN"/>
              </w:rPr>
              <w:t>）</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7</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重点领域信息公开</w:t>
            </w: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各类规划</w:t>
            </w:r>
          </w:p>
        </w:tc>
        <w:tc>
          <w:tcPr>
            <w:tcW w:w="9242" w:type="dxa"/>
            <w:vAlign w:val="bottom"/>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主动公开</w:t>
            </w:r>
            <w:r>
              <w:rPr>
                <w:rFonts w:hint="eastAsia" w:ascii="Times New Roman" w:hAnsi="Times New Roman" w:eastAsia="仿宋_GB2312" w:cs="Times New Roman"/>
                <w:szCs w:val="21"/>
                <w:lang w:eastAsia="zh-CN"/>
              </w:rPr>
              <w:t>西</w:t>
            </w:r>
            <w:r>
              <w:rPr>
                <w:rFonts w:hint="default" w:ascii="Times New Roman" w:hAnsi="Times New Roman" w:eastAsia="仿宋_GB2312" w:cs="Times New Roman"/>
                <w:szCs w:val="21"/>
              </w:rPr>
              <w:t>区“十四五”规划和专项规划、国土空间规划、区域规划等及配套政策文件，系统梳理</w:t>
            </w:r>
            <w:r>
              <w:rPr>
                <w:rFonts w:hint="eastAsia" w:ascii="Times New Roman" w:hAnsi="Times New Roman" w:eastAsia="仿宋_GB2312" w:cs="Times New Roman"/>
                <w:szCs w:val="21"/>
                <w:lang w:eastAsia="zh-CN"/>
              </w:rPr>
              <w:t>西区</w:t>
            </w:r>
            <w:r>
              <w:rPr>
                <w:rFonts w:hint="default" w:ascii="Times New Roman" w:hAnsi="Times New Roman" w:eastAsia="仿宋_GB2312" w:cs="Times New Roman"/>
                <w:szCs w:val="21"/>
              </w:rPr>
              <w:t>历史规划（计划）并通过政府信息公开专栏集中公开</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Cs w:val="21"/>
              </w:rPr>
            </w:pPr>
            <w:r>
              <w:rPr>
                <w:rFonts w:hint="default" w:ascii="Times New Roman" w:hAnsi="Times New Roman" w:eastAsia="仿宋_GB2312" w:cs="Times New Roman"/>
                <w:szCs w:val="21"/>
              </w:rPr>
              <w:t>区发展改革局、区级规划编制牵头部门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单位</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、格里坪镇政府、各街道办事处、</w:t>
            </w:r>
            <w:r>
              <w:rPr>
                <w:rFonts w:hint="default" w:ascii="Times New Roman" w:hAnsi="Times New Roman" w:eastAsia="仿宋_GB2312" w:cs="Times New Roman"/>
                <w:color w:val="auto"/>
                <w:szCs w:val="21"/>
              </w:rPr>
              <w:t>区电子政务</w:t>
            </w:r>
            <w:r>
              <w:rPr>
                <w:rFonts w:hint="eastAsia" w:ascii="Times New Roman" w:hAnsi="Times New Roman" w:eastAsia="仿宋_GB2312" w:cs="Times New Roman"/>
                <w:color w:val="auto"/>
                <w:szCs w:val="21"/>
                <w:lang w:val="en-US" w:eastAsia="zh-CN"/>
              </w:rPr>
              <w:t>建设服务中心</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9月10日前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在西区政府门户网站开设规划专栏，归集整理、主动公开</w:t>
            </w:r>
            <w:r>
              <w:rPr>
                <w:rFonts w:hint="eastAsia" w:ascii="Times New Roman" w:hAnsi="Times New Roman" w:eastAsia="仿宋_GB2312" w:cs="Times New Roman"/>
                <w:szCs w:val="21"/>
                <w:lang w:eastAsia="zh-CN"/>
              </w:rPr>
              <w:t>西</w:t>
            </w:r>
            <w:r>
              <w:rPr>
                <w:rFonts w:hint="default" w:ascii="Times New Roman" w:hAnsi="Times New Roman" w:eastAsia="仿宋_GB2312" w:cs="Times New Roman"/>
                <w:szCs w:val="21"/>
              </w:rPr>
              <w:t>区“十四五”规划和专项规划、空间规划、区域规划等，并链接到市“十四五”规划公开专栏</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8</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重大战略部署</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围绕推动成渝地区双城经济圈建设、构建“三个圈层”、发展现代产业、创新驱动发展、扩大开放、全面推进乡村振兴等加强政策发布</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区发展改革局、区经济和信息化局、区教育和体育局、区科技局、区人力资源社会保障局、市自然资源和规划局西区分局、西区生态环境局、区住房城乡建设局、区农业农村和交通运输局、区卫生健康局、区应急管理局、区财政局、区市场监管局、区民政和扶贫开发局等区级部门</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单位</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格里坪镇政府、各街道办事处</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做好新冠肺炎疫情常态化精准防控信息公开</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做好生态环保、安全生产、应急管理、防灾减灾救灾以及突发公共安全事件等信息公开</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做好教育、就业、医疗、养老以及保障性住房等民生信息公开</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贯彻落实与人民群众利益密切相关的公共企事业单位信息公开</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9</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财政信息</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稳步扩大预决算公开范围，推进政府部门所属单位预算、决算及相关报表公开</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区财政局等区级有关部门（单位） </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定</w:t>
            </w:r>
            <w:r>
              <w:rPr>
                <w:rFonts w:hint="default" w:ascii="Times New Roman" w:hAnsi="Times New Roman" w:eastAsia="仿宋_GB2312" w:cs="Times New Roman"/>
                <w:color w:val="auto"/>
                <w:szCs w:val="21"/>
              </w:rPr>
              <w:t>期公开政</w:t>
            </w:r>
            <w:r>
              <w:rPr>
                <w:rFonts w:hint="default" w:ascii="Times New Roman" w:hAnsi="Times New Roman" w:eastAsia="仿宋_GB2312" w:cs="Times New Roman"/>
                <w:szCs w:val="21"/>
              </w:rPr>
              <w:t>府债务限额、余额、使用安排及还本付息等信息</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加大惠民惠农政策和资金发放信息公开力度，推动补贴信息公开向村</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社区</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延伸。及时公开财政资金直达基层的重要政策措施、工作落实情况等信息</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做好本部门行政事业性收费和政府性基金目录清单常态化公开工作。做好本部门政府采购信息依法规范公开</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优化营商环境</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主动发布深化“放管服”改革推进情况、政务服务事项、“好差评”结果等，以市场主体需求为导向，加强政策解读和回应</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区行政审批局、区发展改革局、区经济和信息化局、区司法局、区人力资源社会保障局、市自然资源和规划局西区分局、区住房城乡建设局、区农业农村和交通运输局、区商务局、区审计局、区财政局、区市场监管局、区经济合作局等区级有关部门</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单位</w:t>
            </w:r>
            <w:r>
              <w:rPr>
                <w:rFonts w:hint="eastAsia" w:ascii="Times New Roman" w:hAnsi="Times New Roman" w:eastAsia="仿宋_GB2312" w:cs="Times New Roman"/>
                <w:szCs w:val="21"/>
                <w:lang w:eastAsia="zh-CN"/>
              </w:rPr>
              <w:t>）</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加强公开渠道建设，加大实施企业座谈会制度，及时公开收集及解决企业困难问题的工作进展情况，为企业打造高效服务平台</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color w:val="auto"/>
                <w:szCs w:val="21"/>
              </w:rPr>
              <w:t>健全数据资源共享体系，提供可开放的各类数据的下载与服务</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及时公开建设高标准市场体系行动方案等工作举措，做好反不正当竞争执法信息发布，持续推进重大建设项目批准和实施信息公开</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FF0000"/>
                <w:szCs w:val="21"/>
              </w:rPr>
            </w:pPr>
            <w:r>
              <w:rPr>
                <w:rFonts w:hint="default" w:ascii="Times New Roman" w:hAnsi="Times New Roman" w:eastAsia="仿宋_GB2312" w:cs="Times New Roman"/>
                <w:color w:val="auto"/>
                <w:szCs w:val="21"/>
              </w:rPr>
              <w:t>完善社会信用信息平台，依法依规向社会公开市场主体信用记录</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推行企业物流收费清单目录公示制度，编制公布相应收费和处罚事项清单。推动公共资源配置领域信息公开</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依托全省行政执法信息公示平台，在</w:t>
            </w:r>
            <w:r>
              <w:rPr>
                <w:rFonts w:hint="eastAsia" w:ascii="Times New Roman" w:hAnsi="Times New Roman" w:eastAsia="仿宋_GB2312" w:cs="Times New Roman"/>
                <w:color w:val="auto"/>
                <w:szCs w:val="21"/>
                <w:lang w:val="en-US" w:eastAsia="zh-CN"/>
              </w:rPr>
              <w:t>西区政府门户</w:t>
            </w:r>
            <w:r>
              <w:rPr>
                <w:rFonts w:hint="default" w:ascii="Times New Roman" w:hAnsi="Times New Roman" w:eastAsia="仿宋_GB2312" w:cs="Times New Roman"/>
                <w:color w:val="auto"/>
                <w:szCs w:val="21"/>
              </w:rPr>
              <w:t>网站</w:t>
            </w:r>
            <w:r>
              <w:rPr>
                <w:rFonts w:hint="default" w:ascii="Times New Roman" w:hAnsi="Times New Roman" w:eastAsia="仿宋_GB2312" w:cs="Times New Roman"/>
                <w:szCs w:val="21"/>
              </w:rPr>
              <w:t>集中公开行政执法信息。公开审计结果及整改情况等信息</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11</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政策解读</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聚焦“六稳”“六保”、构建“三个圈层”等重点任务，不断</w:t>
            </w:r>
            <w:r>
              <w:rPr>
                <w:rFonts w:hint="eastAsia" w:ascii="Times New Roman" w:hAnsi="Times New Roman" w:eastAsia="仿宋_GB2312" w:cs="Times New Roman"/>
                <w:szCs w:val="21"/>
                <w:lang w:eastAsia="zh-CN"/>
              </w:rPr>
              <w:t>提升</w:t>
            </w:r>
            <w:r>
              <w:rPr>
                <w:rFonts w:hint="default" w:ascii="Times New Roman" w:hAnsi="Times New Roman" w:eastAsia="仿宋_GB2312" w:cs="Times New Roman"/>
                <w:szCs w:val="21"/>
              </w:rPr>
              <w:t>政策解读工作</w:t>
            </w:r>
            <w:r>
              <w:rPr>
                <w:rFonts w:hint="eastAsia" w:ascii="Times New Roman" w:hAnsi="Times New Roman" w:eastAsia="仿宋_GB2312" w:cs="Times New Roman"/>
                <w:szCs w:val="21"/>
                <w:lang w:eastAsia="zh-CN"/>
              </w:rPr>
              <w:t>质量</w:t>
            </w:r>
            <w:r>
              <w:rPr>
                <w:rFonts w:hint="default" w:ascii="Times New Roman" w:hAnsi="Times New Roman" w:eastAsia="仿宋_GB2312" w:cs="Times New Roman"/>
                <w:szCs w:val="21"/>
              </w:rPr>
              <w:t>。将政策解读纳入公文“红黄牌”制度，加强对政策背景、出台目的、重要举措等方面的实质性政策解读，正向引导社会预期，确保政策落地见效、更好惠企利民</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区政府办公室、区行政审批局、区综合执法局等区级各部门（单位）</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依托政务服务大厅、政务服务网等设立政策咨询综合服务窗口，推进政策问答数据资源和省12345热线知识库互联互通。加快形成各级各部门协同联动、对接共享的政策问答体系，充分利用政府</w:t>
            </w:r>
            <w:r>
              <w:rPr>
                <w:rFonts w:hint="default" w:ascii="Times New Roman" w:hAnsi="Times New Roman" w:eastAsia="仿宋_GB2312" w:cs="Times New Roman"/>
                <w:szCs w:val="21"/>
                <w:lang w:val="en-US" w:eastAsia="zh-CN"/>
              </w:rPr>
              <w:t>门户</w:t>
            </w:r>
            <w:r>
              <w:rPr>
                <w:rFonts w:hint="default" w:ascii="Times New Roman" w:hAnsi="Times New Roman" w:eastAsia="仿宋_GB2312" w:cs="Times New Roman"/>
                <w:szCs w:val="21"/>
              </w:rPr>
              <w:t>网站、政务新媒体、12345热线等多种渠道，为企业群众提供精准、便捷的政策咨询服务</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涉及面广、社会关注度高、影响市场预期的政策文件，主动靠前引导，释放权威信息。创新开展生动、活泼、通俗易懂的政策解读，采用图文解析、吹风会、发布会、简明问答等方式，鼓励运用第5代超文本标记语言（H5）和可视化图表、短视频等新技术手段，不断提升解读质量和水平</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12</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回应关切</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构建体系</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统筹热线电话、领导信箱、政民互动和网络问政等群众诉求渠道，实现回应资源的有效整合。完善管理制度，规范办理流程，建立群众诉求服务矩阵，着力解决群众反映的急难愁盼问题。建立健全评价机制，提升联系群众、解读政策和回应群众诉求的能力</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区政府办公室、区信访局、区综合执法局等区级</w:t>
            </w:r>
            <w:r>
              <w:rPr>
                <w:rFonts w:hint="eastAsia" w:ascii="Times New Roman" w:hAnsi="Times New Roman" w:eastAsia="仿宋_GB2312" w:cs="Times New Roman"/>
                <w:szCs w:val="21"/>
                <w:lang w:val="en-US" w:eastAsia="zh-CN"/>
              </w:rPr>
              <w:t>各</w:t>
            </w:r>
            <w:r>
              <w:rPr>
                <w:rFonts w:hint="default" w:ascii="Times New Roman" w:hAnsi="Times New Roman" w:eastAsia="仿宋_GB2312" w:cs="Times New Roman"/>
                <w:szCs w:val="21"/>
              </w:rPr>
              <w:t>部门（单位）</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格里坪镇政府、各街道办事处</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增强实效</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建立涵盖群众关切回应的全流程标准，做实群众诉求受理、转办、督办、回访等各环节工作。建立完善“台账登记</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交办转办</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整改销号</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办结回复</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定期抽查”的诉求回应闭环机制，以及解决群众诉求、办理民生实事等方面的联动机制</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14</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结果公开</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对群众关心、社会关注的热点问题，及时向群众公开回应结果。对回应关切情况进行定期公开，接受群众监督，引导群众关心理解支持政府工作。结合基层政务公开工作推进，开展群众关切回应工作品牌创建活动</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政务信息资源管理</w:t>
            </w: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重点政务信息</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在“政府信息公开专栏”集中统一规范发布现行有效规章、规范性文件和法定主动公开内容，以及行政机关管理社会、服务公众的依据和结果并及时更新</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区政府办公室、区司法局等区级有关部门（单位）</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9月30日前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按照有关规定动态调整行政权力事项，并通过政府网站和一体化政务服务平台向社会公布，确保线上办事指南与线下办件标准一致</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1</w:t>
            </w:r>
            <w:r>
              <w:rPr>
                <w:rFonts w:hint="eastAsia" w:ascii="Times New Roman" w:hAnsi="Times New Roman" w:eastAsia="仿宋_GB2312" w:cs="Times New Roman"/>
                <w:szCs w:val="21"/>
                <w:lang w:val="en-US" w:eastAsia="zh-CN"/>
              </w:rPr>
              <w:t>6</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政府信息公开专栏</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优化专栏检索、下载功能，推进各级专栏数据互联互通，方便社会公众快速准确获取所需信息</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区政府</w:t>
            </w:r>
            <w:r>
              <w:rPr>
                <w:rFonts w:hint="default" w:ascii="Times New Roman" w:hAnsi="Times New Roman" w:eastAsia="仿宋_GB2312" w:cs="Times New Roman"/>
                <w:szCs w:val="21"/>
                <w:lang w:val="en-US" w:eastAsia="zh-CN"/>
              </w:rPr>
              <w:t>办公室、区电子政务</w:t>
            </w:r>
            <w:r>
              <w:rPr>
                <w:rFonts w:hint="eastAsia" w:ascii="Times New Roman" w:hAnsi="Times New Roman" w:eastAsia="仿宋_GB2312" w:cs="Times New Roman"/>
                <w:szCs w:val="21"/>
                <w:lang w:val="en-US" w:eastAsia="zh-CN"/>
              </w:rPr>
              <w:t>建设服务</w:t>
            </w:r>
            <w:r>
              <w:rPr>
                <w:rFonts w:hint="default" w:ascii="Times New Roman" w:hAnsi="Times New Roman" w:eastAsia="仿宋_GB2312" w:cs="Times New Roman"/>
                <w:szCs w:val="21"/>
                <w:lang w:val="en-US" w:eastAsia="zh-CN"/>
              </w:rPr>
              <w:t>中心</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rPr>
              <w:t>区政府各部门（单位）</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加强政策文件库建设，推动政策文件库等数据资源与</w:t>
            </w:r>
            <w:r>
              <w:rPr>
                <w:rFonts w:hint="eastAsia" w:ascii="Times New Roman" w:hAnsi="Times New Roman" w:eastAsia="仿宋_GB2312" w:cs="Times New Roman"/>
                <w:szCs w:val="21"/>
                <w:lang w:eastAsia="zh-CN"/>
              </w:rPr>
              <w:t>市</w:t>
            </w:r>
            <w:r>
              <w:rPr>
                <w:rFonts w:hint="default" w:ascii="Times New Roman" w:hAnsi="Times New Roman" w:eastAsia="仿宋_GB2312" w:cs="Times New Roman"/>
                <w:szCs w:val="21"/>
              </w:rPr>
              <w:t>政府信息公开平台有效联通</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1</w:t>
            </w:r>
            <w:r>
              <w:rPr>
                <w:rFonts w:hint="eastAsia" w:ascii="Times New Roman" w:hAnsi="Times New Roman" w:eastAsia="仿宋_GB2312" w:cs="Times New Roman"/>
                <w:szCs w:val="21"/>
                <w:lang w:val="en-US" w:eastAsia="zh-CN"/>
              </w:rPr>
              <w:t>7</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政府公报</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FF"/>
                <w:szCs w:val="21"/>
              </w:rPr>
            </w:pPr>
            <w:r>
              <w:rPr>
                <w:rFonts w:hint="default" w:ascii="Times New Roman" w:hAnsi="Times New Roman" w:eastAsia="仿宋_GB2312" w:cs="Times New Roman"/>
                <w:szCs w:val="21"/>
              </w:rPr>
              <w:t>做好政府公报的收取、公开工作，优化赠阅范围，贴近群众实际需求，确保赠刊见刊。完善部门规范性文件报送、刊登和通报机制</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通过政务新媒体等渠道加强内容传播</w:t>
            </w:r>
          </w:p>
        </w:tc>
        <w:tc>
          <w:tcPr>
            <w:tcW w:w="32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格里坪镇政府、各街道办事处、区行政审批局等基层政务公开领域涉及的区级有关部门（单位）</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政府网站和政务新媒体建设管理</w:t>
            </w: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深化清理整合</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依托“全国政务新媒体信息报送系统”，落实分级备案制度，严格政府系统政务新媒体开设、变更、关停、注销流程，建立完善全面准确、动态更新的基本信息库。定期分析本地本部门（单位）政务新媒体运行维护状况，常态化开展清理整合</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w:t>
            </w:r>
            <w:r>
              <w:rPr>
                <w:rFonts w:hint="default" w:ascii="Times New Roman" w:hAnsi="Times New Roman" w:eastAsia="仿宋_GB2312" w:cs="Times New Roman"/>
                <w:szCs w:val="21"/>
                <w:lang w:val="en-US" w:eastAsia="zh-CN"/>
              </w:rPr>
              <w:t>办公室、区电子政务</w:t>
            </w:r>
            <w:r>
              <w:rPr>
                <w:rFonts w:hint="eastAsia" w:ascii="Times New Roman" w:hAnsi="Times New Roman" w:eastAsia="仿宋_GB2312" w:cs="Times New Roman"/>
                <w:szCs w:val="21"/>
                <w:lang w:val="en-US" w:eastAsia="zh-CN"/>
              </w:rPr>
              <w:t>建设服务</w:t>
            </w:r>
            <w:r>
              <w:rPr>
                <w:rFonts w:hint="default" w:ascii="Times New Roman" w:hAnsi="Times New Roman" w:eastAsia="仿宋_GB2312" w:cs="Times New Roman"/>
                <w:szCs w:val="21"/>
                <w:lang w:val="en-US" w:eastAsia="zh-CN"/>
              </w:rPr>
              <w:t>中心、</w:t>
            </w:r>
            <w:r>
              <w:rPr>
                <w:rFonts w:hint="default" w:ascii="Times New Roman" w:hAnsi="Times New Roman" w:eastAsia="仿宋_GB2312" w:cs="Times New Roman"/>
                <w:szCs w:val="21"/>
              </w:rPr>
              <w:t>区政府各部门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单位</w:t>
            </w:r>
            <w:r>
              <w:rPr>
                <w:rFonts w:hint="eastAsia" w:ascii="Times New Roman" w:hAnsi="Times New Roman" w:eastAsia="仿宋_GB2312" w:cs="Times New Roman"/>
                <w:szCs w:val="21"/>
                <w:lang w:eastAsia="zh-CN"/>
              </w:rPr>
              <w:t>）</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按照做优做强主账号的要求，整合功能相近、用户关注度和利用率低的账号，有序关停无力维护的账号</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加强建设维护</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推动区政府网站集约化平台与市集约化平台、省集约化平台互联互通和协同联动。推动政务新媒体与政府网站融合发展，实现整体发声联动发声。严格内容发布“三审”制度，坚决杜绝严重错别字，努力实现“零差错”，避免引发负面舆情。定期核验办事服务类信息的准确性、功能实用性，及时调整更新相关信息，持续完善政府网站互联网协议第六版（IPv6）升级改造工作</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强化监督管理</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坚持月度监测、季度抽查和半年检查，政府网站检查比例达到100%，政务新媒体季度抽查比例不低于25%。扎实做好查遗补漏工作，将信用类专项网站纳入统一监管。切实解决有账号无监管、有发布无审核等问题。建立监管台账和问题清单，推动问题监督整改形成闭环，严格考核问责，及时督促整改存在的突出问题。落实安全管理责任，强化安全保障机制，提高安全防护能力</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夯实工作基础</w:t>
            </w: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队伍建设</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明晰主管部门职责，理顺机制，保障经费，配齐配强专职工作人员。区政府各部门（单位）主要负责同志每年至少听取1次</w:t>
            </w:r>
            <w:r>
              <w:rPr>
                <w:rFonts w:hint="eastAsia" w:ascii="Times New Roman" w:hAnsi="Times New Roman" w:eastAsia="仿宋_GB2312" w:cs="Times New Roman"/>
                <w:szCs w:val="21"/>
                <w:lang w:eastAsia="zh-CN"/>
              </w:rPr>
              <w:t>本单位</w:t>
            </w:r>
            <w:r>
              <w:rPr>
                <w:rFonts w:hint="default" w:ascii="Times New Roman" w:hAnsi="Times New Roman" w:eastAsia="仿宋_GB2312" w:cs="Times New Roman"/>
                <w:szCs w:val="21"/>
              </w:rPr>
              <w:t>政务公开工作汇报，专题研究部署推进工作</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区政府各部门（单位）</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将《条例》纳入领导干部学法和公务员初任培训课程，加大业务知识和工作技能培训力度，提升工作能力水平</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工作制度</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健全政府信息发布、审查、协调和管理等制度。完善政务公开日常监测机制，加强统计分析</w:t>
            </w:r>
          </w:p>
        </w:tc>
        <w:tc>
          <w:tcPr>
            <w:tcW w:w="3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区政府办公室、区司法局、区财政局、区审计局等区级有关部门（单位）</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规范政府信息公开申请处理内部工作流程及答复内容要素，及时将处理信息、行政复议、行政诉讼情况录入目录管理系统，实现办理工作全过程记录</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充分发挥行政复议制度优势，统一案件审理标准，加大监督力度。认真贯彻执行《国务院办公厅关于印发</w:t>
            </w:r>
            <w:r>
              <w:rPr>
                <w:rFonts w:hint="eastAsia" w:ascii="Times New Roman" w:hAnsi="Times New Roman" w:eastAsia="仿宋_GB2312" w:cs="Times New Roman"/>
                <w:szCs w:val="21"/>
                <w:lang w:val="en-US" w:eastAsia="zh-CN"/>
              </w:rPr>
              <w:t>&lt;</w:t>
            </w:r>
            <w:r>
              <w:rPr>
                <w:rFonts w:hint="default" w:ascii="Times New Roman" w:hAnsi="Times New Roman" w:eastAsia="仿宋_GB2312" w:cs="Times New Roman"/>
                <w:szCs w:val="21"/>
              </w:rPr>
              <w:t>政府信息公开信息处理费管理办法</w:t>
            </w:r>
            <w:r>
              <w:rPr>
                <w:rFonts w:hint="eastAsia" w:ascii="Times New Roman" w:hAnsi="Times New Roman" w:eastAsia="仿宋_GB2312" w:cs="Times New Roman"/>
                <w:szCs w:val="21"/>
                <w:lang w:val="en-US" w:eastAsia="zh-CN"/>
              </w:rPr>
              <w:t>&gt;</w:t>
            </w:r>
            <w:r>
              <w:rPr>
                <w:rFonts w:hint="default" w:ascii="Times New Roman" w:hAnsi="Times New Roman" w:eastAsia="仿宋_GB2312" w:cs="Times New Roman"/>
                <w:szCs w:val="21"/>
              </w:rPr>
              <w:t>的通知》</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rPr>
              <w:t>国办函〔2020〕109号</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rPr>
              <w:t>和四川省具体收缴规定</w:t>
            </w:r>
          </w:p>
        </w:tc>
        <w:tc>
          <w:tcPr>
            <w:tcW w:w="3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23</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指导督促</w:t>
            </w:r>
          </w:p>
        </w:tc>
        <w:tc>
          <w:tcPr>
            <w:tcW w:w="924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办公室切实履行政务公开工作主管部门的法定职责，加大组织协调、指导推进、监督检查力度。强化政务公开目标绩效考核，完善评价指标体系。健全政务公开工作通报制度，配合开展第三方评估，对违反《条例》规定、工作推进滞后，造成严重负面影响的，加强问责</w:t>
            </w:r>
          </w:p>
        </w:tc>
        <w:tc>
          <w:tcPr>
            <w:tcW w:w="32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区政府办公室、区级各部门（单位）</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bl>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bookmarkStart w:id="0" w:name="_GoBack"/>
      <w:bookmarkEnd w:id="0"/>
    </w:p>
    <w:sectPr>
      <w:footerReference r:id="rId3"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DA7786"/>
    <w:rsid w:val="0044684A"/>
    <w:rsid w:val="00530E1E"/>
    <w:rsid w:val="00605C92"/>
    <w:rsid w:val="006E1D90"/>
    <w:rsid w:val="00766F74"/>
    <w:rsid w:val="009D3E2D"/>
    <w:rsid w:val="00C9259D"/>
    <w:rsid w:val="00D4530E"/>
    <w:rsid w:val="01DF29CE"/>
    <w:rsid w:val="02EA78F0"/>
    <w:rsid w:val="03DA7786"/>
    <w:rsid w:val="0426032E"/>
    <w:rsid w:val="047E6D3A"/>
    <w:rsid w:val="048744CC"/>
    <w:rsid w:val="04EC70C6"/>
    <w:rsid w:val="070A0EBF"/>
    <w:rsid w:val="09282727"/>
    <w:rsid w:val="0BE55DDD"/>
    <w:rsid w:val="0D153B0F"/>
    <w:rsid w:val="0F1B34E5"/>
    <w:rsid w:val="0F741D96"/>
    <w:rsid w:val="10736639"/>
    <w:rsid w:val="1178280A"/>
    <w:rsid w:val="12670BFD"/>
    <w:rsid w:val="12D724F8"/>
    <w:rsid w:val="13C817BA"/>
    <w:rsid w:val="14884E7F"/>
    <w:rsid w:val="149D4D14"/>
    <w:rsid w:val="16810879"/>
    <w:rsid w:val="194C38D5"/>
    <w:rsid w:val="19CF222F"/>
    <w:rsid w:val="1B7349EC"/>
    <w:rsid w:val="1C7F3F63"/>
    <w:rsid w:val="1CFD0B3E"/>
    <w:rsid w:val="200D602B"/>
    <w:rsid w:val="209E28B0"/>
    <w:rsid w:val="25543431"/>
    <w:rsid w:val="26AF503D"/>
    <w:rsid w:val="29674EF5"/>
    <w:rsid w:val="2AB66657"/>
    <w:rsid w:val="2AED4868"/>
    <w:rsid w:val="2C1F5901"/>
    <w:rsid w:val="2D7434A7"/>
    <w:rsid w:val="2E9E34A7"/>
    <w:rsid w:val="302E1518"/>
    <w:rsid w:val="32D50584"/>
    <w:rsid w:val="35117A96"/>
    <w:rsid w:val="351D6EFF"/>
    <w:rsid w:val="355C1FC7"/>
    <w:rsid w:val="35F80CD1"/>
    <w:rsid w:val="36E67AB8"/>
    <w:rsid w:val="37EA4701"/>
    <w:rsid w:val="387C39DF"/>
    <w:rsid w:val="38D83A73"/>
    <w:rsid w:val="39781BE4"/>
    <w:rsid w:val="3A1313CB"/>
    <w:rsid w:val="3BEF04AA"/>
    <w:rsid w:val="3CA80CD6"/>
    <w:rsid w:val="3CDC7CDB"/>
    <w:rsid w:val="3E8C4375"/>
    <w:rsid w:val="3EA96AED"/>
    <w:rsid w:val="3F62648E"/>
    <w:rsid w:val="405F2F0C"/>
    <w:rsid w:val="42436287"/>
    <w:rsid w:val="42700D09"/>
    <w:rsid w:val="434A7790"/>
    <w:rsid w:val="43873702"/>
    <w:rsid w:val="45BD6A3F"/>
    <w:rsid w:val="479819F9"/>
    <w:rsid w:val="47AC4FCD"/>
    <w:rsid w:val="48716301"/>
    <w:rsid w:val="48930315"/>
    <w:rsid w:val="4A983FB9"/>
    <w:rsid w:val="4B53448E"/>
    <w:rsid w:val="4B87138D"/>
    <w:rsid w:val="4E6176FC"/>
    <w:rsid w:val="4EA54DB6"/>
    <w:rsid w:val="4FFE564F"/>
    <w:rsid w:val="51197C13"/>
    <w:rsid w:val="523A34F6"/>
    <w:rsid w:val="53E62E8E"/>
    <w:rsid w:val="55A8722F"/>
    <w:rsid w:val="5DB26C16"/>
    <w:rsid w:val="607108B7"/>
    <w:rsid w:val="6542410F"/>
    <w:rsid w:val="65FF4F7D"/>
    <w:rsid w:val="6B004355"/>
    <w:rsid w:val="6B0D7633"/>
    <w:rsid w:val="70161FF6"/>
    <w:rsid w:val="718F2B80"/>
    <w:rsid w:val="71FB6825"/>
    <w:rsid w:val="7304564A"/>
    <w:rsid w:val="748D4366"/>
    <w:rsid w:val="75C32D9C"/>
    <w:rsid w:val="78C843E2"/>
    <w:rsid w:val="7E0D68EA"/>
    <w:rsid w:val="7FBE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7"/>
      <w:szCs w:val="27"/>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1"/>
    <w:pPr>
      <w:spacing w:before="67"/>
      <w:ind w:left="2660" w:right="2661"/>
      <w:jc w:val="center"/>
    </w:pPr>
    <w:rPr>
      <w:rFonts w:ascii="宋体" w:hAnsi="宋体" w:eastAsia="宋体" w:cs="宋体"/>
      <w:sz w:val="39"/>
      <w:szCs w:val="39"/>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pPr>
      <w:spacing w:before="84"/>
      <w:ind w:left="104"/>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1444</Words>
  <Characters>8235</Characters>
  <Lines>68</Lines>
  <Paragraphs>19</Paragraphs>
  <TotalTime>23</TotalTime>
  <ScaleCrop>false</ScaleCrop>
  <LinksUpToDate>false</LinksUpToDate>
  <CharactersWithSpaces>9660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2021-05-26T14:16:00Z</dcterms:created>
  <dc:creator>admin</dc:creator>
  <cp:lastModifiedBy>易云敏</cp:lastModifiedBy>
  <cp:lastPrinted>2021-05-31T02:50:00Z</cp:lastPrinted>
  <dcterms:modified xsi:type="dcterms:W3CDTF">2021-06-01T08:03:12Z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4EF5062A0D1F4498BED33D06BD35F24C</vt:lpwstr>
  </property>
  <property fmtid="{D5CDD505-2E9C-101B-9397-08002B2CF9AE}" pid="4" name="KSOSaveFontToCloudKey">
    <vt:lpwstr>271923320_btnclosed</vt:lpwstr>
  </property>
</Properties>
</file>