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财政国库支付中心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财政国库支付中心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2.2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国库支付管理工作需要</w:t>
      </w:r>
      <w:r>
        <w:rPr>
          <w:rFonts w:hint="eastAsia" w:ascii="仿宋_GB2312" w:eastAsia="仿宋_GB2312"/>
          <w:w w:val="80"/>
          <w:sz w:val="32"/>
          <w:szCs w:val="32"/>
        </w:rPr>
        <w:t>采购电脑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1.15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w w:val="80"/>
          <w:sz w:val="32"/>
          <w:szCs w:val="32"/>
        </w:rPr>
        <w:t>；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采购便携式扫描仪一台，金额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0.2万元</w:t>
      </w:r>
      <w:r>
        <w:rPr>
          <w:rFonts w:hint="eastAsia" w:ascii="仿宋_GB2312" w:eastAsia="仿宋_GB2312"/>
          <w:w w:val="80"/>
          <w:sz w:val="32"/>
          <w:szCs w:val="32"/>
        </w:rPr>
        <w:t>；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采购碎纸机一台，金额0.09万元</w:t>
      </w:r>
      <w:r>
        <w:rPr>
          <w:rFonts w:hint="eastAsia" w:ascii="仿宋_GB2312" w:eastAsia="仿宋_GB2312"/>
          <w:w w:val="80"/>
          <w:sz w:val="32"/>
          <w:szCs w:val="32"/>
        </w:rPr>
        <w:t>；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采购</w:t>
      </w:r>
      <w:r>
        <w:rPr>
          <w:rFonts w:hint="eastAsia" w:ascii="仿宋_GB2312" w:eastAsia="仿宋_GB2312"/>
          <w:w w:val="80"/>
          <w:sz w:val="32"/>
          <w:szCs w:val="32"/>
        </w:rPr>
        <w:t>书柜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一个，金额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0.06万元；采购文件柜一个，金额0.1万元件；采购桌前椅3个，金额0.3万元；采购办公椅3个，金额0.3万元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3022246"/>
    <w:rsid w:val="054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苏长兰</cp:lastModifiedBy>
  <dcterms:modified xsi:type="dcterms:W3CDTF">2021-05-31T08:00:00Z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