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77193"/>
      <w:bookmarkStart w:id="3" w:name="_Toc15396597"/>
      <w:bookmarkStart w:id="4" w:name="_Toc15396475"/>
      <w:bookmarkStart w:id="5" w:name="_Toc15378441"/>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bookmarkStart w:id="6" w:name="_Toc15396598"/>
      <w:bookmarkStart w:id="7" w:name="_Toc15377194"/>
      <w:bookmarkStart w:id="8" w:name="_Toc15396476"/>
      <w:bookmarkStart w:id="9" w:name="_Toc15377426"/>
      <w:bookmarkStart w:id="10" w:name="_Toc15378442"/>
      <w:r>
        <w:rPr>
          <w:rFonts w:hint="eastAsia" w:ascii="方正小标宋简体" w:hAnsi="宋体" w:eastAsia="方正小标宋简体"/>
          <w:color w:val="000000"/>
          <w:sz w:val="52"/>
          <w:szCs w:val="52"/>
        </w:rPr>
        <w:t>四川省攀枝花市西区</w:t>
      </w:r>
      <w:bookmarkEnd w:id="0"/>
      <w:bookmarkStart w:id="11" w:name="_Toc15306268"/>
      <w:r>
        <w:rPr>
          <w:rFonts w:hint="eastAsia" w:ascii="方正小标宋简体" w:hAnsi="宋体" w:eastAsia="方正小标宋简体"/>
          <w:color w:val="000000"/>
          <w:sz w:val="52"/>
          <w:szCs w:val="52"/>
        </w:rPr>
        <w:t>城市管理局部门决算</w:t>
      </w:r>
      <w:bookmarkEnd w:id="6"/>
      <w:bookmarkEnd w:id="7"/>
      <w:bookmarkEnd w:id="8"/>
      <w:bookmarkEnd w:id="9"/>
      <w:bookmarkEnd w:id="10"/>
      <w:bookmarkEnd w:id="11"/>
      <w:r>
        <w:rPr>
          <w:rFonts w:hint="eastAsia" w:ascii="方正小标宋简体" w:hAnsi="宋体" w:eastAsia="方正小标宋简体"/>
          <w:color w:val="000000"/>
          <w:sz w:val="52"/>
          <w:szCs w:val="5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公开时间：2019年10月9日</w:t>
      </w:r>
    </w:p>
    <w:p/>
    <w:p>
      <w:pPr>
        <w:pStyle w:val="10"/>
      </w:pPr>
      <w:r>
        <w:fldChar w:fldCharType="begin"/>
      </w:r>
      <w:r>
        <w:instrText xml:space="preserve"> HYPERLINK \l "_Toc15396599" </w:instrText>
      </w:r>
      <w:r>
        <w:fldChar w:fldCharType="separate"/>
      </w:r>
      <w:r>
        <w:rPr>
          <w:rStyle w:val="14"/>
          <w:rFonts w:hint="eastAsia"/>
        </w:rPr>
        <w:t>第一部分部门概况</w:t>
      </w:r>
      <w:r>
        <w:tab/>
      </w:r>
      <w:r>
        <w:rPr>
          <w:rFonts w:hint="eastAsia"/>
        </w:rPr>
        <w:t>4</w:t>
      </w:r>
      <w:r>
        <w:rPr>
          <w:rFonts w:hint="eastAsia"/>
        </w:rPr>
        <w:fldChar w:fldCharType="end"/>
      </w:r>
    </w:p>
    <w:p>
      <w:pPr>
        <w:pStyle w:val="11"/>
      </w:pPr>
      <w:r>
        <w:fldChar w:fldCharType="begin"/>
      </w:r>
      <w:r>
        <w:instrText xml:space="preserve"> HYPERLINK \l "_Toc15396600" </w:instrText>
      </w:r>
      <w:r>
        <w:fldChar w:fldCharType="separate"/>
      </w:r>
      <w:r>
        <w:rPr>
          <w:rStyle w:val="14"/>
          <w:rFonts w:hint="eastAsia"/>
        </w:rPr>
        <w:t>一、基本职能及主要工作</w:t>
      </w:r>
      <w:r>
        <w:tab/>
      </w:r>
      <w:r>
        <w:rPr>
          <w:rFonts w:hint="eastAsia"/>
        </w:rPr>
        <w:t>4</w:t>
      </w:r>
      <w:r>
        <w:rPr>
          <w:rFonts w:hint="eastAsia"/>
        </w:rPr>
        <w:fldChar w:fldCharType="end"/>
      </w:r>
    </w:p>
    <w:p>
      <w:pPr>
        <w:pStyle w:val="11"/>
      </w:pPr>
      <w:r>
        <w:fldChar w:fldCharType="begin"/>
      </w:r>
      <w:r>
        <w:instrText xml:space="preserve"> HYPERLINK \l "_Toc15396601" </w:instrText>
      </w:r>
      <w:r>
        <w:fldChar w:fldCharType="separate"/>
      </w:r>
      <w:r>
        <w:rPr>
          <w:rStyle w:val="14"/>
          <w:rFonts w:hint="eastAsia"/>
        </w:rPr>
        <w:t>二、机构设置</w:t>
      </w:r>
      <w:r>
        <w:tab/>
      </w:r>
      <w:r>
        <w:fldChar w:fldCharType="begin"/>
      </w:r>
      <w:r>
        <w:instrText xml:space="preserve"> PAGEREF _Toc15396601 \h </w:instrText>
      </w:r>
      <w:r>
        <w:fldChar w:fldCharType="separate"/>
      </w:r>
      <w:r>
        <w:t>4</w:t>
      </w:r>
      <w:r>
        <w:fldChar w:fldCharType="end"/>
      </w:r>
      <w:r>
        <w:fldChar w:fldCharType="end"/>
      </w:r>
    </w:p>
    <w:p>
      <w:pPr>
        <w:pStyle w:val="10"/>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pPr>
      <w:r>
        <w:fldChar w:fldCharType="begin"/>
      </w:r>
      <w:r>
        <w:instrText xml:space="preserve"> HYPERLINK \l "_Toc15396603" </w:instrText>
      </w:r>
      <w:r>
        <w:fldChar w:fldCharType="separate"/>
      </w:r>
      <w:r>
        <w:rPr>
          <w:rStyle w:val="14"/>
          <w:rFonts w:hint="eastAsia"/>
          <w:bCs/>
        </w:rPr>
        <w:t>一、</w:t>
      </w:r>
      <w:r>
        <w:rPr>
          <w:rStyle w:val="14"/>
          <w:rFonts w:hint="eastAsia"/>
        </w:rPr>
        <w:t>收</w:t>
      </w:r>
      <w:r>
        <w:rPr>
          <w:rStyle w:val="14"/>
          <w:rFonts w:hint="eastAsia"/>
          <w:bCs/>
        </w:rPr>
        <w:t>入支出决算总体情况说明</w:t>
      </w:r>
      <w:r>
        <w:tab/>
      </w:r>
      <w:r>
        <w:fldChar w:fldCharType="begin"/>
      </w:r>
      <w:r>
        <w:instrText xml:space="preserve"> PAGEREF _Toc15396603 \h </w:instrText>
      </w:r>
      <w:r>
        <w:fldChar w:fldCharType="separate"/>
      </w:r>
      <w:r>
        <w:t>5</w:t>
      </w:r>
      <w:r>
        <w:fldChar w:fldCharType="end"/>
      </w:r>
      <w:r>
        <w:fldChar w:fldCharType="end"/>
      </w:r>
    </w:p>
    <w:p>
      <w:pPr>
        <w:pStyle w:val="11"/>
      </w:pPr>
      <w:r>
        <w:fldChar w:fldCharType="begin"/>
      </w:r>
      <w:r>
        <w:instrText xml:space="preserve"> HYPERLINK \l "_Toc15396604" </w:instrText>
      </w:r>
      <w:r>
        <w:fldChar w:fldCharType="separate"/>
      </w:r>
      <w:r>
        <w:rPr>
          <w:rStyle w:val="14"/>
          <w:rFonts w:hint="eastAsia"/>
          <w:bCs/>
        </w:rPr>
        <w:t>二、</w:t>
      </w:r>
      <w:r>
        <w:rPr>
          <w:rStyle w:val="14"/>
          <w:rFonts w:hint="eastAsia"/>
        </w:rPr>
        <w:t>收</w:t>
      </w:r>
      <w:r>
        <w:rPr>
          <w:rStyle w:val="14"/>
          <w:rFonts w:hint="eastAsia"/>
          <w:bCs/>
        </w:rPr>
        <w:t>入决算情况说明</w:t>
      </w:r>
      <w:r>
        <w:tab/>
      </w:r>
      <w:r>
        <w:fldChar w:fldCharType="begin"/>
      </w:r>
      <w:r>
        <w:instrText xml:space="preserve"> PAGEREF _Toc15396604 \h </w:instrText>
      </w:r>
      <w:r>
        <w:fldChar w:fldCharType="separate"/>
      </w:r>
      <w:r>
        <w:t>5</w:t>
      </w:r>
      <w:r>
        <w:fldChar w:fldCharType="end"/>
      </w:r>
      <w:r>
        <w:fldChar w:fldCharType="end"/>
      </w:r>
    </w:p>
    <w:p>
      <w:pPr>
        <w:pStyle w:val="11"/>
      </w:pPr>
      <w:r>
        <w:fldChar w:fldCharType="begin"/>
      </w:r>
      <w:r>
        <w:instrText xml:space="preserve"> HYPERLINK \l "_Toc15396605" </w:instrText>
      </w:r>
      <w:r>
        <w:fldChar w:fldCharType="separate"/>
      </w:r>
      <w:r>
        <w:rPr>
          <w:rStyle w:val="14"/>
          <w:rFonts w:hint="eastAsia"/>
          <w:bCs/>
        </w:rPr>
        <w:t>三、</w:t>
      </w:r>
      <w:r>
        <w:rPr>
          <w:rStyle w:val="14"/>
          <w:rFonts w:hint="eastAsia"/>
        </w:rPr>
        <w:t>支</w:t>
      </w:r>
      <w:r>
        <w:rPr>
          <w:rStyle w:val="14"/>
          <w:rFonts w:hint="eastAsia"/>
          <w:bCs/>
        </w:rPr>
        <w:t>出决算情况说明</w:t>
      </w:r>
      <w:r>
        <w:tab/>
      </w:r>
      <w:r>
        <w:fldChar w:fldCharType="begin"/>
      </w:r>
      <w:r>
        <w:instrText xml:space="preserve"> PAGEREF _Toc15396605 \h </w:instrText>
      </w:r>
      <w:r>
        <w:fldChar w:fldCharType="separate"/>
      </w:r>
      <w:r>
        <w:t>5</w:t>
      </w:r>
      <w:r>
        <w:fldChar w:fldCharType="end"/>
      </w:r>
      <w:r>
        <w:fldChar w:fldCharType="end"/>
      </w:r>
    </w:p>
    <w:p>
      <w:pPr>
        <w:pStyle w:val="11"/>
      </w:pPr>
      <w:r>
        <w:fldChar w:fldCharType="begin"/>
      </w:r>
      <w:r>
        <w:instrText xml:space="preserve"> HYPERLINK \l "_Toc15396606" </w:instrText>
      </w:r>
      <w:r>
        <w:fldChar w:fldCharType="separate"/>
      </w:r>
      <w:r>
        <w:rPr>
          <w:rStyle w:val="14"/>
          <w:rFonts w:hint="eastAsia"/>
        </w:rPr>
        <w:t>四、财</w:t>
      </w:r>
      <w:r>
        <w:rPr>
          <w:rStyle w:val="14"/>
          <w:rFonts w:hint="eastAsia"/>
          <w:bCs/>
        </w:rPr>
        <w:t>政拨款收入支出决算总体情况说明</w:t>
      </w:r>
      <w:r>
        <w:tab/>
      </w:r>
      <w:r>
        <w:fldChar w:fldCharType="begin"/>
      </w:r>
      <w:r>
        <w:instrText xml:space="preserve"> PAGEREF _Toc15396606 \h </w:instrText>
      </w:r>
      <w:r>
        <w:fldChar w:fldCharType="separate"/>
      </w:r>
      <w:r>
        <w:t>6</w:t>
      </w:r>
      <w:r>
        <w:fldChar w:fldCharType="end"/>
      </w:r>
      <w:r>
        <w:fldChar w:fldCharType="end"/>
      </w:r>
    </w:p>
    <w:p>
      <w:pPr>
        <w:pStyle w:val="11"/>
      </w:pPr>
      <w:r>
        <w:fldChar w:fldCharType="begin"/>
      </w:r>
      <w:r>
        <w:instrText xml:space="preserve"> HYPERLINK \l "_Toc15396607" </w:instrText>
      </w:r>
      <w:r>
        <w:fldChar w:fldCharType="separate"/>
      </w:r>
      <w:r>
        <w:rPr>
          <w:rStyle w:val="14"/>
          <w:rFonts w:hint="eastAsia"/>
        </w:rPr>
        <w:t>五、一</w:t>
      </w:r>
      <w:r>
        <w:rPr>
          <w:rStyle w:val="14"/>
          <w:rFonts w:hint="eastAsia"/>
          <w:bCs/>
        </w:rPr>
        <w:t>般公共预算财政拨款支出决算情况说明</w:t>
      </w:r>
      <w:r>
        <w:tab/>
      </w:r>
      <w:r>
        <w:fldChar w:fldCharType="begin"/>
      </w:r>
      <w:r>
        <w:instrText xml:space="preserve"> PAGEREF _Toc15396607 \h </w:instrText>
      </w:r>
      <w:r>
        <w:fldChar w:fldCharType="separate"/>
      </w:r>
      <w:r>
        <w:t>6</w:t>
      </w:r>
      <w:r>
        <w:fldChar w:fldCharType="end"/>
      </w:r>
      <w:r>
        <w:fldChar w:fldCharType="end"/>
      </w:r>
    </w:p>
    <w:p>
      <w:pPr>
        <w:pStyle w:val="11"/>
      </w:pPr>
      <w:r>
        <w:fldChar w:fldCharType="begin"/>
      </w:r>
      <w:r>
        <w:instrText xml:space="preserve"> HYPERLINK \l "_Toc15396608" </w:instrText>
      </w:r>
      <w:r>
        <w:fldChar w:fldCharType="separate"/>
      </w:r>
      <w:r>
        <w:rPr>
          <w:rStyle w:val="14"/>
          <w:rFonts w:hint="eastAsia"/>
        </w:rPr>
        <w:t>六、一</w:t>
      </w:r>
      <w:r>
        <w:rPr>
          <w:rStyle w:val="14"/>
          <w:rFonts w:hint="eastAsia"/>
          <w:bCs/>
        </w:rPr>
        <w:t>般公共预算财政拨款基本支出决算情况说明</w:t>
      </w:r>
      <w:r>
        <w:tab/>
      </w:r>
      <w:r>
        <w:fldChar w:fldCharType="begin"/>
      </w:r>
      <w:r>
        <w:instrText xml:space="preserve"> PAGEREF _Toc15396608 \h </w:instrText>
      </w:r>
      <w:r>
        <w:fldChar w:fldCharType="separate"/>
      </w:r>
      <w:r>
        <w:t>8</w:t>
      </w:r>
      <w:r>
        <w:fldChar w:fldCharType="end"/>
      </w:r>
      <w:r>
        <w:fldChar w:fldCharType="end"/>
      </w:r>
    </w:p>
    <w:p>
      <w:pPr>
        <w:pStyle w:val="11"/>
      </w:pPr>
      <w:r>
        <w:fldChar w:fldCharType="begin"/>
      </w:r>
      <w:r>
        <w:instrText xml:space="preserve"> HYPERLINK \l "_Toc15396609" </w:instrText>
      </w:r>
      <w:r>
        <w:fldChar w:fldCharType="separate"/>
      </w:r>
      <w:r>
        <w:rPr>
          <w:rStyle w:val="14"/>
          <w:rFonts w:hint="eastAsia"/>
        </w:rPr>
        <w:t>七、</w:t>
      </w:r>
      <w:r>
        <w:rPr>
          <w:rStyle w:val="14"/>
        </w:rPr>
        <w:t>“</w:t>
      </w:r>
      <w:r>
        <w:rPr>
          <w:rStyle w:val="14"/>
          <w:rFonts w:hint="eastAsia"/>
          <w:bCs/>
        </w:rPr>
        <w:t>三公”经费财政拨款支出决算情况说明</w:t>
      </w:r>
      <w:r>
        <w:tab/>
      </w:r>
      <w:r>
        <w:fldChar w:fldCharType="begin"/>
      </w:r>
      <w:r>
        <w:instrText xml:space="preserve"> PAGEREF _Toc15396609 \h </w:instrText>
      </w:r>
      <w:r>
        <w:fldChar w:fldCharType="separate"/>
      </w:r>
      <w:r>
        <w:t>8</w:t>
      </w:r>
      <w:r>
        <w:fldChar w:fldCharType="end"/>
      </w:r>
      <w:r>
        <w:fldChar w:fldCharType="end"/>
      </w:r>
    </w:p>
    <w:p>
      <w:pPr>
        <w:pStyle w:val="11"/>
      </w:pPr>
      <w:r>
        <w:fldChar w:fldCharType="begin"/>
      </w:r>
      <w:r>
        <w:instrText xml:space="preserve"> HYPERLINK \l "_Toc15396610" </w:instrText>
      </w:r>
      <w:r>
        <w:fldChar w:fldCharType="separate"/>
      </w:r>
      <w:r>
        <w:rPr>
          <w:rStyle w:val="14"/>
          <w:rFonts w:hint="eastAsia"/>
        </w:rPr>
        <w:t>八、</w:t>
      </w:r>
      <w:r>
        <w:rPr>
          <w:rStyle w:val="14"/>
          <w:rFonts w:hint="eastAsia"/>
          <w:bCs/>
        </w:rPr>
        <w:t>政府性基金预算支出决算情况说明</w:t>
      </w:r>
      <w:r>
        <w:tab/>
      </w:r>
      <w:r>
        <w:fldChar w:fldCharType="begin"/>
      </w:r>
      <w:r>
        <w:instrText xml:space="preserve"> PAGEREF _Toc15396610 \h </w:instrText>
      </w:r>
      <w:r>
        <w:fldChar w:fldCharType="separate"/>
      </w:r>
      <w:r>
        <w:t>10</w:t>
      </w:r>
      <w:r>
        <w:fldChar w:fldCharType="end"/>
      </w:r>
      <w:r>
        <w:fldChar w:fldCharType="end"/>
      </w:r>
    </w:p>
    <w:p>
      <w:pPr>
        <w:pStyle w:val="11"/>
      </w:pPr>
      <w:r>
        <w:fldChar w:fldCharType="begin"/>
      </w:r>
      <w:r>
        <w:instrText xml:space="preserve"> HYPERLINK \l "_Toc15396611" </w:instrText>
      </w:r>
      <w:r>
        <w:fldChar w:fldCharType="separate"/>
      </w:r>
      <w:r>
        <w:rPr>
          <w:rStyle w:val="14"/>
          <w:rFonts w:hint="eastAsia"/>
          <w:bCs/>
        </w:rPr>
        <w:t>九、</w:t>
      </w:r>
      <w:r>
        <w:rPr>
          <w:rStyle w:val="14"/>
          <w:rFonts w:hint="eastAsia"/>
        </w:rPr>
        <w:t xml:space="preserve"> 国</w:t>
      </w:r>
      <w:r>
        <w:rPr>
          <w:rStyle w:val="14"/>
          <w:rFonts w:hint="eastAsia"/>
          <w:bCs/>
        </w:rPr>
        <w:t>有资本经营预算支出决算情况说明</w:t>
      </w:r>
      <w:r>
        <w:tab/>
      </w:r>
      <w:r>
        <w:fldChar w:fldCharType="begin"/>
      </w:r>
      <w:r>
        <w:instrText xml:space="preserve"> PAGEREF _Toc15396611 \h </w:instrText>
      </w:r>
      <w:r>
        <w:fldChar w:fldCharType="separate"/>
      </w:r>
      <w:r>
        <w:t>10</w:t>
      </w:r>
      <w:r>
        <w:fldChar w:fldCharType="end"/>
      </w:r>
      <w:r>
        <w:fldChar w:fldCharType="end"/>
      </w:r>
    </w:p>
    <w:p>
      <w:pPr>
        <w:pStyle w:val="11"/>
        <w:rPr>
          <w:rStyle w:val="14"/>
          <w:bCs/>
          <w:color w:val="auto"/>
          <w:u w:val="none"/>
        </w:rPr>
      </w:pPr>
      <w:r>
        <w:rPr>
          <w:rStyle w:val="14"/>
          <w:rFonts w:hint="eastAsia"/>
          <w:bCs/>
          <w:color w:val="auto"/>
          <w:u w:val="none"/>
        </w:rPr>
        <w:t>十、预算绩效情况说明</w:t>
      </w:r>
      <w:r>
        <w:rPr>
          <w:rStyle w:val="14"/>
          <w:bCs/>
          <w:color w:val="auto"/>
          <w:u w:val="none"/>
        </w:rPr>
        <w:tab/>
      </w:r>
      <w:r>
        <w:rPr>
          <w:rStyle w:val="14"/>
          <w:rFonts w:hint="eastAsia"/>
          <w:bCs/>
          <w:color w:val="auto"/>
          <w:u w:val="none"/>
        </w:rPr>
        <w:t>.11</w:t>
      </w:r>
    </w:p>
    <w:p>
      <w:pPr>
        <w:pStyle w:val="11"/>
      </w:pPr>
      <w:r>
        <w:fldChar w:fldCharType="begin"/>
      </w:r>
      <w:r>
        <w:instrText xml:space="preserve"> HYPERLINK \l "_Toc15396612" </w:instrText>
      </w:r>
      <w:r>
        <w:fldChar w:fldCharType="separate"/>
      </w:r>
      <w:r>
        <w:rPr>
          <w:rStyle w:val="14"/>
          <w:rFonts w:hint="eastAsia"/>
        </w:rPr>
        <w:t>十</w:t>
      </w:r>
      <w:r>
        <w:rPr>
          <w:rStyle w:val="14"/>
          <w:rFonts w:hint="eastAsia"/>
          <w:bCs/>
        </w:rPr>
        <w:t>一、其他重要事项的情况说明</w:t>
      </w:r>
      <w:r>
        <w:tab/>
      </w:r>
      <w:r>
        <w:fldChar w:fldCharType="begin"/>
      </w:r>
      <w:r>
        <w:instrText xml:space="preserve"> PAGEREF _Toc15396612 \h </w:instrText>
      </w:r>
      <w:r>
        <w:fldChar w:fldCharType="separate"/>
      </w:r>
      <w:r>
        <w:t>14</w:t>
      </w:r>
      <w:r>
        <w:fldChar w:fldCharType="end"/>
      </w:r>
      <w:r>
        <w:fldChar w:fldCharType="end"/>
      </w:r>
    </w:p>
    <w:p>
      <w:pPr>
        <w:pStyle w:val="10"/>
      </w:pPr>
      <w:r>
        <w:fldChar w:fldCharType="begin"/>
      </w:r>
      <w:r>
        <w:instrText xml:space="preserve"> HYPERLINK \l "_Toc15396613" </w:instrText>
      </w:r>
      <w:r>
        <w:fldChar w:fldCharType="separate"/>
      </w:r>
      <w:r>
        <w:rPr>
          <w:rStyle w:val="14"/>
          <w:rFonts w:hint="eastAsia"/>
          <w:bCs/>
          <w:kern w:val="44"/>
        </w:rPr>
        <w:t>第三部分</w:t>
      </w:r>
      <w:r>
        <w:rPr>
          <w:rStyle w:val="14"/>
          <w:rFonts w:hint="eastAsia"/>
        </w:rPr>
        <w:t xml:space="preserve"> 名</w:t>
      </w:r>
      <w:r>
        <w:rPr>
          <w:rStyle w:val="14"/>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pPr>
      <w:r>
        <w:fldChar w:fldCharType="begin"/>
      </w:r>
      <w:r>
        <w:instrText xml:space="preserve"> HYPERLINK \l "_Toc15396615" </w:instrText>
      </w:r>
      <w:r>
        <w:fldChar w:fldCharType="separate"/>
      </w:r>
      <w:r>
        <w:rPr>
          <w:rStyle w:val="14"/>
          <w:rFonts w:hint="eastAsia"/>
          <w:kern w:val="44"/>
        </w:rPr>
        <w:t>附件</w:t>
      </w:r>
      <w:r>
        <w:rPr>
          <w:rStyle w:val="14"/>
          <w:kern w:val="44"/>
        </w:rPr>
        <w:t>1</w:t>
      </w:r>
      <w:r>
        <w:tab/>
      </w:r>
      <w:r>
        <w:fldChar w:fldCharType="begin"/>
      </w:r>
      <w:r>
        <w:instrText xml:space="preserve"> PAGEREF _Toc15396615 \h </w:instrText>
      </w:r>
      <w:r>
        <w:fldChar w:fldCharType="separate"/>
      </w:r>
      <w:r>
        <w:t>19</w:t>
      </w:r>
      <w:r>
        <w:fldChar w:fldCharType="end"/>
      </w:r>
      <w:r>
        <w:fldChar w:fldCharType="end"/>
      </w:r>
    </w:p>
    <w:p>
      <w:pPr>
        <w:pStyle w:val="11"/>
      </w:pPr>
      <w:r>
        <w:fldChar w:fldCharType="begin"/>
      </w:r>
      <w:r>
        <w:instrText xml:space="preserve"> HYPERLINK \l "_Toc15396617" </w:instrText>
      </w:r>
      <w:r>
        <w:fldChar w:fldCharType="separate"/>
      </w:r>
      <w:r>
        <w:rPr>
          <w:rStyle w:val="14"/>
          <w:rFonts w:hint="eastAsia"/>
          <w:kern w:val="44"/>
        </w:rPr>
        <w:t>附件</w:t>
      </w:r>
      <w:r>
        <w:rPr>
          <w:rStyle w:val="14"/>
          <w:kern w:val="44"/>
        </w:rPr>
        <w:t>2</w:t>
      </w:r>
      <w:r>
        <w:tab/>
      </w:r>
      <w:r>
        <w:fldChar w:fldCharType="begin"/>
      </w:r>
      <w:r>
        <w:instrText xml:space="preserve"> PAGEREF _Toc15396617 \h </w:instrText>
      </w:r>
      <w:r>
        <w:fldChar w:fldCharType="separate"/>
      </w:r>
      <w:r>
        <w:t>21</w:t>
      </w:r>
      <w:r>
        <w:fldChar w:fldCharType="end"/>
      </w:r>
      <w:r>
        <w:fldChar w:fldCharType="end"/>
      </w:r>
    </w:p>
    <w:p>
      <w:pPr>
        <w:pStyle w:val="10"/>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pPr>
      <w:r>
        <w:rPr>
          <w:rFonts w:hint="eastAsia"/>
        </w:rPr>
        <w:t>一、</w:t>
      </w:r>
      <w:r>
        <w:fldChar w:fldCharType="begin"/>
      </w:r>
      <w:r>
        <w:instrText xml:space="preserve"> HYPERLINK \l "_Toc15396619" </w:instrText>
      </w:r>
      <w:r>
        <w:fldChar w:fldCharType="separate"/>
      </w:r>
      <w:r>
        <w:rPr>
          <w:rStyle w:val="14"/>
          <w:rFonts w:hint="eastAsia"/>
        </w:rPr>
        <w:t>收入支出决算总表</w:t>
      </w:r>
      <w:r>
        <w:tab/>
      </w:r>
      <w:r>
        <w:fldChar w:fldCharType="begin"/>
      </w:r>
      <w:r>
        <w:instrText xml:space="preserve"> PAGEREF _Toc15396619 \h </w:instrText>
      </w:r>
      <w:r>
        <w:fldChar w:fldCharType="separate"/>
      </w:r>
      <w:r>
        <w:t>22</w:t>
      </w:r>
      <w:r>
        <w:fldChar w:fldCharType="end"/>
      </w:r>
      <w:r>
        <w:fldChar w:fldCharType="end"/>
      </w:r>
    </w:p>
    <w:p>
      <w:pPr>
        <w:pStyle w:val="11"/>
      </w:pPr>
      <w:r>
        <w:rPr>
          <w:rFonts w:hint="eastAsia"/>
        </w:rPr>
        <w:t>二、</w:t>
      </w:r>
      <w:r>
        <w:fldChar w:fldCharType="begin"/>
      </w:r>
      <w:r>
        <w:instrText xml:space="preserve"> HYPERLINK \l "_Toc15396620" </w:instrText>
      </w:r>
      <w:r>
        <w:fldChar w:fldCharType="separate"/>
      </w:r>
      <w:r>
        <w:rPr>
          <w:rStyle w:val="14"/>
          <w:rFonts w:hint="eastAsia"/>
        </w:rPr>
        <w:t>收入总表</w:t>
      </w:r>
      <w:r>
        <w:tab/>
      </w:r>
      <w:r>
        <w:fldChar w:fldCharType="begin"/>
      </w:r>
      <w:r>
        <w:instrText xml:space="preserve"> PAGEREF _Toc15396620 \h </w:instrText>
      </w:r>
      <w:r>
        <w:fldChar w:fldCharType="separate"/>
      </w:r>
      <w:r>
        <w:t>22</w:t>
      </w:r>
      <w:r>
        <w:fldChar w:fldCharType="end"/>
      </w:r>
      <w:r>
        <w:fldChar w:fldCharType="end"/>
      </w:r>
    </w:p>
    <w:p>
      <w:pPr>
        <w:pStyle w:val="11"/>
      </w:pPr>
      <w:r>
        <w:rPr>
          <w:rFonts w:hint="eastAsia"/>
        </w:rPr>
        <w:t>三、</w:t>
      </w:r>
      <w:r>
        <w:fldChar w:fldCharType="begin"/>
      </w:r>
      <w:r>
        <w:instrText xml:space="preserve"> HYPERLINK \l "_Toc15396621" </w:instrText>
      </w:r>
      <w:r>
        <w:fldChar w:fldCharType="separate"/>
      </w:r>
      <w:r>
        <w:rPr>
          <w:rStyle w:val="14"/>
          <w:rFonts w:hint="eastAsia"/>
        </w:rPr>
        <w:t>支出总表</w:t>
      </w:r>
      <w:r>
        <w:tab/>
      </w:r>
      <w:r>
        <w:fldChar w:fldCharType="begin"/>
      </w:r>
      <w:r>
        <w:instrText xml:space="preserve"> PAGEREF _Toc15396621 \h </w:instrText>
      </w:r>
      <w:r>
        <w:fldChar w:fldCharType="separate"/>
      </w:r>
      <w:r>
        <w:t>22</w:t>
      </w:r>
      <w:r>
        <w:fldChar w:fldCharType="end"/>
      </w:r>
      <w:r>
        <w:fldChar w:fldCharType="end"/>
      </w:r>
    </w:p>
    <w:p>
      <w:pPr>
        <w:pStyle w:val="11"/>
      </w:pPr>
      <w:r>
        <w:rPr>
          <w:rFonts w:hint="eastAsia"/>
        </w:rPr>
        <w:t>四、</w:t>
      </w:r>
      <w:r>
        <w:fldChar w:fldCharType="begin"/>
      </w:r>
      <w:r>
        <w:instrText xml:space="preserve"> HYPERLINK \l "_Toc15396622" </w:instrText>
      </w:r>
      <w:r>
        <w:fldChar w:fldCharType="separate"/>
      </w:r>
      <w:r>
        <w:rPr>
          <w:rStyle w:val="14"/>
          <w:rFonts w:hint="eastAsia"/>
        </w:rPr>
        <w:t>财政拨款收入支出决算总表</w:t>
      </w:r>
      <w:r>
        <w:tab/>
      </w:r>
      <w:r>
        <w:fldChar w:fldCharType="begin"/>
      </w:r>
      <w:r>
        <w:instrText xml:space="preserve"> PAGEREF _Toc15396622 \h </w:instrText>
      </w:r>
      <w:r>
        <w:fldChar w:fldCharType="separate"/>
      </w:r>
      <w:r>
        <w:t>22</w:t>
      </w:r>
      <w:r>
        <w:fldChar w:fldCharType="end"/>
      </w:r>
      <w:r>
        <w:fldChar w:fldCharType="end"/>
      </w:r>
    </w:p>
    <w:p>
      <w:pPr>
        <w:pStyle w:val="11"/>
      </w:pPr>
      <w:r>
        <w:rPr>
          <w:rFonts w:hint="eastAsia"/>
        </w:rPr>
        <w:t>五、</w:t>
      </w:r>
      <w:r>
        <w:fldChar w:fldCharType="begin"/>
      </w:r>
      <w:r>
        <w:instrText xml:space="preserve"> HYPERLINK \l "_Toc15396623" </w:instrText>
      </w:r>
      <w:r>
        <w:fldChar w:fldCharType="separate"/>
      </w:r>
      <w:r>
        <w:rPr>
          <w:rFonts w:hint="eastAsia"/>
        </w:rPr>
        <w:t>财政拨款支出决算明细表（政府经济分类科目）</w:t>
      </w:r>
      <w:r>
        <w:tab/>
      </w:r>
      <w:r>
        <w:fldChar w:fldCharType="begin"/>
      </w:r>
      <w:r>
        <w:instrText xml:space="preserve"> PAGEREF _Toc15396623 \h </w:instrText>
      </w:r>
      <w:r>
        <w:fldChar w:fldCharType="separate"/>
      </w:r>
      <w:r>
        <w:t>22</w:t>
      </w:r>
      <w:r>
        <w:fldChar w:fldCharType="end"/>
      </w:r>
      <w:r>
        <w:fldChar w:fldCharType="end"/>
      </w:r>
    </w:p>
    <w:p>
      <w:pPr>
        <w:pStyle w:val="11"/>
      </w:pPr>
      <w:r>
        <w:rPr>
          <w:rFonts w:hint="eastAsia"/>
        </w:rPr>
        <w:t>六、</w:t>
      </w:r>
      <w:r>
        <w:fldChar w:fldCharType="begin"/>
      </w:r>
      <w:r>
        <w:instrText xml:space="preserve"> HYPERLINK \l "_Toc15396624" </w:instrText>
      </w:r>
      <w:r>
        <w:fldChar w:fldCharType="separate"/>
      </w:r>
      <w:r>
        <w:rPr>
          <w:rStyle w:val="14"/>
          <w:rFonts w:hint="eastAsia"/>
        </w:rPr>
        <w:t>一般公共预算财政拨款支出决算表</w:t>
      </w:r>
      <w:r>
        <w:tab/>
      </w:r>
      <w:r>
        <w:fldChar w:fldCharType="begin"/>
      </w:r>
      <w:r>
        <w:instrText xml:space="preserve"> PAGEREF _Toc15396624 \h </w:instrText>
      </w:r>
      <w:r>
        <w:fldChar w:fldCharType="separate"/>
      </w:r>
      <w:r>
        <w:t>22</w:t>
      </w:r>
      <w:r>
        <w:fldChar w:fldCharType="end"/>
      </w:r>
      <w:r>
        <w:fldChar w:fldCharType="end"/>
      </w:r>
    </w:p>
    <w:p>
      <w:pPr>
        <w:pStyle w:val="11"/>
      </w:pPr>
      <w:r>
        <w:rPr>
          <w:rFonts w:hint="eastAsia"/>
        </w:rPr>
        <w:t>七、</w:t>
      </w:r>
      <w:r>
        <w:fldChar w:fldCharType="begin"/>
      </w:r>
      <w:r>
        <w:instrText xml:space="preserve"> HYPERLINK \l "_Toc15396625" </w:instrText>
      </w:r>
      <w:r>
        <w:fldChar w:fldCharType="separate"/>
      </w:r>
      <w:r>
        <w:rPr>
          <w:rStyle w:val="14"/>
          <w:rFonts w:hint="eastAsia"/>
        </w:rPr>
        <w:t>一般公共预算财政拨款支出决算明细表</w:t>
      </w:r>
      <w:r>
        <w:tab/>
      </w:r>
      <w:r>
        <w:fldChar w:fldCharType="begin"/>
      </w:r>
      <w:r>
        <w:instrText xml:space="preserve"> PAGEREF _Toc15396625 \h </w:instrText>
      </w:r>
      <w:r>
        <w:fldChar w:fldCharType="separate"/>
      </w:r>
      <w:r>
        <w:t>22</w:t>
      </w:r>
      <w:r>
        <w:fldChar w:fldCharType="end"/>
      </w:r>
      <w:r>
        <w:fldChar w:fldCharType="end"/>
      </w:r>
    </w:p>
    <w:p>
      <w:pPr>
        <w:pStyle w:val="11"/>
      </w:pPr>
      <w:r>
        <w:rPr>
          <w:rFonts w:hint="eastAsia"/>
        </w:rPr>
        <w:t>八、</w:t>
      </w:r>
      <w:r>
        <w:fldChar w:fldCharType="begin"/>
      </w:r>
      <w:r>
        <w:instrText xml:space="preserve"> HYPERLINK \l "_Toc15396626" </w:instrText>
      </w:r>
      <w:r>
        <w:fldChar w:fldCharType="separate"/>
      </w:r>
      <w:r>
        <w:rPr>
          <w:rStyle w:val="14"/>
          <w:rFonts w:hint="eastAsia"/>
        </w:rPr>
        <w:t>一般公共预算财政拨款基本支出决算表</w:t>
      </w:r>
      <w:r>
        <w:tab/>
      </w:r>
      <w:r>
        <w:fldChar w:fldCharType="begin"/>
      </w:r>
      <w:r>
        <w:instrText xml:space="preserve"> PAGEREF _Toc15396626 \h </w:instrText>
      </w:r>
      <w:r>
        <w:fldChar w:fldCharType="separate"/>
      </w:r>
      <w:r>
        <w:t>22</w:t>
      </w:r>
      <w:r>
        <w:fldChar w:fldCharType="end"/>
      </w:r>
      <w:r>
        <w:fldChar w:fldCharType="end"/>
      </w:r>
    </w:p>
    <w:p>
      <w:pPr>
        <w:pStyle w:val="11"/>
      </w:pPr>
      <w:r>
        <w:rPr>
          <w:rFonts w:hint="eastAsia"/>
        </w:rPr>
        <w:t>九、</w:t>
      </w:r>
      <w:r>
        <w:fldChar w:fldCharType="begin"/>
      </w:r>
      <w:r>
        <w:instrText xml:space="preserve"> HYPERLINK \l "_Toc15396627" </w:instrText>
      </w:r>
      <w:r>
        <w:fldChar w:fldCharType="separate"/>
      </w:r>
      <w:r>
        <w:rPr>
          <w:rStyle w:val="14"/>
          <w:rFonts w:hint="eastAsia"/>
        </w:rPr>
        <w:t>一般公共预算财政拨款项目支出决算表</w:t>
      </w:r>
      <w:r>
        <w:tab/>
      </w:r>
      <w:r>
        <w:fldChar w:fldCharType="begin"/>
      </w:r>
      <w:r>
        <w:instrText xml:space="preserve"> PAGEREF _Toc15396627 \h </w:instrText>
      </w:r>
      <w:r>
        <w:fldChar w:fldCharType="separate"/>
      </w:r>
      <w:r>
        <w:t>22</w:t>
      </w:r>
      <w:r>
        <w:fldChar w:fldCharType="end"/>
      </w:r>
      <w:r>
        <w:fldChar w:fldCharType="end"/>
      </w:r>
    </w:p>
    <w:p>
      <w:pPr>
        <w:pStyle w:val="11"/>
      </w:pPr>
      <w:r>
        <w:rPr>
          <w:rFonts w:hint="eastAsia"/>
        </w:rPr>
        <w:t>十、</w:t>
      </w:r>
      <w:r>
        <w:fldChar w:fldCharType="begin"/>
      </w:r>
      <w:r>
        <w:instrText xml:space="preserve"> HYPERLINK \l "_Toc15396628" </w:instrText>
      </w:r>
      <w:r>
        <w:fldChar w:fldCharType="separate"/>
      </w:r>
      <w:r>
        <w:rPr>
          <w:rStyle w:val="14"/>
          <w:rFonts w:hint="eastAsia"/>
        </w:rPr>
        <w:t>一般公共预算财政拨款“三公”经费支出决算表</w:t>
      </w:r>
      <w:r>
        <w:tab/>
      </w:r>
      <w:r>
        <w:fldChar w:fldCharType="begin"/>
      </w:r>
      <w:r>
        <w:instrText xml:space="preserve"> PAGEREF _Toc15396628 \h </w:instrText>
      </w:r>
      <w:r>
        <w:fldChar w:fldCharType="separate"/>
      </w:r>
      <w:r>
        <w:t>22</w:t>
      </w:r>
      <w:r>
        <w:fldChar w:fldCharType="end"/>
      </w:r>
      <w:r>
        <w:fldChar w:fldCharType="end"/>
      </w:r>
    </w:p>
    <w:p>
      <w:pPr>
        <w:pStyle w:val="11"/>
      </w:pPr>
      <w:r>
        <w:rPr>
          <w:rFonts w:hint="eastAsia"/>
        </w:rPr>
        <w:t>十一、</w:t>
      </w:r>
      <w:r>
        <w:fldChar w:fldCharType="begin"/>
      </w:r>
      <w:r>
        <w:instrText xml:space="preserve"> HYPERLINK \l "_Toc15396629" </w:instrText>
      </w:r>
      <w:r>
        <w:fldChar w:fldCharType="separate"/>
      </w:r>
      <w:r>
        <w:rPr>
          <w:rStyle w:val="14"/>
          <w:rFonts w:hint="eastAsia"/>
        </w:rPr>
        <w:t>政府性基金预算财政拨款收入支出决算表</w:t>
      </w:r>
      <w:r>
        <w:tab/>
      </w:r>
      <w:r>
        <w:fldChar w:fldCharType="begin"/>
      </w:r>
      <w:r>
        <w:instrText xml:space="preserve"> PAGEREF _Toc15396629 \h </w:instrText>
      </w:r>
      <w:r>
        <w:fldChar w:fldCharType="separate"/>
      </w:r>
      <w:r>
        <w:t>22</w:t>
      </w:r>
      <w:r>
        <w:fldChar w:fldCharType="end"/>
      </w:r>
      <w:r>
        <w:fldChar w:fldCharType="end"/>
      </w:r>
    </w:p>
    <w:p>
      <w:pPr>
        <w:pStyle w:val="11"/>
      </w:pPr>
      <w:r>
        <w:rPr>
          <w:rFonts w:hint="eastAsia"/>
        </w:rPr>
        <w:t>十二、</w:t>
      </w:r>
      <w:r>
        <w:fldChar w:fldCharType="begin"/>
      </w:r>
      <w:r>
        <w:instrText xml:space="preserve"> HYPERLINK \l "_Toc15396630" </w:instrText>
      </w:r>
      <w:r>
        <w:fldChar w:fldCharType="separate"/>
      </w:r>
      <w:r>
        <w:rPr>
          <w:rStyle w:val="14"/>
          <w:rFonts w:hint="eastAsia"/>
        </w:rPr>
        <w:t>政府性基金预算财政拨款“三公”经费支出决算表</w:t>
      </w:r>
      <w:r>
        <w:tab/>
      </w:r>
      <w:r>
        <w:fldChar w:fldCharType="begin"/>
      </w:r>
      <w:r>
        <w:instrText xml:space="preserve"> PAGEREF _Toc15396630 \h </w:instrText>
      </w:r>
      <w:r>
        <w:fldChar w:fldCharType="separate"/>
      </w:r>
      <w:r>
        <w:t>22</w:t>
      </w:r>
      <w:r>
        <w:fldChar w:fldCharType="end"/>
      </w:r>
      <w:r>
        <w:fldChar w:fldCharType="end"/>
      </w:r>
    </w:p>
    <w:p>
      <w:pPr>
        <w:pStyle w:val="11"/>
        <w:rPr>
          <w:sz w:val="24"/>
        </w:rPr>
      </w:pPr>
      <w:r>
        <w:rPr>
          <w:rFonts w:hint="eastAsia"/>
        </w:rPr>
        <w:t>十三、</w:t>
      </w:r>
      <w:r>
        <w:fldChar w:fldCharType="begin"/>
      </w:r>
      <w:r>
        <w:instrText xml:space="preserve"> HYPERLINK \l "_Toc15396631" </w:instrText>
      </w:r>
      <w:r>
        <w:fldChar w:fldCharType="separate"/>
      </w:r>
      <w:r>
        <w:rPr>
          <w:rStyle w:val="14"/>
          <w:rFonts w:hint="eastAsia"/>
        </w:rPr>
        <w:t>国有资本经营预算支出决算表</w:t>
      </w:r>
      <w:r>
        <w:tab/>
      </w:r>
      <w:r>
        <w:fldChar w:fldCharType="begin"/>
      </w:r>
      <w:r>
        <w:instrText xml:space="preserve"> PAGEREF _Toc15396631 \h </w:instrText>
      </w:r>
      <w:r>
        <w:fldChar w:fldCharType="separate"/>
      </w:r>
      <w:r>
        <w:t>22</w:t>
      </w:r>
      <w:r>
        <w:fldChar w:fldCharType="end"/>
      </w:r>
      <w: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0"/>
          <w:rFonts w:ascii="黑体" w:hAnsi="黑体" w:eastAsia="黑体"/>
          <w:b/>
          <w:bCs w:val="0"/>
        </w:rPr>
      </w:pPr>
      <w:r>
        <w:rPr>
          <w:rFonts w:hint="eastAsia" w:ascii="黑体" w:hAnsi="黑体" w:eastAsia="黑体"/>
          <w:b w:val="0"/>
        </w:rPr>
        <w:t xml:space="preserve">第一部分 </w:t>
      </w:r>
      <w:r>
        <w:rPr>
          <w:rStyle w:val="20"/>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4"/>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4"/>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autoSpaceDE w:val="0"/>
        <w:autoSpaceDN w:val="0"/>
        <w:adjustRightInd w:val="0"/>
        <w:spacing w:line="360" w:lineRule="auto"/>
        <w:ind w:firstLine="640" w:firstLineChars="200"/>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1.贯彻执行国家、省、市、区有关城市管理的法律、法规和政策；拟订全区城市管理发展规划、实施计划、规范性文件、管理标准，会同相关部门拟订城市管理工作目标，并组织实施。</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2.负责城市管理的行政执法、行政复议工作。集中行使市容环境卫生管理、城市绿化管理、市政设施管理、公用事业管理方面法律、法规、规章规定的行政处罚权。</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3.负责城市市容环境卫生综合管理工作。依法对城市市容环境卫生实施监督检查和考核；负责环境卫生作业企业的行业管理。</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4.负责全区市政公用设施综合管理工作。拟订市政公用设施发展计划并组织实施；负责对全区城市道路、城市道路桥梁、隧洞、城市照明及其附属设施等市政基础设施行业指导及监督管理工作。参与临时占用城市道路的机动车、非机动车停车场（点）的规划定点工作；负责建成区城市主干道、次干道、支干道及其背街小巷城市照明及其附属设施的维护、维修、管理工作；负责建成区事权内城市雕塑的维护和管理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5.负责全区城市绿化管理和监督。负责对全区城市园林绿化行业的管理、业务指导、培训、督促和检查；负责城市园林绿化管理标准和城市园林绿化建设工程有关管理规范的制定；负责城市建成区城市主干道、次干道、支干道及其背街小巷道路两侧的行道树及其附属公共绿地的管理；负责城市规划区古树名木的保护管理工作；负责对权限内园林绿化企业监督管理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6.综合管理城管系统的安全工作；负责燃气行业综合管理工作。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7.收集城市管理信息，组织开发、利用城市管理科学技术研究和科技成果的转化与推广运用工作。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8.拟订城市管理工作经费的中长期计划和年度计划；承担城市生活垃圾处理费的收取工作；会同有关部门对使用情况实施监督管理。</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9.参与城市新建、改扩建项目中涉及市容环境卫生、园林绿化、市政公用设施建设项目的规划、方案审查、综合验收和监督管理。</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10.承担区政府公布的有关行政审批事项。</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cs="仿宋_GB2312-WinCharSetFFFF-H"/>
          <w:kern w:val="0"/>
          <w:sz w:val="32"/>
          <w:szCs w:val="32"/>
        </w:rPr>
        <w:t>11.承办区政府交办的其他事项。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1.“四花”打造</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完成西区2018年四花打造，制定13个点位、线路打造。</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2.执法体制改革</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按照省、市、区执法体制改革推进工作部署要求，出台西区城市管理执法体制改革实施方案，整合机构设置，统一执法人员着装等。</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3.生活垃圾中转站建设</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完成选址、立项、环评、安评等前期工作并启动建设。</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4"/>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4"/>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2018年攀枝花市西区城市管理局下属二级单位4个，其中行政单位0个，参照公务员法管理的事业单位</w:t>
      </w:r>
      <w:r>
        <w:rPr>
          <w:rFonts w:hint="eastAsia" w:ascii="仿宋" w:hAnsi="仿宋" w:eastAsia="仿宋"/>
          <w:bCs/>
          <w:sz w:val="32"/>
          <w:szCs w:val="32"/>
        </w:rPr>
        <w:t>2</w:t>
      </w:r>
      <w:r>
        <w:rPr>
          <w:rFonts w:hint="eastAsia" w:ascii="仿宋" w:hAnsi="仿宋" w:eastAsia="仿宋"/>
          <w:sz w:val="32"/>
          <w:szCs w:val="32"/>
        </w:rPr>
        <w:t>个，其他事业单位2个。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纳入攀枝花市西区城市管理局2018年度部门决算编制范围的二级预算单位包括：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8448"/>
      <w:bookmarkStart w:id="23" w:name="_Toc15377201"/>
      <w:bookmarkStart w:id="24" w:name="_Toc15377432"/>
      <w:bookmarkStart w:id="25" w:name="_Toc15306275"/>
      <w:r>
        <w:rPr>
          <w:rFonts w:hint="eastAsia" w:ascii="仿宋" w:hAnsi="仿宋" w:eastAsia="仿宋"/>
          <w:color w:val="000000"/>
          <w:sz w:val="32"/>
          <w:szCs w:val="32"/>
        </w:rPr>
        <w:t>攀枝花市西区市容环境卫生管理局</w:t>
      </w:r>
      <w:bookmarkEnd w:id="22"/>
      <w:bookmarkEnd w:id="23"/>
      <w:bookmarkEnd w:id="24"/>
      <w:bookmarkEnd w:id="25"/>
      <w:bookmarkStart w:id="26" w:name="_Toc15377433"/>
      <w:bookmarkStart w:id="27" w:name="_Toc15306276"/>
      <w:bookmarkStart w:id="28" w:name="_Toc15378449"/>
      <w:bookmarkStart w:id="29" w:name="_Toc15377202"/>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攀枝花市西区城建监察大队</w:t>
      </w:r>
      <w:bookmarkEnd w:id="26"/>
      <w:bookmarkEnd w:id="27"/>
      <w:bookmarkEnd w:id="28"/>
      <w:bookmarkEnd w:id="29"/>
      <w:bookmarkStart w:id="30" w:name="_Toc15378450"/>
      <w:bookmarkStart w:id="31" w:name="_Toc15377203"/>
      <w:bookmarkStart w:id="32" w:name="_Toc15377434"/>
      <w:bookmarkStart w:id="33" w:name="_Toc15306277"/>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攀枝花市西区生活垃圾处理中心</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攀枝花市河门口公园</w:t>
      </w:r>
      <w:bookmarkEnd w:id="30"/>
      <w:bookmarkEnd w:id="31"/>
      <w:bookmarkEnd w:id="32"/>
      <w:bookmarkEnd w:id="33"/>
      <w:r>
        <w:rPr>
          <w:rFonts w:ascii="仿宋" w:hAnsi="仿宋" w:eastAsia="仿宋"/>
          <w:color w:val="000000"/>
          <w:sz w:val="32"/>
          <w:szCs w:val="32"/>
        </w:rPr>
        <w:br w:type="page"/>
      </w:r>
    </w:p>
    <w:p>
      <w:pPr>
        <w:pStyle w:val="2"/>
        <w:ind w:right="440"/>
        <w:jc w:val="right"/>
        <w:rPr>
          <w:rStyle w:val="20"/>
          <w:rFonts w:ascii="黑体" w:hAnsi="黑体" w:eastAsia="黑体"/>
          <w:b w:val="0"/>
          <w:bCs w:val="0"/>
        </w:rPr>
      </w:pPr>
      <w:bookmarkStart w:id="34" w:name="_Toc15396602"/>
      <w:bookmarkStart w:id="35" w:name="_Toc15377204"/>
      <w:r>
        <w:rPr>
          <w:rFonts w:hint="eastAsia" w:ascii="黑体" w:hAnsi="黑体" w:eastAsia="黑体"/>
          <w:b w:val="0"/>
          <w:color w:val="000000"/>
        </w:rPr>
        <w:t>第二部分</w:t>
      </w:r>
      <w:r>
        <w:rPr>
          <w:rStyle w:val="20"/>
          <w:rFonts w:hint="eastAsia" w:ascii="黑体" w:hAnsi="黑体" w:eastAsia="黑体"/>
          <w:b w:val="0"/>
          <w:bCs w:val="0"/>
        </w:rPr>
        <w:t>2018年度部门决算情况说明</w:t>
      </w:r>
      <w:bookmarkEnd w:id="34"/>
      <w:bookmarkEnd w:id="35"/>
    </w:p>
    <w:p/>
    <w:p>
      <w:pPr>
        <w:pStyle w:val="18"/>
        <w:numPr>
          <w:ilvl w:val="0"/>
          <w:numId w:val="2"/>
        </w:numPr>
        <w:spacing w:line="600" w:lineRule="exact"/>
        <w:ind w:firstLineChars="0"/>
        <w:outlineLvl w:val="1"/>
        <w:rPr>
          <w:rStyle w:val="24"/>
          <w:rFonts w:ascii="黑体" w:hAnsi="黑体" w:eastAsia="黑体"/>
          <w:b w:val="0"/>
        </w:rPr>
      </w:pPr>
      <w:bookmarkStart w:id="36" w:name="_Toc15396603"/>
      <w:bookmarkStart w:id="37" w:name="_Toc15377205"/>
      <w:r>
        <w:rPr>
          <w:rFonts w:hint="eastAsia" w:ascii="黑体" w:hAnsi="黑体" w:eastAsia="黑体"/>
          <w:color w:val="000000"/>
          <w:sz w:val="32"/>
          <w:szCs w:val="32"/>
        </w:rPr>
        <w:t>收</w:t>
      </w:r>
      <w:r>
        <w:rPr>
          <w:rStyle w:val="24"/>
          <w:rFonts w:hint="eastAsia" w:ascii="黑体" w:hAnsi="黑体" w:eastAsia="黑体"/>
          <w:b w:val="0"/>
        </w:rPr>
        <w:t>入支出决算总体情况说明</w:t>
      </w:r>
      <w:bookmarkEnd w:id="36"/>
      <w:bookmarkEnd w:id="37"/>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攀枝花市西区城市管理局收入总计6464.66万元、支出总计4177.01万元。与2017年相比，收入总计增加1296.55万元，增长25.09%，主要原因是本年度无中央财政拨款，结转上年收入5108.63万元；支出总计增加3737.21万元，增长849.75%，主要原因是四花打造经费支出。</w:t>
      </w:r>
    </w:p>
    <w:p>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pict>
          <v:shape id="_x0000_s1026" o:spid="_x0000_s1026" o:spt="75" type="#_x0000_t75" style="position:absolute;left:0pt;margin-left:21.5pt;margin-top:0.7pt;height:235.65pt;width:354.15pt;mso-wrap-distance-left:9pt;mso-wrap-distance-right:9pt;z-index:-251658240;mso-width-relative:page;mso-height-relative:page;" o:ole="t" filled="f" o:preferrelative="f" stroked="f" coordsize="21600,21600" wrapcoords="21592 -2 0 0 0 21600 21592 21602 8 21602 21600 21600 21600 0 8 -2 21592 -2">
            <v:path/>
            <v:fill on="f" focussize="0,0"/>
            <v:stroke on="f" joinstyle="miter"/>
            <v:imagedata r:id="rId7" o:title=""/>
            <o:lock v:ext="edit" aspectratio="f"/>
            <w10:wrap type="tight"/>
          </v:shape>
          <o:OLEObject Type="Embed" ProgID="Excel.Sheet.8" ShapeID="_x0000_s1026" DrawAspect="Content" ObjectID="_1468075725" r:id="rId6">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18"/>
        <w:numPr>
          <w:ilvl w:val="0"/>
          <w:numId w:val="2"/>
        </w:numPr>
        <w:spacing w:line="600" w:lineRule="exact"/>
        <w:ind w:firstLineChars="0"/>
        <w:outlineLvl w:val="1"/>
        <w:rPr>
          <w:rStyle w:val="24"/>
          <w:rFonts w:ascii="黑体" w:hAnsi="黑体" w:eastAsia="黑体"/>
          <w:b w:val="0"/>
        </w:rPr>
      </w:pPr>
      <w:bookmarkStart w:id="38" w:name="_Toc15377206"/>
      <w:bookmarkStart w:id="39" w:name="_Toc15396604"/>
      <w:r>
        <w:rPr>
          <w:rFonts w:hint="eastAsia" w:ascii="黑体" w:hAnsi="黑体" w:eastAsia="黑体"/>
          <w:color w:val="000000"/>
          <w:sz w:val="32"/>
          <w:szCs w:val="32"/>
        </w:rPr>
        <w:t>收</w:t>
      </w:r>
      <w:r>
        <w:rPr>
          <w:rStyle w:val="24"/>
          <w:rFonts w:hint="eastAsia" w:ascii="黑体" w:hAnsi="黑体" w:eastAsia="黑体"/>
          <w:b w:val="0"/>
        </w:rPr>
        <w:t>入决算情况说明</w:t>
      </w:r>
      <w:bookmarkEnd w:id="38"/>
      <w:bookmarkEnd w:id="3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8年本年收入合计1356.03万元，其中：一般公共预算财政拨款收入1311.89万元，占96.75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；政府性基金预算财政拨款收入43.89万元，占3.2</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；其他收入0.25万元，占0.05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pict>
          <v:shape id="_x0000_s1027" o:spid="_x0000_s1027" o:spt="75" type="#_x0000_t75" style="position:absolute;left:0pt;margin-left:25.25pt;margin-top:3.5pt;height:242.45pt;width:369.1pt;z-index:251659264;mso-width-relative:page;mso-height-relative:page;" o:ole="t" filled="f" o:preferrelative="t" stroked="f" coordsize="21600,21600">
            <v:path/>
            <v:fill on="f" focussize="0,0"/>
            <v:stroke on="f" joinstyle="miter"/>
            <v:imagedata r:id="rId9" o:title=""/>
            <o:lock v:ext="edit" aspectratio="t"/>
          </v:shape>
          <o:OLEObject Type="Embed" ProgID="Excel.Sheet.8" ShapeID="_x0000_s1027" DrawAspect="Content" ObjectID="_1468075726" r:id="rId8">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rPr>
        <w:t>（图2：收入决算结构图）</w:t>
      </w:r>
    </w:p>
    <w:p>
      <w:pPr>
        <w:pStyle w:val="18"/>
        <w:numPr>
          <w:ilvl w:val="0"/>
          <w:numId w:val="2"/>
        </w:numPr>
        <w:spacing w:line="600" w:lineRule="exact"/>
        <w:ind w:firstLineChars="0"/>
        <w:outlineLvl w:val="1"/>
        <w:rPr>
          <w:rStyle w:val="24"/>
          <w:rFonts w:ascii="黑体" w:hAnsi="黑体" w:eastAsia="黑体"/>
          <w:b w:val="0"/>
        </w:rPr>
      </w:pPr>
      <w:bookmarkStart w:id="40" w:name="_Toc15396605"/>
      <w:bookmarkStart w:id="41" w:name="_Toc15377207"/>
      <w:r>
        <w:rPr>
          <w:rFonts w:hint="eastAsia" w:ascii="黑体" w:hAnsi="黑体" w:eastAsia="黑体"/>
          <w:color w:val="000000"/>
          <w:sz w:val="32"/>
          <w:szCs w:val="32"/>
        </w:rPr>
        <w:t>支</w:t>
      </w:r>
      <w:r>
        <w:rPr>
          <w:rStyle w:val="24"/>
          <w:rFonts w:hint="eastAsia" w:ascii="黑体" w:hAnsi="黑体" w:eastAsia="黑体"/>
          <w:b w:val="0"/>
        </w:rPr>
        <w:t>出决算情况说明</w:t>
      </w:r>
      <w:bookmarkEnd w:id="40"/>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8年本年支出合计4177.01万元，其中：基本支出99.49万元，占2.38</w:t>
      </w:r>
      <w:r>
        <w:rPr>
          <w:rFonts w:ascii="仿宋" w:hAnsi="仿宋" w:eastAsia="仿宋"/>
          <w:color w:val="000000"/>
          <w:sz w:val="32"/>
          <w:szCs w:val="32"/>
        </w:rPr>
        <w:t>%</w:t>
      </w:r>
      <w:r>
        <w:rPr>
          <w:rFonts w:hint="eastAsia" w:ascii="仿宋" w:hAnsi="仿宋" w:eastAsia="仿宋"/>
          <w:color w:val="000000"/>
          <w:sz w:val="32"/>
          <w:szCs w:val="32"/>
        </w:rPr>
        <w:t>；项目支出4077.52万元，占97.62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28" o:spid="_x0000_s1028" o:spt="75" type="#_x0000_t75" style="position:absolute;left:0pt;margin-left:57.4pt;margin-top:13.95pt;height:158pt;width:301.55pt;z-index:251660288;mso-width-relative:page;mso-height-relative:page;" o:ole="t" filled="f" o:preferrelative="t" stroked="f" coordsize="21600,21600">
            <v:path/>
            <v:fill on="f" focussize="0,0"/>
            <v:stroke on="f" joinstyle="miter"/>
            <v:imagedata r:id="rId11" o:title=""/>
            <o:lock v:ext="edit" aspectratio="t"/>
          </v:shape>
          <o:OLEObject Type="Embed" ProgID="Excel.Sheet.8" ShapeID="_x0000_s1028" DrawAspect="Content" ObjectID="_1468075727" r:id="rId10">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1120" w:firstLineChars="350"/>
        <w:rPr>
          <w:rFonts w:ascii="仿宋_GB2312" w:eastAsia="仿宋_GB2312"/>
          <w:color w:val="FF0000"/>
          <w:sz w:val="32"/>
          <w:szCs w:val="32"/>
        </w:rPr>
      </w:pPr>
      <w:r>
        <w:rPr>
          <w:rFonts w:hint="eastAsia" w:ascii="仿宋" w:hAnsi="仿宋" w:eastAsia="仿宋"/>
          <w:color w:val="000000"/>
          <w:sz w:val="32"/>
          <w:szCs w:val="32"/>
        </w:rPr>
        <w:t>（图3：支出决算结构图）</w:t>
      </w:r>
    </w:p>
    <w:p>
      <w:pPr>
        <w:spacing w:line="600" w:lineRule="exact"/>
        <w:ind w:firstLine="640" w:firstLineChars="200"/>
        <w:outlineLvl w:val="1"/>
        <w:rPr>
          <w:rStyle w:val="24"/>
          <w:rFonts w:ascii="黑体" w:hAnsi="黑体" w:eastAsia="黑体"/>
          <w:b w:val="0"/>
        </w:rPr>
      </w:pPr>
      <w:bookmarkStart w:id="42" w:name="_Toc15377208"/>
      <w:bookmarkStart w:id="43" w:name="_Toc15396606"/>
      <w:r>
        <w:rPr>
          <w:rFonts w:hint="eastAsia" w:ascii="黑体" w:hAnsi="黑体" w:eastAsia="黑体"/>
          <w:color w:val="000000"/>
          <w:sz w:val="32"/>
          <w:szCs w:val="32"/>
        </w:rPr>
        <w:t>四、财</w:t>
      </w:r>
      <w:r>
        <w:rPr>
          <w:rStyle w:val="24"/>
          <w:rFonts w:hint="eastAsia" w:ascii="黑体" w:hAnsi="黑体" w:eastAsia="黑体"/>
          <w:b w:val="0"/>
        </w:rPr>
        <w:t>政拨款收入支出决算总体情况说明</w:t>
      </w:r>
      <w:bookmarkEnd w:id="42"/>
      <w:bookmarkEnd w:id="4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攀枝花市西区城市管理局财政拨款收入总计6410.32万元、财政拨款支出总计4173.73万元。与2017年相比，财政拨款收入总计增加950.1万元，增长17.4%，主要原因是本年度无中央财政拨款，结转上年财政拨款收入5043.56万元；财政拨款支出总计增加3756.88万元，增长901.26%，主要原因是四花打造经费支出。</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29" o:spid="_x0000_s1029" o:spt="75" type="#_x0000_t75" style="position:absolute;left:0pt;margin-left:40.55pt;margin-top:11.85pt;height:212.45pt;width:341.4pt;z-index:251661312;mso-width-relative:page;mso-height-relative:page;" o:ole="t" filled="f" o:preferrelative="t" stroked="f" coordsize="21600,21600">
            <v:path/>
            <v:fill on="f" focussize="0,0"/>
            <v:stroke on="f" joinstyle="miter"/>
            <v:imagedata r:id="rId13" o:title=""/>
            <o:lock v:ext="edit" aspectratio="t"/>
          </v:shape>
          <o:OLEObject Type="Embed" ProgID="Excel.Sheet.8" ShapeID="_x0000_s1029" DrawAspect="Content" ObjectID="_1468075728" r:id="rId12">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（图4：财政拨款收、支决算总计变动情况）</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1"/>
        <w:rPr>
          <w:rStyle w:val="24"/>
          <w:rFonts w:ascii="黑体" w:hAnsi="黑体" w:eastAsia="黑体"/>
          <w:b w:val="0"/>
        </w:rPr>
      </w:pPr>
      <w:bookmarkStart w:id="44" w:name="_Toc15377209"/>
      <w:bookmarkStart w:id="45"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4"/>
          <w:rFonts w:hint="eastAsia" w:ascii="黑体" w:hAnsi="黑体" w:eastAsia="黑体"/>
          <w:b w:val="0"/>
        </w:rPr>
        <w:t>般公共预算财政拨款支出决算情况说明</w:t>
      </w:r>
      <w:bookmarkEnd w:id="44"/>
      <w:bookmarkEnd w:id="45"/>
    </w:p>
    <w:p>
      <w:pPr>
        <w:spacing w:line="600" w:lineRule="exact"/>
        <w:ind w:firstLine="643" w:firstLineChars="200"/>
        <w:outlineLvl w:val="2"/>
        <w:rPr>
          <w:rFonts w:ascii="仿宋" w:hAnsi="仿宋" w:eastAsia="仿宋"/>
          <w:b/>
          <w:color w:val="000000"/>
          <w:sz w:val="32"/>
          <w:szCs w:val="32"/>
        </w:rPr>
      </w:pPr>
      <w:bookmarkStart w:id="46" w:name="_Toc15377210"/>
      <w:r>
        <w:rPr>
          <w:rFonts w:hint="eastAsia" w:ascii="仿宋" w:hAnsi="仿宋" w:eastAsia="仿宋"/>
          <w:b/>
          <w:color w:val="000000"/>
          <w:sz w:val="32"/>
          <w:szCs w:val="32"/>
        </w:rPr>
        <w:t>（一）一般公共预算财政拨款支出决算总体情况</w:t>
      </w:r>
      <w:bookmarkEnd w:id="4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8年一般公共预算财政拨款支出4131.03万元，占本年支出合计的98.90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7年相比，一般公共预算财政拨款支出增加3714.18万元，增长891.01</w:t>
      </w:r>
      <w:r>
        <w:rPr>
          <w:rFonts w:ascii="仿宋" w:hAnsi="仿宋" w:eastAsia="仿宋"/>
          <w:color w:val="000000"/>
          <w:sz w:val="32"/>
          <w:szCs w:val="32"/>
        </w:rPr>
        <w:t>%</w:t>
      </w:r>
      <w:r>
        <w:rPr>
          <w:rFonts w:hint="eastAsia" w:ascii="仿宋" w:hAnsi="仿宋" w:eastAsia="仿宋"/>
          <w:color w:val="000000"/>
          <w:sz w:val="32"/>
          <w:szCs w:val="32"/>
        </w:rPr>
        <w:t>。主要变动原因是四化打造经费支出。</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0" o:spid="_x0000_s1030" o:spt="75" type="#_x0000_t75" style="position:absolute;left:0pt;margin-left:12.1pt;margin-top:3.05pt;height:271.6pt;width:435.85pt;z-index:251662336;mso-width-relative:page;mso-height-relative:page;" o:ole="t" filled="f" o:preferrelative="t" stroked="f" coordsize="21600,21600">
            <v:path/>
            <v:fill on="f" focussize="0,0"/>
            <v:stroke on="f" joinstyle="miter"/>
            <v:imagedata r:id="rId15" o:title=""/>
            <o:lock v:ext="edit" aspectratio="t"/>
          </v:shape>
          <o:OLEObject Type="Embed" ProgID="Excel.Sheet.8" ShapeID="_x0000_s1030"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47" w:name="_Toc15377211"/>
      <w:r>
        <w:rPr>
          <w:rFonts w:hint="eastAsia" w:ascii="仿宋" w:hAnsi="仿宋" w:eastAsia="仿宋"/>
          <w:b/>
          <w:color w:val="000000"/>
          <w:sz w:val="32"/>
          <w:szCs w:val="32"/>
        </w:rPr>
        <w:t>（二）一般公共预算财政拨款支出决算结构情况</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8年一般公共预算财政拨款支出4131.03万元，主要用于以下方面</w:t>
      </w:r>
      <w:r>
        <w:rPr>
          <w:rFonts w:ascii="仿宋" w:hAnsi="仿宋" w:eastAsia="仿宋"/>
          <w:color w:val="000000"/>
          <w:sz w:val="32"/>
          <w:szCs w:val="32"/>
        </w:rPr>
        <w:t>:</w:t>
      </w:r>
      <w:r>
        <w:rPr>
          <w:rFonts w:hint="eastAsia" w:ascii="仿宋" w:hAnsi="仿宋" w:eastAsia="仿宋"/>
          <w:b/>
          <w:bCs/>
          <w:color w:val="000000"/>
          <w:sz w:val="32"/>
          <w:szCs w:val="32"/>
        </w:rPr>
        <w:t>一般公共服务（201）</w:t>
      </w:r>
      <w:r>
        <w:rPr>
          <w:rFonts w:hint="eastAsia" w:ascii="仿宋" w:hAnsi="仿宋" w:eastAsia="仿宋"/>
          <w:color w:val="000000"/>
          <w:sz w:val="32"/>
          <w:szCs w:val="32"/>
        </w:rPr>
        <w:t>支出1.02万元，占0.02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城乡社区（212）</w:t>
      </w:r>
      <w:r>
        <w:rPr>
          <w:rFonts w:hint="eastAsia" w:ascii="仿宋" w:hAnsi="仿宋" w:eastAsia="仿宋"/>
          <w:color w:val="000000"/>
          <w:sz w:val="32"/>
          <w:szCs w:val="32"/>
        </w:rPr>
        <w:t>支出4102.4万元，占99.31%；</w:t>
      </w:r>
      <w:r>
        <w:rPr>
          <w:rFonts w:hint="eastAsia" w:ascii="仿宋" w:hAnsi="仿宋" w:eastAsia="仿宋"/>
          <w:b/>
          <w:bCs/>
          <w:color w:val="000000"/>
          <w:sz w:val="32"/>
          <w:szCs w:val="32"/>
        </w:rPr>
        <w:t>社会保障和就业（208）</w:t>
      </w:r>
      <w:r>
        <w:rPr>
          <w:rFonts w:hint="eastAsia" w:ascii="仿宋" w:hAnsi="仿宋" w:eastAsia="仿宋"/>
          <w:color w:val="000000"/>
          <w:sz w:val="32"/>
          <w:szCs w:val="32"/>
        </w:rPr>
        <w:t>支出14.85万元，占0.36</w:t>
      </w:r>
      <w:r>
        <w:rPr>
          <w:rFonts w:ascii="仿宋" w:hAnsi="仿宋" w:eastAsia="仿宋"/>
          <w:color w:val="000000"/>
          <w:sz w:val="32"/>
          <w:szCs w:val="32"/>
        </w:rPr>
        <w:t>%</w:t>
      </w:r>
      <w:r>
        <w:rPr>
          <w:rFonts w:hint="eastAsia" w:ascii="仿宋" w:hAnsi="仿宋" w:eastAsia="仿宋"/>
          <w:color w:val="000000"/>
          <w:sz w:val="32"/>
          <w:szCs w:val="32"/>
        </w:rPr>
        <w:t>万元；医疗卫生支出5万元，占0.12</w:t>
      </w:r>
      <w:r>
        <w:rPr>
          <w:rFonts w:ascii="仿宋" w:hAnsi="仿宋" w:eastAsia="仿宋"/>
          <w:color w:val="000000"/>
          <w:sz w:val="32"/>
          <w:szCs w:val="32"/>
        </w:rPr>
        <w:t>%</w:t>
      </w:r>
      <w:r>
        <w:rPr>
          <w:rFonts w:hint="eastAsia" w:ascii="仿宋" w:hAnsi="仿宋" w:eastAsia="仿宋"/>
          <w:color w:val="000000"/>
          <w:sz w:val="32"/>
          <w:szCs w:val="32"/>
        </w:rPr>
        <w:t>，住房保障支出7.76万元，占0.19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1" o:spid="_x0000_s1031" o:spt="75" type="#_x0000_t75" style="position:absolute;left:0pt;margin-left:36pt;margin-top:6.5pt;height:177.5pt;width:329.9pt;z-index:251663360;mso-width-relative:page;mso-height-relative:page;" o:ole="t" filled="f" o:preferrelative="t" stroked="f" coordsize="21600,21600">
            <v:path/>
            <v:fill on="f" focussize="0,0"/>
            <v:stroke on="f" joinstyle="miter"/>
            <v:imagedata r:id="rId17" o:title=""/>
            <o:lock v:ext="edit" aspectratio="t"/>
          </v:shape>
          <o:OLEObject Type="Embed" ProgID="Excel.Sheet.8" ShapeID="_x0000_s1031"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48" w:name="_Toc15377212"/>
      <w:r>
        <w:rPr>
          <w:rFonts w:hint="eastAsia" w:ascii="仿宋" w:hAnsi="仿宋" w:eastAsia="仿宋"/>
          <w:b/>
          <w:color w:val="000000"/>
          <w:sz w:val="32"/>
          <w:szCs w:val="32"/>
        </w:rPr>
        <w:t>（三）一般公共预算财政拨款支出决算具体情况</w:t>
      </w:r>
      <w:bookmarkEnd w:id="48"/>
      <w:bookmarkStart w:id="49" w:name="_Toc15377213"/>
      <w:bookmarkStart w:id="50" w:name="_Toc15377444"/>
      <w:bookmarkStart w:id="51" w:name="_Toc15378460"/>
    </w:p>
    <w:p>
      <w:pPr>
        <w:spacing w:line="600" w:lineRule="exact"/>
        <w:ind w:firstLine="643" w:firstLineChars="200"/>
        <w:outlineLvl w:val="2"/>
        <w:rPr>
          <w:rFonts w:ascii="仿宋" w:hAnsi="仿宋" w:eastAsia="仿宋"/>
          <w:color w:val="FF0000"/>
          <w:sz w:val="32"/>
          <w:szCs w:val="32"/>
        </w:rPr>
      </w:pPr>
      <w:r>
        <w:rPr>
          <w:rFonts w:hint="eastAsia" w:ascii="仿宋" w:hAnsi="仿宋" w:eastAsia="仿宋"/>
          <w:b/>
          <w:color w:val="000000"/>
          <w:sz w:val="32"/>
          <w:szCs w:val="32"/>
        </w:rPr>
        <w:t>2018年般公共预算支出决算数为4131.03万元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完成预算64.73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49"/>
      <w:bookmarkEnd w:id="50"/>
      <w:bookmarkEnd w:id="51"/>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一般公共服务（201）其他一般公共服务支出（20199）其他一般公共服务支出（2019999）</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支出决算为1.02万元，完成预算100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ascii="仿宋" w:hAnsi="仿宋" w:eastAsia="仿宋"/>
          <w:bCs/>
          <w:color w:val="000000"/>
          <w:sz w:val="32"/>
          <w:szCs w:val="32"/>
        </w:rPr>
        <w:t>2.</w:t>
      </w:r>
      <w:r>
        <w:rPr>
          <w:rStyle w:val="13"/>
          <w:rFonts w:hint="eastAsia" w:ascii="仿宋" w:hAnsi="仿宋" w:eastAsia="仿宋"/>
          <w:bCs/>
          <w:color w:val="000000"/>
          <w:sz w:val="32"/>
          <w:szCs w:val="32"/>
        </w:rPr>
        <w:t>城乡社区支出（212）城乡社区管理事务（21201）行政运行（2120101）</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支出决算为71.75万元，完成预算100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3.</w:t>
      </w:r>
      <w:r>
        <w:rPr>
          <w:rStyle w:val="13"/>
          <w:rFonts w:hint="eastAsia" w:ascii="仿宋" w:hAnsi="仿宋" w:eastAsia="仿宋"/>
          <w:bCs/>
          <w:color w:val="000000"/>
          <w:sz w:val="32"/>
          <w:szCs w:val="32"/>
        </w:rPr>
        <w:t>城乡社区支出（212）城乡社区管理事务（21201）一般行政管理事务（2120102）</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支出决算为12.01万元，完成预算100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ascii="仿宋" w:hAnsi="仿宋" w:eastAsia="仿宋"/>
          <w:bCs/>
          <w:color w:val="000000"/>
          <w:sz w:val="32"/>
          <w:szCs w:val="32"/>
        </w:rPr>
        <w:t>4.</w:t>
      </w:r>
      <w:r>
        <w:rPr>
          <w:rStyle w:val="13"/>
          <w:rFonts w:hint="eastAsia" w:ascii="仿宋" w:hAnsi="仿宋" w:eastAsia="仿宋"/>
          <w:bCs/>
          <w:color w:val="000000"/>
          <w:sz w:val="32"/>
          <w:szCs w:val="32"/>
        </w:rPr>
        <w:t>城乡社区支出（212）城乡社区管理事务（21201）其他城乡社区管理事务支出（2120199）</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支出决算为60.54万元，完成预算100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ascii="仿宋" w:hAnsi="仿宋" w:eastAsia="仿宋"/>
          <w:bCs/>
          <w:color w:val="000000"/>
          <w:sz w:val="32"/>
          <w:szCs w:val="32"/>
        </w:rPr>
        <w:t>5.</w:t>
      </w:r>
      <w:r>
        <w:rPr>
          <w:rStyle w:val="13"/>
          <w:rFonts w:hint="eastAsia" w:ascii="仿宋" w:hAnsi="仿宋" w:eastAsia="仿宋"/>
          <w:bCs/>
          <w:color w:val="000000"/>
          <w:sz w:val="32"/>
          <w:szCs w:val="32"/>
        </w:rPr>
        <w:t>城乡社区支出（212）城乡社区规划与管理（21202）城乡社区规划与管理（2120201）</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支出决算为36.15万元，完成预算100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ascii="仿宋" w:hAnsi="仿宋" w:eastAsia="仿宋"/>
          <w:bCs/>
          <w:color w:val="000000"/>
          <w:sz w:val="32"/>
          <w:szCs w:val="32"/>
        </w:rPr>
        <w:t>6.</w:t>
      </w:r>
      <w:r>
        <w:rPr>
          <w:rStyle w:val="13"/>
          <w:rFonts w:hint="eastAsia" w:ascii="仿宋" w:hAnsi="仿宋" w:eastAsia="仿宋"/>
          <w:bCs/>
          <w:color w:val="000000"/>
          <w:sz w:val="32"/>
          <w:szCs w:val="32"/>
        </w:rPr>
        <w:t>城乡社区支出（212）城乡社区公共设施（21203）其他城乡社区公共设施支出（2120399）</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支出决算为41.42万元，完成预算100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7.</w:t>
      </w:r>
      <w:r>
        <w:rPr>
          <w:rStyle w:val="13"/>
          <w:rFonts w:hint="eastAsia" w:ascii="仿宋" w:hAnsi="仿宋" w:eastAsia="仿宋"/>
          <w:bCs/>
          <w:color w:val="000000"/>
          <w:sz w:val="32"/>
          <w:szCs w:val="32"/>
        </w:rPr>
        <w:t>城乡社区支出（212）城乡社区环境卫生（21205）城乡社区环境卫生（2120501）</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支出决算为20.51万元，完成预算100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color w:val="000000"/>
          <w:sz w:val="32"/>
          <w:szCs w:val="32"/>
        </w:rPr>
        <w:t>8.</w:t>
      </w:r>
      <w:r>
        <w:rPr>
          <w:rStyle w:val="13"/>
          <w:rFonts w:hint="eastAsia" w:ascii="仿宋" w:hAnsi="仿宋" w:eastAsia="仿宋"/>
          <w:bCs/>
          <w:color w:val="000000"/>
          <w:sz w:val="32"/>
          <w:szCs w:val="32"/>
        </w:rPr>
        <w:t>城乡社区支出（212）其他城乡社区支出（21299）其他城乡社区支出（2129999）</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支出决算为3860万元，完成预算64.73</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，决算数小于预算数的主要原因是棚户区改造未结算。</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9</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社会保障和就业（208）行政事业单位离退休（20805）未归口管理的行政单位离退休（2080504）</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支出决算为3.86万元，完成预算100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10.社会保障和就业（208）行政事业单位离退休（20805）机关事业单位基本养老保险缴费支出（2080505）</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支出决算为8.54万元，完成预算100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color w:val="000000"/>
          <w:sz w:val="32"/>
          <w:szCs w:val="32"/>
        </w:rPr>
        <w:t>11.</w:t>
      </w:r>
      <w:r>
        <w:rPr>
          <w:rStyle w:val="13"/>
          <w:rFonts w:hint="eastAsia" w:ascii="仿宋" w:hAnsi="仿宋" w:eastAsia="仿宋"/>
          <w:bCs/>
          <w:color w:val="000000"/>
          <w:sz w:val="32"/>
          <w:szCs w:val="32"/>
        </w:rPr>
        <w:t>社会保障和就业（208）行政事业单位离退休（20805）机关事业单位职业年金缴费支出（2080506）</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支出决算为2.45万元，完成预算100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12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医疗卫生与计划生育（210）行政事业单位医疗（21011）行政单位医疗（2101101）</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支出决算为4.61万元，完成预算100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13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医疗卫生与计划生育（210）行政事业单位医疗（21011）公务员医疗补助（2101103）</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支出决算为0.4万元，完成预算100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14</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住房保障支出（221）住房改革支出（22102）住房公积金（2210201）</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支出决算为7.76万元，完成预算100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tabs>
          <w:tab w:val="right" w:pos="8306"/>
        </w:tabs>
        <w:spacing w:line="600" w:lineRule="exact"/>
        <w:ind w:firstLine="640"/>
        <w:outlineLvl w:val="1"/>
        <w:rPr>
          <w:rStyle w:val="24"/>
        </w:rPr>
      </w:pPr>
      <w:bookmarkStart w:id="52" w:name="_Toc15396608"/>
      <w:bookmarkStart w:id="5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4"/>
          <w:rFonts w:hint="eastAsia" w:ascii="黑体" w:hAnsi="黑体" w:eastAsia="黑体"/>
          <w:b w:val="0"/>
        </w:rPr>
        <w:t>般公共预算财政拨款基本支出决算情况说明</w:t>
      </w:r>
      <w:bookmarkEnd w:id="52"/>
      <w:bookmarkEnd w:id="53"/>
      <w:r>
        <w:rPr>
          <w:rStyle w:val="24"/>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8年一般公共预算财政拨款基本支出99.37万元，其中：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90.45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8.92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4"/>
          <w:rFonts w:ascii="黑体" w:hAnsi="黑体" w:eastAsia="黑体"/>
          <w:b w:val="0"/>
        </w:rPr>
      </w:pPr>
      <w:bookmarkStart w:id="54" w:name="_Toc15377215"/>
      <w:bookmarkStart w:id="55" w:name="_Toc15396609"/>
      <w:r>
        <w:rPr>
          <w:rFonts w:hint="eastAsia" w:ascii="黑体" w:eastAsia="黑体"/>
          <w:color w:val="000000"/>
          <w:sz w:val="32"/>
          <w:szCs w:val="32"/>
        </w:rPr>
        <w:t>七、</w:t>
      </w:r>
      <w:r>
        <w:rPr>
          <w:rStyle w:val="24"/>
          <w:rFonts w:hint="eastAsia" w:ascii="黑体" w:hAnsi="黑体" w:eastAsia="黑体"/>
        </w:rPr>
        <w:t>“</w:t>
      </w:r>
      <w:r>
        <w:rPr>
          <w:rStyle w:val="24"/>
          <w:rFonts w:hint="eastAsia" w:ascii="黑体" w:hAnsi="黑体" w:eastAsia="黑体"/>
          <w:b w:val="0"/>
        </w:rPr>
        <w:t>三公”经费财政拨款支出决算情况说明</w:t>
      </w:r>
      <w:bookmarkEnd w:id="54"/>
      <w:bookmarkEnd w:id="55"/>
    </w:p>
    <w:p>
      <w:pPr>
        <w:spacing w:line="600" w:lineRule="exact"/>
        <w:ind w:firstLine="640"/>
        <w:outlineLvl w:val="2"/>
        <w:rPr>
          <w:rFonts w:ascii="仿宋" w:hAnsi="仿宋" w:eastAsia="仿宋"/>
          <w:b/>
          <w:color w:val="000000"/>
          <w:sz w:val="32"/>
          <w:szCs w:val="32"/>
        </w:rPr>
      </w:pPr>
      <w:bookmarkStart w:id="56" w:name="_Toc15377216"/>
      <w:r>
        <w:rPr>
          <w:rFonts w:hint="eastAsia" w:ascii="仿宋" w:hAnsi="仿宋" w:eastAsia="仿宋"/>
          <w:b/>
          <w:color w:val="000000"/>
          <w:sz w:val="32"/>
          <w:szCs w:val="32"/>
        </w:rPr>
        <w:t>（一）“三公”经费财政拨款支出决算总体情况说明</w:t>
      </w:r>
      <w:bookmarkEnd w:id="5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8年“三公”经费财政拨款支出决算为0万元。</w:t>
      </w:r>
    </w:p>
    <w:p>
      <w:pPr>
        <w:spacing w:line="600" w:lineRule="exact"/>
        <w:ind w:firstLine="640"/>
        <w:outlineLvl w:val="2"/>
        <w:rPr>
          <w:rFonts w:ascii="仿宋" w:hAnsi="仿宋" w:eastAsia="仿宋"/>
          <w:b/>
          <w:color w:val="000000"/>
          <w:sz w:val="32"/>
          <w:szCs w:val="32"/>
        </w:rPr>
      </w:pPr>
      <w:bookmarkStart w:id="57" w:name="_Toc15377217"/>
      <w:r>
        <w:rPr>
          <w:rFonts w:hint="eastAsia" w:ascii="仿宋" w:hAnsi="仿宋" w:eastAsia="仿宋"/>
          <w:b/>
          <w:color w:val="000000"/>
          <w:sz w:val="32"/>
          <w:szCs w:val="32"/>
        </w:rPr>
        <w:t>（二）“三公”经费财政拨款支出决算具体情况说明</w:t>
      </w:r>
      <w:bookmarkEnd w:id="5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。无开支内容。</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。无公务接待。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主要用于执行公务、开展业务活动开支的交通费、住宿费、用餐费等。国内公务接待0批次，0人次（不包括陪同人员），共计支出0元，具体内容包括：</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58" w:name="_Toc15396610"/>
      <w:bookmarkStart w:id="59" w:name="_Toc15377218"/>
    </w:p>
    <w:p>
      <w:pPr>
        <w:spacing w:line="600" w:lineRule="exact"/>
        <w:ind w:firstLine="640"/>
        <w:outlineLvl w:val="1"/>
        <w:rPr>
          <w:rStyle w:val="24"/>
          <w:rFonts w:ascii="黑体" w:hAnsi="黑体" w:eastAsia="黑体"/>
        </w:rPr>
      </w:pPr>
      <w:r>
        <w:rPr>
          <w:rFonts w:hint="eastAsia" w:ascii="黑体" w:eastAsia="黑体"/>
          <w:color w:val="000000"/>
          <w:sz w:val="32"/>
          <w:szCs w:val="32"/>
        </w:rPr>
        <w:t>八、</w:t>
      </w:r>
      <w:r>
        <w:rPr>
          <w:rStyle w:val="24"/>
          <w:rFonts w:hint="eastAsia" w:ascii="黑体" w:hAnsi="黑体" w:eastAsia="黑体"/>
          <w:b w:val="0"/>
        </w:rPr>
        <w:t>政府性基金预算支出决算情况说明</w:t>
      </w:r>
      <w:bookmarkEnd w:id="58"/>
      <w:bookmarkEnd w:id="5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8年政府性基金预算拨款支出42.69万元。其中城乡社区支出（212）国有土地使用权出让收入及对应专项债务收入安排的支出（21208）土地开发支出(2120802)18.3万元，  其他国有土地使用权出让收入安排的支出(2120899)24.39万元。</w:t>
      </w:r>
    </w:p>
    <w:p>
      <w:pPr>
        <w:numPr>
          <w:ilvl w:val="0"/>
          <w:numId w:val="3"/>
        </w:numPr>
        <w:spacing w:line="600" w:lineRule="exact"/>
        <w:ind w:firstLine="640"/>
        <w:outlineLvl w:val="1"/>
        <w:rPr>
          <w:rStyle w:val="24"/>
          <w:rFonts w:ascii="黑体" w:hAnsi="黑体" w:eastAsia="黑体"/>
          <w:b w:val="0"/>
        </w:rPr>
      </w:pPr>
      <w:bookmarkStart w:id="60" w:name="_Toc15377219"/>
      <w:bookmarkStart w:id="61" w:name="_Toc15396611"/>
      <w:r>
        <w:rPr>
          <w:rStyle w:val="24"/>
          <w:rFonts w:hint="eastAsia" w:ascii="黑体" w:hAnsi="黑体" w:eastAsia="黑体"/>
          <w:b w:val="0"/>
        </w:rPr>
        <w:t>国有资本经营预算支出决算情况说明</w:t>
      </w:r>
      <w:bookmarkEnd w:id="60"/>
      <w:bookmarkEnd w:id="6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18"/>
        <w:numPr>
          <w:ilvl w:val="0"/>
          <w:numId w:val="4"/>
        </w:numPr>
        <w:spacing w:line="580" w:lineRule="exact"/>
        <w:ind w:firstLineChars="0"/>
        <w:rPr>
          <w:rStyle w:val="24"/>
          <w:rFonts w:ascii="黑体" w:hAnsi="黑体" w:eastAsia="黑体"/>
          <w:b w:val="0"/>
        </w:rPr>
      </w:pPr>
      <w:r>
        <w:rPr>
          <w:rStyle w:val="24"/>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清理危树死树、健康城市创建、数字化指挥中心运行费用、春节氛围营造等项目开展了预算事前绩效评估，对28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开展绩效自评，从评价情况来看部门支出绩效指标达到了预期设定的目标值，绩效目标较好的完成了。本单位还自行组织了5个项目绩效评价，从评价情况来看项目完成较好，项目做到了专项专用，达到设定目标。</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本部门在2018年度部门决算中反映“路灯电费及维修费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“春节氛围营造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“数字化指挥中心运行费用”等5个项目绩效目标实际完成情况。</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路灯电费及维修费项目绩效目标完成情况综述。项目全年预算数12万元，执行数为12万元，完成预算的100%。通过项目实施，保障了路灯的正常运行，提高了居民群众的满意度，发现的主要问题：有时候会有路灯维修不及时的现象。下一步改进措施：积极开展日常路灯等设施的排查工作，做到及时对路灯的维修，为居民群众夜间出行提供便利，增加群众满意度。</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春节氛围营造项目绩效目标完成情况综述。项目全年预算数35万元，执行数为35万元，完成预算的100%。通过项目实施，增加了春节氛围，使城市更具特色，增强年味，发现的主要问题：春节亮化样式不够新颖。下一步改进措施：多方考察参考，结合本地特色更好的做好春节氛围营造工作。</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字化指挥中心运行费用项目绩效目标完成情况综述。项目全年预算数133.65万元，执行数为133.65万元，完成预算的100%。通过项目实施，保障了数字化系统的正常运行，发现的主要问题：业务知识、能力和专业信访素养等急需提升。下一步改进措施：业务人员进行专业培训学习，提升自身业务能力，及时答复案件。</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花园广场管护费项目绩效目标完成情况综述。项目全年预算数2万元，执行数为2万元，完成预算的100%。通过项目实施，保障了花园广场的干净整洁，发现的主要问题：花园绿地存在白色垃圾清理不及时。下一步改进措施：加强日常管护，及时清理白色垃圾。</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急零星工程及迎检项目绩效目标完成情况综述。项目全年预算数5万元，执行数为5万元，完成预算的100%。通过项目实施，保障了人民群众的生命财产安全，提高了人民满意度，发现的主要问题：对存在隐患的排查力度不够。下一步改进措施：加强日常隐患排查力度，对存在安全隐患的项目及时维护。</w:t>
      </w:r>
    </w:p>
    <w:p>
      <w:pPr>
        <w:tabs>
          <w:tab w:val="left" w:pos="312"/>
        </w:tabs>
        <w:spacing w:line="580" w:lineRule="exact"/>
        <w:ind w:left="640"/>
        <w:rPr>
          <w:rFonts w:ascii="仿宋_GB2312" w:hAnsi="仿宋_GB2312" w:eastAsia="仿宋_GB2312" w:cs="仿宋_GB2312"/>
          <w:sz w:val="32"/>
          <w:szCs w:val="32"/>
        </w:rPr>
      </w:pPr>
    </w:p>
    <w:p>
      <w:pPr>
        <w:tabs>
          <w:tab w:val="left" w:pos="312"/>
        </w:tabs>
        <w:spacing w:line="580" w:lineRule="exact"/>
        <w:ind w:left="640"/>
        <w:rPr>
          <w:rFonts w:ascii="仿宋_GB2312" w:hAnsi="仿宋_GB2312" w:eastAsia="仿宋_GB2312" w:cs="仿宋_GB2312"/>
          <w:sz w:val="32"/>
          <w:szCs w:val="32"/>
        </w:rPr>
      </w:pPr>
    </w:p>
    <w:p>
      <w:pPr>
        <w:tabs>
          <w:tab w:val="left" w:pos="312"/>
        </w:tabs>
        <w:spacing w:line="580" w:lineRule="exact"/>
        <w:ind w:left="64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路灯电费及维修费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攀枝花市西区城市管理局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做好路灯日常维修维护，保证路灯正常照明</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做好路灯日常维修维护，保证路灯正常照明</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全区2197盏路灯维护及照明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全区2197盏路灯维护及照明</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对损坏路灯及时维修，保障路灯正常运行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对损坏路灯及时维修，保障路灯正常运行</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2018年全年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人工费、材料费、电费12万元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人工费、材料费、电费12万元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春节氛围营造</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攀枝花市西区城市管理局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西区春节亮化及氛围营造，增加春节氛围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西区春节亮化及氛围营造，增加春节氛围</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主干道（苏铁中路）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主干道（苏铁中路）</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增加主城街道年味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增加主城街道年味</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8"/>
              <w:widowControl/>
              <w:ind w:left="4173" w:leftChars="1310" w:hanging="1422" w:hangingChars="395"/>
              <w:textAlignment w:val="center"/>
              <w:rPr>
                <w:rFonts w:ascii="黑体" w:hAnsi="黑体" w:eastAsia="黑体" w:cs="宋体"/>
                <w:bCs/>
                <w:color w:val="000000"/>
                <w:kern w:val="0"/>
                <w:sz w:val="36"/>
                <w:szCs w:val="36"/>
              </w:rPr>
            </w:pPr>
          </w:p>
          <w:p>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数字化指挥中心运行费用</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攀枝花市西区城市管理局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133.65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133.65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133.65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133.65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保障数字化系统正常运行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保障数字化系统正常运行</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数字化系统1套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数字化系统1套</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数据普查、硬件建设、日常等运行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数据普查、硬件建设、日常等运行</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133.65万元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133.65万元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花园广场管护费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攀枝花市西区城市管理局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保障花园广场干净整洁，美化环境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保障花园广场干净整洁，美化环境</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5座花园广场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5座花园广场</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日常浇洒、垃圾清理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日常浇洒、垃圾清理</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群众满意度达90%</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8"/>
              <w:widowControl/>
              <w:ind w:left="4173" w:leftChars="1310" w:hanging="1422" w:hangingChars="395"/>
              <w:textAlignment w:val="center"/>
              <w:rPr>
                <w:rFonts w:ascii="黑体" w:hAnsi="黑体" w:eastAsia="黑体" w:cs="宋体"/>
                <w:bCs/>
                <w:color w:val="000000"/>
                <w:kern w:val="0"/>
                <w:sz w:val="36"/>
                <w:szCs w:val="36"/>
              </w:rPr>
            </w:pPr>
          </w:p>
          <w:p>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紧急零星工程及迎检</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攀枝花市西区城市管理局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处理紧急零星工程，排查安全隐患，保障人民生命财产安全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处理紧急零星工程，排查安全隐患，保障人民生命财产安全</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人工、材料预计5万元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实际消耗人工、材料5万元</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及时处理紧急工程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及时处理紧急工程</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群众满意度达95%</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本部门按要求对2018年部门整体支出绩效评价情况开展自评，《西区城市管理局部门2018年部门整体支出绩效评价报告》见附件。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本部门自行组织对春节氛围营造项目、清理危树死树项目开展了绩效评价，《西区城市管理局项目2018年绩效评价报告》见附件。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4"/>
          <w:rFonts w:ascii="黑体" w:hAnsi="黑体" w:eastAsia="黑体"/>
        </w:rPr>
      </w:pPr>
      <w:bookmarkStart w:id="62" w:name="_Toc15377221"/>
      <w:bookmarkStart w:id="63" w:name="_Toc15396612"/>
      <w:r>
        <w:rPr>
          <w:rFonts w:hint="eastAsia" w:ascii="黑体" w:hAnsi="黑体" w:eastAsia="黑体"/>
          <w:color w:val="000000"/>
          <w:sz w:val="32"/>
          <w:szCs w:val="32"/>
        </w:rPr>
        <w:t>十</w:t>
      </w:r>
      <w:r>
        <w:rPr>
          <w:rStyle w:val="24"/>
          <w:rFonts w:hint="eastAsia" w:ascii="黑体" w:hAnsi="黑体" w:eastAsia="黑体"/>
        </w:rPr>
        <w:t>一、</w:t>
      </w:r>
      <w:r>
        <w:rPr>
          <w:rStyle w:val="24"/>
          <w:rFonts w:hint="eastAsia" w:ascii="黑体" w:hAnsi="黑体" w:eastAsia="黑体"/>
          <w:b w:val="0"/>
        </w:rPr>
        <w:t>其他重要事项的情况说明</w:t>
      </w:r>
      <w:bookmarkEnd w:id="62"/>
      <w:bookmarkEnd w:id="63"/>
    </w:p>
    <w:p>
      <w:pPr>
        <w:spacing w:line="600" w:lineRule="exact"/>
        <w:ind w:firstLine="643" w:firstLineChars="200"/>
        <w:outlineLvl w:val="2"/>
        <w:rPr>
          <w:rFonts w:ascii="仿宋" w:hAnsi="仿宋" w:eastAsia="仿宋"/>
          <w:color w:val="000000"/>
          <w:sz w:val="32"/>
          <w:szCs w:val="32"/>
        </w:rPr>
      </w:pPr>
      <w:bookmarkStart w:id="64" w:name="_Toc15377222"/>
      <w:r>
        <w:rPr>
          <w:rFonts w:hint="eastAsia" w:ascii="仿宋" w:hAnsi="仿宋" w:eastAsia="仿宋"/>
          <w:b/>
          <w:color w:val="000000"/>
          <w:sz w:val="32"/>
          <w:szCs w:val="32"/>
        </w:rPr>
        <w:t>（一）机关运行经费支出情况</w:t>
      </w:r>
      <w:bookmarkEnd w:id="6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8年，西区城市管理局机关运行经费支出8.92万元，比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减少10.03万元，增长</w:t>
      </w:r>
      <w:r>
        <w:rPr>
          <w:rFonts w:ascii="仿宋_GB2312" w:eastAsia="仿宋_GB2312"/>
          <w:color w:val="000000"/>
          <w:sz w:val="32"/>
          <w:szCs w:val="32"/>
        </w:rPr>
        <w:t>/</w:t>
      </w:r>
      <w:r>
        <w:rPr>
          <w:rFonts w:hint="eastAsia" w:ascii="仿宋_GB2312" w:eastAsia="仿宋_GB2312"/>
          <w:color w:val="000000"/>
          <w:sz w:val="32"/>
          <w:szCs w:val="32"/>
        </w:rPr>
        <w:t>下降11%。主要原因是人员减少，财政拨款减少。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5" w:name="_Toc15377223"/>
      <w:r>
        <w:rPr>
          <w:rFonts w:hint="eastAsia" w:ascii="仿宋" w:hAnsi="仿宋" w:eastAsia="仿宋"/>
          <w:b/>
          <w:color w:val="000000"/>
          <w:sz w:val="32"/>
          <w:szCs w:val="32"/>
        </w:rPr>
        <w:t>（二）政府采购支出情况</w:t>
      </w:r>
      <w:bookmarkEnd w:id="6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8年，我单位政府采购支出总额0万元，其中：政府采购货物支出0万元、政府采购工程支出0万元、政府采购服务支出0万元。授予中小企业合同金额0万元，占政府采购支出总额的0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6" w:name="_Toc15377224"/>
      <w:r>
        <w:rPr>
          <w:rFonts w:hint="eastAsia" w:ascii="仿宋" w:hAnsi="仿宋" w:eastAsia="仿宋"/>
          <w:b/>
          <w:color w:val="000000"/>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日，我单位共有车辆0辆，其中：部级领导干部用车0辆、一般公务用车0辆、一般执法执勤用车0辆、特种专业技术用车0辆、其他用车0辆，其他用车单价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0"/>
          <w:rFonts w:ascii="黑体" w:hAnsi="黑体" w:eastAsia="黑体"/>
          <w:b w:val="0"/>
        </w:rPr>
      </w:pPr>
      <w:bookmarkStart w:id="67" w:name="_Toc15377225"/>
      <w:bookmarkStart w:id="68" w:name="_Toc15396613"/>
      <w:r>
        <w:rPr>
          <w:rFonts w:hint="eastAsia" w:ascii="黑体" w:hAnsi="黑体" w:eastAsia="黑体"/>
          <w:b/>
          <w:color w:val="000000"/>
          <w:sz w:val="44"/>
          <w:szCs w:val="44"/>
        </w:rPr>
        <w:t>名</w:t>
      </w:r>
      <w:r>
        <w:rPr>
          <w:rStyle w:val="20"/>
          <w:rFonts w:hint="eastAsia" w:ascii="黑体" w:hAnsi="黑体" w:eastAsia="黑体"/>
          <w:b w:val="0"/>
        </w:rPr>
        <w:t>词解释</w:t>
      </w:r>
      <w:bookmarkEnd w:id="67"/>
      <w:bookmarkEnd w:id="68"/>
    </w:p>
    <w:p>
      <w:pPr>
        <w:spacing w:line="600" w:lineRule="exact"/>
        <w:jc w:val="left"/>
        <w:rPr>
          <w:rFonts w:ascii="宋体"/>
          <w:b/>
          <w:color w:val="000000"/>
          <w:sz w:val="44"/>
          <w:szCs w:val="44"/>
        </w:rPr>
      </w:pPr>
    </w:p>
    <w:p>
      <w:pPr>
        <w:pStyle w:val="1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6"/>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hint="eastAsia" w:ascii="仿宋_GB2312" w:eastAsia="仿宋_GB2312"/>
          <w:sz w:val="32"/>
          <w:szCs w:val="32"/>
          <w:lang w:eastAsia="zh-CN"/>
        </w:rPr>
        <w:t>主要是利息收入。</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一般公共服务（201）其他一般公共服务支出（20199）其他一般公共服务支出（2019999）：指反映除人大事务、政协事务、财政事务、海关事务、机关服务、事业运行等以外的其他一般公共服务支出。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10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城乡社区支出（212）城乡社区管理事务（21201）行政运行（2120101）</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指反映行政单位（包括实行公务员管理的事业单位）的基本支出。</w:t>
      </w:r>
    </w:p>
    <w:p>
      <w:pPr>
        <w:spacing w:line="600" w:lineRule="exact"/>
        <w:ind w:firstLine="640" w:firstLineChars="200"/>
        <w:rPr>
          <w:rFonts w:ascii="仿宋" w:hAnsi="仿宋" w:eastAsia="仿宋"/>
          <w:b/>
          <w:color w:val="000000"/>
          <w:sz w:val="32"/>
          <w:szCs w:val="32"/>
        </w:rPr>
      </w:pPr>
      <w:r>
        <w:rPr>
          <w:rStyle w:val="13"/>
          <w:rFonts w:hint="eastAsia" w:ascii="仿宋" w:hAnsi="仿宋" w:eastAsia="仿宋"/>
          <w:b w:val="0"/>
          <w:bCs/>
          <w:color w:val="000000"/>
          <w:sz w:val="32"/>
          <w:szCs w:val="32"/>
        </w:rPr>
        <w:t>11.城乡社区支出（212）城乡社区管理事务（21201）一般行政管理事务（2120102）</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指反映行政单位（包括实行公务员管理的事业单位）未单独设置项级科目的其他项目支出。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12.城乡社区支出（212）城乡社区管理事务（21201）其他城乡社区管理事务支出（2120199）</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指反映除行政运行、一般行政管理事务、城管执法、工程建设管理等以外其他用于城乡社区管理事务方面的支出。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13</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城乡社区支出（212）城乡社区规划与管理（21202）城乡社区规划与管理（2120201）</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指反映城乡社区、名胜风景区、防灾减灾、历史名城规划制定与管理等方面的支出。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14</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城乡社区支出（212）城乡社区公共设施（21203）其他城乡社区公共设施支出（2120399）</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指反映除小城镇基础设施建设项目以外其他用于城乡社区公共设施方面的支出。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15.城乡社区支出（212）城乡社区环境卫生（21205）城乡社区环境卫生（2120501）</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指反映城乡社区道路清扫、垃圾清运与处理、公厕建设与维护、园林绿化等方面的支出。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color w:val="000000"/>
          <w:sz w:val="32"/>
          <w:szCs w:val="32"/>
        </w:rPr>
        <w:t>16.</w:t>
      </w:r>
      <w:r>
        <w:rPr>
          <w:rStyle w:val="13"/>
          <w:rFonts w:hint="eastAsia" w:ascii="仿宋" w:hAnsi="仿宋" w:eastAsia="仿宋"/>
          <w:b w:val="0"/>
          <w:bCs/>
          <w:color w:val="000000"/>
          <w:sz w:val="32"/>
          <w:szCs w:val="32"/>
        </w:rPr>
        <w:t>城乡社区支出（212）其他城乡社区支出（21299）其他城乡社区支出（2129999）</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指反映除城乡社区公共设施、城乡社区环境卫生、建设市场管理与监督以外其他用于城乡社区方面的支出。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17</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社会保障和就业（208）行政事业单位离退休（20805）未归口管理的行政单位离退休（2080504）</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指反映未实行归口管理的行政单位（包括实行公务员管理事业单位）开支的离退休支出。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18</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住房保障支出（221）住房改革支出（22102）住房公积金（2210201）</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bookmarkStart w:id="88" w:name="_GoBack"/>
      <w:bookmarkEnd w:id="88"/>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0"/>
          <w:rFonts w:ascii="黑体" w:hAnsi="黑体" w:eastAsia="黑体"/>
          <w:b w:val="0"/>
        </w:rPr>
      </w:pPr>
      <w:bookmarkStart w:id="69" w:name="_Toc15377226"/>
      <w:r>
        <w:rPr>
          <w:rFonts w:ascii="宋体"/>
          <w:b/>
          <w:color w:val="000000"/>
          <w:sz w:val="44"/>
          <w:szCs w:val="44"/>
        </w:rPr>
        <w:br w:type="page"/>
      </w:r>
      <w:bookmarkStart w:id="70" w:name="_Toc15396614"/>
      <w:r>
        <w:rPr>
          <w:rFonts w:hint="eastAsia" w:ascii="黑体" w:hAnsi="黑体" w:eastAsia="黑体"/>
          <w:color w:val="000000"/>
          <w:sz w:val="44"/>
          <w:szCs w:val="44"/>
        </w:rPr>
        <w:t>第</w:t>
      </w:r>
      <w:r>
        <w:rPr>
          <w:rStyle w:val="20"/>
          <w:rFonts w:hint="eastAsia" w:ascii="黑体" w:hAnsi="黑体" w:eastAsia="黑体"/>
          <w:b w:val="0"/>
        </w:rPr>
        <w:t>四部分 附件</w:t>
      </w:r>
      <w:bookmarkEnd w:id="70"/>
    </w:p>
    <w:p>
      <w:pPr>
        <w:spacing w:line="600" w:lineRule="exact"/>
        <w:jc w:val="center"/>
        <w:outlineLvl w:val="0"/>
        <w:rPr>
          <w:rStyle w:val="20"/>
        </w:rPr>
      </w:pPr>
    </w:p>
    <w:p>
      <w:pPr>
        <w:pStyle w:val="3"/>
        <w:rPr>
          <w:rStyle w:val="20"/>
          <w:rFonts w:ascii="仿宋" w:hAnsi="仿宋" w:eastAsia="仿宋"/>
          <w:b w:val="0"/>
          <w:bCs w:val="0"/>
          <w:sz w:val="32"/>
          <w:szCs w:val="32"/>
        </w:rPr>
      </w:pPr>
      <w:bookmarkStart w:id="71" w:name="_Toc15396615"/>
      <w:r>
        <w:rPr>
          <w:rStyle w:val="20"/>
          <w:rFonts w:hint="eastAsia" w:ascii="仿宋" w:hAnsi="仿宋" w:eastAsia="仿宋"/>
          <w:b w:val="0"/>
          <w:bCs w:val="0"/>
          <w:sz w:val="32"/>
          <w:szCs w:val="32"/>
        </w:rPr>
        <w:t>附件1</w:t>
      </w:r>
      <w:bookmarkEnd w:id="71"/>
    </w:p>
    <w:p>
      <w:pPr>
        <w:spacing w:line="600" w:lineRule="exact"/>
        <w:jc w:val="center"/>
        <w:outlineLvl w:val="0"/>
        <w:rPr>
          <w:rFonts w:ascii="黑体" w:hAnsi="黑体" w:eastAsia="黑体" w:cs="方正小标宋简体"/>
          <w:sz w:val="36"/>
          <w:szCs w:val="36"/>
        </w:rPr>
      </w:pPr>
      <w:bookmarkStart w:id="72" w:name="_Toc15396616"/>
      <w:r>
        <w:rPr>
          <w:rFonts w:hint="eastAsia" w:ascii="黑体" w:hAnsi="黑体" w:eastAsia="黑体" w:cs="方正小标宋简体"/>
          <w:sz w:val="36"/>
          <w:szCs w:val="36"/>
        </w:rPr>
        <w:t>西区城市管理局部门2018年部门整体支出绩效评价报告</w:t>
      </w:r>
      <w:bookmarkEnd w:id="72"/>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至2018年12月，我单位内设股室5个（办公室、城市容貌管理科、市政设施和公用管理科、城市园林绿化管理科、政策法规科），下属二级部门4个，其中行政单位0个，参照公务员管理的事业单位2个（攀枝花市西区市容环境卫生管理局和攀枝花市西区城建监察大队），其他事业单位2个（攀枝花市河门口公园和攀枝花市西区生活垃圾处理中心）。</w:t>
      </w:r>
    </w:p>
    <w:p>
      <w:pPr>
        <w:autoSpaceDE w:val="0"/>
        <w:autoSpaceDN w:val="0"/>
        <w:adjustRightInd w:val="0"/>
        <w:spacing w:line="360" w:lineRule="auto"/>
        <w:ind w:firstLine="640" w:firstLineChars="200"/>
        <w:jc w:val="left"/>
        <w:rPr>
          <w:rFonts w:ascii="仿宋_GB2312" w:hAnsi="仿宋" w:eastAsia="仿宋_GB2312"/>
          <w:bCs/>
          <w:color w:val="000000"/>
          <w:sz w:val="32"/>
          <w:szCs w:val="32"/>
        </w:rPr>
      </w:pPr>
      <w:r>
        <w:rPr>
          <w:rFonts w:ascii="仿宋" w:hAnsi="仿宋" w:eastAsia="仿宋" w:cs="仿宋_GB2312"/>
          <w:sz w:val="32"/>
          <w:szCs w:val="32"/>
        </w:rPr>
        <w:t>（二）机构职能</w:t>
      </w:r>
      <w:r>
        <w:rPr>
          <w:rFonts w:hint="eastAsia" w:ascii="仿宋_GB2312" w:hAnsi="仿宋" w:eastAsia="仿宋_GB2312"/>
          <w:bCs/>
          <w:color w:val="000000"/>
          <w:sz w:val="32"/>
          <w:szCs w:val="32"/>
        </w:rPr>
        <w:t xml:space="preserve"> </w:t>
      </w:r>
    </w:p>
    <w:p>
      <w:pPr>
        <w:autoSpaceDE w:val="0"/>
        <w:autoSpaceDN w:val="0"/>
        <w:adjustRightInd w:val="0"/>
        <w:spacing w:line="360" w:lineRule="auto"/>
        <w:ind w:firstLine="640" w:firstLineChars="200"/>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1.贯彻执行国家、省、市、区有关城市管理的法律、法规和政策；拟订全区城市管理发展规划、实施计划、规范性文件、管理标准，会同相关部门拟订城市管理工作目标，并组织实施。</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2.负责城市管理的行政执法、行政复议工作。集中行使市容环境卫生管理、城市绿化管理、市政设施管理、公用事业管理方面法律、法规、规章规定的行政处罚权。</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3.负责城市市容环境卫生综合管理工作。依法对城市市容环境卫生实施监督检查和考核；负责环境卫生作业企业的行业管理。</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4.负责全区市政公用设施综合管理工作。拟订市政公用设施发展计划并组织实施；负责对全区城市道路、城市道路桥梁、隧洞、城市照明及其附属设施等市政基础设施行业指导及监督管理工作。参与临时占用城市道路的机动车、非机动车停车场（点）的规划定点工作；负责建成区城市主干道、次干道、支干道及其背街小巷城市照明及其附属设施的维护、维修、管理工作；负责建成区事权内城市雕塑的维护和管理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5.负责全区城市绿化管理和监督。负责对全区城市园林绿化行业的管理、业务指导、培训、督促和检查；负责城市园林绿化管理标准和城市园林绿化建设工程有关管理规范的制定；负责城市建成区城市主干道、次干道、支干道及其背街小巷道路两侧的行道树及其附属公共绿地的管理；负责城市规划区古树名木的保护管理工作；负责对权限内园林绿化企业监督管理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6.综合管理城管系统的安全工作；负责燃气行业综合管理工作。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7.收集城市管理信息，组织开发、利用城市管理科学技术研究和科技成果的转化与推广运用工作。</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8.拟订城市管理工作经费的中长期计划和年度计划；承担城市生活垃圾处理费的收取工作；会同有关部门对使用情况实施监督管理。</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9.参与城市新建、改扩建项目中涉及市容环境卫生、园林绿化、市政公用设施建设项目的规划、方案审查、综合验收和监督管理。</w:t>
      </w:r>
    </w:p>
    <w:p>
      <w:pPr>
        <w:autoSpaceDE w:val="0"/>
        <w:autoSpaceDN w:val="0"/>
        <w:adjustRightInd w:val="0"/>
        <w:spacing w:line="360" w:lineRule="auto"/>
        <w:jc w:val="left"/>
        <w:rPr>
          <w:rFonts w:ascii="仿宋_GB2312" w:hAnsi="仿宋" w:eastAsia="仿宋_GB2312" w:cs="仿宋_GB2312-WinCharSetFFFF-H"/>
          <w:kern w:val="0"/>
          <w:sz w:val="32"/>
          <w:szCs w:val="32"/>
        </w:rPr>
      </w:pPr>
      <w:r>
        <w:rPr>
          <w:rFonts w:hint="eastAsia" w:ascii="仿宋_GB2312" w:hAnsi="仿宋" w:eastAsia="仿宋_GB2312" w:cs="仿宋_GB2312-WinCharSetFFFF-H"/>
          <w:kern w:val="0"/>
          <w:sz w:val="32"/>
          <w:szCs w:val="32"/>
        </w:rPr>
        <w:t xml:space="preserve">    10.承担区政府公布的有关行政审批事项。</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cs="仿宋_GB2312-WinCharSetFFFF-H"/>
          <w:kern w:val="0"/>
          <w:sz w:val="32"/>
          <w:szCs w:val="32"/>
        </w:rPr>
        <w:t>11.承办区政府交办的其他事项。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我单位机关行政编制5名。截至2018年12月实有在职4人，其中：局长1名，副局长3名，退休1人。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本年一般公共财政拨款收入1311.89万元，政府性基金预算财政拨款收入43.89万元，其他收入0.25万元，年初结转和结余5108.63万元。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本年度一般公共服务支出1.02万元，社会保障和就业支出14.85万元，医疗卫生和计划生育支出5.01万元，城乡社区支出4148.37万元，住房保障支出7.76万元，年末结转结余2287.67万元。</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w:t>
      </w:r>
      <w:r>
        <w:rPr>
          <w:rFonts w:hint="eastAsia" w:ascii="仿宋" w:hAnsi="仿宋" w:eastAsia="仿宋" w:cs="仿宋_GB2312"/>
          <w:sz w:val="32"/>
          <w:szCs w:val="32"/>
        </w:rPr>
        <w:t>完整</w:t>
      </w:r>
      <w:r>
        <w:rPr>
          <w:rFonts w:ascii="仿宋" w:hAnsi="仿宋" w:eastAsia="仿宋" w:cs="仿宋_GB2312"/>
          <w:sz w:val="32"/>
          <w:szCs w:val="32"/>
        </w:rPr>
        <w:t>、目标完成</w:t>
      </w:r>
      <w:r>
        <w:rPr>
          <w:rFonts w:hint="eastAsia" w:ascii="仿宋" w:hAnsi="仿宋" w:eastAsia="仿宋" w:cs="仿宋_GB2312"/>
          <w:sz w:val="32"/>
          <w:szCs w:val="32"/>
        </w:rPr>
        <w:t>较好</w:t>
      </w:r>
      <w:r>
        <w:rPr>
          <w:rFonts w:ascii="仿宋" w:hAnsi="仿宋" w:eastAsia="仿宋" w:cs="仿宋_GB2312"/>
          <w:sz w:val="32"/>
          <w:szCs w:val="32"/>
        </w:rPr>
        <w:t>、预算编制</w:t>
      </w:r>
      <w:r>
        <w:rPr>
          <w:rFonts w:hint="eastAsia" w:ascii="仿宋" w:hAnsi="仿宋" w:eastAsia="仿宋" w:cs="仿宋_GB2312"/>
          <w:sz w:val="32"/>
          <w:szCs w:val="32"/>
        </w:rPr>
        <w:t>较</w:t>
      </w:r>
      <w:r>
        <w:rPr>
          <w:rFonts w:ascii="仿宋" w:hAnsi="仿宋" w:eastAsia="仿宋" w:cs="仿宋_GB2312"/>
          <w:sz w:val="32"/>
          <w:szCs w:val="32"/>
        </w:rPr>
        <w:t>准确、支出控制</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执行动态与年初相符</w:t>
      </w:r>
      <w:r>
        <w:rPr>
          <w:rFonts w:ascii="仿宋" w:hAnsi="仿宋" w:eastAsia="仿宋" w:cs="仿宋_GB2312"/>
          <w:sz w:val="32"/>
          <w:szCs w:val="32"/>
        </w:rPr>
        <w:t>、</w:t>
      </w:r>
      <w:r>
        <w:rPr>
          <w:rFonts w:hint="eastAsia" w:ascii="仿宋" w:hAnsi="仿宋" w:eastAsia="仿宋" w:cs="仿宋_GB2312"/>
          <w:sz w:val="32"/>
          <w:szCs w:val="32"/>
        </w:rPr>
        <w:t>全面</w:t>
      </w:r>
      <w:r>
        <w:rPr>
          <w:rFonts w:ascii="仿宋" w:hAnsi="仿宋" w:eastAsia="仿宋" w:cs="仿宋_GB2312"/>
          <w:sz w:val="32"/>
          <w:szCs w:val="32"/>
        </w:rPr>
        <w:t>完成</w:t>
      </w:r>
      <w:r>
        <w:rPr>
          <w:rFonts w:hint="eastAsia" w:ascii="仿宋" w:hAnsi="仿宋" w:eastAsia="仿宋" w:cs="仿宋_GB2312"/>
          <w:sz w:val="32"/>
          <w:szCs w:val="32"/>
        </w:rPr>
        <w:t>年初预算、无</w:t>
      </w:r>
      <w:r>
        <w:rPr>
          <w:rFonts w:ascii="仿宋" w:hAnsi="仿宋" w:eastAsia="仿宋" w:cs="仿宋_GB2312"/>
          <w:sz w:val="32"/>
          <w:szCs w:val="32"/>
        </w:rPr>
        <w:t>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w:t>
      </w:r>
      <w:r>
        <w:rPr>
          <w:rFonts w:hint="eastAsia" w:ascii="仿宋" w:hAnsi="仿宋" w:eastAsia="仿宋" w:cs="仿宋_GB2312"/>
          <w:sz w:val="32"/>
          <w:szCs w:val="32"/>
        </w:rPr>
        <w:t>专项预算绩效目标完成较好，无</w:t>
      </w:r>
      <w:r>
        <w:rPr>
          <w:rFonts w:ascii="仿宋" w:hAnsi="仿宋" w:eastAsia="仿宋" w:cs="仿宋_GB2312"/>
          <w:sz w:val="32"/>
          <w:szCs w:val="32"/>
        </w:rPr>
        <w:t>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本单位2018年支出绩效指标达到了预期设定目标值，绩效目标完成较好。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总有突发性和临时性工作，预算难以准确，另外预算资金不足，项目之间难以平衡。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进一步加强财务管理和单位内部控制制度建设，规范各项费用的列支，确保规范完整。</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0"/>
          <w:rFonts w:ascii="仿宋" w:hAnsi="仿宋" w:eastAsia="仿宋"/>
          <w:b w:val="0"/>
          <w:bCs w:val="0"/>
          <w:sz w:val="32"/>
          <w:szCs w:val="32"/>
        </w:rPr>
      </w:pPr>
      <w:bookmarkStart w:id="73" w:name="_Toc15396617"/>
      <w:r>
        <w:rPr>
          <w:rStyle w:val="20"/>
          <w:rFonts w:hint="eastAsia" w:ascii="仿宋" w:hAnsi="仿宋" w:eastAsia="仿宋"/>
          <w:b w:val="0"/>
          <w:bCs w:val="0"/>
          <w:sz w:val="32"/>
          <w:szCs w:val="32"/>
        </w:rPr>
        <w:t>附件2</w:t>
      </w:r>
      <w:bookmarkEnd w:id="73"/>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2018年西区城市管理局项目支出绩效评价报告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2018年我单位部门预算绩效目标完成较好，28个项目都基本完成。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本年度本单位对城市执法、绿化管护、市容市貌、全区市政公用设施综合管理等开展绩效评价，综合水平较高，项目总体完成较好，项目做到了专项专用。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为维护社会和谐稳定氛围，助力本区重点、民生工程等顺利推进而进行一系列项目，这一系列项目均是必要、可行，绩效目标设置明确、合理的。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资金分配科学合理，</w:t>
      </w:r>
      <w:r>
        <w:rPr>
          <w:rFonts w:hint="eastAsia" w:ascii="仿宋" w:hAnsi="仿宋" w:eastAsia="仿宋" w:cs="仿宋_GB2312"/>
          <w:sz w:val="32"/>
          <w:szCs w:val="32"/>
        </w:rPr>
        <w:t>资金</w:t>
      </w:r>
      <w:r>
        <w:rPr>
          <w:rFonts w:ascii="仿宋" w:hAnsi="仿宋" w:eastAsia="仿宋" w:cs="仿宋_GB2312"/>
          <w:sz w:val="32"/>
          <w:szCs w:val="32"/>
        </w:rPr>
        <w:t>金使用规范</w:t>
      </w:r>
      <w:r>
        <w:rPr>
          <w:rFonts w:hint="eastAsia" w:ascii="仿宋" w:hAnsi="仿宋" w:eastAsia="仿宋" w:cs="仿宋_GB2312"/>
          <w:sz w:val="32"/>
          <w:szCs w:val="32"/>
        </w:rPr>
        <w:t>。严格遵守法律法规。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2018年我单位项目均完成较好，绩效指标达到了预期设定目标值。有利于促进社会和谐稳定，满足人民日益增长的对美好生活的要求。</w:t>
      </w:r>
    </w:p>
    <w:p>
      <w:pPr>
        <w:pStyle w:val="18"/>
        <w:numPr>
          <w:ilvl w:val="0"/>
          <w:numId w:val="8"/>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未开展绩效中期评估工作，监控工作具体实施有待进一步加强。</w:t>
      </w:r>
    </w:p>
    <w:p>
      <w:pPr>
        <w:pStyle w:val="18"/>
        <w:numPr>
          <w:ilvl w:val="0"/>
          <w:numId w:val="8"/>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480" w:firstLineChars="150"/>
        <w:rPr>
          <w:rStyle w:val="20"/>
          <w:rFonts w:ascii="仿宋" w:hAnsi="仿宋" w:eastAsia="仿宋" w:cs="仿宋_GB2312"/>
          <w:b w:val="0"/>
          <w:bCs w:val="0"/>
          <w:kern w:val="2"/>
          <w:sz w:val="32"/>
          <w:szCs w:val="32"/>
        </w:rPr>
      </w:pPr>
      <w:r>
        <w:rPr>
          <w:rStyle w:val="20"/>
          <w:rFonts w:hint="eastAsia" w:ascii="仿宋" w:hAnsi="仿宋" w:eastAsia="仿宋" w:cs="仿宋_GB2312"/>
          <w:b w:val="0"/>
          <w:bCs w:val="0"/>
          <w:kern w:val="2"/>
          <w:sz w:val="32"/>
          <w:szCs w:val="32"/>
        </w:rPr>
        <w:t>在资金执行过程中，更加规范资金使用，更好做到专款专用。加强资金监督。</w:t>
      </w: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Style w:val="20"/>
          <w:rFonts w:ascii="仿宋" w:hAnsi="仿宋" w:eastAsia="仿宋" w:cs="仿宋_GB2312"/>
          <w:b w:val="0"/>
          <w:bCs w:val="0"/>
          <w:kern w:val="2"/>
          <w:sz w:val="32"/>
          <w:szCs w:val="32"/>
        </w:rPr>
      </w:pPr>
    </w:p>
    <w:p>
      <w:pPr>
        <w:spacing w:line="580" w:lineRule="exact"/>
        <w:ind w:firstLine="480" w:firstLineChars="150"/>
        <w:rPr>
          <w:rFonts w:ascii="仿宋" w:hAnsi="仿宋" w:eastAsia="仿宋" w:cs="仿宋_GB2312"/>
          <w:sz w:val="32"/>
          <w:szCs w:val="32"/>
        </w:rPr>
      </w:pPr>
    </w:p>
    <w:p>
      <w:pPr>
        <w:spacing w:line="600" w:lineRule="exact"/>
        <w:jc w:val="center"/>
        <w:outlineLvl w:val="0"/>
        <w:rPr>
          <w:rStyle w:val="20"/>
          <w:rFonts w:ascii="黑体" w:hAnsi="黑体" w:eastAsia="黑体"/>
          <w:b w:val="0"/>
        </w:rPr>
      </w:pPr>
      <w:bookmarkStart w:id="74" w:name="_Toc15396618"/>
      <w:r>
        <w:rPr>
          <w:rFonts w:hint="eastAsia" w:ascii="黑体" w:hAnsi="黑体" w:eastAsia="黑体"/>
          <w:color w:val="000000"/>
          <w:sz w:val="44"/>
          <w:szCs w:val="44"/>
        </w:rPr>
        <w:t>第</w:t>
      </w:r>
      <w:r>
        <w:rPr>
          <w:rStyle w:val="20"/>
          <w:rFonts w:hint="eastAsia" w:ascii="黑体" w:hAnsi="黑体" w:eastAsia="黑体"/>
          <w:b w:val="0"/>
        </w:rPr>
        <w:t>五部分 附表</w:t>
      </w:r>
      <w:bookmarkEnd w:id="69"/>
      <w:bookmarkEnd w:id="7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5" w:name="_Toc15396619"/>
      <w:r>
        <w:rPr>
          <w:rFonts w:hint="eastAsia" w:ascii="仿宋" w:hAnsi="仿宋" w:eastAsia="仿宋"/>
          <w:b w:val="0"/>
          <w:color w:val="000000"/>
        </w:rPr>
        <w:t>一、收</w:t>
      </w:r>
      <w:r>
        <w:rPr>
          <w:rStyle w:val="24"/>
          <w:rFonts w:hint="eastAsia" w:ascii="仿宋" w:hAnsi="仿宋" w:eastAsia="仿宋"/>
          <w:b w:val="0"/>
          <w:bCs w:val="0"/>
        </w:rPr>
        <w:t>入支出决算总表</w:t>
      </w:r>
      <w:bookmarkEnd w:id="75"/>
    </w:p>
    <w:p>
      <w:pPr>
        <w:pStyle w:val="3"/>
        <w:rPr>
          <w:rFonts w:ascii="仿宋" w:hAnsi="仿宋" w:eastAsia="仿宋"/>
          <w:color w:val="000000"/>
        </w:rPr>
      </w:pPr>
      <w:bookmarkStart w:id="76" w:name="_Toc15396620"/>
      <w:r>
        <w:rPr>
          <w:rFonts w:hint="eastAsia" w:ascii="仿宋" w:hAnsi="仿宋" w:eastAsia="仿宋"/>
          <w:b w:val="0"/>
          <w:color w:val="000000"/>
        </w:rPr>
        <w:t>二、收</w:t>
      </w:r>
      <w:r>
        <w:rPr>
          <w:rStyle w:val="24"/>
          <w:rFonts w:hint="eastAsia" w:ascii="仿宋" w:hAnsi="仿宋" w:eastAsia="仿宋"/>
          <w:b w:val="0"/>
          <w:bCs w:val="0"/>
        </w:rPr>
        <w:t>入总表</w:t>
      </w:r>
      <w:bookmarkEnd w:id="76"/>
    </w:p>
    <w:p>
      <w:pPr>
        <w:pStyle w:val="3"/>
        <w:rPr>
          <w:rFonts w:ascii="仿宋" w:hAnsi="仿宋" w:eastAsia="仿宋"/>
          <w:color w:val="000000"/>
        </w:rPr>
      </w:pPr>
      <w:bookmarkStart w:id="77" w:name="_Toc15396621"/>
      <w:r>
        <w:rPr>
          <w:rStyle w:val="24"/>
          <w:rFonts w:hint="eastAsia" w:ascii="仿宋" w:hAnsi="仿宋" w:eastAsia="仿宋"/>
          <w:b w:val="0"/>
          <w:bCs w:val="0"/>
        </w:rPr>
        <w:t>三、</w:t>
      </w:r>
      <w:r>
        <w:rPr>
          <w:rFonts w:hint="eastAsia" w:ascii="仿宋" w:hAnsi="仿宋" w:eastAsia="仿宋"/>
          <w:b w:val="0"/>
          <w:color w:val="000000"/>
        </w:rPr>
        <w:t>支</w:t>
      </w:r>
      <w:r>
        <w:rPr>
          <w:rStyle w:val="24"/>
          <w:rFonts w:hint="eastAsia" w:ascii="仿宋" w:hAnsi="仿宋" w:eastAsia="仿宋"/>
          <w:b w:val="0"/>
          <w:bCs w:val="0"/>
        </w:rPr>
        <w:t>出总表</w:t>
      </w:r>
      <w:bookmarkEnd w:id="77"/>
    </w:p>
    <w:p>
      <w:pPr>
        <w:pStyle w:val="3"/>
        <w:rPr>
          <w:rFonts w:ascii="仿宋" w:hAnsi="仿宋" w:eastAsia="仿宋"/>
          <w:b w:val="0"/>
          <w:color w:val="000000"/>
        </w:rPr>
      </w:pPr>
      <w:bookmarkStart w:id="78" w:name="_Toc15396622"/>
      <w:r>
        <w:rPr>
          <w:rStyle w:val="24"/>
          <w:rFonts w:hint="eastAsia" w:ascii="仿宋" w:hAnsi="仿宋" w:eastAsia="仿宋"/>
          <w:b w:val="0"/>
          <w:bCs w:val="0"/>
        </w:rPr>
        <w:t>四、</w:t>
      </w:r>
      <w:r>
        <w:rPr>
          <w:rFonts w:hint="eastAsia" w:ascii="仿宋" w:hAnsi="仿宋" w:eastAsia="仿宋"/>
          <w:b w:val="0"/>
          <w:color w:val="000000"/>
        </w:rPr>
        <w:t>财</w:t>
      </w:r>
      <w:r>
        <w:rPr>
          <w:rStyle w:val="24"/>
          <w:rFonts w:hint="eastAsia" w:ascii="仿宋" w:hAnsi="仿宋" w:eastAsia="仿宋"/>
          <w:b w:val="0"/>
          <w:bCs w:val="0"/>
        </w:rPr>
        <w:t>政拨款收入支出决算总表</w:t>
      </w:r>
      <w:bookmarkEnd w:id="78"/>
    </w:p>
    <w:p>
      <w:pPr>
        <w:pStyle w:val="3"/>
        <w:rPr>
          <w:rFonts w:ascii="仿宋" w:hAnsi="仿宋" w:eastAsia="仿宋"/>
          <w:color w:val="000000"/>
        </w:rPr>
      </w:pPr>
      <w:bookmarkStart w:id="79" w:name="_Toc15396623"/>
      <w:r>
        <w:rPr>
          <w:rStyle w:val="24"/>
          <w:rFonts w:hint="eastAsia" w:ascii="仿宋" w:hAnsi="仿宋" w:eastAsia="仿宋"/>
          <w:b w:val="0"/>
          <w:bCs w:val="0"/>
        </w:rPr>
        <w:t>五、</w:t>
      </w:r>
      <w:r>
        <w:rPr>
          <w:rFonts w:hint="eastAsia" w:ascii="仿宋" w:hAnsi="仿宋" w:eastAsia="仿宋"/>
          <w:b w:val="0"/>
          <w:color w:val="000000"/>
        </w:rPr>
        <w:t>财</w:t>
      </w:r>
      <w:r>
        <w:rPr>
          <w:rStyle w:val="24"/>
          <w:rFonts w:hint="eastAsia" w:ascii="仿宋" w:hAnsi="仿宋" w:eastAsia="仿宋"/>
          <w:b w:val="0"/>
          <w:bCs w:val="0"/>
        </w:rPr>
        <w:t>政拨款支出决算明细表（政府经济分类科目）</w:t>
      </w:r>
      <w:bookmarkEnd w:id="79"/>
    </w:p>
    <w:p>
      <w:pPr>
        <w:pStyle w:val="3"/>
        <w:rPr>
          <w:rFonts w:ascii="仿宋" w:hAnsi="仿宋" w:eastAsia="仿宋"/>
          <w:color w:val="000000"/>
        </w:rPr>
      </w:pPr>
      <w:bookmarkStart w:id="80" w:name="_Toc15396624"/>
      <w:r>
        <w:rPr>
          <w:rStyle w:val="24"/>
          <w:rFonts w:hint="eastAsia" w:ascii="仿宋" w:hAnsi="仿宋" w:eastAsia="仿宋"/>
          <w:b w:val="0"/>
          <w:bCs w:val="0"/>
        </w:rPr>
        <w:t>六、</w:t>
      </w:r>
      <w:r>
        <w:rPr>
          <w:rFonts w:hint="eastAsia" w:ascii="仿宋" w:hAnsi="仿宋" w:eastAsia="仿宋"/>
          <w:b w:val="0"/>
          <w:color w:val="000000"/>
        </w:rPr>
        <w:t>一</w:t>
      </w:r>
      <w:r>
        <w:rPr>
          <w:rStyle w:val="24"/>
          <w:rFonts w:hint="eastAsia" w:ascii="仿宋" w:hAnsi="仿宋" w:eastAsia="仿宋"/>
          <w:b w:val="0"/>
          <w:bCs w:val="0"/>
        </w:rPr>
        <w:t>般公共预算财政拨款支出决算表</w:t>
      </w:r>
      <w:bookmarkEnd w:id="80"/>
    </w:p>
    <w:p>
      <w:pPr>
        <w:pStyle w:val="3"/>
        <w:rPr>
          <w:rFonts w:ascii="仿宋" w:hAnsi="仿宋" w:eastAsia="仿宋"/>
          <w:color w:val="000000"/>
        </w:rPr>
      </w:pPr>
      <w:bookmarkStart w:id="81" w:name="_Toc15396625"/>
      <w:r>
        <w:rPr>
          <w:rStyle w:val="24"/>
          <w:rFonts w:hint="eastAsia" w:ascii="仿宋" w:hAnsi="仿宋" w:eastAsia="仿宋"/>
          <w:b w:val="0"/>
          <w:bCs w:val="0"/>
        </w:rPr>
        <w:t>七、</w:t>
      </w:r>
      <w:r>
        <w:rPr>
          <w:rFonts w:hint="eastAsia" w:ascii="仿宋" w:hAnsi="仿宋" w:eastAsia="仿宋"/>
          <w:b w:val="0"/>
          <w:color w:val="000000"/>
        </w:rPr>
        <w:t>一</w:t>
      </w:r>
      <w:r>
        <w:rPr>
          <w:rStyle w:val="24"/>
          <w:rFonts w:hint="eastAsia" w:ascii="仿宋" w:hAnsi="仿宋" w:eastAsia="仿宋"/>
          <w:b w:val="0"/>
          <w:bCs w:val="0"/>
        </w:rPr>
        <w:t>般公共预算财政拨款支出决算明细表</w:t>
      </w:r>
      <w:bookmarkEnd w:id="81"/>
    </w:p>
    <w:p>
      <w:pPr>
        <w:pStyle w:val="3"/>
        <w:rPr>
          <w:rFonts w:ascii="仿宋" w:hAnsi="仿宋" w:eastAsia="仿宋"/>
          <w:color w:val="000000"/>
        </w:rPr>
      </w:pPr>
      <w:bookmarkStart w:id="82" w:name="_Toc15396626"/>
      <w:r>
        <w:rPr>
          <w:rStyle w:val="24"/>
          <w:rFonts w:hint="eastAsia" w:ascii="仿宋" w:hAnsi="仿宋" w:eastAsia="仿宋"/>
          <w:b w:val="0"/>
          <w:bCs w:val="0"/>
        </w:rPr>
        <w:t>八、</w:t>
      </w:r>
      <w:r>
        <w:rPr>
          <w:rFonts w:hint="eastAsia" w:ascii="仿宋" w:hAnsi="仿宋" w:eastAsia="仿宋"/>
          <w:b w:val="0"/>
          <w:color w:val="000000"/>
        </w:rPr>
        <w:t>一</w:t>
      </w:r>
      <w:r>
        <w:rPr>
          <w:rStyle w:val="24"/>
          <w:rFonts w:hint="eastAsia" w:ascii="仿宋" w:hAnsi="仿宋" w:eastAsia="仿宋"/>
          <w:b w:val="0"/>
          <w:bCs w:val="0"/>
        </w:rPr>
        <w:t>般公共预算财政拨款基本支出决算表</w:t>
      </w:r>
      <w:bookmarkEnd w:id="82"/>
    </w:p>
    <w:p>
      <w:pPr>
        <w:pStyle w:val="3"/>
        <w:rPr>
          <w:rFonts w:ascii="仿宋" w:hAnsi="仿宋" w:eastAsia="仿宋"/>
          <w:color w:val="000000"/>
        </w:rPr>
      </w:pPr>
      <w:bookmarkStart w:id="83" w:name="_Toc15396627"/>
      <w:r>
        <w:rPr>
          <w:rStyle w:val="24"/>
          <w:rFonts w:hint="eastAsia" w:ascii="仿宋" w:hAnsi="仿宋" w:eastAsia="仿宋"/>
          <w:b w:val="0"/>
          <w:bCs w:val="0"/>
        </w:rPr>
        <w:t>九、</w:t>
      </w:r>
      <w:r>
        <w:rPr>
          <w:rFonts w:hint="eastAsia" w:ascii="仿宋" w:hAnsi="仿宋" w:eastAsia="仿宋"/>
          <w:b w:val="0"/>
          <w:color w:val="000000"/>
        </w:rPr>
        <w:t>一</w:t>
      </w:r>
      <w:r>
        <w:rPr>
          <w:rStyle w:val="24"/>
          <w:rFonts w:hint="eastAsia" w:ascii="仿宋" w:hAnsi="仿宋" w:eastAsia="仿宋"/>
          <w:b w:val="0"/>
          <w:bCs w:val="0"/>
        </w:rPr>
        <w:t>般公共预算财政拨款项目支出决算表</w:t>
      </w:r>
      <w:bookmarkEnd w:id="83"/>
    </w:p>
    <w:p>
      <w:pPr>
        <w:pStyle w:val="3"/>
        <w:rPr>
          <w:rFonts w:ascii="仿宋" w:hAnsi="仿宋" w:eastAsia="仿宋"/>
          <w:color w:val="000000"/>
        </w:rPr>
      </w:pPr>
      <w:bookmarkStart w:id="84" w:name="_Toc15396628"/>
      <w:r>
        <w:rPr>
          <w:rStyle w:val="24"/>
          <w:rFonts w:hint="eastAsia" w:ascii="仿宋" w:hAnsi="仿宋" w:eastAsia="仿宋"/>
          <w:b w:val="0"/>
          <w:bCs w:val="0"/>
        </w:rPr>
        <w:t>十、</w:t>
      </w:r>
      <w:r>
        <w:rPr>
          <w:rFonts w:hint="eastAsia" w:ascii="仿宋" w:hAnsi="仿宋" w:eastAsia="仿宋"/>
          <w:b w:val="0"/>
          <w:color w:val="000000"/>
        </w:rPr>
        <w:t>一</w:t>
      </w:r>
      <w:r>
        <w:rPr>
          <w:rStyle w:val="24"/>
          <w:rFonts w:hint="eastAsia" w:ascii="仿宋" w:hAnsi="仿宋" w:eastAsia="仿宋"/>
          <w:b w:val="0"/>
          <w:bCs w:val="0"/>
        </w:rPr>
        <w:t>般公共预算财政拨款“三公”经费支出决算表</w:t>
      </w:r>
      <w:bookmarkEnd w:id="84"/>
    </w:p>
    <w:p>
      <w:pPr>
        <w:pStyle w:val="3"/>
        <w:rPr>
          <w:rFonts w:ascii="仿宋" w:hAnsi="仿宋" w:eastAsia="仿宋"/>
          <w:color w:val="000000"/>
        </w:rPr>
      </w:pPr>
      <w:bookmarkStart w:id="85" w:name="_Toc15396629"/>
      <w:r>
        <w:rPr>
          <w:rStyle w:val="24"/>
          <w:rFonts w:hint="eastAsia" w:ascii="仿宋" w:hAnsi="仿宋" w:eastAsia="仿宋"/>
          <w:b w:val="0"/>
          <w:bCs w:val="0"/>
        </w:rPr>
        <w:t>十一、</w:t>
      </w:r>
      <w:r>
        <w:rPr>
          <w:rFonts w:hint="eastAsia" w:ascii="仿宋" w:hAnsi="仿宋" w:eastAsia="仿宋"/>
          <w:b w:val="0"/>
          <w:color w:val="000000"/>
        </w:rPr>
        <w:t>政</w:t>
      </w:r>
      <w:r>
        <w:rPr>
          <w:rStyle w:val="24"/>
          <w:rFonts w:hint="eastAsia" w:ascii="仿宋" w:hAnsi="仿宋" w:eastAsia="仿宋"/>
          <w:b w:val="0"/>
          <w:bCs w:val="0"/>
        </w:rPr>
        <w:t>府性基金预算财政拨款收入支出决算表</w:t>
      </w:r>
      <w:bookmarkEnd w:id="85"/>
    </w:p>
    <w:p>
      <w:pPr>
        <w:pStyle w:val="3"/>
        <w:rPr>
          <w:rFonts w:ascii="仿宋" w:hAnsi="仿宋" w:eastAsia="仿宋"/>
          <w:color w:val="000000"/>
        </w:rPr>
      </w:pPr>
      <w:bookmarkStart w:id="86" w:name="_Toc15396630"/>
      <w:r>
        <w:rPr>
          <w:rStyle w:val="24"/>
          <w:rFonts w:hint="eastAsia" w:ascii="仿宋" w:hAnsi="仿宋" w:eastAsia="仿宋"/>
          <w:b w:val="0"/>
          <w:bCs w:val="0"/>
        </w:rPr>
        <w:t>十二、</w:t>
      </w:r>
      <w:r>
        <w:rPr>
          <w:rFonts w:hint="eastAsia" w:ascii="仿宋" w:hAnsi="仿宋" w:eastAsia="仿宋"/>
          <w:b w:val="0"/>
          <w:color w:val="000000"/>
        </w:rPr>
        <w:t>政</w:t>
      </w:r>
      <w:r>
        <w:rPr>
          <w:rStyle w:val="24"/>
          <w:rFonts w:hint="eastAsia" w:ascii="仿宋" w:hAnsi="仿宋" w:eastAsia="仿宋"/>
          <w:b w:val="0"/>
          <w:bCs w:val="0"/>
        </w:rPr>
        <w:t>府性基金预算财政拨款“三公”经费支出决算表</w:t>
      </w:r>
      <w:bookmarkEnd w:id="86"/>
    </w:p>
    <w:p>
      <w:pPr>
        <w:pStyle w:val="3"/>
        <w:rPr>
          <w:rFonts w:ascii="仿宋" w:hAnsi="仿宋" w:eastAsia="仿宋"/>
          <w:color w:val="000000"/>
        </w:rPr>
      </w:pPr>
      <w:bookmarkStart w:id="87" w:name="_Toc15396631"/>
      <w:r>
        <w:rPr>
          <w:rStyle w:val="24"/>
          <w:rFonts w:hint="eastAsia" w:ascii="仿宋" w:hAnsi="仿宋" w:eastAsia="仿宋"/>
          <w:b w:val="0"/>
          <w:bCs w:val="0"/>
        </w:rPr>
        <w:t>十三、</w:t>
      </w:r>
      <w:r>
        <w:rPr>
          <w:rFonts w:hint="eastAsia" w:ascii="仿宋" w:hAnsi="仿宋" w:eastAsia="仿宋"/>
          <w:b w:val="0"/>
          <w:color w:val="000000"/>
        </w:rPr>
        <w:t>国</w:t>
      </w:r>
      <w:r>
        <w:rPr>
          <w:rStyle w:val="24"/>
          <w:rFonts w:hint="eastAsia" w:ascii="仿宋" w:hAnsi="仿宋" w:eastAsia="仿宋"/>
          <w:b w:val="0"/>
          <w:bCs w:val="0"/>
        </w:rPr>
        <w:t>有资本经营预算支出决算表</w:t>
      </w:r>
      <w:bookmarkEnd w:id="87"/>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WinCharSetFFFF-H">
    <w:altName w:val="方正兰亭超细黑简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7">
    <w:nsid w:val="7EEB52B6"/>
    <w:multiLevelType w:val="multilevel"/>
    <w:tmpl w:val="7EEB52B6"/>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0EC3"/>
    <w:rsid w:val="00047147"/>
    <w:rsid w:val="0006487A"/>
    <w:rsid w:val="00065F8F"/>
    <w:rsid w:val="000768F2"/>
    <w:rsid w:val="00086F6D"/>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22E"/>
    <w:rsid w:val="001877A7"/>
    <w:rsid w:val="00191536"/>
    <w:rsid w:val="00196687"/>
    <w:rsid w:val="001C0962"/>
    <w:rsid w:val="001D6FF5"/>
    <w:rsid w:val="001D7531"/>
    <w:rsid w:val="001E737D"/>
    <w:rsid w:val="001F0592"/>
    <w:rsid w:val="001F7506"/>
    <w:rsid w:val="002006CD"/>
    <w:rsid w:val="0020220A"/>
    <w:rsid w:val="00202B36"/>
    <w:rsid w:val="00204B7A"/>
    <w:rsid w:val="00207928"/>
    <w:rsid w:val="0021101A"/>
    <w:rsid w:val="00220536"/>
    <w:rsid w:val="00235629"/>
    <w:rsid w:val="00260C38"/>
    <w:rsid w:val="002616C0"/>
    <w:rsid w:val="002662AA"/>
    <w:rsid w:val="00280496"/>
    <w:rsid w:val="00295495"/>
    <w:rsid w:val="002B2613"/>
    <w:rsid w:val="002D1058"/>
    <w:rsid w:val="002F1818"/>
    <w:rsid w:val="002F567B"/>
    <w:rsid w:val="002F73CA"/>
    <w:rsid w:val="0032128B"/>
    <w:rsid w:val="003216A9"/>
    <w:rsid w:val="0037013F"/>
    <w:rsid w:val="00380C92"/>
    <w:rsid w:val="003A484F"/>
    <w:rsid w:val="003B0BE0"/>
    <w:rsid w:val="003B0C1B"/>
    <w:rsid w:val="003B47E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752DF"/>
    <w:rsid w:val="0048263A"/>
    <w:rsid w:val="00487E5D"/>
    <w:rsid w:val="004A711F"/>
    <w:rsid w:val="004B199D"/>
    <w:rsid w:val="004B4690"/>
    <w:rsid w:val="004E0A2D"/>
    <w:rsid w:val="004E206B"/>
    <w:rsid w:val="004E6DF7"/>
    <w:rsid w:val="004F0FBD"/>
    <w:rsid w:val="00505371"/>
    <w:rsid w:val="00505A47"/>
    <w:rsid w:val="00512FDA"/>
    <w:rsid w:val="00520DA0"/>
    <w:rsid w:val="00524C7F"/>
    <w:rsid w:val="005664BB"/>
    <w:rsid w:val="0057481D"/>
    <w:rsid w:val="0058486E"/>
    <w:rsid w:val="005D1C8B"/>
    <w:rsid w:val="005D5CED"/>
    <w:rsid w:val="005D789C"/>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66AC"/>
    <w:rsid w:val="007127B7"/>
    <w:rsid w:val="007416B6"/>
    <w:rsid w:val="00746F48"/>
    <w:rsid w:val="00750476"/>
    <w:rsid w:val="0075404D"/>
    <w:rsid w:val="0076182A"/>
    <w:rsid w:val="00767B7E"/>
    <w:rsid w:val="007770C3"/>
    <w:rsid w:val="00784D24"/>
    <w:rsid w:val="00785FBA"/>
    <w:rsid w:val="00786E4A"/>
    <w:rsid w:val="007875EB"/>
    <w:rsid w:val="0079426B"/>
    <w:rsid w:val="007D312A"/>
    <w:rsid w:val="007D3345"/>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1D73"/>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70C5"/>
    <w:rsid w:val="00946945"/>
    <w:rsid w:val="00951248"/>
    <w:rsid w:val="0095152F"/>
    <w:rsid w:val="00954C49"/>
    <w:rsid w:val="0097099F"/>
    <w:rsid w:val="00971997"/>
    <w:rsid w:val="00971FFC"/>
    <w:rsid w:val="0098660A"/>
    <w:rsid w:val="009931C3"/>
    <w:rsid w:val="00993851"/>
    <w:rsid w:val="009B2C43"/>
    <w:rsid w:val="009B4EAE"/>
    <w:rsid w:val="009B7573"/>
    <w:rsid w:val="009C22F4"/>
    <w:rsid w:val="009C2E98"/>
    <w:rsid w:val="009D3447"/>
    <w:rsid w:val="009D4711"/>
    <w:rsid w:val="009F1185"/>
    <w:rsid w:val="009F18CD"/>
    <w:rsid w:val="009F2A13"/>
    <w:rsid w:val="00A04EB0"/>
    <w:rsid w:val="00A1361E"/>
    <w:rsid w:val="00A13CC1"/>
    <w:rsid w:val="00A16847"/>
    <w:rsid w:val="00A228B4"/>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AF5363"/>
    <w:rsid w:val="00AF70A8"/>
    <w:rsid w:val="00B03C9D"/>
    <w:rsid w:val="00B060AE"/>
    <w:rsid w:val="00B10517"/>
    <w:rsid w:val="00B14E76"/>
    <w:rsid w:val="00B161B8"/>
    <w:rsid w:val="00B2048C"/>
    <w:rsid w:val="00B2550F"/>
    <w:rsid w:val="00B310B9"/>
    <w:rsid w:val="00B35F3F"/>
    <w:rsid w:val="00B36CBB"/>
    <w:rsid w:val="00B425E0"/>
    <w:rsid w:val="00B440AA"/>
    <w:rsid w:val="00B44B70"/>
    <w:rsid w:val="00B53C56"/>
    <w:rsid w:val="00B73441"/>
    <w:rsid w:val="00B77EA6"/>
    <w:rsid w:val="00B81598"/>
    <w:rsid w:val="00B83D5F"/>
    <w:rsid w:val="00B841F1"/>
    <w:rsid w:val="00B93A31"/>
    <w:rsid w:val="00B944D6"/>
    <w:rsid w:val="00BB4DF0"/>
    <w:rsid w:val="00BC289F"/>
    <w:rsid w:val="00BC5361"/>
    <w:rsid w:val="00BC5460"/>
    <w:rsid w:val="00BC5ADF"/>
    <w:rsid w:val="00BC6B50"/>
    <w:rsid w:val="00BD0ACC"/>
    <w:rsid w:val="00BD0E25"/>
    <w:rsid w:val="00BE3EF3"/>
    <w:rsid w:val="00BF5BD6"/>
    <w:rsid w:val="00C03E31"/>
    <w:rsid w:val="00C27A07"/>
    <w:rsid w:val="00C33E72"/>
    <w:rsid w:val="00C354B2"/>
    <w:rsid w:val="00C35554"/>
    <w:rsid w:val="00C42709"/>
    <w:rsid w:val="00C533CC"/>
    <w:rsid w:val="00C56A21"/>
    <w:rsid w:val="00C5751C"/>
    <w:rsid w:val="00C61BFC"/>
    <w:rsid w:val="00C62B85"/>
    <w:rsid w:val="00C65438"/>
    <w:rsid w:val="00C91CBB"/>
    <w:rsid w:val="00CA5DDE"/>
    <w:rsid w:val="00CC09B6"/>
    <w:rsid w:val="00CC0FA7"/>
    <w:rsid w:val="00CC666F"/>
    <w:rsid w:val="00CD1E3F"/>
    <w:rsid w:val="00CE44F6"/>
    <w:rsid w:val="00CE49DA"/>
    <w:rsid w:val="00CE7B61"/>
    <w:rsid w:val="00D00095"/>
    <w:rsid w:val="00D0026E"/>
    <w:rsid w:val="00D20620"/>
    <w:rsid w:val="00D26091"/>
    <w:rsid w:val="00D34E7C"/>
    <w:rsid w:val="00D35489"/>
    <w:rsid w:val="00D51276"/>
    <w:rsid w:val="00D63122"/>
    <w:rsid w:val="00D7035F"/>
    <w:rsid w:val="00D72AC0"/>
    <w:rsid w:val="00DA65AC"/>
    <w:rsid w:val="00DB1913"/>
    <w:rsid w:val="00DC410D"/>
    <w:rsid w:val="00DC68CA"/>
    <w:rsid w:val="00DC7CBA"/>
    <w:rsid w:val="00DD73B7"/>
    <w:rsid w:val="00DF28BC"/>
    <w:rsid w:val="00DF34B9"/>
    <w:rsid w:val="00E01053"/>
    <w:rsid w:val="00E07ACF"/>
    <w:rsid w:val="00E2238A"/>
    <w:rsid w:val="00E331A1"/>
    <w:rsid w:val="00E33202"/>
    <w:rsid w:val="00E336A9"/>
    <w:rsid w:val="00E4795B"/>
    <w:rsid w:val="00E50624"/>
    <w:rsid w:val="00E553E9"/>
    <w:rsid w:val="00E568DF"/>
    <w:rsid w:val="00E628D4"/>
    <w:rsid w:val="00E64269"/>
    <w:rsid w:val="00E82267"/>
    <w:rsid w:val="00EA010F"/>
    <w:rsid w:val="00ED1B63"/>
    <w:rsid w:val="00ED3C1F"/>
    <w:rsid w:val="00ED4085"/>
    <w:rsid w:val="00ED420E"/>
    <w:rsid w:val="00EE2F57"/>
    <w:rsid w:val="00EF4C34"/>
    <w:rsid w:val="00EF77C6"/>
    <w:rsid w:val="00F05438"/>
    <w:rsid w:val="00F06CEC"/>
    <w:rsid w:val="00F1361C"/>
    <w:rsid w:val="00F160C7"/>
    <w:rsid w:val="00F33DAF"/>
    <w:rsid w:val="00F36D8F"/>
    <w:rsid w:val="00F417B1"/>
    <w:rsid w:val="00F5581E"/>
    <w:rsid w:val="00F602DF"/>
    <w:rsid w:val="00F81FD9"/>
    <w:rsid w:val="00F841AA"/>
    <w:rsid w:val="00FA23E8"/>
    <w:rsid w:val="00FD3CC1"/>
    <w:rsid w:val="00FD43B4"/>
    <w:rsid w:val="00FF1E02"/>
    <w:rsid w:val="00FF30B4"/>
    <w:rsid w:val="00FF7A2D"/>
    <w:rsid w:val="09162597"/>
    <w:rsid w:val="0E166F44"/>
    <w:rsid w:val="10144101"/>
    <w:rsid w:val="10C055FF"/>
    <w:rsid w:val="16BB723D"/>
    <w:rsid w:val="21C40D1E"/>
    <w:rsid w:val="240371BF"/>
    <w:rsid w:val="29FD04D3"/>
    <w:rsid w:val="319F7F4E"/>
    <w:rsid w:val="33953D63"/>
    <w:rsid w:val="344F5EC0"/>
    <w:rsid w:val="456307E8"/>
    <w:rsid w:val="4A0D2D0C"/>
    <w:rsid w:val="53DC6938"/>
    <w:rsid w:val="67DE3960"/>
    <w:rsid w:val="693237FD"/>
    <w:rsid w:val="7B8E26F0"/>
    <w:rsid w:val="7D86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19"/>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28"/>
      <w:szCs w:val="28"/>
    </w:rPr>
  </w:style>
  <w:style w:type="character" w:styleId="13">
    <w:name w:val="Strong"/>
    <w:basedOn w:val="12"/>
    <w:qFormat/>
    <w:uiPriority w:val="99"/>
    <w:rPr>
      <w:b/>
    </w:rPr>
  </w:style>
  <w:style w:type="character" w:styleId="14">
    <w:name w:val="Hyperlink"/>
    <w:basedOn w:val="12"/>
    <w:unhideWhenUsed/>
    <w:qFormat/>
    <w:uiPriority w:val="99"/>
    <w:rPr>
      <w:color w:val="0000FF"/>
      <w:u w:val="single"/>
    </w:r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_Style 16"/>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18">
    <w:name w:val="List Paragraph"/>
    <w:basedOn w:val="1"/>
    <w:qFormat/>
    <w:uiPriority w:val="34"/>
    <w:pPr>
      <w:ind w:firstLine="420" w:firstLineChars="200"/>
    </w:pPr>
  </w:style>
  <w:style w:type="character" w:customStyle="1" w:styleId="19">
    <w:name w:val="批注框文本 Char"/>
    <w:basedOn w:val="12"/>
    <w:link w:val="7"/>
    <w:semiHidden/>
    <w:qFormat/>
    <w:uiPriority w:val="99"/>
    <w:rPr>
      <w:rFonts w:ascii="Times New Roman" w:hAnsi="Times New Roman"/>
      <w:kern w:val="2"/>
      <w:sz w:val="18"/>
      <w:szCs w:val="18"/>
    </w:rPr>
  </w:style>
  <w:style w:type="character" w:customStyle="1" w:styleId="20">
    <w:name w:val="标题 1 Char"/>
    <w:basedOn w:val="12"/>
    <w:link w:val="2"/>
    <w:qFormat/>
    <w:uiPriority w:val="9"/>
    <w:rPr>
      <w:rFonts w:ascii="Times New Roman" w:hAnsi="Times New Roman"/>
      <w:b/>
      <w:bCs/>
      <w:kern w:val="44"/>
      <w:sz w:val="44"/>
      <w:szCs w:val="44"/>
    </w:rPr>
  </w:style>
  <w:style w:type="character" w:customStyle="1" w:styleId="21">
    <w:name w:val="正文文本 Char"/>
    <w:link w:val="5"/>
    <w:qFormat/>
    <w:locked/>
    <w:uiPriority w:val="99"/>
    <w:rPr>
      <w:rFonts w:ascii="仿宋_GB2312" w:hAnsi="Times New Roman" w:eastAsia="仿宋_GB2312"/>
      <w:sz w:val="24"/>
    </w:rPr>
  </w:style>
  <w:style w:type="character" w:customStyle="1" w:styleId="22">
    <w:name w:val="Header Char"/>
    <w:basedOn w:val="12"/>
    <w:semiHidden/>
    <w:qFormat/>
    <w:uiPriority w:val="99"/>
    <w:rPr>
      <w:rFonts w:ascii="Times New Roman" w:hAnsi="Times New Roman"/>
      <w:sz w:val="18"/>
      <w:szCs w:val="18"/>
    </w:rPr>
  </w:style>
  <w:style w:type="character" w:customStyle="1" w:styleId="23">
    <w:name w:val="Body Text Char"/>
    <w:basedOn w:val="12"/>
    <w:semiHidden/>
    <w:qFormat/>
    <w:uiPriority w:val="99"/>
    <w:rPr>
      <w:rFonts w:ascii="Times New Roman" w:hAnsi="Times New Roman"/>
      <w:szCs w:val="24"/>
    </w:rPr>
  </w:style>
  <w:style w:type="character" w:customStyle="1" w:styleId="24">
    <w:name w:val="标题 2 Char"/>
    <w:basedOn w:val="12"/>
    <w:link w:val="3"/>
    <w:qFormat/>
    <w:uiPriority w:val="9"/>
    <w:rPr>
      <w:rFonts w:ascii="Cambria" w:hAnsi="Cambria" w:eastAsia="宋体" w:cs="Times New Roman"/>
      <w:b/>
      <w:bCs/>
      <w:kern w:val="2"/>
      <w:sz w:val="32"/>
      <w:szCs w:val="32"/>
    </w:rPr>
  </w:style>
  <w:style w:type="character" w:customStyle="1" w:styleId="25">
    <w:name w:val="页脚 Char"/>
    <w:link w:val="8"/>
    <w:qFormat/>
    <w:locked/>
    <w:uiPriority w:val="99"/>
    <w:rPr>
      <w:sz w:val="18"/>
    </w:rPr>
  </w:style>
  <w:style w:type="character" w:customStyle="1" w:styleId="26">
    <w:name w:val="标题 3 Char"/>
    <w:basedOn w:val="12"/>
    <w:link w:val="4"/>
    <w:qFormat/>
    <w:uiPriority w:val="9"/>
    <w:rPr>
      <w:rFonts w:ascii="Times New Roman" w:hAnsi="Times New Roman"/>
      <w:b/>
      <w:bCs/>
      <w:kern w:val="2"/>
      <w:sz w:val="32"/>
      <w:szCs w:val="32"/>
    </w:rPr>
  </w:style>
  <w:style w:type="character" w:customStyle="1" w:styleId="27">
    <w:name w:val="Footer Char"/>
    <w:basedOn w:val="12"/>
    <w:semiHidden/>
    <w:qFormat/>
    <w:uiPriority w:val="99"/>
    <w:rPr>
      <w:rFonts w:ascii="Times New Roman" w:hAnsi="Times New Roman"/>
      <w:sz w:val="18"/>
      <w:szCs w:val="18"/>
    </w:rPr>
  </w:style>
  <w:style w:type="character" w:customStyle="1" w:styleId="28">
    <w:name w:val="页眉 Char"/>
    <w:link w:val="9"/>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2323</Words>
  <Characters>13244</Characters>
  <Lines>110</Lines>
  <Paragraphs>31</Paragraphs>
  <TotalTime>332</TotalTime>
  <ScaleCrop>false</ScaleCrop>
  <LinksUpToDate>false</LinksUpToDate>
  <CharactersWithSpaces>15536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2019-09-03T01:27:00Z</dcterms:created>
  <dc:creator>张彬茜</dc:creator>
  <cp:lastModifiedBy>刘湘</cp:lastModifiedBy>
  <cp:lastPrinted>2019-08-01T00:48:00Z</cp:lastPrinted>
  <dcterms:modified xsi:type="dcterms:W3CDTF">2021-05-20T09:15:35Z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