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4A" w:rsidRDefault="00A32A4A" w:rsidP="00A32A4A">
      <w:pPr>
        <w:pStyle w:val="a3"/>
        <w:shd w:val="clear" w:color="auto" w:fill="E9F3FD"/>
        <w:spacing w:before="0" w:beforeAutospacing="0" w:after="0" w:afterAutospacing="0" w:line="560" w:lineRule="atLeast"/>
        <w:jc w:val="center"/>
        <w:rPr>
          <w:rFonts w:ascii="Calibri" w:hAnsi="Calibri" w:cs="Calibri"/>
          <w:color w:val="122E67"/>
          <w:sz w:val="21"/>
          <w:szCs w:val="21"/>
        </w:rPr>
      </w:pPr>
      <w:r>
        <w:rPr>
          <w:rFonts w:ascii="方正小标宋简体" w:eastAsia="方正小标宋简体" w:hAnsi="Calibri" w:cs="Calibri" w:hint="eastAsia"/>
          <w:color w:val="122E67"/>
          <w:sz w:val="44"/>
          <w:szCs w:val="44"/>
          <w:bdr w:val="none" w:sz="0" w:space="0" w:color="auto" w:frame="1"/>
        </w:rPr>
        <w:t>四川省激励企业加大研发投入后补助</w:t>
      </w:r>
    </w:p>
    <w:p w:rsidR="00A32A4A" w:rsidRDefault="00A32A4A" w:rsidP="00A32A4A">
      <w:pPr>
        <w:pStyle w:val="a3"/>
        <w:shd w:val="clear" w:color="auto" w:fill="E9F3FD"/>
        <w:spacing w:before="0" w:beforeAutospacing="0" w:after="0" w:afterAutospacing="0" w:line="560" w:lineRule="atLeast"/>
        <w:jc w:val="center"/>
        <w:rPr>
          <w:rFonts w:ascii="Calibri" w:hAnsi="Calibri" w:cs="Calibri"/>
          <w:color w:val="122E67"/>
          <w:sz w:val="21"/>
          <w:szCs w:val="21"/>
        </w:rPr>
      </w:pPr>
      <w:r>
        <w:rPr>
          <w:rFonts w:ascii="方正小标宋简体" w:eastAsia="方正小标宋简体" w:hAnsi="Calibri" w:cs="Calibri" w:hint="eastAsia"/>
          <w:color w:val="122E67"/>
          <w:sz w:val="44"/>
          <w:szCs w:val="44"/>
          <w:bdr w:val="none" w:sz="0" w:space="0" w:color="auto" w:frame="1"/>
        </w:rPr>
        <w:t>实施暂行办法</w:t>
      </w:r>
    </w:p>
    <w:p w:rsidR="00A32A4A" w:rsidRDefault="00A32A4A" w:rsidP="00A32A4A">
      <w:pPr>
        <w:pStyle w:val="a3"/>
        <w:shd w:val="clear" w:color="auto" w:fill="E9F3FD"/>
        <w:spacing w:before="0" w:beforeAutospacing="0" w:after="0" w:afterAutospacing="0" w:line="560" w:lineRule="atLeast"/>
        <w:jc w:val="center"/>
        <w:rPr>
          <w:rFonts w:ascii="Calibri" w:hAnsi="Calibri" w:cs="Calibri"/>
          <w:color w:val="122E67"/>
          <w:sz w:val="21"/>
          <w:szCs w:val="21"/>
        </w:rPr>
      </w:pPr>
      <w:r>
        <w:rPr>
          <w:rFonts w:ascii="Times New Roman" w:hAnsi="Times New Roman" w:cs="Times New Roman"/>
          <w:color w:val="122E67"/>
          <w:sz w:val="32"/>
          <w:szCs w:val="32"/>
          <w:bdr w:val="none" w:sz="0" w:space="0" w:color="auto" w:frame="1"/>
        </w:rPr>
        <w:t> </w:t>
      </w:r>
    </w:p>
    <w:p w:rsidR="00A32A4A" w:rsidRDefault="00A32A4A" w:rsidP="00A32A4A">
      <w:pPr>
        <w:pStyle w:val="a3"/>
        <w:shd w:val="clear" w:color="auto" w:fill="E9F3FD"/>
        <w:spacing w:before="0" w:beforeAutospacing="0" w:after="0" w:afterAutospacing="0" w:line="560" w:lineRule="atLeast"/>
        <w:jc w:val="center"/>
        <w:rPr>
          <w:rFonts w:ascii="Calibri" w:hAnsi="Calibri" w:cs="Calibri"/>
          <w:color w:val="122E67"/>
          <w:sz w:val="21"/>
          <w:szCs w:val="21"/>
        </w:rPr>
      </w:pPr>
      <w:r>
        <w:rPr>
          <w:rFonts w:ascii="仿宋" w:eastAsia="仿宋" w:hAnsi="仿宋" w:cs="Calibri" w:hint="eastAsia"/>
          <w:b/>
          <w:bCs/>
          <w:color w:val="122E67"/>
          <w:sz w:val="32"/>
          <w:szCs w:val="32"/>
          <w:bdr w:val="none" w:sz="0" w:space="0" w:color="auto" w:frame="1"/>
        </w:rPr>
        <w:t>第一章</w:t>
      </w:r>
      <w:r>
        <w:rPr>
          <w:rFonts w:ascii="Times New Roman" w:hAnsi="Times New Roman" w:cs="Times New Roman"/>
          <w:b/>
          <w:bCs/>
          <w:color w:val="122E67"/>
          <w:sz w:val="32"/>
          <w:szCs w:val="32"/>
          <w:bdr w:val="none" w:sz="0" w:space="0" w:color="auto" w:frame="1"/>
        </w:rPr>
        <w:t> </w:t>
      </w:r>
      <w:r>
        <w:rPr>
          <w:rFonts w:ascii="仿宋" w:eastAsia="仿宋" w:hAnsi="仿宋" w:cs="Calibri" w:hint="eastAsia"/>
          <w:b/>
          <w:bCs/>
          <w:color w:val="122E67"/>
          <w:sz w:val="32"/>
          <w:szCs w:val="32"/>
          <w:bdr w:val="none" w:sz="0" w:space="0" w:color="auto" w:frame="1"/>
        </w:rPr>
        <w:t>总则</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122E67"/>
          <w:sz w:val="32"/>
          <w:szCs w:val="32"/>
          <w:bdr w:val="none" w:sz="0" w:space="0" w:color="auto" w:frame="1"/>
        </w:rPr>
        <w:t>第一条</w:t>
      </w:r>
      <w:r>
        <w:rPr>
          <w:rFonts w:ascii="Times New Roman" w:hAnsi="Times New Roman" w:cs="Times New Roman"/>
          <w:b/>
          <w:bCs/>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为深入实施创新驱动发展战略，激发创新主体活力，引导企业加大研发投入，增强企业自主创新能力，推动我省企业高质量发展，根据《四川省科学技术厅等九部门关于促进全社会加大研发投入支撑高质量发展的意见》（川科</w:t>
      </w:r>
      <w:proofErr w:type="gramStart"/>
      <w:r>
        <w:rPr>
          <w:rFonts w:ascii="仿宋" w:eastAsia="仿宋" w:hAnsi="仿宋" w:cs="Calibri" w:hint="eastAsia"/>
          <w:color w:val="122E67"/>
          <w:sz w:val="32"/>
          <w:szCs w:val="32"/>
          <w:bdr w:val="none" w:sz="0" w:space="0" w:color="auto" w:frame="1"/>
        </w:rPr>
        <w:t>规</w:t>
      </w:r>
      <w:proofErr w:type="gramEnd"/>
      <w:r>
        <w:rPr>
          <w:rFonts w:ascii="仿宋" w:eastAsia="仿宋" w:hAnsi="仿宋" w:cs="Calibri" w:hint="eastAsia"/>
          <w:color w:val="122E67"/>
          <w:sz w:val="32"/>
          <w:szCs w:val="32"/>
          <w:bdr w:val="none" w:sz="0" w:space="0" w:color="auto" w:frame="1"/>
        </w:rPr>
        <w:t>〔</w:t>
      </w:r>
      <w:r>
        <w:rPr>
          <w:rFonts w:ascii="Times New Roman" w:hAnsi="Times New Roman" w:cs="Times New Roman"/>
          <w:color w:val="122E67"/>
          <w:sz w:val="32"/>
          <w:szCs w:val="32"/>
          <w:bdr w:val="none" w:sz="0" w:space="0" w:color="auto" w:frame="1"/>
        </w:rPr>
        <w:t>2019</w:t>
      </w:r>
      <w:r>
        <w:rPr>
          <w:rFonts w:ascii="仿宋" w:eastAsia="仿宋" w:hAnsi="仿宋" w:cs="Calibri" w:hint="eastAsia"/>
          <w:color w:val="122E67"/>
          <w:sz w:val="32"/>
          <w:szCs w:val="32"/>
          <w:bdr w:val="none" w:sz="0" w:space="0" w:color="auto" w:frame="1"/>
        </w:rPr>
        <w:t>〕</w:t>
      </w:r>
      <w:r>
        <w:rPr>
          <w:rFonts w:ascii="Times New Roman" w:hAnsi="Times New Roman" w:cs="Times New Roman"/>
          <w:color w:val="122E67"/>
          <w:sz w:val="32"/>
          <w:szCs w:val="32"/>
          <w:bdr w:val="none" w:sz="0" w:space="0" w:color="auto" w:frame="1"/>
        </w:rPr>
        <w:t>11</w:t>
      </w:r>
      <w:r>
        <w:rPr>
          <w:rFonts w:ascii="仿宋" w:eastAsia="仿宋" w:hAnsi="仿宋" w:cs="Calibri" w:hint="eastAsia"/>
          <w:color w:val="122E67"/>
          <w:sz w:val="32"/>
          <w:szCs w:val="32"/>
          <w:bdr w:val="none" w:sz="0" w:space="0" w:color="auto" w:frame="1"/>
        </w:rPr>
        <w:t>号）、《四川省科技计划项目专项资金管理办法》（川财</w:t>
      </w:r>
      <w:proofErr w:type="gramStart"/>
      <w:r>
        <w:rPr>
          <w:rFonts w:ascii="仿宋" w:eastAsia="仿宋" w:hAnsi="仿宋" w:cs="Calibri" w:hint="eastAsia"/>
          <w:color w:val="122E67"/>
          <w:sz w:val="32"/>
          <w:szCs w:val="32"/>
          <w:bdr w:val="none" w:sz="0" w:space="0" w:color="auto" w:frame="1"/>
        </w:rPr>
        <w:t>规</w:t>
      </w:r>
      <w:proofErr w:type="gramEnd"/>
      <w:r>
        <w:rPr>
          <w:rFonts w:ascii="仿宋" w:eastAsia="仿宋" w:hAnsi="仿宋" w:cs="Calibri" w:hint="eastAsia"/>
          <w:color w:val="122E67"/>
          <w:sz w:val="32"/>
          <w:szCs w:val="32"/>
          <w:bdr w:val="none" w:sz="0" w:space="0" w:color="auto" w:frame="1"/>
        </w:rPr>
        <w:t>〔</w:t>
      </w:r>
      <w:r>
        <w:rPr>
          <w:rFonts w:ascii="Times New Roman" w:hAnsi="Times New Roman" w:cs="Times New Roman"/>
          <w:color w:val="122E67"/>
          <w:sz w:val="32"/>
          <w:szCs w:val="32"/>
          <w:bdr w:val="none" w:sz="0" w:space="0" w:color="auto" w:frame="1"/>
        </w:rPr>
        <w:t>2019</w:t>
      </w:r>
      <w:r>
        <w:rPr>
          <w:rFonts w:ascii="仿宋" w:eastAsia="仿宋" w:hAnsi="仿宋" w:cs="Calibri" w:hint="eastAsia"/>
          <w:color w:val="122E67"/>
          <w:sz w:val="32"/>
          <w:szCs w:val="32"/>
          <w:bdr w:val="none" w:sz="0" w:space="0" w:color="auto" w:frame="1"/>
        </w:rPr>
        <w:t>〕</w:t>
      </w:r>
      <w:r>
        <w:rPr>
          <w:rFonts w:ascii="Times New Roman" w:hAnsi="Times New Roman" w:cs="Times New Roman"/>
          <w:color w:val="122E67"/>
          <w:sz w:val="32"/>
          <w:szCs w:val="32"/>
          <w:bdr w:val="none" w:sz="0" w:space="0" w:color="auto" w:frame="1"/>
        </w:rPr>
        <w:t>10</w:t>
      </w:r>
      <w:r>
        <w:rPr>
          <w:rFonts w:ascii="仿宋" w:eastAsia="仿宋" w:hAnsi="仿宋" w:cs="Calibri" w:hint="eastAsia"/>
          <w:color w:val="122E67"/>
          <w:sz w:val="32"/>
          <w:szCs w:val="32"/>
          <w:bdr w:val="none" w:sz="0" w:space="0" w:color="auto" w:frame="1"/>
        </w:rPr>
        <w:t>号）等相关文件精神，特制定本办法。</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122E67"/>
          <w:sz w:val="32"/>
          <w:szCs w:val="32"/>
          <w:bdr w:val="none" w:sz="0" w:space="0" w:color="auto" w:frame="1"/>
        </w:rPr>
        <w:t>第二条</w:t>
      </w:r>
      <w:r>
        <w:rPr>
          <w:rFonts w:ascii="Times New Roman" w:hAnsi="Times New Roman" w:cs="Times New Roman"/>
          <w:b/>
          <w:bCs/>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本办法所称企业研发是指企业为增加知识存量以及涉及已有知识的新应用而进行的创造性、系统性工作，包括基础研究、应用研究和试验发展三种类型。本办法所指企业研发投入是指企业为实施研发活动而实际发生的全部经费支出（不含财政科技投入）。本办法激励企业加大研发投入是指在四川省科技计划中统筹安排财政资金开展两类补助，一是对企业研发投入的增量部分直接给予后补助（以下简称“省级直补”），二是对各市（州）用于激励企业加大研发投入的财政经费投入给予后补助（以下简称“市（州）补助”）。</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122E67"/>
          <w:sz w:val="32"/>
          <w:szCs w:val="32"/>
          <w:bdr w:val="none" w:sz="0" w:space="0" w:color="auto" w:frame="1"/>
        </w:rPr>
        <w:lastRenderedPageBreak/>
        <w:t>第三条</w:t>
      </w:r>
      <w:r>
        <w:rPr>
          <w:rFonts w:ascii="Times New Roman" w:hAnsi="Times New Roman" w:cs="Times New Roman"/>
          <w:b/>
          <w:bCs/>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科技厅主要负责组织政策制度制定、资金申报、材料审核、拟订补助资金预算分配建议方案、指导各市（州）出台激励企业研发投入政策等工作。财政厅主要负责专项资金预算管理、资金下达等工作。省税务局主要负责指导市（州）、县（市、区）税务部门开展税前加计扣除研发投入审核等工作。各市（州）、县（市、区）科技、财政、税务部门是企业研发投入补助的实施、管理和监督部门，分别履行相应的管理职责。</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122E67"/>
          <w:sz w:val="32"/>
          <w:szCs w:val="32"/>
          <w:bdr w:val="none" w:sz="0" w:space="0" w:color="auto" w:frame="1"/>
        </w:rPr>
        <w:t>第四条</w:t>
      </w:r>
      <w:r>
        <w:rPr>
          <w:rFonts w:ascii="Times New Roman" w:hAnsi="Times New Roman" w:cs="Times New Roman"/>
          <w:b/>
          <w:bCs/>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企业研发投入补助管理应遵循依法依规、公开公正、简便操作的原则。</w:t>
      </w:r>
    </w:p>
    <w:p w:rsidR="00A32A4A" w:rsidRDefault="00A32A4A" w:rsidP="00A32A4A">
      <w:pPr>
        <w:pStyle w:val="a3"/>
        <w:shd w:val="clear" w:color="auto" w:fill="E9F3FD"/>
        <w:spacing w:before="0" w:beforeAutospacing="0" w:after="0" w:afterAutospacing="0" w:line="560" w:lineRule="atLeast"/>
        <w:ind w:firstLine="640"/>
        <w:jc w:val="both"/>
        <w:rPr>
          <w:rFonts w:ascii="Calibri" w:hAnsi="Calibri" w:cs="Calibri"/>
          <w:color w:val="122E67"/>
          <w:sz w:val="21"/>
          <w:szCs w:val="21"/>
        </w:rPr>
      </w:pPr>
      <w:r>
        <w:rPr>
          <w:rFonts w:ascii="Times New Roman" w:hAnsi="Times New Roman" w:cs="Times New Roman"/>
          <w:color w:val="122E67"/>
          <w:sz w:val="32"/>
          <w:szCs w:val="32"/>
          <w:bdr w:val="none" w:sz="0" w:space="0" w:color="auto" w:frame="1"/>
        </w:rPr>
        <w:t> </w:t>
      </w:r>
    </w:p>
    <w:p w:rsidR="00A32A4A" w:rsidRDefault="00A32A4A" w:rsidP="00A32A4A">
      <w:pPr>
        <w:pStyle w:val="a3"/>
        <w:shd w:val="clear" w:color="auto" w:fill="E9F3FD"/>
        <w:spacing w:before="0" w:beforeAutospacing="0" w:after="0" w:afterAutospacing="0" w:line="560" w:lineRule="atLeast"/>
        <w:jc w:val="center"/>
        <w:rPr>
          <w:rFonts w:ascii="Calibri" w:hAnsi="Calibri" w:cs="Calibri"/>
          <w:color w:val="122E67"/>
          <w:sz w:val="21"/>
          <w:szCs w:val="21"/>
        </w:rPr>
      </w:pPr>
      <w:r>
        <w:rPr>
          <w:rFonts w:ascii="仿宋" w:eastAsia="仿宋" w:hAnsi="仿宋" w:cs="Calibri" w:hint="eastAsia"/>
          <w:b/>
          <w:bCs/>
          <w:color w:val="122E67"/>
          <w:sz w:val="32"/>
          <w:szCs w:val="32"/>
          <w:bdr w:val="none" w:sz="0" w:space="0" w:color="auto" w:frame="1"/>
        </w:rPr>
        <w:t>第二章</w:t>
      </w:r>
      <w:r>
        <w:rPr>
          <w:rFonts w:ascii="Times New Roman" w:hAnsi="Times New Roman" w:cs="Times New Roman"/>
          <w:b/>
          <w:bCs/>
          <w:color w:val="122E67"/>
          <w:sz w:val="32"/>
          <w:szCs w:val="32"/>
          <w:bdr w:val="none" w:sz="0" w:space="0" w:color="auto" w:frame="1"/>
        </w:rPr>
        <w:t> </w:t>
      </w:r>
      <w:r>
        <w:rPr>
          <w:rFonts w:ascii="仿宋" w:eastAsia="仿宋" w:hAnsi="仿宋" w:cs="Calibri" w:hint="eastAsia"/>
          <w:b/>
          <w:bCs/>
          <w:color w:val="122E67"/>
          <w:sz w:val="32"/>
          <w:szCs w:val="32"/>
          <w:bdr w:val="none" w:sz="0" w:space="0" w:color="auto" w:frame="1"/>
        </w:rPr>
        <w:t>补助对象及条件</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122E67"/>
          <w:sz w:val="32"/>
          <w:szCs w:val="32"/>
          <w:bdr w:val="none" w:sz="0" w:space="0" w:color="auto" w:frame="1"/>
        </w:rPr>
        <w:t>第五条</w:t>
      </w:r>
      <w:r>
        <w:rPr>
          <w:rFonts w:ascii="Times New Roman" w:hAnsi="Times New Roman" w:cs="Times New Roman"/>
          <w:b/>
          <w:bCs/>
          <w:color w:val="122E67"/>
          <w:sz w:val="32"/>
          <w:szCs w:val="32"/>
          <w:bdr w:val="none" w:sz="0" w:space="0" w:color="auto" w:frame="1"/>
        </w:rPr>
        <w:t> </w:t>
      </w:r>
      <w:r>
        <w:rPr>
          <w:rFonts w:ascii="仿宋" w:eastAsia="仿宋" w:hAnsi="仿宋" w:cs="Calibri" w:hint="eastAsia"/>
          <w:color w:val="000000"/>
          <w:sz w:val="32"/>
          <w:szCs w:val="32"/>
          <w:bdr w:val="none" w:sz="0" w:space="0" w:color="auto" w:frame="1"/>
        </w:rPr>
        <w:t>本办法补助对象包括企业和市（州）两类。</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第六条</w:t>
      </w:r>
      <w:r>
        <w:rPr>
          <w:rFonts w:ascii="Times New Roman" w:hAnsi="Times New Roman" w:cs="Times New Roman"/>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申请</w:t>
      </w:r>
      <w:proofErr w:type="gramStart"/>
      <w:r>
        <w:rPr>
          <w:rFonts w:ascii="仿宋" w:eastAsia="仿宋" w:hAnsi="仿宋" w:cs="Calibri" w:hint="eastAsia"/>
          <w:color w:val="000000"/>
          <w:sz w:val="32"/>
          <w:szCs w:val="32"/>
          <w:bdr w:val="none" w:sz="0" w:space="0" w:color="auto" w:frame="1"/>
        </w:rPr>
        <w:t>省级直补的</w:t>
      </w:r>
      <w:proofErr w:type="gramEnd"/>
      <w:r>
        <w:rPr>
          <w:rFonts w:ascii="仿宋" w:eastAsia="仿宋" w:hAnsi="仿宋" w:cs="Calibri" w:hint="eastAsia"/>
          <w:color w:val="000000"/>
          <w:sz w:val="32"/>
          <w:szCs w:val="32"/>
          <w:bdr w:val="none" w:sz="0" w:space="0" w:color="auto" w:frame="1"/>
        </w:rPr>
        <w:t>企业应同时具备以下条件：</w:t>
      </w:r>
    </w:p>
    <w:p w:rsidR="00A32A4A" w:rsidRDefault="00A32A4A" w:rsidP="00A32A4A">
      <w:pPr>
        <w:pStyle w:val="a3"/>
        <w:shd w:val="clear" w:color="auto" w:fill="E9F3FD"/>
        <w:spacing w:before="0" w:beforeAutospacing="0" w:after="0" w:afterAutospacing="0" w:line="560" w:lineRule="atLeast"/>
        <w:ind w:firstLine="640"/>
        <w:jc w:val="both"/>
        <w:rPr>
          <w:rFonts w:ascii="Calibri" w:hAnsi="Calibri" w:cs="Calibri"/>
          <w:color w:val="122E67"/>
          <w:sz w:val="21"/>
          <w:szCs w:val="21"/>
        </w:rPr>
      </w:pPr>
      <w:r>
        <w:rPr>
          <w:rFonts w:ascii="仿宋" w:eastAsia="仿宋" w:hAnsi="仿宋" w:cs="Calibri" w:hint="eastAsia"/>
          <w:color w:val="000000"/>
          <w:sz w:val="32"/>
          <w:szCs w:val="32"/>
          <w:bdr w:val="none" w:sz="0" w:space="0" w:color="auto" w:frame="1"/>
        </w:rPr>
        <w:t>（一）核算周期内（具体年度以申报通知为准，通常为两年）按规定在汇算清缴期内申报享受了研发费用加计扣除企业所得税优惠政策，且研发投入增量超过</w:t>
      </w:r>
      <w:r>
        <w:rPr>
          <w:rFonts w:ascii="Times New Roman" w:hAnsi="Times New Roman" w:cs="Times New Roman"/>
          <w:color w:val="000000"/>
          <w:sz w:val="32"/>
          <w:szCs w:val="32"/>
          <w:bdr w:val="none" w:sz="0" w:space="0" w:color="auto" w:frame="1"/>
        </w:rPr>
        <w:t>1000</w:t>
      </w:r>
      <w:r>
        <w:rPr>
          <w:rFonts w:ascii="仿宋" w:eastAsia="仿宋" w:hAnsi="仿宋" w:cs="Calibri" w:hint="eastAsia"/>
          <w:color w:val="000000"/>
          <w:sz w:val="32"/>
          <w:szCs w:val="32"/>
          <w:bdr w:val="none" w:sz="0" w:space="0" w:color="auto" w:frame="1"/>
        </w:rPr>
        <w:t>万元（含）。</w:t>
      </w:r>
    </w:p>
    <w:p w:rsidR="00A32A4A" w:rsidRDefault="00A32A4A" w:rsidP="00A32A4A">
      <w:pPr>
        <w:pStyle w:val="a3"/>
        <w:shd w:val="clear" w:color="auto" w:fill="E9F3FD"/>
        <w:spacing w:before="0" w:beforeAutospacing="0" w:after="0" w:afterAutospacing="0" w:line="560" w:lineRule="atLeast"/>
        <w:ind w:firstLine="640"/>
        <w:jc w:val="both"/>
        <w:rPr>
          <w:rFonts w:ascii="Calibri" w:hAnsi="Calibri" w:cs="Calibri"/>
          <w:color w:val="122E67"/>
          <w:sz w:val="21"/>
          <w:szCs w:val="21"/>
        </w:rPr>
      </w:pPr>
      <w:r>
        <w:rPr>
          <w:rFonts w:ascii="仿宋" w:eastAsia="仿宋" w:hAnsi="仿宋" w:cs="Calibri" w:hint="eastAsia"/>
          <w:color w:val="000000"/>
          <w:sz w:val="32"/>
          <w:szCs w:val="32"/>
          <w:bdr w:val="none" w:sz="0" w:space="0" w:color="auto" w:frame="1"/>
        </w:rPr>
        <w:t>（二）在核算周期内向统计部门报送了研发活动数据，营业收入规模超过</w:t>
      </w:r>
      <w:r>
        <w:rPr>
          <w:rFonts w:ascii="Times New Roman" w:hAnsi="Times New Roman" w:cs="Times New Roman"/>
          <w:color w:val="000000"/>
          <w:sz w:val="32"/>
          <w:szCs w:val="32"/>
          <w:bdr w:val="none" w:sz="0" w:space="0" w:color="auto" w:frame="1"/>
        </w:rPr>
        <w:t>5000</w:t>
      </w:r>
      <w:r>
        <w:rPr>
          <w:rFonts w:ascii="仿宋" w:eastAsia="仿宋" w:hAnsi="仿宋" w:cs="Calibri" w:hint="eastAsia"/>
          <w:color w:val="000000"/>
          <w:sz w:val="32"/>
          <w:szCs w:val="32"/>
          <w:bdr w:val="none" w:sz="0" w:space="0" w:color="auto" w:frame="1"/>
        </w:rPr>
        <w:t>万元（含），且较上一年度研发投入增量超过</w:t>
      </w:r>
      <w:r>
        <w:rPr>
          <w:rFonts w:ascii="Times New Roman" w:hAnsi="Times New Roman" w:cs="Times New Roman"/>
          <w:color w:val="000000"/>
          <w:sz w:val="32"/>
          <w:szCs w:val="32"/>
          <w:bdr w:val="none" w:sz="0" w:space="0" w:color="auto" w:frame="1"/>
        </w:rPr>
        <w:t>1000</w:t>
      </w:r>
      <w:r>
        <w:rPr>
          <w:rFonts w:ascii="仿宋" w:eastAsia="仿宋" w:hAnsi="仿宋" w:cs="Calibri" w:hint="eastAsia"/>
          <w:color w:val="000000"/>
          <w:sz w:val="32"/>
          <w:szCs w:val="32"/>
          <w:bdr w:val="none" w:sz="0" w:space="0" w:color="auto" w:frame="1"/>
        </w:rPr>
        <w:t>万元（含）。</w:t>
      </w:r>
    </w:p>
    <w:p w:rsidR="00A32A4A" w:rsidRDefault="00A32A4A" w:rsidP="00A32A4A">
      <w:pPr>
        <w:pStyle w:val="a3"/>
        <w:shd w:val="clear" w:color="auto" w:fill="E9F3FD"/>
        <w:spacing w:before="0" w:beforeAutospacing="0" w:after="0" w:afterAutospacing="0"/>
        <w:jc w:val="both"/>
        <w:rPr>
          <w:rFonts w:ascii="Calibri" w:hAnsi="Calibri" w:cs="Calibri"/>
          <w:color w:val="122E67"/>
          <w:sz w:val="21"/>
          <w:szCs w:val="21"/>
        </w:rPr>
      </w:pPr>
      <w:r>
        <w:rPr>
          <w:rFonts w:ascii="仿宋" w:eastAsia="仿宋" w:hAnsi="仿宋" w:cs="Calibri" w:hint="eastAsia"/>
          <w:color w:val="000000"/>
          <w:sz w:val="32"/>
          <w:szCs w:val="32"/>
          <w:bdr w:val="none" w:sz="0" w:space="0" w:color="auto" w:frame="1"/>
        </w:rPr>
        <w:lastRenderedPageBreak/>
        <w:t> </w:t>
      </w:r>
      <w:r>
        <w:rPr>
          <w:rFonts w:ascii="仿宋" w:eastAsia="仿宋" w:hAnsi="仿宋" w:cs="Calibri" w:hint="eastAsia"/>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（三）在四川省行政区域内设立、登记、注册，具有独立法人资格，未被列入失信名单，未发生安全、环保等问题。</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第七条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不满两年的企业，可以只提供核算周期末年报税务部门和统计部门的研发投入数据，核算周期首年研发投入按零测算。</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第八条</w:t>
      </w:r>
      <w:r>
        <w:rPr>
          <w:rFonts w:ascii="Times New Roman" w:hAnsi="Times New Roman" w:cs="Times New Roman"/>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申请补助的市（州）应同时满足以下条件：</w:t>
      </w:r>
    </w:p>
    <w:p w:rsidR="00A32A4A" w:rsidRDefault="00A32A4A" w:rsidP="00A32A4A">
      <w:pPr>
        <w:pStyle w:val="a3"/>
        <w:shd w:val="clear" w:color="auto" w:fill="E9F3FD"/>
        <w:spacing w:before="0" w:beforeAutospacing="0" w:after="0" w:afterAutospacing="0" w:line="560" w:lineRule="atLeast"/>
        <w:ind w:firstLine="640"/>
        <w:jc w:val="both"/>
        <w:rPr>
          <w:rFonts w:ascii="Calibri" w:hAnsi="Calibri" w:cs="Calibri"/>
          <w:color w:val="122E67"/>
          <w:sz w:val="21"/>
          <w:szCs w:val="21"/>
        </w:rPr>
      </w:pPr>
      <w:r>
        <w:rPr>
          <w:rFonts w:ascii="仿宋" w:eastAsia="仿宋" w:hAnsi="仿宋" w:cs="Calibri" w:hint="eastAsia"/>
          <w:color w:val="000000"/>
          <w:sz w:val="32"/>
          <w:szCs w:val="32"/>
          <w:bdr w:val="none" w:sz="0" w:space="0" w:color="auto" w:frame="1"/>
        </w:rPr>
        <w:t>（一）自行制定企业研发投入激励政策，包括补助条件、标准和程序等。享受市（州）研发投入补助的企业必须按要求向当地统计部门报送研发投入数据。</w:t>
      </w:r>
    </w:p>
    <w:p w:rsidR="00A32A4A" w:rsidRDefault="00A32A4A" w:rsidP="00A32A4A">
      <w:pPr>
        <w:pStyle w:val="a3"/>
        <w:shd w:val="clear" w:color="auto" w:fill="E9F3FD"/>
        <w:spacing w:before="0" w:beforeAutospacing="0" w:after="0" w:afterAutospacing="0" w:line="560" w:lineRule="atLeast"/>
        <w:ind w:firstLine="640"/>
        <w:jc w:val="both"/>
        <w:rPr>
          <w:rFonts w:ascii="Calibri" w:hAnsi="Calibri" w:cs="Calibri"/>
          <w:color w:val="122E67"/>
          <w:sz w:val="21"/>
          <w:szCs w:val="21"/>
        </w:rPr>
      </w:pPr>
      <w:r>
        <w:rPr>
          <w:rFonts w:ascii="仿宋" w:eastAsia="仿宋" w:hAnsi="仿宋" w:cs="Calibri" w:hint="eastAsia"/>
          <w:color w:val="000000"/>
          <w:sz w:val="32"/>
          <w:szCs w:val="32"/>
          <w:bdr w:val="none" w:sz="0" w:space="0" w:color="auto" w:frame="1"/>
        </w:rPr>
        <w:t>（二）市（州）在上一年度组织实施了企业研发投入激励政策，并有市级财政资金投入。</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第九条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已经享受了市（州）上一年度企业研发投入财政补助政策的企业，不再重复申报当年省级直补。</w:t>
      </w:r>
    </w:p>
    <w:p w:rsidR="00A32A4A" w:rsidRDefault="00A32A4A" w:rsidP="00A32A4A">
      <w:pPr>
        <w:pStyle w:val="a3"/>
        <w:shd w:val="clear" w:color="auto" w:fill="E9F3FD"/>
        <w:spacing w:before="0" w:beforeAutospacing="0" w:after="0" w:afterAutospacing="0" w:line="560" w:lineRule="atLeast"/>
        <w:jc w:val="center"/>
        <w:rPr>
          <w:rFonts w:ascii="Calibri" w:hAnsi="Calibri" w:cs="Calibri"/>
          <w:color w:val="122E67"/>
          <w:sz w:val="21"/>
          <w:szCs w:val="21"/>
        </w:rPr>
      </w:pPr>
      <w:r>
        <w:rPr>
          <w:rFonts w:ascii="Times New Roman" w:hAnsi="Times New Roman" w:cs="Times New Roman"/>
          <w:b/>
          <w:bCs/>
          <w:color w:val="000000"/>
          <w:sz w:val="32"/>
          <w:szCs w:val="32"/>
          <w:bdr w:val="none" w:sz="0" w:space="0" w:color="auto" w:frame="1"/>
        </w:rPr>
        <w:t> </w:t>
      </w:r>
    </w:p>
    <w:p w:rsidR="00A32A4A" w:rsidRDefault="00A32A4A" w:rsidP="00A32A4A">
      <w:pPr>
        <w:pStyle w:val="a3"/>
        <w:shd w:val="clear" w:color="auto" w:fill="E9F3FD"/>
        <w:spacing w:before="0" w:beforeAutospacing="0" w:after="0" w:afterAutospacing="0" w:line="560" w:lineRule="atLeast"/>
        <w:jc w:val="center"/>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第三章</w:t>
      </w:r>
      <w:r>
        <w:rPr>
          <w:rFonts w:ascii="Times New Roman" w:hAnsi="Times New Roman" w:cs="Times New Roman"/>
          <w:b/>
          <w:bCs/>
          <w:color w:val="000000"/>
          <w:sz w:val="32"/>
          <w:szCs w:val="32"/>
          <w:bdr w:val="none" w:sz="0" w:space="0" w:color="auto" w:frame="1"/>
        </w:rPr>
        <w:t> </w:t>
      </w:r>
      <w:r>
        <w:rPr>
          <w:rFonts w:ascii="仿宋" w:eastAsia="仿宋" w:hAnsi="仿宋" w:cs="Calibri" w:hint="eastAsia"/>
          <w:b/>
          <w:bCs/>
          <w:color w:val="000000"/>
          <w:sz w:val="32"/>
          <w:szCs w:val="32"/>
          <w:bdr w:val="none" w:sz="0" w:space="0" w:color="auto" w:frame="1"/>
        </w:rPr>
        <w:t>补助计算依据及标准</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第十条</w:t>
      </w:r>
      <w:r>
        <w:rPr>
          <w:rFonts w:ascii="Times New Roman" w:hAnsi="Times New Roman" w:cs="Times New Roman"/>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省级</w:t>
      </w:r>
      <w:proofErr w:type="gramStart"/>
      <w:r>
        <w:rPr>
          <w:rFonts w:ascii="仿宋" w:eastAsia="仿宋" w:hAnsi="仿宋" w:cs="Calibri" w:hint="eastAsia"/>
          <w:color w:val="000000"/>
          <w:sz w:val="32"/>
          <w:szCs w:val="32"/>
          <w:bdr w:val="none" w:sz="0" w:space="0" w:color="auto" w:frame="1"/>
        </w:rPr>
        <w:t>直补采取</w:t>
      </w:r>
      <w:proofErr w:type="gramEnd"/>
      <w:r>
        <w:rPr>
          <w:rFonts w:ascii="仿宋" w:eastAsia="仿宋" w:hAnsi="仿宋" w:cs="Calibri" w:hint="eastAsia"/>
          <w:color w:val="000000"/>
          <w:sz w:val="32"/>
          <w:szCs w:val="32"/>
          <w:bdr w:val="none" w:sz="0" w:space="0" w:color="auto" w:frame="1"/>
        </w:rPr>
        <w:t>奖励性后补助方式，以企业核算周期末年和核算周期首年所得税汇算清缴向税务部门申报的享受税前加计扣除的研发投入增量部分作为计算依据，补助额度采用分段超额累退比例法计算，具体补助比例根据申报通知当年财政预算情况在申报通知中予以明确。</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lastRenderedPageBreak/>
        <w:t>第十一条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对市（州）的研发投入补助，以上</w:t>
      </w:r>
      <w:proofErr w:type="gramStart"/>
      <w:r>
        <w:rPr>
          <w:rFonts w:ascii="仿宋" w:eastAsia="仿宋" w:hAnsi="仿宋" w:cs="Calibri" w:hint="eastAsia"/>
          <w:color w:val="000000"/>
          <w:sz w:val="32"/>
          <w:szCs w:val="32"/>
          <w:bdr w:val="none" w:sz="0" w:space="0" w:color="auto" w:frame="1"/>
        </w:rPr>
        <w:t>一</w:t>
      </w:r>
      <w:proofErr w:type="gramEnd"/>
      <w:r>
        <w:rPr>
          <w:rFonts w:ascii="仿宋" w:eastAsia="仿宋" w:hAnsi="仿宋" w:cs="Calibri" w:hint="eastAsia"/>
          <w:color w:val="000000"/>
          <w:sz w:val="32"/>
          <w:szCs w:val="32"/>
          <w:bdr w:val="none" w:sz="0" w:space="0" w:color="auto" w:frame="1"/>
        </w:rPr>
        <w:t>年度市（州）用于激励企业加大研发投入的财政经费投入总额作为计算依据，补助额度采取定额比例计算，具体补助比例根据申报通知当年财政预算情况在申报通知中予以明确。</w:t>
      </w:r>
    </w:p>
    <w:p w:rsidR="00A32A4A" w:rsidRDefault="00A32A4A" w:rsidP="00A32A4A">
      <w:pPr>
        <w:pStyle w:val="a3"/>
        <w:shd w:val="clear" w:color="auto" w:fill="E9F3FD"/>
        <w:spacing w:before="0" w:beforeAutospacing="0" w:after="0" w:afterAutospacing="0" w:line="560" w:lineRule="atLeast"/>
        <w:ind w:firstLine="640"/>
        <w:jc w:val="both"/>
        <w:rPr>
          <w:rFonts w:ascii="Calibri" w:hAnsi="Calibri" w:cs="Calibri"/>
          <w:color w:val="122E67"/>
          <w:sz w:val="21"/>
          <w:szCs w:val="21"/>
        </w:rPr>
      </w:pPr>
      <w:r>
        <w:rPr>
          <w:rFonts w:ascii="Times New Roman" w:hAnsi="Times New Roman" w:cs="Times New Roman"/>
          <w:color w:val="000000"/>
          <w:sz w:val="32"/>
          <w:szCs w:val="32"/>
          <w:bdr w:val="none" w:sz="0" w:space="0" w:color="auto" w:frame="1"/>
        </w:rPr>
        <w:t> </w:t>
      </w:r>
    </w:p>
    <w:p w:rsidR="00A32A4A" w:rsidRDefault="00A32A4A" w:rsidP="00A32A4A">
      <w:pPr>
        <w:pStyle w:val="a3"/>
        <w:shd w:val="clear" w:color="auto" w:fill="E9F3FD"/>
        <w:spacing w:before="0" w:beforeAutospacing="0" w:after="0" w:afterAutospacing="0" w:line="560" w:lineRule="atLeast"/>
        <w:jc w:val="center"/>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第四章</w:t>
      </w:r>
      <w:r>
        <w:rPr>
          <w:rFonts w:ascii="Times New Roman" w:hAnsi="Times New Roman" w:cs="Times New Roman"/>
          <w:b/>
          <w:bCs/>
          <w:color w:val="000000"/>
          <w:sz w:val="32"/>
          <w:szCs w:val="32"/>
          <w:bdr w:val="none" w:sz="0" w:space="0" w:color="auto" w:frame="1"/>
        </w:rPr>
        <w:t> </w:t>
      </w:r>
      <w:r>
        <w:rPr>
          <w:rFonts w:ascii="仿宋" w:eastAsia="仿宋" w:hAnsi="仿宋" w:cs="Calibri" w:hint="eastAsia"/>
          <w:b/>
          <w:bCs/>
          <w:color w:val="000000"/>
          <w:sz w:val="32"/>
          <w:szCs w:val="32"/>
          <w:bdr w:val="none" w:sz="0" w:space="0" w:color="auto" w:frame="1"/>
        </w:rPr>
        <w:t>申报受理程序</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第十二条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发布通知。科技厅会同财政厅、省税务局发布年度申报通知，明确相关要求、具体流程等。</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第十三条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组织申报。申报</w:t>
      </w:r>
      <w:proofErr w:type="gramStart"/>
      <w:r>
        <w:rPr>
          <w:rFonts w:ascii="仿宋" w:eastAsia="仿宋" w:hAnsi="仿宋" w:cs="Calibri" w:hint="eastAsia"/>
          <w:color w:val="000000"/>
          <w:sz w:val="32"/>
          <w:szCs w:val="32"/>
          <w:bdr w:val="none" w:sz="0" w:space="0" w:color="auto" w:frame="1"/>
        </w:rPr>
        <w:t>省级直补的</w:t>
      </w:r>
      <w:proofErr w:type="gramEnd"/>
      <w:r>
        <w:rPr>
          <w:rFonts w:ascii="仿宋" w:eastAsia="仿宋" w:hAnsi="仿宋" w:cs="Calibri" w:hint="eastAsia"/>
          <w:color w:val="000000"/>
          <w:sz w:val="32"/>
          <w:szCs w:val="32"/>
          <w:bdr w:val="none" w:sz="0" w:space="0" w:color="auto" w:frame="1"/>
        </w:rPr>
        <w:t>企业按申报通知通过四川省科技管理信息系统提交补助申请表和相关材料。市（州）补助由各市（州）科技部门会同财政部门、税务部门按要求上报申报材料。</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第十四条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审核汇总。申报</w:t>
      </w:r>
      <w:proofErr w:type="gramStart"/>
      <w:r>
        <w:rPr>
          <w:rFonts w:ascii="仿宋" w:eastAsia="仿宋" w:hAnsi="仿宋" w:cs="Calibri" w:hint="eastAsia"/>
          <w:color w:val="000000"/>
          <w:sz w:val="32"/>
          <w:szCs w:val="32"/>
          <w:bdr w:val="none" w:sz="0" w:space="0" w:color="auto" w:frame="1"/>
        </w:rPr>
        <w:t>省级直补的</w:t>
      </w:r>
      <w:proofErr w:type="gramEnd"/>
      <w:r>
        <w:rPr>
          <w:rFonts w:ascii="仿宋" w:eastAsia="仿宋" w:hAnsi="仿宋" w:cs="Calibri" w:hint="eastAsia"/>
          <w:color w:val="000000"/>
          <w:sz w:val="32"/>
          <w:szCs w:val="32"/>
          <w:bdr w:val="none" w:sz="0" w:space="0" w:color="auto" w:frame="1"/>
        </w:rPr>
        <w:t>企业材料由四川省科技管理信息系统内推荐单位严格把关。省级部门作为推荐单位的，负责申报工作的审核、推荐与汇总，并将</w:t>
      </w:r>
      <w:proofErr w:type="gramStart"/>
      <w:r>
        <w:rPr>
          <w:rFonts w:ascii="仿宋" w:eastAsia="仿宋" w:hAnsi="仿宋" w:cs="Calibri" w:hint="eastAsia"/>
          <w:color w:val="000000"/>
          <w:sz w:val="32"/>
          <w:szCs w:val="32"/>
          <w:bdr w:val="none" w:sz="0" w:space="0" w:color="auto" w:frame="1"/>
        </w:rPr>
        <w:t>汇总表函报</w:t>
      </w:r>
      <w:proofErr w:type="gramEnd"/>
      <w:r>
        <w:rPr>
          <w:rFonts w:ascii="仿宋" w:eastAsia="仿宋" w:hAnsi="仿宋" w:cs="Calibri" w:hint="eastAsia"/>
          <w:color w:val="000000"/>
          <w:sz w:val="32"/>
          <w:szCs w:val="32"/>
          <w:bdr w:val="none" w:sz="0" w:space="0" w:color="auto" w:frame="1"/>
        </w:rPr>
        <w:t>科技厅；地方科技部门作为推荐单位的，需会同同级税务部门进行审核，并与同级财政部门、税务部门会签后将</w:t>
      </w:r>
      <w:proofErr w:type="gramStart"/>
      <w:r>
        <w:rPr>
          <w:rFonts w:ascii="仿宋" w:eastAsia="仿宋" w:hAnsi="仿宋" w:cs="Calibri" w:hint="eastAsia"/>
          <w:color w:val="000000"/>
          <w:sz w:val="32"/>
          <w:szCs w:val="32"/>
          <w:bdr w:val="none" w:sz="0" w:space="0" w:color="auto" w:frame="1"/>
        </w:rPr>
        <w:t>汇总表函报</w:t>
      </w:r>
      <w:proofErr w:type="gramEnd"/>
      <w:r>
        <w:rPr>
          <w:rFonts w:ascii="仿宋" w:eastAsia="仿宋" w:hAnsi="仿宋" w:cs="Calibri" w:hint="eastAsia"/>
          <w:color w:val="000000"/>
          <w:sz w:val="32"/>
          <w:szCs w:val="32"/>
          <w:bdr w:val="none" w:sz="0" w:space="0" w:color="auto" w:frame="1"/>
        </w:rPr>
        <w:t>科技厅。</w:t>
      </w:r>
    </w:p>
    <w:p w:rsidR="00A32A4A" w:rsidRDefault="00A32A4A" w:rsidP="00A32A4A">
      <w:pPr>
        <w:pStyle w:val="a3"/>
        <w:shd w:val="clear" w:color="auto" w:fill="E9F3FD"/>
        <w:spacing w:before="0" w:beforeAutospacing="0" w:after="0" w:afterAutospacing="0" w:line="560" w:lineRule="atLeast"/>
        <w:ind w:firstLine="640"/>
        <w:jc w:val="both"/>
        <w:rPr>
          <w:rFonts w:ascii="Calibri" w:hAnsi="Calibri" w:cs="Calibri"/>
          <w:color w:val="122E67"/>
          <w:sz w:val="21"/>
          <w:szCs w:val="21"/>
        </w:rPr>
      </w:pPr>
      <w:r>
        <w:rPr>
          <w:rFonts w:ascii="仿宋" w:eastAsia="仿宋" w:hAnsi="仿宋" w:cs="Calibri" w:hint="eastAsia"/>
          <w:color w:val="000000"/>
          <w:sz w:val="32"/>
          <w:szCs w:val="32"/>
          <w:bdr w:val="none" w:sz="0" w:space="0" w:color="auto" w:frame="1"/>
        </w:rPr>
        <w:t>申报市（州）补助的材料由科技厅会同财政厅、省税务局审核。</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lastRenderedPageBreak/>
        <w:t>第十五条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核定公示。科技厅会同省税务局、财政厅核定</w:t>
      </w:r>
      <w:proofErr w:type="gramStart"/>
      <w:r>
        <w:rPr>
          <w:rFonts w:ascii="仿宋" w:eastAsia="仿宋" w:hAnsi="仿宋" w:cs="Calibri" w:hint="eastAsia"/>
          <w:color w:val="000000"/>
          <w:sz w:val="32"/>
          <w:szCs w:val="32"/>
          <w:bdr w:val="none" w:sz="0" w:space="0" w:color="auto" w:frame="1"/>
        </w:rPr>
        <w:t>拟直补企业</w:t>
      </w:r>
      <w:proofErr w:type="gramEnd"/>
      <w:r>
        <w:rPr>
          <w:rFonts w:ascii="仿宋" w:eastAsia="仿宋" w:hAnsi="仿宋" w:cs="Calibri" w:hint="eastAsia"/>
          <w:color w:val="000000"/>
          <w:sz w:val="32"/>
          <w:szCs w:val="32"/>
          <w:bdr w:val="none" w:sz="0" w:space="0" w:color="auto" w:frame="1"/>
        </w:rPr>
        <w:t>名单及补助额度，提出对市（州）的补助方案，并向社会公示。</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第十六条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资金下达。公示无异议后，由财政厅会同科技厅按程序报批后拨付下达。</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Times New Roman" w:hAnsi="Times New Roman" w:cs="Times New Roman"/>
          <w:b/>
          <w:bCs/>
          <w:color w:val="000000"/>
          <w:sz w:val="32"/>
          <w:szCs w:val="32"/>
          <w:bdr w:val="none" w:sz="0" w:space="0" w:color="auto" w:frame="1"/>
        </w:rPr>
        <w:t> </w:t>
      </w:r>
    </w:p>
    <w:p w:rsidR="00A32A4A" w:rsidRDefault="00A32A4A" w:rsidP="00A32A4A">
      <w:pPr>
        <w:pStyle w:val="a3"/>
        <w:shd w:val="clear" w:color="auto" w:fill="E9F3FD"/>
        <w:spacing w:before="0" w:beforeAutospacing="0" w:after="0" w:afterAutospacing="0" w:line="560" w:lineRule="atLeast"/>
        <w:jc w:val="center"/>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第五章</w:t>
      </w:r>
      <w:r>
        <w:rPr>
          <w:rFonts w:ascii="Times New Roman" w:hAnsi="Times New Roman" w:cs="Times New Roman"/>
          <w:b/>
          <w:bCs/>
          <w:color w:val="000000"/>
          <w:sz w:val="32"/>
          <w:szCs w:val="32"/>
          <w:bdr w:val="none" w:sz="0" w:space="0" w:color="auto" w:frame="1"/>
        </w:rPr>
        <w:t> </w:t>
      </w:r>
      <w:r>
        <w:rPr>
          <w:rFonts w:ascii="仿宋" w:eastAsia="仿宋" w:hAnsi="仿宋" w:cs="Calibri" w:hint="eastAsia"/>
          <w:b/>
          <w:bCs/>
          <w:color w:val="000000"/>
          <w:sz w:val="32"/>
          <w:szCs w:val="32"/>
          <w:bdr w:val="none" w:sz="0" w:space="0" w:color="auto" w:frame="1"/>
        </w:rPr>
        <w:t>申报材料</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第十七条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申报</w:t>
      </w:r>
      <w:proofErr w:type="gramStart"/>
      <w:r>
        <w:rPr>
          <w:rFonts w:ascii="仿宋" w:eastAsia="仿宋" w:hAnsi="仿宋" w:cs="Calibri" w:hint="eastAsia"/>
          <w:color w:val="000000"/>
          <w:sz w:val="32"/>
          <w:szCs w:val="32"/>
          <w:bdr w:val="none" w:sz="0" w:space="0" w:color="auto" w:frame="1"/>
        </w:rPr>
        <w:t>省级直补的</w:t>
      </w:r>
      <w:proofErr w:type="gramEnd"/>
      <w:r>
        <w:rPr>
          <w:rFonts w:ascii="仿宋" w:eastAsia="仿宋" w:hAnsi="仿宋" w:cs="Calibri" w:hint="eastAsia"/>
          <w:color w:val="000000"/>
          <w:sz w:val="32"/>
          <w:szCs w:val="32"/>
          <w:bdr w:val="none" w:sz="0" w:space="0" w:color="auto" w:frame="1"/>
        </w:rPr>
        <w:t>企业应通过四川省科技管理信息系统提供以下材料，并对所提供材料的真实性负责：</w:t>
      </w:r>
    </w:p>
    <w:p w:rsidR="00A32A4A" w:rsidRDefault="00A32A4A" w:rsidP="00A32A4A">
      <w:pPr>
        <w:pStyle w:val="a3"/>
        <w:shd w:val="clear" w:color="auto" w:fill="E9F3FD"/>
        <w:spacing w:before="0" w:beforeAutospacing="0" w:after="0" w:afterAutospacing="0" w:line="560" w:lineRule="atLeast"/>
        <w:ind w:firstLine="640"/>
        <w:jc w:val="both"/>
        <w:rPr>
          <w:rFonts w:ascii="Calibri" w:hAnsi="Calibri" w:cs="Calibri"/>
          <w:color w:val="122E67"/>
          <w:sz w:val="21"/>
          <w:szCs w:val="21"/>
        </w:rPr>
      </w:pPr>
      <w:r>
        <w:rPr>
          <w:rFonts w:ascii="仿宋" w:eastAsia="仿宋" w:hAnsi="仿宋" w:cs="Calibri" w:hint="eastAsia"/>
          <w:color w:val="000000"/>
          <w:sz w:val="32"/>
          <w:szCs w:val="32"/>
          <w:bdr w:val="none" w:sz="0" w:space="0" w:color="auto" w:frame="1"/>
        </w:rPr>
        <w:t>（一）《四川省企业研发投入补助申请表》（</w:t>
      </w:r>
      <w:proofErr w:type="gramStart"/>
      <w:r>
        <w:rPr>
          <w:rFonts w:ascii="仿宋" w:eastAsia="仿宋" w:hAnsi="仿宋" w:cs="Calibri" w:hint="eastAsia"/>
          <w:color w:val="000000"/>
          <w:sz w:val="32"/>
          <w:szCs w:val="32"/>
          <w:bdr w:val="none" w:sz="0" w:space="0" w:color="auto" w:frame="1"/>
        </w:rPr>
        <w:t>随当年</w:t>
      </w:r>
      <w:proofErr w:type="gramEnd"/>
      <w:r>
        <w:rPr>
          <w:rFonts w:ascii="仿宋" w:eastAsia="仿宋" w:hAnsi="仿宋" w:cs="Calibri" w:hint="eastAsia"/>
          <w:color w:val="000000"/>
          <w:sz w:val="32"/>
          <w:szCs w:val="32"/>
          <w:bdr w:val="none" w:sz="0" w:space="0" w:color="auto" w:frame="1"/>
        </w:rPr>
        <w:t>申报指南下发）。</w:t>
      </w:r>
    </w:p>
    <w:p w:rsidR="00A32A4A" w:rsidRDefault="00A32A4A" w:rsidP="00A32A4A">
      <w:pPr>
        <w:pStyle w:val="a3"/>
        <w:shd w:val="clear" w:color="auto" w:fill="E9F3FD"/>
        <w:spacing w:before="0" w:beforeAutospacing="0" w:after="0" w:afterAutospacing="0" w:line="560" w:lineRule="atLeast"/>
        <w:ind w:firstLine="640"/>
        <w:jc w:val="both"/>
        <w:rPr>
          <w:rFonts w:ascii="Calibri" w:hAnsi="Calibri" w:cs="Calibri"/>
          <w:color w:val="122E67"/>
          <w:sz w:val="21"/>
          <w:szCs w:val="21"/>
        </w:rPr>
      </w:pPr>
      <w:r>
        <w:rPr>
          <w:rFonts w:ascii="仿宋" w:eastAsia="仿宋" w:hAnsi="仿宋" w:cs="Calibri" w:hint="eastAsia"/>
          <w:color w:val="000000"/>
          <w:sz w:val="32"/>
          <w:szCs w:val="32"/>
          <w:bdr w:val="none" w:sz="0" w:space="0" w:color="auto" w:frame="1"/>
        </w:rPr>
        <w:t>（二）报送给税务部门的企业核算周期内的《中华人民共和国企业所得税年度纳税申报表（</w:t>
      </w:r>
      <w:r>
        <w:rPr>
          <w:rFonts w:ascii="Times New Roman" w:hAnsi="Times New Roman" w:cs="Times New Roman"/>
          <w:color w:val="000000"/>
          <w:sz w:val="32"/>
          <w:szCs w:val="32"/>
          <w:bdr w:val="none" w:sz="0" w:space="0" w:color="auto" w:frame="1"/>
        </w:rPr>
        <w:t>A</w:t>
      </w:r>
      <w:r>
        <w:rPr>
          <w:rFonts w:ascii="仿宋" w:eastAsia="仿宋" w:hAnsi="仿宋" w:cs="Calibri" w:hint="eastAsia"/>
          <w:color w:val="000000"/>
          <w:sz w:val="32"/>
          <w:szCs w:val="32"/>
          <w:bdr w:val="none" w:sz="0" w:space="0" w:color="auto" w:frame="1"/>
        </w:rPr>
        <w:t>类）》主表及《研发投入加计扣除优惠明细表》附表。</w:t>
      </w:r>
    </w:p>
    <w:p w:rsidR="00A32A4A" w:rsidRDefault="00A32A4A" w:rsidP="00A32A4A">
      <w:pPr>
        <w:pStyle w:val="a3"/>
        <w:shd w:val="clear" w:color="auto" w:fill="E9F3FD"/>
        <w:spacing w:before="0" w:beforeAutospacing="0" w:after="0" w:afterAutospacing="0" w:line="560" w:lineRule="atLeast"/>
        <w:ind w:firstLine="640"/>
        <w:jc w:val="both"/>
        <w:rPr>
          <w:rFonts w:ascii="Calibri" w:hAnsi="Calibri" w:cs="Calibri"/>
          <w:color w:val="122E67"/>
          <w:sz w:val="21"/>
          <w:szCs w:val="21"/>
        </w:rPr>
      </w:pPr>
      <w:r>
        <w:rPr>
          <w:rFonts w:ascii="仿宋" w:eastAsia="仿宋" w:hAnsi="仿宋" w:cs="Calibri" w:hint="eastAsia"/>
          <w:color w:val="000000"/>
          <w:sz w:val="32"/>
          <w:szCs w:val="32"/>
          <w:bdr w:val="none" w:sz="0" w:space="0" w:color="auto" w:frame="1"/>
        </w:rPr>
        <w:t>（三）规模以上企业需提供核算周期内</w:t>
      </w:r>
      <w:proofErr w:type="gramStart"/>
      <w:r>
        <w:rPr>
          <w:rFonts w:ascii="仿宋" w:eastAsia="仿宋" w:hAnsi="仿宋" w:cs="Calibri" w:hint="eastAsia"/>
          <w:color w:val="000000"/>
          <w:sz w:val="32"/>
          <w:szCs w:val="32"/>
          <w:bdr w:val="none" w:sz="0" w:space="0" w:color="auto" w:frame="1"/>
        </w:rPr>
        <w:t>规</w:t>
      </w:r>
      <w:proofErr w:type="gramEnd"/>
      <w:r>
        <w:rPr>
          <w:rFonts w:ascii="仿宋" w:eastAsia="仿宋" w:hAnsi="仿宋" w:cs="Calibri" w:hint="eastAsia"/>
          <w:color w:val="000000"/>
          <w:sz w:val="32"/>
          <w:szCs w:val="32"/>
          <w:bdr w:val="none" w:sz="0" w:space="0" w:color="auto" w:frame="1"/>
        </w:rPr>
        <w:t>上企业研发统计年报报表（</w:t>
      </w:r>
      <w:proofErr w:type="gramStart"/>
      <w:r>
        <w:rPr>
          <w:rFonts w:ascii="仿宋" w:eastAsia="仿宋" w:hAnsi="仿宋" w:cs="Calibri" w:hint="eastAsia"/>
          <w:color w:val="000000"/>
          <w:sz w:val="32"/>
          <w:szCs w:val="32"/>
          <w:bdr w:val="none" w:sz="0" w:space="0" w:color="auto" w:frame="1"/>
        </w:rPr>
        <w:t>含研究</w:t>
      </w:r>
      <w:proofErr w:type="gramEnd"/>
      <w:r>
        <w:rPr>
          <w:rFonts w:ascii="仿宋" w:eastAsia="仿宋" w:hAnsi="仿宋" w:cs="Calibri" w:hint="eastAsia"/>
          <w:color w:val="000000"/>
          <w:sz w:val="32"/>
          <w:szCs w:val="32"/>
          <w:bdr w:val="none" w:sz="0" w:space="0" w:color="auto" w:frame="1"/>
        </w:rPr>
        <w:t>开发项目情况表、企业研究开发活动及相关情况表）。</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第十八条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申报市（州）补助的应由市（州）科技部门会同同级财政部门、税务部门按要求提供上一年度市（州）财政用于激励企业加大研发投入的经费统计报告、资助明细表、资金下达文件等材料。</w:t>
      </w:r>
    </w:p>
    <w:p w:rsidR="00A32A4A" w:rsidRDefault="00A32A4A" w:rsidP="00A32A4A">
      <w:pPr>
        <w:pStyle w:val="a3"/>
        <w:shd w:val="clear" w:color="auto" w:fill="E9F3FD"/>
        <w:spacing w:before="0" w:beforeAutospacing="0" w:after="0" w:afterAutospacing="0" w:line="560" w:lineRule="atLeast"/>
        <w:jc w:val="both"/>
        <w:rPr>
          <w:rFonts w:ascii="Calibri" w:hAnsi="Calibri" w:cs="Calibri"/>
          <w:color w:val="122E67"/>
          <w:sz w:val="21"/>
          <w:szCs w:val="21"/>
        </w:rPr>
      </w:pPr>
      <w:r>
        <w:rPr>
          <w:rFonts w:ascii="Times New Roman" w:hAnsi="Times New Roman" w:cs="Times New Roman"/>
          <w:b/>
          <w:bCs/>
          <w:color w:val="000000"/>
          <w:sz w:val="32"/>
          <w:szCs w:val="32"/>
          <w:bdr w:val="none" w:sz="0" w:space="0" w:color="auto" w:frame="1"/>
        </w:rPr>
        <w:t> </w:t>
      </w:r>
    </w:p>
    <w:p w:rsidR="00A32A4A" w:rsidRDefault="00A32A4A" w:rsidP="00A32A4A">
      <w:pPr>
        <w:pStyle w:val="a3"/>
        <w:shd w:val="clear" w:color="auto" w:fill="E9F3FD"/>
        <w:spacing w:before="0" w:beforeAutospacing="0" w:after="0" w:afterAutospacing="0" w:line="560" w:lineRule="atLeast"/>
        <w:jc w:val="center"/>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lastRenderedPageBreak/>
        <w:t>第六章</w:t>
      </w:r>
      <w:r>
        <w:rPr>
          <w:rFonts w:ascii="Times New Roman" w:hAnsi="Times New Roman" w:cs="Times New Roman"/>
          <w:b/>
          <w:bCs/>
          <w:color w:val="000000"/>
          <w:sz w:val="32"/>
          <w:szCs w:val="32"/>
          <w:bdr w:val="none" w:sz="0" w:space="0" w:color="auto" w:frame="1"/>
        </w:rPr>
        <w:t> </w:t>
      </w:r>
      <w:r>
        <w:rPr>
          <w:rFonts w:ascii="仿宋" w:eastAsia="仿宋" w:hAnsi="仿宋" w:cs="Calibri" w:hint="eastAsia"/>
          <w:b/>
          <w:bCs/>
          <w:color w:val="000000"/>
          <w:sz w:val="32"/>
          <w:szCs w:val="32"/>
          <w:bdr w:val="none" w:sz="0" w:space="0" w:color="auto" w:frame="1"/>
        </w:rPr>
        <w:t>补助经费的使用及管理</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第十九条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获得补助的企业和市（州）将省级财政补助经费用于开展科技创新相关活动，不得用于支付各种罚款、捐款、赞助及偿还债务等支出，不得用于编制内在职人员的工资性支出和离退休费用，以及国家规定禁止列支的其他支出，应严格执行《四川省科技计划项目专项资金管理办法》（川财</w:t>
      </w:r>
      <w:proofErr w:type="gramStart"/>
      <w:r>
        <w:rPr>
          <w:rFonts w:ascii="仿宋" w:eastAsia="仿宋" w:hAnsi="仿宋" w:cs="Calibri" w:hint="eastAsia"/>
          <w:color w:val="000000"/>
          <w:sz w:val="32"/>
          <w:szCs w:val="32"/>
          <w:bdr w:val="none" w:sz="0" w:space="0" w:color="auto" w:frame="1"/>
        </w:rPr>
        <w:t>规</w:t>
      </w:r>
      <w:proofErr w:type="gramEnd"/>
      <w:r>
        <w:rPr>
          <w:rFonts w:ascii="仿宋" w:eastAsia="仿宋" w:hAnsi="仿宋" w:cs="Calibri" w:hint="eastAsia"/>
          <w:color w:val="000000"/>
          <w:sz w:val="32"/>
          <w:szCs w:val="32"/>
          <w:bdr w:val="none" w:sz="0" w:space="0" w:color="auto" w:frame="1"/>
        </w:rPr>
        <w:t>〔</w:t>
      </w:r>
      <w:r>
        <w:rPr>
          <w:rFonts w:ascii="Times New Roman" w:hAnsi="Times New Roman" w:cs="Times New Roman"/>
          <w:color w:val="000000"/>
          <w:sz w:val="32"/>
          <w:szCs w:val="32"/>
          <w:bdr w:val="none" w:sz="0" w:space="0" w:color="auto" w:frame="1"/>
        </w:rPr>
        <w:t>2019</w:t>
      </w:r>
      <w:r>
        <w:rPr>
          <w:rFonts w:ascii="仿宋" w:eastAsia="仿宋" w:hAnsi="仿宋" w:cs="Calibri" w:hint="eastAsia"/>
          <w:color w:val="000000"/>
          <w:sz w:val="32"/>
          <w:szCs w:val="32"/>
          <w:bdr w:val="none" w:sz="0" w:space="0" w:color="auto" w:frame="1"/>
        </w:rPr>
        <w:t>〕</w:t>
      </w:r>
      <w:r>
        <w:rPr>
          <w:rFonts w:ascii="Times New Roman" w:hAnsi="Times New Roman" w:cs="Times New Roman"/>
          <w:color w:val="000000"/>
          <w:sz w:val="32"/>
          <w:szCs w:val="32"/>
          <w:bdr w:val="none" w:sz="0" w:space="0" w:color="auto" w:frame="1"/>
        </w:rPr>
        <w:t>10</w:t>
      </w:r>
      <w:r>
        <w:rPr>
          <w:rFonts w:ascii="仿宋" w:eastAsia="仿宋" w:hAnsi="仿宋" w:cs="Calibri" w:hint="eastAsia"/>
          <w:color w:val="000000"/>
          <w:sz w:val="32"/>
          <w:szCs w:val="32"/>
          <w:bdr w:val="none" w:sz="0" w:space="0" w:color="auto" w:frame="1"/>
        </w:rPr>
        <w:t>号）等财务规章制度和会计核算方法，自觉接受审计、财政、监察等部门的监督检查。</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第二十条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科技厅、财政厅、省税务局将会同市（州）相关管理部门对获得补助的企业开展不定期抽查，对以弄虚作假等手段套取骗取资金等违法违规行为的，按照有关法律法规处理并退回财政资金，将企业列入失信名单，企业十年内不得申请四川省科技计划项目。涉嫌犯罪的，依法移送有权机关处理。</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第二十一条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各级科技、财政、统计部门以及相关省级推荐单位、工作人员在专项资金管理工作中，存在滥用职权、玩忽职守、徇私舞弊等违法违纪行为的，按照《中华人民共和国预算法》《中华人民共和国公务员法》《中华人民共和国监察法》《财政违法行为处罚处分条例》等有关规定追究有关责任单位和人员的责任；涉嫌违纪违法的，移送纪检监察机关和司法机关处理。</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lastRenderedPageBreak/>
        <w:t>第二十二条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科技厅、财政厅、省税务局将适时对获得补助的市（州）开展监督检查和绩效评估，相关结果作为以后年度财政资金安排的重要参考。</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第二十三条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各级科技、财政、税务、统计等部门应建立交流通报、监督检查和绩效评价机制，加强统筹协调，推进信息共享。</w:t>
      </w:r>
    </w:p>
    <w:p w:rsidR="00A32A4A" w:rsidRDefault="00A32A4A" w:rsidP="00A32A4A">
      <w:pPr>
        <w:pStyle w:val="a3"/>
        <w:shd w:val="clear" w:color="auto" w:fill="E9F3FD"/>
        <w:spacing w:before="0" w:beforeAutospacing="0" w:after="0" w:afterAutospacing="0" w:line="560" w:lineRule="atLeast"/>
        <w:ind w:firstLine="640"/>
        <w:jc w:val="both"/>
        <w:rPr>
          <w:rFonts w:ascii="Calibri" w:hAnsi="Calibri" w:cs="Calibri"/>
          <w:color w:val="122E67"/>
          <w:sz w:val="21"/>
          <w:szCs w:val="21"/>
        </w:rPr>
      </w:pPr>
      <w:r>
        <w:rPr>
          <w:rFonts w:ascii="Times New Roman" w:hAnsi="Times New Roman" w:cs="Times New Roman"/>
          <w:color w:val="000000"/>
          <w:sz w:val="32"/>
          <w:szCs w:val="32"/>
          <w:bdr w:val="none" w:sz="0" w:space="0" w:color="auto" w:frame="1"/>
        </w:rPr>
        <w:t> </w:t>
      </w:r>
    </w:p>
    <w:p w:rsidR="00A32A4A" w:rsidRDefault="00A32A4A" w:rsidP="00A32A4A">
      <w:pPr>
        <w:pStyle w:val="a3"/>
        <w:shd w:val="clear" w:color="auto" w:fill="E9F3FD"/>
        <w:spacing w:before="0" w:beforeAutospacing="0" w:after="0" w:afterAutospacing="0" w:line="560" w:lineRule="atLeast"/>
        <w:jc w:val="center"/>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第七章</w:t>
      </w:r>
      <w:r>
        <w:rPr>
          <w:rFonts w:ascii="Times New Roman" w:hAnsi="Times New Roman" w:cs="Times New Roman"/>
          <w:b/>
          <w:bCs/>
          <w:color w:val="000000"/>
          <w:sz w:val="32"/>
          <w:szCs w:val="32"/>
          <w:bdr w:val="none" w:sz="0" w:space="0" w:color="auto" w:frame="1"/>
        </w:rPr>
        <w:t> </w:t>
      </w:r>
      <w:r>
        <w:rPr>
          <w:rFonts w:ascii="仿宋" w:eastAsia="仿宋" w:hAnsi="仿宋" w:cs="Calibri" w:hint="eastAsia"/>
          <w:b/>
          <w:bCs/>
          <w:color w:val="000000"/>
          <w:sz w:val="32"/>
          <w:szCs w:val="32"/>
          <w:bdr w:val="none" w:sz="0" w:space="0" w:color="auto" w:frame="1"/>
        </w:rPr>
        <w:t>附则</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第二十四条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本办法由科技厅、财政厅、省税务局负责解释。</w:t>
      </w:r>
    </w:p>
    <w:p w:rsidR="00A32A4A" w:rsidRDefault="00A32A4A" w:rsidP="00A32A4A">
      <w:pPr>
        <w:pStyle w:val="a3"/>
        <w:shd w:val="clear" w:color="auto" w:fill="E9F3FD"/>
        <w:spacing w:before="0" w:beforeAutospacing="0" w:after="0" w:afterAutospacing="0" w:line="560" w:lineRule="atLeast"/>
        <w:ind w:firstLine="643"/>
        <w:jc w:val="both"/>
        <w:rPr>
          <w:rFonts w:ascii="Calibri" w:hAnsi="Calibri" w:cs="Calibri"/>
          <w:color w:val="122E67"/>
          <w:sz w:val="21"/>
          <w:szCs w:val="21"/>
        </w:rPr>
      </w:pPr>
      <w:r>
        <w:rPr>
          <w:rFonts w:ascii="仿宋" w:eastAsia="仿宋" w:hAnsi="仿宋" w:cs="Calibri" w:hint="eastAsia"/>
          <w:b/>
          <w:bCs/>
          <w:color w:val="000000"/>
          <w:sz w:val="32"/>
          <w:szCs w:val="32"/>
          <w:bdr w:val="none" w:sz="0" w:space="0" w:color="auto" w:frame="1"/>
        </w:rPr>
        <w:t>第二十五条</w:t>
      </w:r>
      <w:r>
        <w:rPr>
          <w:rFonts w:ascii="Times New Roman" w:hAnsi="Times New Roman" w:cs="Times New Roman"/>
          <w:b/>
          <w:bCs/>
          <w:color w:val="000000"/>
          <w:sz w:val="32"/>
          <w:szCs w:val="32"/>
          <w:bdr w:val="none" w:sz="0" w:space="0" w:color="auto" w:frame="1"/>
        </w:rPr>
        <w:t> </w:t>
      </w:r>
      <w:r>
        <w:rPr>
          <w:rFonts w:ascii="仿宋" w:eastAsia="仿宋" w:hAnsi="仿宋" w:cs="Calibri" w:hint="eastAsia"/>
          <w:color w:val="000000"/>
          <w:sz w:val="32"/>
          <w:szCs w:val="32"/>
          <w:bdr w:val="none" w:sz="0" w:space="0" w:color="auto" w:frame="1"/>
        </w:rPr>
        <w:t>本办法自</w:t>
      </w:r>
      <w:r>
        <w:rPr>
          <w:rFonts w:ascii="Times New Roman" w:hAnsi="Times New Roman" w:cs="Times New Roman"/>
          <w:color w:val="000000"/>
          <w:sz w:val="32"/>
          <w:szCs w:val="32"/>
          <w:bdr w:val="none" w:sz="0" w:space="0" w:color="auto" w:frame="1"/>
        </w:rPr>
        <w:t>2021</w:t>
      </w:r>
      <w:r>
        <w:rPr>
          <w:rFonts w:ascii="仿宋" w:eastAsia="仿宋" w:hAnsi="仿宋" w:cs="Calibri" w:hint="eastAsia"/>
          <w:color w:val="000000"/>
          <w:sz w:val="32"/>
          <w:szCs w:val="32"/>
          <w:bdr w:val="none" w:sz="0" w:space="0" w:color="auto" w:frame="1"/>
        </w:rPr>
        <w:t>年</w:t>
      </w:r>
      <w:r>
        <w:rPr>
          <w:rFonts w:ascii="Times New Roman" w:hAnsi="Times New Roman" w:cs="Times New Roman"/>
          <w:color w:val="000000"/>
          <w:sz w:val="32"/>
          <w:szCs w:val="32"/>
          <w:bdr w:val="none" w:sz="0" w:space="0" w:color="auto" w:frame="1"/>
        </w:rPr>
        <w:t>1</w:t>
      </w:r>
      <w:r>
        <w:rPr>
          <w:rFonts w:ascii="仿宋" w:eastAsia="仿宋" w:hAnsi="仿宋" w:cs="Calibri" w:hint="eastAsia"/>
          <w:color w:val="000000"/>
          <w:sz w:val="32"/>
          <w:szCs w:val="32"/>
          <w:bdr w:val="none" w:sz="0" w:space="0" w:color="auto" w:frame="1"/>
        </w:rPr>
        <w:t>月</w:t>
      </w:r>
      <w:r>
        <w:rPr>
          <w:rFonts w:ascii="Times New Roman" w:hAnsi="Times New Roman" w:cs="Times New Roman"/>
          <w:color w:val="000000"/>
          <w:sz w:val="32"/>
          <w:szCs w:val="32"/>
          <w:bdr w:val="none" w:sz="0" w:space="0" w:color="auto" w:frame="1"/>
        </w:rPr>
        <w:t>1</w:t>
      </w:r>
      <w:r>
        <w:rPr>
          <w:rFonts w:ascii="仿宋" w:eastAsia="仿宋" w:hAnsi="仿宋" w:cs="Calibri" w:hint="eastAsia"/>
          <w:color w:val="000000"/>
          <w:sz w:val="32"/>
          <w:szCs w:val="32"/>
          <w:bdr w:val="none" w:sz="0" w:space="0" w:color="auto" w:frame="1"/>
        </w:rPr>
        <w:t>日起实施，有效期两年。</w:t>
      </w:r>
    </w:p>
    <w:p w:rsidR="001814C1" w:rsidRPr="00A32A4A" w:rsidRDefault="001814C1">
      <w:bookmarkStart w:id="0" w:name="_GoBack"/>
      <w:bookmarkEnd w:id="0"/>
    </w:p>
    <w:sectPr w:rsidR="001814C1" w:rsidRPr="00A32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5E"/>
    <w:rsid w:val="001814C1"/>
    <w:rsid w:val="00A32A4A"/>
    <w:rsid w:val="00F7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A4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A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黎英</dc:creator>
  <cp:keywords/>
  <dc:description/>
  <cp:lastModifiedBy>黎英</cp:lastModifiedBy>
  <cp:revision>2</cp:revision>
  <dcterms:created xsi:type="dcterms:W3CDTF">2021-01-13T07:45:00Z</dcterms:created>
  <dcterms:modified xsi:type="dcterms:W3CDTF">2021-01-13T07:46:00Z</dcterms:modified>
</cp:coreProperties>
</file>