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426"/>
      <w:bookmarkStart w:id="7" w:name="_Toc15396598"/>
      <w:bookmarkStart w:id="8" w:name="_Toc1539647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攀枝花市西区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人民政府办公室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w:t>
      </w:r>
      <w:r>
        <w:rPr>
          <w:rFonts w:hint="eastAsia"/>
          <w:lang w:val="en-US" w:eastAsia="zh-CN"/>
        </w:rPr>
        <w:t>10</w:t>
      </w:r>
      <w:r>
        <w:rPr>
          <w:rFonts w:hint="eastAsia"/>
        </w:rPr>
        <w:t>月</w:t>
      </w:r>
      <w:r>
        <w:rPr>
          <w:rFonts w:hint="eastAsia"/>
          <w:lang w:val="en-US" w:eastAsia="zh-CN"/>
        </w:rPr>
        <w:t>24</w:t>
      </w:r>
      <w:r>
        <w:rPr>
          <w:rFonts w:hint="eastAsia"/>
        </w:rPr>
        <w:t>日</w:t>
      </w:r>
    </w:p>
    <w:p>
      <w:pPr>
        <w:widowControl/>
        <w:jc w:val="center"/>
        <w:rPr>
          <w:rFonts w:hint="eastAsia" w:ascii="仿宋_GB2312" w:hAnsi="仿宋_GB2312" w:eastAsia="仿宋_GB2312" w:cs="仿宋_GB2312"/>
          <w:sz w:val="32"/>
          <w:szCs w:val="32"/>
        </w:rPr>
      </w:pPr>
      <w:bookmarkStart w:id="12" w:name="_Toc15396599"/>
      <w:bookmarkStart w:id="13" w:name="_Toc15377196"/>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TOC \o "1-2" \h \z \u </w:instrText>
      </w:r>
      <w:r>
        <w:rPr>
          <w:rFonts w:hint="eastAsia" w:ascii="仿宋_GB2312" w:hAnsi="仿宋_GB2312" w:eastAsia="仿宋_GB2312" w:cs="仿宋_GB2312"/>
          <w:color w:val="000000"/>
          <w:sz w:val="32"/>
          <w:szCs w:val="32"/>
        </w:rPr>
        <w:fldChar w:fldCharType="separate"/>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"_Toc15396599"</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第一部分部门概况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"_Toc15396600"</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"_Toc15396601"</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"_Toc15396602"</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第二部分 201</w:t>
      </w:r>
      <w:r>
        <w:rPr>
          <w:rStyle w:val="17"/>
          <w:rFonts w:hint="eastAsia" w:ascii="仿宋_GB2312" w:hAnsi="仿宋_GB2312" w:eastAsia="仿宋_GB2312" w:cs="仿宋_GB2312"/>
          <w:sz w:val="32"/>
          <w:szCs w:val="32"/>
          <w:lang w:val="en-US" w:eastAsia="zh-CN"/>
        </w:rPr>
        <w:t>9</w:t>
      </w:r>
      <w:r>
        <w:rPr>
          <w:rStyle w:val="17"/>
          <w:rFonts w:hint="eastAsia" w:ascii="仿宋_GB2312" w:hAnsi="仿宋_GB2312" w:eastAsia="仿宋_GB2312" w:cs="仿宋_GB2312"/>
          <w:sz w:val="32"/>
          <w:szCs w:val="32"/>
        </w:rPr>
        <w:t>年度部门决算情况说明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"_Toc15396603"</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bCs/>
          <w:sz w:val="32"/>
          <w:szCs w:val="32"/>
        </w:rPr>
        <w:t>一、</w:t>
      </w:r>
      <w:r>
        <w:rPr>
          <w:rStyle w:val="17"/>
          <w:rFonts w:hint="eastAsia" w:ascii="仿宋_GB2312" w:hAnsi="仿宋_GB2312" w:eastAsia="仿宋_GB2312" w:cs="仿宋_GB2312"/>
          <w:sz w:val="32"/>
          <w:szCs w:val="32"/>
        </w:rPr>
        <w:t>收</w:t>
      </w:r>
      <w:r>
        <w:rPr>
          <w:rStyle w:val="17"/>
          <w:rFonts w:hint="eastAsia" w:ascii="仿宋_GB2312" w:hAnsi="仿宋_GB2312" w:eastAsia="仿宋_GB2312" w:cs="仿宋_GB2312"/>
          <w:bCs/>
          <w:sz w:val="32"/>
          <w:szCs w:val="32"/>
        </w:rPr>
        <w:t>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"_Toc15396604"</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bCs/>
          <w:sz w:val="32"/>
          <w:szCs w:val="32"/>
        </w:rPr>
        <w:t>二、</w:t>
      </w:r>
      <w:r>
        <w:rPr>
          <w:rStyle w:val="17"/>
          <w:rFonts w:hint="eastAsia" w:ascii="仿宋_GB2312" w:hAnsi="仿宋_GB2312" w:eastAsia="仿宋_GB2312" w:cs="仿宋_GB2312"/>
          <w:sz w:val="32"/>
          <w:szCs w:val="32"/>
        </w:rPr>
        <w:t>收</w:t>
      </w:r>
      <w:r>
        <w:rPr>
          <w:rStyle w:val="17"/>
          <w:rFonts w:hint="eastAsia" w:ascii="仿宋_GB2312" w:hAnsi="仿宋_GB2312" w:eastAsia="仿宋_GB2312" w:cs="仿宋_GB2312"/>
          <w:bCs/>
          <w:sz w:val="32"/>
          <w:szCs w:val="32"/>
        </w:rPr>
        <w:t>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"_Toc15396605"</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bCs/>
          <w:sz w:val="32"/>
          <w:szCs w:val="32"/>
        </w:rPr>
        <w:t>三、</w:t>
      </w:r>
      <w:r>
        <w:rPr>
          <w:rStyle w:val="17"/>
          <w:rFonts w:hint="eastAsia" w:ascii="仿宋_GB2312" w:hAnsi="仿宋_GB2312" w:eastAsia="仿宋_GB2312" w:cs="仿宋_GB2312"/>
          <w:sz w:val="32"/>
          <w:szCs w:val="32"/>
        </w:rPr>
        <w:t>支</w:t>
      </w:r>
      <w:r>
        <w:rPr>
          <w:rStyle w:val="17"/>
          <w:rFonts w:hint="eastAsia" w:ascii="仿宋_GB2312" w:hAnsi="仿宋_GB2312" w:eastAsia="仿宋_GB2312" w:cs="仿宋_GB2312"/>
          <w:bCs/>
          <w:sz w:val="32"/>
          <w:szCs w:val="32"/>
        </w:rPr>
        <w:t>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"_Toc15396606"</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四、财</w:t>
      </w:r>
      <w:r>
        <w:rPr>
          <w:rStyle w:val="17"/>
          <w:rFonts w:hint="eastAsia" w:ascii="仿宋_GB2312" w:hAnsi="仿宋_GB2312" w:eastAsia="仿宋_GB2312" w:cs="仿宋_GB2312"/>
          <w:bCs/>
          <w:sz w:val="32"/>
          <w:szCs w:val="32"/>
        </w:rPr>
        <w:t>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"_Toc15396607"</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五、一</w:t>
      </w:r>
      <w:r>
        <w:rPr>
          <w:rStyle w:val="17"/>
          <w:rFonts w:hint="eastAsia" w:ascii="仿宋_GB2312" w:hAnsi="仿宋_GB2312" w:eastAsia="仿宋_GB2312" w:cs="仿宋_GB2312"/>
          <w:bCs/>
          <w:sz w:val="32"/>
          <w:szCs w:val="32"/>
        </w:rPr>
        <w:t>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"_Toc15396608"</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六、一</w:t>
      </w:r>
      <w:r>
        <w:rPr>
          <w:rStyle w:val="17"/>
          <w:rFonts w:hint="eastAsia" w:ascii="仿宋_GB2312" w:hAnsi="仿宋_GB2312" w:eastAsia="仿宋_GB2312" w:cs="仿宋_GB2312"/>
          <w:bCs/>
          <w:sz w:val="32"/>
          <w:szCs w:val="32"/>
        </w:rPr>
        <w:t>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"_Toc15396609"</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七、“</w:t>
      </w:r>
      <w:r>
        <w:rPr>
          <w:rStyle w:val="17"/>
          <w:rFonts w:hint="eastAsia" w:ascii="仿宋_GB2312" w:hAnsi="仿宋_GB2312" w:eastAsia="仿宋_GB2312" w:cs="仿宋_GB2312"/>
          <w:bCs/>
          <w:sz w:val="32"/>
          <w:szCs w:val="32"/>
        </w:rPr>
        <w:t>三公”经费财政拨款支出决算情况说明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"_Toc15396610"</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八、</w:t>
      </w:r>
      <w:r>
        <w:rPr>
          <w:rStyle w:val="17"/>
          <w:rFonts w:hint="eastAsia" w:ascii="仿宋_GB2312" w:hAnsi="仿宋_GB2312" w:eastAsia="仿宋_GB2312" w:cs="仿宋_GB2312"/>
          <w:bCs/>
          <w:sz w:val="32"/>
          <w:szCs w:val="32"/>
        </w:rPr>
        <w:t>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"_Toc15396611"</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bCs/>
          <w:sz w:val="32"/>
          <w:szCs w:val="32"/>
        </w:rPr>
        <w:t>九、</w:t>
      </w:r>
      <w:r>
        <w:rPr>
          <w:rStyle w:val="17"/>
          <w:rFonts w:hint="eastAsia" w:ascii="仿宋_GB2312" w:hAnsi="仿宋_GB2312" w:eastAsia="仿宋_GB2312" w:cs="仿宋_GB2312"/>
          <w:sz w:val="32"/>
          <w:szCs w:val="32"/>
        </w:rPr>
        <w:t xml:space="preserve"> 国</w:t>
      </w:r>
      <w:r>
        <w:rPr>
          <w:rStyle w:val="17"/>
          <w:rFonts w:hint="eastAsia" w:ascii="仿宋_GB2312" w:hAnsi="仿宋_GB2312" w:eastAsia="仿宋_GB2312" w:cs="仿宋_GB2312"/>
          <w:bCs/>
          <w:sz w:val="32"/>
          <w:szCs w:val="32"/>
        </w:rPr>
        <w:t>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"_Toc15396612"</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十</w:t>
      </w:r>
      <w:r>
        <w:rPr>
          <w:rStyle w:val="17"/>
          <w:rFonts w:hint="eastAsia" w:ascii="仿宋_GB2312" w:hAnsi="仿宋_GB2312" w:eastAsia="仿宋_GB2312" w:cs="仿宋_GB2312"/>
          <w:bCs/>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"_Toc15396613"</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bCs/>
          <w:kern w:val="44"/>
          <w:sz w:val="32"/>
          <w:szCs w:val="32"/>
        </w:rPr>
        <w:t>第三部分</w:t>
      </w:r>
      <w:r>
        <w:rPr>
          <w:rStyle w:val="17"/>
          <w:rFonts w:hint="eastAsia" w:ascii="仿宋_GB2312" w:hAnsi="仿宋_GB2312" w:eastAsia="仿宋_GB2312" w:cs="仿宋_GB2312"/>
          <w:sz w:val="32"/>
          <w:szCs w:val="32"/>
        </w:rPr>
        <w:t xml:space="preserve"> 名</w:t>
      </w:r>
      <w:r>
        <w:rPr>
          <w:rStyle w:val="17"/>
          <w:rFonts w:hint="eastAsia" w:ascii="仿宋_GB2312" w:hAnsi="仿宋_GB2312" w:eastAsia="仿宋_GB2312" w:cs="仿宋_GB2312"/>
          <w:bCs/>
          <w:kern w:val="44"/>
          <w:sz w:val="32"/>
          <w:szCs w:val="32"/>
        </w:rPr>
        <w:t>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"_Toc15396614"</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第</w:t>
      </w:r>
      <w:r>
        <w:rPr>
          <w:rStyle w:val="17"/>
          <w:rFonts w:hint="eastAsia" w:ascii="仿宋_GB2312" w:hAnsi="仿宋_GB2312" w:eastAsia="仿宋_GB2312" w:cs="仿宋_GB2312"/>
          <w:bCs/>
          <w:kern w:val="44"/>
          <w:sz w:val="32"/>
          <w:szCs w:val="32"/>
        </w:rPr>
        <w:t>四部分附件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"_Toc15396615"</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kern w:val="44"/>
          <w:sz w:val="32"/>
          <w:szCs w:val="32"/>
        </w:rPr>
        <w:t>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"_Toc15396618"</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第</w:t>
      </w:r>
      <w:r>
        <w:rPr>
          <w:rStyle w:val="17"/>
          <w:rFonts w:hint="eastAsia" w:ascii="仿宋_GB2312" w:hAnsi="仿宋_GB2312" w:eastAsia="仿宋_GB2312" w:cs="仿宋_GB2312"/>
          <w:bCs/>
          <w:kern w:val="44"/>
          <w:sz w:val="32"/>
          <w:szCs w:val="32"/>
        </w:rPr>
        <w:t>五部分附表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"_Toc15396619"</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"_Toc15396620"</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收入总表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"_Toc15396621"</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支出总表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"_Toc15396622"</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财政拨款支出决算明细表（政府经济分类科目）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"_Toc15396624"</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"_Toc15396625"</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"_Toc15396626"</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"_Toc15396627"</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"_Toc15396628"</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一般公共预算财政拨款“三公”经费支出决算表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"_Toc15396629"</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"_Toc15396630"</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政府性基金预算财政拨款“三公”经费支出决算表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"_Toc15396631"</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sz w:val="32"/>
          <w:szCs w:val="32"/>
        </w:rPr>
        <w:t>国有资本经营预算支出决算表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_Toc15396631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widowControl/>
        <w:spacing w:line="440" w:lineRule="exact"/>
        <w:jc w:val="left"/>
        <w:rPr>
          <w:rFonts w:hint="eastAsia" w:ascii="仿宋_GB2312" w:hAnsi="仿宋_GB2312" w:eastAsia="仿宋_GB2312" w:cs="仿宋_GB2312"/>
          <w:bCs/>
          <w:kern w:val="44"/>
          <w:sz w:val="32"/>
          <w:szCs w:val="32"/>
        </w:rPr>
      </w:pP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b/>
          <w:sz w:val="32"/>
          <w:szCs w:val="32"/>
        </w:rPr>
        <w:br w:type="page"/>
      </w:r>
    </w:p>
    <w:p>
      <w:pPr>
        <w:pStyle w:val="2"/>
        <w:pageBreakBefore w:val="0"/>
        <w:kinsoku/>
        <w:wordWrap/>
        <w:overflowPunct/>
        <w:topLinePunct w:val="0"/>
        <w:autoSpaceDE/>
        <w:autoSpaceDN/>
        <w:bidi w:val="0"/>
        <w:spacing w:line="640" w:lineRule="exact"/>
        <w:jc w:val="center"/>
        <w:textAlignment w:val="auto"/>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ageBreakBefore w:val="0"/>
        <w:widowControl/>
        <w:kinsoku/>
        <w:wordWrap/>
        <w:overflowPunct/>
        <w:topLinePunct w:val="0"/>
        <w:autoSpaceDE/>
        <w:autoSpaceDN/>
        <w:bidi w:val="0"/>
        <w:spacing w:line="640" w:lineRule="exact"/>
        <w:jc w:val="left"/>
        <w:textAlignment w:val="auto"/>
        <w:rPr>
          <w:rFonts w:ascii="黑体" w:eastAsia="黑体"/>
          <w:color w:val="000000"/>
          <w:sz w:val="32"/>
          <w:szCs w:val="32"/>
        </w:rPr>
      </w:pPr>
    </w:p>
    <w:p>
      <w:pPr>
        <w:pStyle w:val="3"/>
        <w:pageBreakBefore w:val="0"/>
        <w:kinsoku/>
        <w:wordWrap/>
        <w:overflowPunct/>
        <w:topLinePunct w:val="0"/>
        <w:autoSpaceDE/>
        <w:autoSpaceDN/>
        <w:bidi w:val="0"/>
        <w:spacing w:line="640" w:lineRule="exact"/>
        <w:ind w:firstLine="640" w:firstLineChars="200"/>
        <w:textAlignment w:val="auto"/>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pageBreakBefore w:val="0"/>
        <w:kinsoku/>
        <w:wordWrap/>
        <w:overflowPunct/>
        <w:topLinePunct w:val="0"/>
        <w:autoSpaceDE/>
        <w:autoSpaceDN/>
        <w:bidi w:val="0"/>
        <w:adjustRightInd w:val="0"/>
        <w:snapToGrid w:val="0"/>
        <w:spacing w:before="93" w:line="640" w:lineRule="exact"/>
        <w:ind w:firstLine="672" w:firstLineChars="210"/>
        <w:textAlignment w:val="auto"/>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pageBreakBefore w:val="0"/>
        <w:kinsoku/>
        <w:wordWrap/>
        <w:overflowPunct/>
        <w:topLinePunct w:val="0"/>
        <w:autoSpaceDE/>
        <w:autoSpaceDN/>
        <w:bidi w:val="0"/>
        <w:adjustRightInd w:val="0"/>
        <w:snapToGrid w:val="0"/>
        <w:spacing w:before="93" w:line="640" w:lineRule="exact"/>
        <w:ind w:firstLine="672" w:firstLineChars="210"/>
        <w:textAlignment w:val="auto"/>
        <w:outlineLvl w:val="2"/>
        <w:rPr>
          <w:rFonts w:hint="eastAsia" w:ascii="仿宋" w:hAnsi="仿宋" w:eastAsia="仿宋"/>
          <w:bCs/>
          <w:color w:val="000000"/>
          <w:sz w:val="32"/>
          <w:szCs w:val="32"/>
        </w:rPr>
      </w:pPr>
      <w:r>
        <w:rPr>
          <w:rFonts w:hint="eastAsia" w:hAnsi="仿宋"/>
          <w:bCs/>
          <w:color w:val="000000"/>
          <w:sz w:val="32"/>
          <w:szCs w:val="32"/>
        </w:rPr>
        <w:t>攀枝花市西区人民政府办公室（简称区政府办公室），为协助区政府领导处理区政府日常工作的机构。其主要职能为：协助区政府领导同志组织起草或审核以区政府、区政府办公室名义发布的公文，办理市政府、市政府办公室及市级部门发送区政府的文电，指导全区行政机关公文处理工作；研究区政府部门和镇人民政府、区政府派出机构请示区政府的事项，提出审核意见，报区政府领导同志审批；负责区政府重要会议事务工作和区政府领导同志参加重大活动的组织安排；协助完成区政府的有关接待工作；督促检查区政府部门和镇人民政府、区政府派出机构对区政府决定事项及区政府领导同志指示的贯彻落实情况，及时向区政府领导同志报告；根据区政府领导同志的指示，对区政府部门间争议问题提出处理意见和建议，报区政府领导同志决定；负责区政府值班工作，指导区政府部门和镇人民政府、区政府派出机构值班工作，及时报告重要情况；指导、监督全区政府信息公开工作；牵头负责全区民生工程工作的实施和推进，组织办理涉及区政府工作的人大代表议案、批评、建议和政协委员提案、建议案；围绕区政府中心工作和区政府领导同志的指示，组织专题调查研究，及时反映情况，提出政策性建议；负责区政府外事工作；承担区政府公布的有关行政审批事项；承办区政府和区政府领导同志交办的其他事项。</w:t>
      </w:r>
    </w:p>
    <w:p>
      <w:pPr>
        <w:pStyle w:val="5"/>
        <w:pageBreakBefore w:val="0"/>
        <w:kinsoku/>
        <w:wordWrap/>
        <w:overflowPunct/>
        <w:topLinePunct w:val="0"/>
        <w:autoSpaceDE/>
        <w:autoSpaceDN/>
        <w:bidi w:val="0"/>
        <w:adjustRightInd w:val="0"/>
        <w:snapToGrid w:val="0"/>
        <w:spacing w:before="93" w:line="640" w:lineRule="exact"/>
        <w:ind w:firstLine="672" w:firstLineChars="210"/>
        <w:textAlignment w:val="auto"/>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ageBreakBefore w:val="0"/>
        <w:kinsoku/>
        <w:wordWrap/>
        <w:overflowPunct/>
        <w:topLinePunct w:val="0"/>
        <w:autoSpaceDE/>
        <w:autoSpaceDN/>
        <w:bidi w:val="0"/>
        <w:snapToGrid w:val="0"/>
        <w:spacing w:line="640" w:lineRule="exact"/>
        <w:ind w:firstLine="420" w:firstLineChars="200"/>
        <w:textAlignment w:val="auto"/>
        <w:rPr>
          <w:rFonts w:hint="default" w:ascii="黑体" w:eastAsia="黑体"/>
          <w:b w:val="0"/>
          <w:color w:val="000000"/>
          <w:lang w:val="en-US" w:eastAsia="zh-CN"/>
        </w:rPr>
      </w:pPr>
      <w:bookmarkStart w:id="20" w:name="_Toc15377200"/>
      <w:bookmarkStart w:id="21" w:name="_Toc15396601"/>
      <w:r>
        <w:rPr>
          <w:rFonts w:hint="eastAsia" w:ascii="黑体" w:eastAsia="黑体"/>
          <w:b w:val="0"/>
          <w:color w:val="000000"/>
          <w:lang w:val="en-US" w:eastAsia="zh-CN"/>
        </w:rPr>
        <w:t xml:space="preserve">    </w:t>
      </w:r>
      <w:r>
        <w:rPr>
          <w:rFonts w:eastAsia="仿宋_GB2312"/>
          <w:color w:val="000000"/>
          <w:sz w:val="32"/>
          <w:szCs w:val="32"/>
        </w:rPr>
        <w:t>高质量完成</w:t>
      </w:r>
      <w:r>
        <w:rPr>
          <w:rFonts w:hint="eastAsia" w:eastAsia="仿宋_GB2312"/>
          <w:color w:val="000000"/>
          <w:sz w:val="32"/>
          <w:szCs w:val="32"/>
          <w:lang w:eastAsia="zh-CN"/>
        </w:rPr>
        <w:t>区政府</w:t>
      </w:r>
      <w:r>
        <w:rPr>
          <w:rFonts w:eastAsia="仿宋_GB2312"/>
          <w:color w:val="000000"/>
          <w:sz w:val="32"/>
          <w:szCs w:val="32"/>
        </w:rPr>
        <w:t>全体会、项目</w:t>
      </w:r>
      <w:r>
        <w:rPr>
          <w:rFonts w:hint="eastAsia" w:eastAsia="仿宋_GB2312"/>
          <w:color w:val="000000"/>
          <w:sz w:val="32"/>
          <w:szCs w:val="32"/>
          <w:lang w:eastAsia="zh-CN"/>
        </w:rPr>
        <w:t>竞进</w:t>
      </w:r>
      <w:r>
        <w:rPr>
          <w:rFonts w:eastAsia="仿宋_GB2312"/>
          <w:color w:val="000000"/>
          <w:sz w:val="32"/>
          <w:szCs w:val="32"/>
        </w:rPr>
        <w:t>拉练讲话、赴外考察心得、领导致辞等文稿30余篇。总</w:t>
      </w:r>
      <w:r>
        <w:rPr>
          <w:rFonts w:eastAsia="仿宋_GB2312"/>
          <w:sz w:val="32"/>
          <w:szCs w:val="32"/>
        </w:rPr>
        <w:t>印发区政府文件71件、办公室文件57件</w:t>
      </w:r>
      <w:r>
        <w:rPr>
          <w:rFonts w:eastAsia="仿宋_GB2312"/>
          <w:color w:val="000000"/>
          <w:sz w:val="32"/>
          <w:szCs w:val="32"/>
        </w:rPr>
        <w:t>。在协调推进方面，主动参与全区棚改旧改、民生工程等重点工作，针对各部门在工作推进中遇到的困难和问题，组织召开专题协调会，强化重点工作协调推进。在联络沟通方面，不断加强与区委、区人大、区政协办公室之间协调沟通，科学合理地安排政府工作。同时，积极抓好上下级之间协调，及时传达区政府各项工作部署，及时反映基层意见和建议，有力确保政令畅通。坚持统筹协调，优化协同高效，圆满完成全省资源型城市转型发展座谈会、全市2019年第四次项目竞进拉练活动。完成了《资源型城市高质量发展路径研究——以攀枝</w:t>
      </w:r>
      <w:r>
        <w:rPr>
          <w:rFonts w:hint="eastAsia" w:eastAsia="仿宋_GB2312"/>
          <w:color w:val="000000"/>
          <w:sz w:val="32"/>
          <w:szCs w:val="32"/>
          <w:lang w:eastAsia="zh-CN"/>
        </w:rPr>
        <w:t>花</w:t>
      </w:r>
      <w:r>
        <w:rPr>
          <w:rFonts w:eastAsia="仿宋_GB2312"/>
          <w:color w:val="000000"/>
          <w:sz w:val="32"/>
          <w:szCs w:val="32"/>
        </w:rPr>
        <w:t>市西区为例》《关于西区经济领域重大风险化解情况的调研报告》等调研报告6篇，向市政府办公室报送政务调研文章20篇</w:t>
      </w:r>
      <w:r>
        <w:rPr>
          <w:rFonts w:hint="eastAsia" w:eastAsia="仿宋_GB2312"/>
          <w:color w:val="000000"/>
          <w:sz w:val="32"/>
          <w:szCs w:val="32"/>
          <w:lang w:eastAsia="zh-CN"/>
        </w:rPr>
        <w:t>，</w:t>
      </w:r>
      <w:r>
        <w:rPr>
          <w:rFonts w:eastAsia="仿宋_GB2312"/>
          <w:color w:val="000000"/>
          <w:sz w:val="32"/>
          <w:szCs w:val="32"/>
        </w:rPr>
        <w:t>报送《政务信息》323条，整理上报专报要情11篇，被市政府办公室《工作动态》采用24条，超额完成报市目标任务，圆满完成</w:t>
      </w:r>
      <w:r>
        <w:rPr>
          <w:rFonts w:hint="eastAsia" w:eastAsia="仿宋_GB2312"/>
          <w:color w:val="000000"/>
          <w:sz w:val="32"/>
          <w:szCs w:val="32"/>
        </w:rPr>
        <w:t>2篇</w:t>
      </w:r>
      <w:r>
        <w:rPr>
          <w:rFonts w:eastAsia="仿宋_GB2312"/>
          <w:color w:val="000000"/>
          <w:sz w:val="32"/>
          <w:szCs w:val="32"/>
        </w:rPr>
        <w:t>报省信息目标任务。督办区政府常务会议议定事项126项</w:t>
      </w:r>
      <w:r>
        <w:rPr>
          <w:rFonts w:eastAsia="仿宋_GB2312"/>
          <w:color w:val="000000"/>
          <w:spacing w:val="-4"/>
          <w:sz w:val="32"/>
          <w:szCs w:val="32"/>
        </w:rPr>
        <w:t>。严格落实 24 小时领导在岗带班、值班人员值班制度，紧盯重点时段、敏感时期，特别是汛期、节假日，加大政府系统部门（单位）值班工作的检查抽查力度，督促指导各部门强化值班工作。2019年以来，节假日共计抽查 163 次，其中抽查区政府部门 114 次、格里坪镇人民政府 8 次、各街道办事处41 次，实现全区政府系统全覆盖。</w:t>
      </w:r>
    </w:p>
    <w:p>
      <w:pPr>
        <w:pStyle w:val="3"/>
        <w:pageBreakBefore w:val="0"/>
        <w:widowControl w:val="0"/>
        <w:kinsoku/>
        <w:wordWrap/>
        <w:overflowPunct/>
        <w:topLinePunct w:val="0"/>
        <w:autoSpaceDE/>
        <w:autoSpaceDN/>
        <w:bidi w:val="0"/>
        <w:adjustRightInd/>
        <w:snapToGrid/>
        <w:spacing w:line="640" w:lineRule="exact"/>
        <w:ind w:firstLine="640" w:firstLineChars="200"/>
        <w:textAlignment w:val="auto"/>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西区政府</w:t>
      </w:r>
      <w:r>
        <w:rPr>
          <w:rFonts w:hint="eastAsia" w:ascii="仿宋_GB2312" w:eastAsia="仿宋_GB2312"/>
          <w:sz w:val="32"/>
          <w:szCs w:val="32"/>
          <w:lang w:eastAsia="zh-CN"/>
        </w:rPr>
        <w:t>办公室</w:t>
      </w:r>
      <w:r>
        <w:rPr>
          <w:rFonts w:hint="eastAsia" w:ascii="仿宋_GB2312" w:eastAsia="仿宋_GB2312"/>
          <w:sz w:val="32"/>
          <w:szCs w:val="32"/>
        </w:rPr>
        <w:t>内设机构6个（秘书股、机要股、综合股、督查股、信息股、机关事务股）。共设编制14个，其中，区领导编制6个，公务员编制8个，2019年年末实有17人，其中区领导6名（1名为其他单位编制），公务员9名，工勤人员2名。1名离休干部，10名退休人员。</w:t>
      </w:r>
    </w:p>
    <w:p>
      <w:pPr>
        <w:pageBreakBefore w:val="0"/>
        <w:widowControl/>
        <w:kinsoku/>
        <w:wordWrap/>
        <w:overflowPunct/>
        <w:topLinePunct w:val="0"/>
        <w:autoSpaceDE/>
        <w:autoSpaceDN/>
        <w:bidi w:val="0"/>
        <w:spacing w:line="640" w:lineRule="exact"/>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564.19</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66.45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10.54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2019年度项目支出减少。</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58240" behindDoc="0" locked="0" layoutInCell="1" allowOverlap="1">
            <wp:simplePos x="0" y="0"/>
            <wp:positionH relativeFrom="column">
              <wp:posOffset>934720</wp:posOffset>
            </wp:positionH>
            <wp:positionV relativeFrom="paragraph">
              <wp:posOffset>90170</wp:posOffset>
            </wp:positionV>
            <wp:extent cx="3175000" cy="2638425"/>
            <wp:effectExtent l="4445" t="4445" r="20955" b="50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455.63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455.58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0.05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图2：收入决算结构图</w:t>
      </w:r>
      <w:r>
        <w:rPr>
          <w:rFonts w:hint="eastAsia" w:ascii="仿宋" w:hAnsi="仿宋" w:eastAsia="仿宋"/>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-2872105</wp:posOffset>
            </wp:positionV>
            <wp:extent cx="3747135" cy="2696845"/>
            <wp:effectExtent l="4445" t="4445" r="20320" b="228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544.2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446.98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82.14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97.21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17.86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60288" behindDoc="0" locked="0" layoutInCell="1" allowOverlap="1">
            <wp:simplePos x="0" y="0"/>
            <wp:positionH relativeFrom="column">
              <wp:posOffset>144145</wp:posOffset>
            </wp:positionH>
            <wp:positionV relativeFrom="paragraph">
              <wp:posOffset>62865</wp:posOffset>
            </wp:positionV>
            <wp:extent cx="3823335" cy="2362200"/>
            <wp:effectExtent l="4445" t="4445" r="2032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563.78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66.45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10.54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2019年度项目支出减少。</w:t>
      </w:r>
    </w:p>
    <w:p>
      <w:pPr>
        <w:spacing w:line="600" w:lineRule="exact"/>
        <w:rPr>
          <w:rFonts w:ascii="仿宋" w:hAnsi="仿宋" w:eastAsia="仿宋"/>
          <w:color w:val="000000"/>
          <w:sz w:val="32"/>
          <w:szCs w:val="32"/>
        </w:rPr>
      </w:pPr>
      <w:r>
        <w:rPr>
          <w:rFonts w:hint="eastAsia" w:ascii="仿宋" w:hAnsi="仿宋" w:eastAsia="仿宋"/>
          <w:color w:val="000000" w:themeColor="text1"/>
          <w:sz w:val="32"/>
          <w:szCs w:val="32"/>
          <w:lang w:eastAsia="zh-CN"/>
        </w:rPr>
        <w:drawing>
          <wp:anchor distT="0" distB="0" distL="114300" distR="114300" simplePos="0" relativeHeight="251661312" behindDoc="0" locked="0" layoutInCell="1" allowOverlap="1">
            <wp:simplePos x="0" y="0"/>
            <wp:positionH relativeFrom="column">
              <wp:posOffset>319405</wp:posOffset>
            </wp:positionH>
            <wp:positionV relativeFrom="paragraph">
              <wp:posOffset>106045</wp:posOffset>
            </wp:positionV>
            <wp:extent cx="3679190" cy="2447290"/>
            <wp:effectExtent l="4445" t="4445" r="12065"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544.15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66.09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10.83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2019年度项目支出减少。</w:t>
      </w:r>
    </w:p>
    <w:p>
      <w:pPr>
        <w:spacing w:line="600" w:lineRule="exact"/>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65408" behindDoc="0" locked="0" layoutInCell="1" allowOverlap="1">
            <wp:simplePos x="0" y="0"/>
            <wp:positionH relativeFrom="column">
              <wp:posOffset>320040</wp:posOffset>
            </wp:positionH>
            <wp:positionV relativeFrom="paragraph">
              <wp:posOffset>50165</wp:posOffset>
            </wp:positionV>
            <wp:extent cx="4337685" cy="1962150"/>
            <wp:effectExtent l="4445" t="4445" r="20320"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ind w:firstLine="320" w:firstLineChars="1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544.15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olor w:val="000000"/>
          <w:sz w:val="32"/>
          <w:szCs w:val="32"/>
        </w:rPr>
        <w:t>一般公共服务（</w:t>
      </w:r>
      <w:r>
        <w:rPr>
          <w:rFonts w:hint="eastAsia" w:ascii="仿宋" w:hAnsi="仿宋" w:eastAsia="仿宋"/>
          <w:color w:val="000000"/>
          <w:sz w:val="32"/>
          <w:szCs w:val="32"/>
          <w:lang w:val="en-US" w:eastAsia="zh-CN"/>
        </w:rPr>
        <w:t>201</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440.3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80.92</w:t>
      </w:r>
      <w:r>
        <w:rPr>
          <w:rFonts w:hint="eastAsia" w:ascii="仿宋" w:hAnsi="仿宋" w:eastAsia="仿宋"/>
          <w:color w:val="000000"/>
          <w:sz w:val="32"/>
          <w:szCs w:val="32"/>
        </w:rPr>
        <w:t>%；社会保障和就业（</w:t>
      </w:r>
      <w:r>
        <w:rPr>
          <w:rFonts w:hint="eastAsia" w:ascii="仿宋" w:hAnsi="仿宋" w:eastAsia="仿宋"/>
          <w:color w:val="000000"/>
          <w:sz w:val="32"/>
          <w:szCs w:val="32"/>
          <w:lang w:val="en-US" w:eastAsia="zh-CN"/>
        </w:rPr>
        <w:t>208</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46.71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8.58</w:t>
      </w:r>
      <w:r>
        <w:rPr>
          <w:rFonts w:hint="eastAsia" w:ascii="仿宋" w:hAnsi="仿宋" w:eastAsia="仿宋"/>
          <w:color w:val="000000"/>
          <w:sz w:val="32"/>
          <w:szCs w:val="32"/>
        </w:rPr>
        <w:t>%；卫生健康支出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210</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22.</w:t>
      </w:r>
      <w:r>
        <w:rPr>
          <w:rFonts w:hint="eastAsia" w:ascii="仿宋" w:hAnsi="仿宋" w:eastAsia="仿宋"/>
          <w:color w:val="000000" w:themeColor="text1"/>
          <w:sz w:val="32"/>
          <w:szCs w:val="32"/>
          <w:lang w:val="en-US" w:eastAsia="zh-CN"/>
        </w:rPr>
        <w:t>89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4.21</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221</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34.25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6.29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6432" behindDoc="0" locked="0" layoutInCell="1" allowOverlap="1">
            <wp:simplePos x="0" y="0"/>
            <wp:positionH relativeFrom="column">
              <wp:posOffset>401955</wp:posOffset>
            </wp:positionH>
            <wp:positionV relativeFrom="paragraph">
              <wp:posOffset>213995</wp:posOffset>
            </wp:positionV>
            <wp:extent cx="3794125" cy="2362835"/>
            <wp:effectExtent l="4445" t="4445" r="1143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rPr>
          <w:rStyle w:val="16"/>
          <w:rFonts w:hint="eastAsia" w:ascii="仿宋_GB2312" w:hAnsi="仿宋" w:eastAsia="仿宋_GB2312"/>
          <w:b w:val="0"/>
          <w:bCs/>
          <w:color w:val="000000"/>
          <w:sz w:val="32"/>
          <w:szCs w:val="32"/>
        </w:rPr>
      </w:pPr>
      <w:bookmarkStart w:id="37" w:name="_Toc15377213"/>
      <w:bookmarkStart w:id="38" w:name="_Toc15378460"/>
      <w:bookmarkStart w:id="39" w:name="_Toc15377444"/>
      <w:r>
        <w:rPr>
          <w:rStyle w:val="16"/>
          <w:rFonts w:hint="eastAsia" w:ascii="仿宋_GB2312" w:hAnsi="仿宋" w:eastAsia="仿宋_GB2312"/>
          <w:b w:val="0"/>
          <w:bCs/>
          <w:color w:val="000000"/>
          <w:sz w:val="32"/>
          <w:szCs w:val="32"/>
        </w:rPr>
        <w:t>2019年</w:t>
      </w:r>
      <w:r>
        <w:rPr>
          <w:rStyle w:val="16"/>
          <w:rFonts w:hint="eastAsia" w:ascii="仿宋_GB2312" w:hAnsi="仿宋" w:eastAsia="仿宋_GB2312"/>
          <w:b w:val="0"/>
          <w:bCs/>
          <w:color w:val="000000"/>
          <w:sz w:val="32"/>
          <w:szCs w:val="32"/>
          <w:lang w:eastAsia="zh-CN"/>
        </w:rPr>
        <w:t>一</w:t>
      </w:r>
      <w:r>
        <w:rPr>
          <w:rStyle w:val="16"/>
          <w:rFonts w:hint="eastAsia" w:ascii="仿宋_GB2312" w:hAnsi="仿宋" w:eastAsia="仿宋_GB2312"/>
          <w:b w:val="0"/>
          <w:bCs/>
          <w:color w:val="000000"/>
          <w:sz w:val="32"/>
          <w:szCs w:val="32"/>
        </w:rPr>
        <w:t>般公共预算支出决算数为</w:t>
      </w:r>
      <w:r>
        <w:rPr>
          <w:rStyle w:val="16"/>
          <w:rFonts w:hint="eastAsia" w:ascii="仿宋_GB2312" w:hAnsi="仿宋" w:eastAsia="仿宋_GB2312"/>
          <w:b w:val="0"/>
          <w:bCs/>
          <w:color w:val="000000"/>
          <w:sz w:val="32"/>
          <w:szCs w:val="32"/>
          <w:lang w:val="en-US" w:eastAsia="zh-CN"/>
        </w:rPr>
        <w:t>544.15万元</w:t>
      </w:r>
      <w:r>
        <w:rPr>
          <w:rStyle w:val="16"/>
          <w:rFonts w:hint="eastAsia" w:ascii="仿宋_GB2312" w:hAnsi="仿宋" w:eastAsia="仿宋_GB2312"/>
          <w:b w:val="0"/>
          <w:bCs/>
          <w:color w:val="000000"/>
          <w:sz w:val="32"/>
          <w:szCs w:val="32"/>
        </w:rPr>
        <w:t>，完成预算</w:t>
      </w:r>
      <w:r>
        <w:rPr>
          <w:rStyle w:val="16"/>
          <w:rFonts w:hint="eastAsia" w:ascii="仿宋_GB2312" w:hAnsi="仿宋" w:eastAsia="仿宋_GB2312"/>
          <w:b w:val="0"/>
          <w:bCs/>
          <w:color w:val="000000"/>
          <w:sz w:val="32"/>
          <w:szCs w:val="32"/>
          <w:lang w:val="en-US" w:eastAsia="zh-CN"/>
        </w:rPr>
        <w:t>96.52</w:t>
      </w:r>
      <w:r>
        <w:rPr>
          <w:rStyle w:val="16"/>
          <w:rFonts w:hint="eastAsia" w:ascii="仿宋_GB2312" w:hAnsi="仿宋" w:eastAsia="仿宋_GB2312"/>
          <w:b w:val="0"/>
          <w:bCs/>
          <w:color w:val="000000"/>
          <w:sz w:val="32"/>
          <w:szCs w:val="32"/>
        </w:rPr>
        <w:t>%。其中：</w:t>
      </w:r>
      <w:bookmarkEnd w:id="37"/>
      <w:bookmarkEnd w:id="38"/>
      <w:bookmarkEnd w:id="39"/>
    </w:p>
    <w:p>
      <w:pPr>
        <w:spacing w:line="600" w:lineRule="exact"/>
        <w:ind w:firstLine="640" w:firstLineChars="200"/>
        <w:rPr>
          <w:rFonts w:hint="eastAsia" w:ascii="仿宋_GB2312" w:hAnsi="仿宋" w:eastAsia="仿宋_GB2312"/>
          <w:color w:val="000000"/>
          <w:sz w:val="32"/>
          <w:szCs w:val="32"/>
          <w:lang w:val="en-US" w:eastAsia="zh-CN"/>
        </w:rPr>
      </w:pPr>
      <w:r>
        <w:rPr>
          <w:rStyle w:val="16"/>
          <w:rFonts w:hint="eastAsia" w:ascii="仿宋_GB2312" w:hAnsi="仿宋" w:eastAsia="仿宋_GB2312"/>
          <w:b w:val="0"/>
          <w:bCs/>
          <w:color w:val="000000"/>
          <w:sz w:val="32"/>
          <w:szCs w:val="32"/>
        </w:rPr>
        <w:t>1.一般公共服务（201）政府办公厅（室）及相关业务（03）行政运行（01）:支出决算为</w:t>
      </w:r>
      <w:r>
        <w:rPr>
          <w:rStyle w:val="16"/>
          <w:rFonts w:hint="eastAsia" w:ascii="仿宋_GB2312" w:hAnsi="仿宋" w:eastAsia="仿宋_GB2312"/>
          <w:b w:val="0"/>
          <w:bCs/>
          <w:color w:val="000000"/>
          <w:sz w:val="32"/>
          <w:szCs w:val="32"/>
          <w:lang w:val="en-US" w:eastAsia="zh-CN"/>
        </w:rPr>
        <w:t>343</w:t>
      </w:r>
      <w:r>
        <w:rPr>
          <w:rStyle w:val="16"/>
          <w:rFonts w:hint="eastAsia" w:ascii="仿宋_GB2312" w:hAnsi="仿宋" w:eastAsia="仿宋_GB2312"/>
          <w:b w:val="0"/>
          <w:bCs/>
          <w:color w:val="000000"/>
          <w:sz w:val="32"/>
          <w:szCs w:val="32"/>
        </w:rPr>
        <w:t>万元，完成预算100%；一般公共服务（201）政府办公厅（室）及相关业务（03）一般行政管理事务（02）:支出决算为</w:t>
      </w:r>
      <w:r>
        <w:rPr>
          <w:rStyle w:val="16"/>
          <w:rFonts w:hint="eastAsia" w:ascii="仿宋_GB2312" w:hAnsi="仿宋" w:eastAsia="仿宋_GB2312"/>
          <w:b w:val="0"/>
          <w:bCs/>
          <w:color w:val="000000"/>
          <w:sz w:val="32"/>
          <w:szCs w:val="32"/>
          <w:lang w:val="en-US" w:eastAsia="zh-CN"/>
        </w:rPr>
        <w:t>83.49</w:t>
      </w:r>
      <w:r>
        <w:rPr>
          <w:rStyle w:val="16"/>
          <w:rFonts w:hint="eastAsia" w:ascii="仿宋_GB2312" w:hAnsi="仿宋" w:eastAsia="仿宋_GB2312"/>
          <w:b w:val="0"/>
          <w:bCs/>
          <w:color w:val="000000"/>
          <w:sz w:val="32"/>
          <w:szCs w:val="32"/>
        </w:rPr>
        <w:t>万元，完成预算</w:t>
      </w:r>
      <w:r>
        <w:rPr>
          <w:rStyle w:val="16"/>
          <w:rFonts w:hint="eastAsia" w:ascii="仿宋_GB2312" w:hAnsi="仿宋" w:eastAsia="仿宋_GB2312"/>
          <w:b w:val="0"/>
          <w:bCs/>
          <w:color w:val="000000"/>
          <w:sz w:val="32"/>
          <w:szCs w:val="32"/>
          <w:lang w:val="en-US" w:eastAsia="zh-CN"/>
        </w:rPr>
        <w:t>86.22</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eastAsia="zh-CN"/>
        </w:rPr>
        <w:t>决算</w:t>
      </w:r>
      <w:r>
        <w:rPr>
          <w:rStyle w:val="16"/>
          <w:rFonts w:hint="eastAsia" w:ascii="仿宋_GB2312" w:hAnsi="仿宋" w:eastAsia="仿宋_GB2312"/>
          <w:b w:val="0"/>
          <w:bCs/>
          <w:color w:val="000000"/>
          <w:sz w:val="32"/>
          <w:szCs w:val="32"/>
        </w:rPr>
        <w:t>数小于预算数的原因</w:t>
      </w:r>
      <w:r>
        <w:rPr>
          <w:rStyle w:val="16"/>
          <w:rFonts w:hint="eastAsia" w:ascii="仿宋_GB2312" w:hAnsi="仿宋" w:eastAsia="仿宋_GB2312"/>
          <w:b w:val="0"/>
          <w:bCs/>
          <w:color w:val="000000"/>
          <w:sz w:val="32"/>
          <w:szCs w:val="32"/>
          <w:lang w:eastAsia="zh-CN"/>
        </w:rPr>
        <w:t>是</w:t>
      </w:r>
      <w:r>
        <w:rPr>
          <w:rStyle w:val="16"/>
          <w:rFonts w:hint="eastAsia" w:ascii="仿宋_GB2312" w:hAnsi="仿宋" w:eastAsia="仿宋_GB2312"/>
          <w:b w:val="0"/>
          <w:bCs/>
          <w:color w:val="000000"/>
          <w:sz w:val="32"/>
          <w:szCs w:val="32"/>
        </w:rPr>
        <w:t>项目支出结转部分</w:t>
      </w:r>
      <w:r>
        <w:rPr>
          <w:rStyle w:val="16"/>
          <w:rFonts w:hint="eastAsia" w:ascii="仿宋_GB2312" w:hAnsi="仿宋" w:eastAsia="仿宋_GB2312"/>
          <w:b w:val="0"/>
          <w:bCs/>
          <w:color w:val="000000"/>
          <w:sz w:val="32"/>
          <w:szCs w:val="32"/>
          <w:lang w:eastAsia="zh-CN"/>
        </w:rPr>
        <w:t>划</w:t>
      </w:r>
      <w:r>
        <w:rPr>
          <w:rStyle w:val="16"/>
          <w:rFonts w:hint="eastAsia" w:ascii="仿宋_GB2312" w:hAnsi="仿宋" w:eastAsia="仿宋_GB2312"/>
          <w:b w:val="0"/>
          <w:bCs/>
          <w:color w:val="000000"/>
          <w:sz w:val="32"/>
          <w:szCs w:val="32"/>
        </w:rPr>
        <w:t>至下一年度</w:t>
      </w:r>
      <w:r>
        <w:rPr>
          <w:rStyle w:val="16"/>
          <w:rFonts w:hint="eastAsia" w:ascii="仿宋_GB2312" w:hAnsi="仿宋" w:eastAsia="仿宋_GB2312"/>
          <w:b w:val="0"/>
          <w:bCs/>
          <w:color w:val="000000"/>
          <w:sz w:val="32"/>
          <w:szCs w:val="32"/>
          <w:lang w:eastAsia="zh-CN"/>
        </w:rPr>
        <w:t>；</w:t>
      </w:r>
      <w:r>
        <w:rPr>
          <w:rStyle w:val="16"/>
          <w:rFonts w:hint="eastAsia" w:ascii="仿宋_GB2312" w:hAnsi="仿宋" w:eastAsia="仿宋_GB2312"/>
          <w:b w:val="0"/>
          <w:bCs/>
          <w:color w:val="000000"/>
          <w:sz w:val="32"/>
          <w:szCs w:val="32"/>
        </w:rPr>
        <w:t>一般公共服务（201）政府办公厅（室）及相关业务（03）</w:t>
      </w:r>
      <w:r>
        <w:rPr>
          <w:rStyle w:val="16"/>
          <w:rFonts w:hint="eastAsia" w:ascii="仿宋_GB2312" w:hAnsi="仿宋" w:eastAsia="仿宋_GB2312"/>
          <w:b w:val="0"/>
          <w:bCs/>
          <w:color w:val="000000"/>
          <w:sz w:val="32"/>
          <w:szCs w:val="32"/>
          <w:lang w:eastAsia="zh-CN"/>
        </w:rPr>
        <w:t>事业运行</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val="en-US" w:eastAsia="zh-CN"/>
        </w:rPr>
        <w:t>50</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eastAsia="zh-CN"/>
        </w:rPr>
        <w:t>：支出决算数为</w:t>
      </w:r>
      <w:r>
        <w:rPr>
          <w:rStyle w:val="16"/>
          <w:rFonts w:hint="eastAsia" w:ascii="仿宋_GB2312" w:hAnsi="仿宋" w:eastAsia="仿宋_GB2312"/>
          <w:b w:val="0"/>
          <w:bCs/>
          <w:color w:val="000000"/>
          <w:sz w:val="32"/>
          <w:szCs w:val="32"/>
          <w:lang w:val="en-US" w:eastAsia="zh-CN"/>
        </w:rPr>
        <w:t>0.09万元，完成预算100%；</w:t>
      </w:r>
      <w:r>
        <w:rPr>
          <w:rStyle w:val="16"/>
          <w:rFonts w:hint="eastAsia" w:ascii="仿宋_GB2312" w:hAnsi="仿宋" w:eastAsia="仿宋_GB2312"/>
          <w:b w:val="0"/>
          <w:bCs/>
          <w:color w:val="000000"/>
          <w:sz w:val="32"/>
          <w:szCs w:val="32"/>
        </w:rPr>
        <w:t>一般公共服务（201）其他一般公共服务支出（</w:t>
      </w:r>
      <w:r>
        <w:rPr>
          <w:rStyle w:val="16"/>
          <w:rFonts w:hint="eastAsia" w:ascii="仿宋_GB2312" w:hAnsi="仿宋" w:eastAsia="仿宋_GB2312"/>
          <w:b w:val="0"/>
          <w:bCs/>
          <w:color w:val="000000"/>
          <w:sz w:val="32"/>
          <w:szCs w:val="32"/>
          <w:lang w:val="en-US" w:eastAsia="zh-CN"/>
        </w:rPr>
        <w:t>99</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eastAsia="zh-CN"/>
        </w:rPr>
        <w:t>其他一般公共服务支出</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val="en-US" w:eastAsia="zh-CN"/>
        </w:rPr>
        <w:t>99</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eastAsia="zh-CN"/>
        </w:rPr>
        <w:t>：支出决算数为</w:t>
      </w:r>
      <w:r>
        <w:rPr>
          <w:rStyle w:val="16"/>
          <w:rFonts w:hint="eastAsia" w:ascii="仿宋_GB2312" w:hAnsi="仿宋" w:eastAsia="仿宋_GB2312"/>
          <w:b w:val="0"/>
          <w:bCs/>
          <w:color w:val="000000"/>
          <w:sz w:val="32"/>
          <w:szCs w:val="32"/>
          <w:lang w:val="en-US" w:eastAsia="zh-CN"/>
        </w:rPr>
        <w:t>13.72万元，完成预算68.6%，</w:t>
      </w:r>
      <w:r>
        <w:rPr>
          <w:rStyle w:val="16"/>
          <w:rFonts w:hint="eastAsia" w:ascii="仿宋_GB2312" w:hAnsi="仿宋" w:eastAsia="仿宋_GB2312"/>
          <w:b w:val="0"/>
          <w:bCs/>
          <w:color w:val="000000"/>
          <w:sz w:val="32"/>
          <w:szCs w:val="32"/>
          <w:lang w:eastAsia="zh-CN"/>
        </w:rPr>
        <w:t>决算</w:t>
      </w:r>
      <w:r>
        <w:rPr>
          <w:rStyle w:val="16"/>
          <w:rFonts w:hint="eastAsia" w:ascii="仿宋_GB2312" w:hAnsi="仿宋" w:eastAsia="仿宋_GB2312"/>
          <w:b w:val="0"/>
          <w:bCs/>
          <w:color w:val="000000"/>
          <w:sz w:val="32"/>
          <w:szCs w:val="32"/>
        </w:rPr>
        <w:t>数小于预算数的原因</w:t>
      </w:r>
      <w:r>
        <w:rPr>
          <w:rStyle w:val="16"/>
          <w:rFonts w:hint="eastAsia" w:ascii="仿宋_GB2312" w:hAnsi="仿宋" w:eastAsia="仿宋_GB2312"/>
          <w:b w:val="0"/>
          <w:bCs/>
          <w:color w:val="000000"/>
          <w:sz w:val="32"/>
          <w:szCs w:val="32"/>
          <w:lang w:eastAsia="zh-CN"/>
        </w:rPr>
        <w:t>是</w:t>
      </w:r>
      <w:r>
        <w:rPr>
          <w:rStyle w:val="16"/>
          <w:rFonts w:hint="eastAsia" w:ascii="仿宋_GB2312" w:hAnsi="仿宋" w:eastAsia="仿宋_GB2312"/>
          <w:b w:val="0"/>
          <w:bCs/>
          <w:color w:val="000000"/>
          <w:sz w:val="32"/>
          <w:szCs w:val="32"/>
        </w:rPr>
        <w:t>项目支出结转至下一年度</w:t>
      </w:r>
      <w:r>
        <w:rPr>
          <w:rStyle w:val="16"/>
          <w:rFonts w:hint="eastAsia" w:ascii="仿宋_GB2312" w:hAnsi="仿宋" w:eastAsia="仿宋_GB2312"/>
          <w:b w:val="0"/>
          <w:bCs/>
          <w:color w:val="000000"/>
          <w:sz w:val="32"/>
          <w:szCs w:val="32"/>
          <w:lang w:eastAsia="zh-CN"/>
        </w:rPr>
        <w:t>。</w:t>
      </w:r>
    </w:p>
    <w:p>
      <w:pPr>
        <w:spacing w:line="600" w:lineRule="exact"/>
        <w:ind w:firstLine="640" w:firstLineChars="200"/>
        <w:rPr>
          <w:rFonts w:hint="eastAsia" w:ascii="仿宋_GB2312" w:hAnsi="仿宋" w:eastAsia="仿宋_GB2312"/>
          <w:color w:val="000000"/>
          <w:sz w:val="32"/>
          <w:szCs w:val="32"/>
        </w:rPr>
      </w:pPr>
      <w:r>
        <w:rPr>
          <w:rStyle w:val="16"/>
          <w:rFonts w:hint="eastAsia" w:ascii="仿宋_GB2312" w:hAnsi="仿宋" w:eastAsia="仿宋_GB2312"/>
          <w:b w:val="0"/>
          <w:bCs/>
          <w:color w:val="000000"/>
          <w:sz w:val="32"/>
          <w:szCs w:val="32"/>
        </w:rPr>
        <w:t>2.社会保障和就业（208）行政事业单位离退休（05）未归口管理的行政单位离退休（04）:支出决算为</w:t>
      </w:r>
      <w:r>
        <w:rPr>
          <w:rStyle w:val="16"/>
          <w:rFonts w:hint="eastAsia" w:ascii="仿宋_GB2312" w:hAnsi="仿宋" w:eastAsia="仿宋_GB2312"/>
          <w:b w:val="0"/>
          <w:bCs/>
          <w:color w:val="000000"/>
          <w:sz w:val="32"/>
          <w:szCs w:val="32"/>
          <w:lang w:val="en-US" w:eastAsia="zh-CN"/>
        </w:rPr>
        <w:t>22.32</w:t>
      </w:r>
      <w:r>
        <w:rPr>
          <w:rStyle w:val="16"/>
          <w:rFonts w:hint="eastAsia" w:ascii="仿宋_GB2312" w:hAnsi="仿宋" w:eastAsia="仿宋_GB2312"/>
          <w:b w:val="0"/>
          <w:bCs/>
          <w:color w:val="000000"/>
          <w:sz w:val="32"/>
          <w:szCs w:val="32"/>
        </w:rPr>
        <w:t>万元，完成预算100%；社会保障和就业（208）行政事业单位离退休（05）机关事业单位基本养老保险缴费支出（05）：支出决算为</w:t>
      </w:r>
      <w:r>
        <w:rPr>
          <w:rStyle w:val="16"/>
          <w:rFonts w:hint="eastAsia" w:ascii="仿宋_GB2312" w:hAnsi="仿宋" w:eastAsia="仿宋_GB2312"/>
          <w:b w:val="0"/>
          <w:bCs/>
          <w:color w:val="000000"/>
          <w:sz w:val="32"/>
          <w:szCs w:val="32"/>
          <w:lang w:val="en-US" w:eastAsia="zh-CN"/>
        </w:rPr>
        <w:t>24.39</w:t>
      </w:r>
      <w:r>
        <w:rPr>
          <w:rStyle w:val="16"/>
          <w:rFonts w:hint="eastAsia" w:ascii="仿宋_GB2312" w:hAnsi="仿宋" w:eastAsia="仿宋_GB2312"/>
          <w:b w:val="0"/>
          <w:bCs/>
          <w:color w:val="000000"/>
          <w:sz w:val="32"/>
          <w:szCs w:val="32"/>
        </w:rPr>
        <w:t>万元，完成预算100%。</w:t>
      </w:r>
    </w:p>
    <w:p>
      <w:pPr>
        <w:spacing w:line="600" w:lineRule="exact"/>
        <w:ind w:firstLine="640" w:firstLineChars="200"/>
        <w:rPr>
          <w:rStyle w:val="16"/>
          <w:rFonts w:hint="eastAsia" w:ascii="仿宋_GB2312" w:hAnsi="仿宋" w:eastAsia="仿宋_GB2312"/>
          <w:b w:val="0"/>
          <w:bCs/>
          <w:color w:val="000000"/>
          <w:sz w:val="32"/>
          <w:szCs w:val="32"/>
          <w:lang w:eastAsia="zh-CN"/>
        </w:rPr>
      </w:pPr>
      <w:r>
        <w:rPr>
          <w:rStyle w:val="16"/>
          <w:rFonts w:hint="eastAsia" w:ascii="仿宋_GB2312" w:hAnsi="仿宋" w:eastAsia="仿宋_GB2312"/>
          <w:b w:val="0"/>
          <w:bCs/>
          <w:color w:val="000000"/>
          <w:sz w:val="32"/>
          <w:szCs w:val="32"/>
          <w:lang w:val="en-US" w:eastAsia="zh-CN"/>
        </w:rPr>
        <w:t>3</w:t>
      </w:r>
      <w:r>
        <w:rPr>
          <w:rStyle w:val="16"/>
          <w:rFonts w:hint="eastAsia" w:ascii="仿宋_GB2312" w:hAnsi="仿宋" w:eastAsia="仿宋_GB2312"/>
          <w:b w:val="0"/>
          <w:bCs/>
          <w:color w:val="000000"/>
          <w:sz w:val="32"/>
          <w:szCs w:val="32"/>
        </w:rPr>
        <w:t>.卫生健康支出（</w:t>
      </w:r>
      <w:r>
        <w:rPr>
          <w:rStyle w:val="16"/>
          <w:rFonts w:hint="eastAsia" w:ascii="仿宋_GB2312" w:hAnsi="仿宋" w:eastAsia="仿宋_GB2312"/>
          <w:b w:val="0"/>
          <w:bCs/>
          <w:color w:val="000000"/>
          <w:sz w:val="32"/>
          <w:szCs w:val="32"/>
          <w:lang w:val="en-US" w:eastAsia="zh-CN"/>
        </w:rPr>
        <w:t>210</w:t>
      </w:r>
      <w:r>
        <w:rPr>
          <w:rStyle w:val="16"/>
          <w:rFonts w:hint="eastAsia" w:ascii="仿宋_GB2312" w:hAnsi="仿宋" w:eastAsia="仿宋_GB2312"/>
          <w:b w:val="0"/>
          <w:bCs/>
          <w:color w:val="000000"/>
          <w:sz w:val="32"/>
          <w:szCs w:val="32"/>
        </w:rPr>
        <w:t>）行政事业单位医疗（</w:t>
      </w:r>
      <w:r>
        <w:rPr>
          <w:rStyle w:val="16"/>
          <w:rFonts w:hint="eastAsia" w:ascii="仿宋_GB2312" w:hAnsi="仿宋" w:eastAsia="仿宋_GB2312"/>
          <w:b w:val="0"/>
          <w:bCs/>
          <w:color w:val="000000"/>
          <w:sz w:val="32"/>
          <w:szCs w:val="32"/>
          <w:lang w:val="en-US" w:eastAsia="zh-CN"/>
        </w:rPr>
        <w:t>11</w:t>
      </w:r>
      <w:r>
        <w:rPr>
          <w:rStyle w:val="16"/>
          <w:rFonts w:hint="eastAsia" w:ascii="仿宋_GB2312" w:hAnsi="仿宋" w:eastAsia="仿宋_GB2312"/>
          <w:b w:val="0"/>
          <w:bCs/>
          <w:color w:val="000000"/>
          <w:sz w:val="32"/>
          <w:szCs w:val="32"/>
        </w:rPr>
        <w:t>）行政单位医疗（</w:t>
      </w:r>
      <w:r>
        <w:rPr>
          <w:rStyle w:val="16"/>
          <w:rFonts w:hint="eastAsia" w:ascii="仿宋_GB2312" w:hAnsi="仿宋" w:eastAsia="仿宋_GB2312"/>
          <w:b w:val="0"/>
          <w:bCs/>
          <w:color w:val="000000"/>
          <w:sz w:val="32"/>
          <w:szCs w:val="32"/>
          <w:lang w:val="en-US" w:eastAsia="zh-CN"/>
        </w:rPr>
        <w:t>01</w:t>
      </w:r>
      <w:r>
        <w:rPr>
          <w:rStyle w:val="16"/>
          <w:rFonts w:hint="eastAsia" w:ascii="仿宋_GB2312" w:hAnsi="仿宋" w:eastAsia="仿宋_GB2312"/>
          <w:b w:val="0"/>
          <w:bCs/>
          <w:color w:val="000000"/>
          <w:sz w:val="32"/>
          <w:szCs w:val="32"/>
        </w:rPr>
        <w:t>）:支出决算为</w:t>
      </w:r>
      <w:r>
        <w:rPr>
          <w:rStyle w:val="16"/>
          <w:rFonts w:hint="eastAsia" w:ascii="仿宋_GB2312" w:hAnsi="仿宋" w:eastAsia="仿宋_GB2312"/>
          <w:b w:val="0"/>
          <w:bCs/>
          <w:color w:val="000000"/>
          <w:sz w:val="32"/>
          <w:szCs w:val="32"/>
          <w:lang w:val="en-US" w:eastAsia="zh-CN"/>
        </w:rPr>
        <w:t>20.75</w:t>
      </w:r>
      <w:r>
        <w:rPr>
          <w:rStyle w:val="16"/>
          <w:rFonts w:hint="eastAsia" w:ascii="仿宋_GB2312" w:hAnsi="仿宋" w:eastAsia="仿宋_GB2312"/>
          <w:b w:val="0"/>
          <w:bCs/>
          <w:color w:val="000000"/>
          <w:sz w:val="32"/>
          <w:szCs w:val="32"/>
        </w:rPr>
        <w:t>万元，完成预算</w:t>
      </w:r>
      <w:r>
        <w:rPr>
          <w:rStyle w:val="16"/>
          <w:rFonts w:hint="eastAsia" w:ascii="仿宋_GB2312" w:hAnsi="仿宋" w:eastAsia="仿宋_GB2312"/>
          <w:b w:val="0"/>
          <w:bCs/>
          <w:color w:val="000000"/>
          <w:sz w:val="32"/>
          <w:szCs w:val="32"/>
          <w:lang w:val="en-US" w:eastAsia="zh-CN"/>
        </w:rPr>
        <w:t>100</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eastAsia="zh-CN"/>
        </w:rPr>
        <w:t>；</w:t>
      </w:r>
      <w:r>
        <w:rPr>
          <w:rStyle w:val="16"/>
          <w:rFonts w:hint="eastAsia" w:ascii="仿宋_GB2312" w:hAnsi="仿宋" w:eastAsia="仿宋_GB2312"/>
          <w:b w:val="0"/>
          <w:bCs/>
          <w:color w:val="000000"/>
          <w:sz w:val="32"/>
          <w:szCs w:val="32"/>
        </w:rPr>
        <w:t>卫生健康支出（</w:t>
      </w:r>
      <w:r>
        <w:rPr>
          <w:rStyle w:val="16"/>
          <w:rFonts w:hint="eastAsia" w:ascii="仿宋_GB2312" w:hAnsi="仿宋" w:eastAsia="仿宋_GB2312"/>
          <w:b w:val="0"/>
          <w:bCs/>
          <w:color w:val="000000"/>
          <w:sz w:val="32"/>
          <w:szCs w:val="32"/>
          <w:lang w:val="en-US" w:eastAsia="zh-CN"/>
        </w:rPr>
        <w:t>210</w:t>
      </w:r>
      <w:r>
        <w:rPr>
          <w:rStyle w:val="16"/>
          <w:rFonts w:hint="eastAsia" w:ascii="仿宋_GB2312" w:hAnsi="仿宋" w:eastAsia="仿宋_GB2312"/>
          <w:b w:val="0"/>
          <w:bCs/>
          <w:color w:val="000000"/>
          <w:sz w:val="32"/>
          <w:szCs w:val="32"/>
        </w:rPr>
        <w:t>）行政事业单位医疗（</w:t>
      </w:r>
      <w:r>
        <w:rPr>
          <w:rStyle w:val="16"/>
          <w:rFonts w:hint="eastAsia" w:ascii="仿宋_GB2312" w:hAnsi="仿宋" w:eastAsia="仿宋_GB2312"/>
          <w:b w:val="0"/>
          <w:bCs/>
          <w:color w:val="000000"/>
          <w:sz w:val="32"/>
          <w:szCs w:val="32"/>
          <w:lang w:val="en-US" w:eastAsia="zh-CN"/>
        </w:rPr>
        <w:t>11</w:t>
      </w:r>
      <w:r>
        <w:rPr>
          <w:rStyle w:val="16"/>
          <w:rFonts w:hint="eastAsia" w:ascii="仿宋_GB2312" w:hAnsi="仿宋" w:eastAsia="仿宋_GB2312"/>
          <w:b w:val="0"/>
          <w:bCs/>
          <w:color w:val="000000"/>
          <w:sz w:val="32"/>
          <w:szCs w:val="32"/>
        </w:rPr>
        <w:t>）公务员医疗补助（</w:t>
      </w:r>
      <w:r>
        <w:rPr>
          <w:rStyle w:val="16"/>
          <w:rFonts w:hint="eastAsia" w:ascii="仿宋_GB2312" w:hAnsi="仿宋" w:eastAsia="仿宋_GB2312"/>
          <w:b w:val="0"/>
          <w:bCs/>
          <w:color w:val="000000"/>
          <w:sz w:val="32"/>
          <w:szCs w:val="32"/>
          <w:lang w:val="en-US" w:eastAsia="zh-CN"/>
        </w:rPr>
        <w:t>03</w:t>
      </w:r>
      <w:r>
        <w:rPr>
          <w:rStyle w:val="16"/>
          <w:rFonts w:hint="eastAsia" w:ascii="仿宋_GB2312" w:hAnsi="仿宋" w:eastAsia="仿宋_GB2312"/>
          <w:b w:val="0"/>
          <w:bCs/>
          <w:color w:val="000000"/>
          <w:sz w:val="32"/>
          <w:szCs w:val="32"/>
        </w:rPr>
        <w:t>）:支出决算为</w:t>
      </w:r>
      <w:r>
        <w:rPr>
          <w:rStyle w:val="16"/>
          <w:rFonts w:hint="eastAsia" w:ascii="仿宋_GB2312" w:hAnsi="仿宋" w:eastAsia="仿宋_GB2312"/>
          <w:b w:val="0"/>
          <w:bCs/>
          <w:color w:val="000000"/>
          <w:sz w:val="32"/>
          <w:szCs w:val="32"/>
          <w:lang w:val="en-US" w:eastAsia="zh-CN"/>
        </w:rPr>
        <w:t>2.14</w:t>
      </w:r>
      <w:r>
        <w:rPr>
          <w:rStyle w:val="16"/>
          <w:rFonts w:hint="eastAsia" w:ascii="仿宋_GB2312" w:hAnsi="仿宋" w:eastAsia="仿宋_GB2312"/>
          <w:b w:val="0"/>
          <w:bCs/>
          <w:color w:val="000000"/>
          <w:sz w:val="32"/>
          <w:szCs w:val="32"/>
        </w:rPr>
        <w:t>万元，完成预算</w:t>
      </w:r>
      <w:r>
        <w:rPr>
          <w:rStyle w:val="16"/>
          <w:rFonts w:hint="eastAsia" w:ascii="仿宋_GB2312" w:hAnsi="仿宋" w:eastAsia="仿宋_GB2312"/>
          <w:b w:val="0"/>
          <w:bCs/>
          <w:color w:val="000000"/>
          <w:sz w:val="32"/>
          <w:szCs w:val="32"/>
          <w:lang w:val="en-US" w:eastAsia="zh-CN"/>
        </w:rPr>
        <w:t>100</w:t>
      </w:r>
      <w:r>
        <w:rPr>
          <w:rStyle w:val="16"/>
          <w:rFonts w:hint="eastAsia"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lang w:eastAsia="zh-CN"/>
        </w:rPr>
        <w:t>。</w:t>
      </w:r>
    </w:p>
    <w:p>
      <w:pPr>
        <w:spacing w:line="600" w:lineRule="exact"/>
        <w:ind w:firstLine="640" w:firstLineChars="200"/>
        <w:rPr>
          <w:rStyle w:val="16"/>
          <w:rFonts w:hint="default" w:ascii="仿宋_GB2312" w:hAnsi="仿宋" w:eastAsia="仿宋_GB2312"/>
          <w:b w:val="0"/>
          <w:bCs/>
          <w:color w:val="000000"/>
          <w:sz w:val="32"/>
          <w:szCs w:val="32"/>
          <w:lang w:val="en-US" w:eastAsia="zh-CN"/>
        </w:rPr>
      </w:pPr>
      <w:r>
        <w:rPr>
          <w:rStyle w:val="16"/>
          <w:rFonts w:hint="eastAsia" w:ascii="仿宋_GB2312" w:hAnsi="仿宋" w:eastAsia="仿宋_GB2312"/>
          <w:b w:val="0"/>
          <w:bCs/>
          <w:color w:val="000000"/>
          <w:sz w:val="32"/>
          <w:szCs w:val="32"/>
          <w:lang w:val="en-US" w:eastAsia="zh-CN"/>
        </w:rPr>
        <w:t>4.</w:t>
      </w:r>
      <w:r>
        <w:rPr>
          <w:rStyle w:val="16"/>
          <w:rFonts w:hint="eastAsia" w:ascii="仿宋_GB2312" w:hAnsi="仿宋" w:eastAsia="仿宋_GB2312"/>
          <w:b w:val="0"/>
          <w:bCs/>
          <w:color w:val="000000"/>
          <w:sz w:val="32"/>
          <w:szCs w:val="32"/>
        </w:rPr>
        <w:t>住房保障支出（221）住房改革支出（02）住房公积金（01）：支出决算为</w:t>
      </w:r>
      <w:r>
        <w:rPr>
          <w:rStyle w:val="16"/>
          <w:rFonts w:hint="eastAsia" w:ascii="仿宋_GB2312" w:hAnsi="仿宋" w:eastAsia="仿宋_GB2312"/>
          <w:b w:val="0"/>
          <w:bCs/>
          <w:color w:val="000000"/>
          <w:sz w:val="32"/>
          <w:szCs w:val="32"/>
          <w:lang w:val="en-US" w:eastAsia="zh-CN"/>
        </w:rPr>
        <w:t>34.25万元</w:t>
      </w:r>
      <w:r>
        <w:rPr>
          <w:rStyle w:val="16"/>
          <w:rFonts w:hint="eastAsia" w:ascii="仿宋_GB2312" w:hAnsi="仿宋" w:eastAsia="仿宋_GB2312"/>
          <w:b w:val="0"/>
          <w:bCs/>
          <w:color w:val="000000"/>
          <w:sz w:val="32"/>
          <w:szCs w:val="32"/>
        </w:rPr>
        <w:t>，完成预算100%。</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446.95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403.68</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43.27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0.07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7456" behindDoc="0" locked="0" layoutInCell="1" allowOverlap="1">
            <wp:simplePos x="0" y="0"/>
            <wp:positionH relativeFrom="column">
              <wp:posOffset>115570</wp:posOffset>
            </wp:positionH>
            <wp:positionV relativeFrom="paragraph">
              <wp:posOffset>100330</wp:posOffset>
            </wp:positionV>
            <wp:extent cx="3195320" cy="1724025"/>
            <wp:effectExtent l="4445" t="5080" r="19685" b="444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1.因公出国（境）经费支出0万元</w:t>
      </w:r>
      <w:r>
        <w:rPr>
          <w:rStyle w:val="16"/>
          <w:rFonts w:hint="eastAsia" w:ascii="仿宋_GB2312" w:hAnsi="仿宋" w:eastAsia="仿宋_GB2312"/>
          <w:bCs/>
          <w:color w:val="000000"/>
          <w:sz w:val="32"/>
          <w:szCs w:val="32"/>
        </w:rPr>
        <w:t>。</w:t>
      </w:r>
      <w:r>
        <w:rPr>
          <w:rFonts w:hint="eastAsia" w:ascii="仿宋_GB2312" w:hAnsi="仿宋" w:eastAsia="仿宋_GB2312"/>
          <w:color w:val="000000"/>
          <w:sz w:val="32"/>
          <w:szCs w:val="32"/>
        </w:rPr>
        <w:t>全年安排因公出国（境）团组0次，出国（境）0人。因公出国（境）支出决算与201</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年相同。</w:t>
      </w:r>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2.公务用车购置及运行维护费支出0万元</w:t>
      </w:r>
      <w:r>
        <w:rPr>
          <w:rStyle w:val="16"/>
          <w:rFonts w:hint="eastAsia" w:ascii="仿宋_GB2312" w:hAnsi="仿宋" w:eastAsia="仿宋_GB2312"/>
          <w:bCs/>
          <w:color w:val="000000"/>
          <w:sz w:val="32"/>
          <w:szCs w:val="32"/>
        </w:rPr>
        <w:t>。</w:t>
      </w:r>
      <w:r>
        <w:rPr>
          <w:rFonts w:hint="eastAsia" w:ascii="仿宋_GB2312" w:hAnsi="仿宋" w:eastAsia="仿宋_GB2312"/>
          <w:color w:val="000000"/>
          <w:sz w:val="32"/>
          <w:szCs w:val="32"/>
        </w:rPr>
        <w:t>公务用车购置及运行维护费支出决算比201</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年相同。</w:t>
      </w:r>
    </w:p>
    <w:p>
      <w:pPr>
        <w:spacing w:line="600" w:lineRule="exact"/>
        <w:ind w:firstLine="64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3.公务接待费支出0.07万元</w:t>
      </w:r>
      <w:r>
        <w:rPr>
          <w:rFonts w:hint="eastAsia" w:ascii="仿宋_GB2312" w:hAnsi="仿宋" w:eastAsia="仿宋_GB2312"/>
          <w:b/>
          <w:color w:val="000000"/>
          <w:sz w:val="32"/>
          <w:szCs w:val="32"/>
        </w:rPr>
        <w:t>，</w:t>
      </w:r>
      <w:r>
        <w:rPr>
          <w:rStyle w:val="16"/>
          <w:rFonts w:hint="eastAsia" w:ascii="仿宋_GB2312" w:hAnsi="仿宋" w:eastAsia="仿宋_GB2312"/>
          <w:b w:val="0"/>
          <w:bCs/>
          <w:color w:val="000000"/>
          <w:sz w:val="32"/>
          <w:szCs w:val="32"/>
        </w:rPr>
        <w:t>完成预算100%。</w:t>
      </w:r>
      <w:r>
        <w:rPr>
          <w:rFonts w:hint="eastAsia" w:ascii="仿宋_GB2312" w:hAnsi="仿宋" w:eastAsia="仿宋_GB2312"/>
          <w:color w:val="000000"/>
          <w:sz w:val="32"/>
          <w:szCs w:val="32"/>
        </w:rPr>
        <w:t>公务接待费支出</w:t>
      </w:r>
      <w:r>
        <w:rPr>
          <w:rFonts w:hint="eastAsia" w:ascii="仿宋_GB2312" w:hAnsi="仿宋" w:eastAsia="仿宋_GB2312"/>
          <w:color w:val="000000"/>
          <w:sz w:val="32"/>
          <w:szCs w:val="32"/>
          <w:lang w:eastAsia="zh-CN"/>
        </w:rPr>
        <w:t>与</w:t>
      </w:r>
      <w:r>
        <w:rPr>
          <w:rFonts w:hint="eastAsia" w:ascii="仿宋_GB2312" w:hAnsi="仿宋" w:eastAsia="仿宋_GB2312"/>
          <w:color w:val="000000"/>
          <w:sz w:val="32"/>
          <w:szCs w:val="32"/>
          <w:lang w:val="en-US" w:eastAsia="zh-CN"/>
        </w:rPr>
        <w:t>2018年持平。</w:t>
      </w:r>
    </w:p>
    <w:p>
      <w:pPr>
        <w:spacing w:line="600" w:lineRule="exact"/>
        <w:ind w:firstLine="640"/>
        <w:rPr>
          <w:rFonts w:ascii="黑体" w:eastAsia="黑体"/>
          <w:color w:val="000000"/>
          <w:sz w:val="32"/>
          <w:szCs w:val="32"/>
        </w:rPr>
      </w:pPr>
      <w:r>
        <w:rPr>
          <w:rFonts w:hint="eastAsia" w:ascii="仿宋_GB2312" w:hAnsi="仿宋" w:eastAsia="仿宋_GB2312"/>
          <w:color w:val="000000"/>
          <w:sz w:val="32"/>
          <w:szCs w:val="32"/>
          <w:lang w:eastAsia="zh-CN"/>
        </w:rPr>
        <w:t>主要用于</w:t>
      </w:r>
      <w:r>
        <w:rPr>
          <w:rFonts w:hint="eastAsia" w:ascii="仿宋_GB2312" w:hAnsi="仿宋" w:eastAsia="仿宋_GB2312"/>
          <w:color w:val="000000"/>
          <w:sz w:val="32"/>
          <w:szCs w:val="32"/>
        </w:rPr>
        <w:t>执行公务、开展业务活动开支用餐费等</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2019年度</w:t>
      </w:r>
      <w:r>
        <w:rPr>
          <w:rFonts w:hint="eastAsia" w:ascii="仿宋_GB2312" w:eastAsia="仿宋_GB2312"/>
          <w:color w:val="000000"/>
          <w:sz w:val="32"/>
          <w:szCs w:val="32"/>
        </w:rPr>
        <w:t>公务接待</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人次，具体内容</w:t>
      </w:r>
      <w:r>
        <w:rPr>
          <w:rFonts w:hint="eastAsia" w:ascii="仿宋_GB2312" w:eastAsia="仿宋_GB2312"/>
          <w:color w:val="000000"/>
          <w:sz w:val="32"/>
          <w:szCs w:val="32"/>
          <w:lang w:eastAsia="zh-CN"/>
        </w:rPr>
        <w:t>为用餐费</w:t>
      </w:r>
      <w:r>
        <w:rPr>
          <w:rFonts w:hint="eastAsia" w:ascii="仿宋_GB2312" w:eastAsia="仿宋_GB2312"/>
          <w:color w:val="000000"/>
          <w:sz w:val="32"/>
          <w:szCs w:val="32"/>
          <w:lang w:val="en-US" w:eastAsia="zh-CN"/>
        </w:rPr>
        <w:t>0.07万元</w:t>
      </w:r>
      <w:r>
        <w:rPr>
          <w:rFonts w:hint="eastAsia" w:ascii="仿宋_GB2312" w:eastAsia="仿宋_GB2312"/>
          <w:color w:val="000000"/>
          <w:sz w:val="32"/>
          <w:szCs w:val="32"/>
        </w:rPr>
        <w:t>。</w:t>
      </w:r>
      <w:bookmarkStart w:id="46" w:name="_Toc15396610"/>
      <w:bookmarkStart w:id="47" w:name="_Toc15377218"/>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攀枝花市西区人民政府办公室</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43.27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7.02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13.96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val="en-US" w:eastAsia="zh-CN"/>
        </w:rPr>
        <w:t>2019年资本性购置中办公设备购置减少。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攀枝花市西区人民政府办公室</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3.94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3.94</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办公设备采购</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攀枝花市西区人民政府办公室</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在年初预算编制阶段，对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本部门按要求对201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年部门整体支出开展绩效自评，从评价情况来看，预、决算编制合理，支出高效规范，财政支出既确保了机关正常运行和日常工作的正常开展，又保证了重点项目开支，财政支出绩效良好。</w:t>
      </w:r>
    </w:p>
    <w:p>
      <w:pPr>
        <w:spacing w:line="580" w:lineRule="exact"/>
        <w:ind w:firstLine="640" w:firstLineChars="200"/>
        <w:rPr>
          <w:rFonts w:hint="eastAsia" w:ascii="仿宋_GB2312" w:hAnsi="仿宋"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 w:eastAsia="仿宋_GB2312" w:cs="仿宋_GB2312"/>
          <w:sz w:val="32"/>
          <w:szCs w:val="32"/>
        </w:rPr>
        <w:t>本部门在201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年度部门决算中反映</w:t>
      </w:r>
      <w:r>
        <w:rPr>
          <w:rFonts w:hint="eastAsia" w:ascii="仿宋_GB2312" w:hAnsi="仿宋" w:eastAsia="仿宋_GB2312" w:cs="仿宋_GB2312"/>
          <w:sz w:val="32"/>
          <w:szCs w:val="32"/>
          <w:lang w:eastAsia="zh-CN"/>
        </w:rPr>
        <w:t>“纪检监察专项经费”“政府全体会议及其他一类会议费”“四川省县域经济协会会费”</w:t>
      </w:r>
      <w:r>
        <w:rPr>
          <w:rFonts w:hint="eastAsia" w:ascii="仿宋_GB2312" w:hAnsi="仿宋" w:eastAsia="仿宋_GB2312" w:cs="仿宋_GB2312"/>
          <w:sz w:val="32"/>
          <w:szCs w:val="32"/>
        </w:rPr>
        <w:t>“信息服务费”</w:t>
      </w:r>
      <w:r>
        <w:rPr>
          <w:rFonts w:hint="eastAsia" w:ascii="仿宋_GB2312" w:hAnsi="仿宋" w:eastAsia="仿宋_GB2312" w:cs="仿宋_GB2312"/>
          <w:sz w:val="32"/>
          <w:szCs w:val="32"/>
          <w:lang w:eastAsia="zh-CN"/>
        </w:rPr>
        <w:t>“老干部慰问经费</w:t>
      </w:r>
      <w:r>
        <w:rPr>
          <w:rFonts w:hint="eastAsia" w:ascii="仿宋_GB2312" w:hAnsi="仿宋" w:eastAsia="仿宋_GB2312" w:cs="仿宋_GB2312"/>
          <w:sz w:val="32"/>
          <w:szCs w:val="32"/>
        </w:rPr>
        <w:t>”“政府全体会议及其他会议专项经费”等5个项目绩效目标实际完成情况。</w:t>
      </w:r>
    </w:p>
    <w:p>
      <w:pPr>
        <w:spacing w:line="580" w:lineRule="exact"/>
        <w:ind w:firstLine="640" w:firstLineChars="200"/>
        <w:rPr>
          <w:rFonts w:hint="eastAsia" w:eastAsia="仿宋_GB2312" w:cs="Times New Roman"/>
          <w:sz w:val="32"/>
          <w:szCs w:val="32"/>
          <w:lang w:val="en-US" w:eastAsia="zh-CN"/>
        </w:rPr>
      </w:pPr>
      <w:r>
        <w:rPr>
          <w:rFonts w:hint="eastAsia" w:ascii="仿宋_GB2312" w:hAnsi="仿宋_GB2312" w:eastAsia="仿宋_GB2312" w:cs="仿宋_GB2312"/>
          <w:sz w:val="32"/>
          <w:szCs w:val="32"/>
        </w:rPr>
        <w:t>（1）</w:t>
      </w:r>
      <w:r>
        <w:rPr>
          <w:rFonts w:hint="default" w:ascii="Times New Roman" w:hAnsi="Times New Roman" w:eastAsia="仿宋_GB2312" w:cs="Times New Roman"/>
          <w:sz w:val="32"/>
          <w:szCs w:val="32"/>
          <w:lang w:val="en-US" w:eastAsia="zh-CN"/>
        </w:rPr>
        <w:t>纪检监察专项工作项目绩效目标按质按量已完成，全年预算数为2万元，执行数为2万元，完成预算</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100%</w:t>
      </w:r>
      <w:r>
        <w:rPr>
          <w:rFonts w:hint="eastAsia" w:eastAsia="仿宋_GB2312" w:cs="Times New Roman"/>
          <w:sz w:val="32"/>
          <w:szCs w:val="32"/>
          <w:lang w:val="en-US" w:eastAsia="zh-CN"/>
        </w:rPr>
        <w:t>。</w:t>
      </w:r>
    </w:p>
    <w:p>
      <w:pPr>
        <w:spacing w:line="580" w:lineRule="exact"/>
        <w:ind w:firstLine="640" w:firstLineChars="200"/>
        <w:rPr>
          <w:rFonts w:hint="eastAsia" w:eastAsia="仿宋_GB2312" w:cs="Times New Roman"/>
          <w:sz w:val="32"/>
          <w:szCs w:val="32"/>
          <w:lang w:val="en-US" w:eastAsia="zh-CN"/>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38"/>
        <w:gridCol w:w="1419"/>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纪检监察专项经费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攀枝花市西区人民政府办公室</w:t>
            </w:r>
          </w:p>
        </w:tc>
      </w:tr>
      <w:tr>
        <w:tblPrEx>
          <w:tblCellMar>
            <w:top w:w="0" w:type="dxa"/>
            <w:left w:w="0" w:type="dxa"/>
            <w:bottom w:w="0" w:type="dxa"/>
            <w:right w:w="0" w:type="dxa"/>
          </w:tblCellMar>
        </w:tblPrEx>
        <w:trPr>
          <w:trHeight w:val="276" w:hRule="atLeast"/>
          <w:jc w:val="center"/>
        </w:trPr>
        <w:tc>
          <w:tcPr>
            <w:tcW w:w="3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完成纪</w:t>
            </w:r>
            <w:r>
              <w:rPr>
                <w:rFonts w:hint="eastAsia" w:ascii="宋体" w:hAnsi="宋体" w:cs="宋体"/>
                <w:color w:val="000000"/>
                <w:sz w:val="24"/>
                <w:lang w:eastAsia="zh-CN"/>
              </w:rPr>
              <w:t>监</w:t>
            </w:r>
            <w:r>
              <w:rPr>
                <w:rFonts w:hint="eastAsia" w:ascii="宋体" w:hAnsi="宋体" w:cs="宋体"/>
                <w:color w:val="000000"/>
                <w:sz w:val="24"/>
              </w:rPr>
              <w:t>组筹备期办公设备采购及纪</w:t>
            </w:r>
            <w:r>
              <w:rPr>
                <w:rFonts w:hint="eastAsia" w:ascii="宋体" w:hAnsi="宋体" w:cs="宋体"/>
                <w:color w:val="000000"/>
                <w:sz w:val="24"/>
                <w:lang w:eastAsia="zh-CN"/>
              </w:rPr>
              <w:t>监</w:t>
            </w:r>
            <w:r>
              <w:rPr>
                <w:rFonts w:hint="eastAsia" w:ascii="宋体" w:hAnsi="宋体" w:cs="宋体"/>
                <w:color w:val="000000"/>
                <w:sz w:val="24"/>
              </w:rPr>
              <w:t>组办案工作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全部完成</w:t>
            </w:r>
            <w:r>
              <w:rPr>
                <w:rFonts w:hint="eastAsia" w:ascii="宋体" w:hAnsi="宋体" w:cs="宋体"/>
                <w:color w:val="000000"/>
                <w:sz w:val="24"/>
                <w:lang w:eastAsia="zh-CN"/>
              </w:rPr>
              <w:t>预期目标</w:t>
            </w:r>
          </w:p>
        </w:tc>
      </w:tr>
      <w:tr>
        <w:tblPrEx>
          <w:tblCellMar>
            <w:top w:w="0" w:type="dxa"/>
            <w:left w:w="0" w:type="dxa"/>
            <w:bottom w:w="0" w:type="dxa"/>
            <w:right w:w="0" w:type="dxa"/>
          </w:tblCellMar>
        </w:tblPrEx>
        <w:trPr>
          <w:trHeight w:val="892" w:hRule="atLeast"/>
          <w:jc w:val="center"/>
        </w:trPr>
        <w:tc>
          <w:tcPr>
            <w:tcW w:w="3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38" w:hRule="atLeast"/>
          <w:jc w:val="center"/>
        </w:trPr>
        <w:tc>
          <w:tcPr>
            <w:tcW w:w="3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日常工作经费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按照年度计划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807" w:hRule="atLeast"/>
          <w:jc w:val="center"/>
        </w:trPr>
        <w:tc>
          <w:tcPr>
            <w:tcW w:w="3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完成工作任务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按计划</w:t>
            </w:r>
            <w:r>
              <w:rPr>
                <w:rFonts w:hint="eastAsia" w:ascii="宋体" w:hAnsi="宋体" w:cs="宋体"/>
                <w:i w:val="0"/>
                <w:color w:val="000000"/>
                <w:kern w:val="0"/>
                <w:sz w:val="18"/>
                <w:szCs w:val="18"/>
                <w:u w:val="none"/>
                <w:lang w:val="en-US" w:eastAsia="zh-CN" w:bidi="ar"/>
              </w:rPr>
              <w:t>完</w:t>
            </w:r>
            <w:r>
              <w:rPr>
                <w:rFonts w:hint="eastAsia" w:ascii="宋体" w:hAnsi="宋体" w:eastAsia="宋体" w:cs="宋体"/>
                <w:i w:val="0"/>
                <w:color w:val="000000"/>
                <w:kern w:val="0"/>
                <w:sz w:val="18"/>
                <w:szCs w:val="18"/>
                <w:u w:val="none"/>
                <w:lang w:val="en-US" w:eastAsia="zh-CN" w:bidi="ar"/>
              </w:rPr>
              <w:t>成各项工作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702" w:hRule="atLeast"/>
          <w:jc w:val="center"/>
        </w:trPr>
        <w:tc>
          <w:tcPr>
            <w:tcW w:w="3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按照工作推进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2019年1月-2019年12月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657" w:hRule="atLeast"/>
          <w:jc w:val="center"/>
        </w:trPr>
        <w:tc>
          <w:tcPr>
            <w:tcW w:w="3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日常工作经费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在额度内按实际支出支付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全部完成2万元</w:t>
            </w:r>
          </w:p>
        </w:tc>
      </w:tr>
      <w:tr>
        <w:tblPrEx>
          <w:tblCellMar>
            <w:top w:w="0" w:type="dxa"/>
            <w:left w:w="0" w:type="dxa"/>
            <w:bottom w:w="0" w:type="dxa"/>
            <w:right w:w="0" w:type="dxa"/>
          </w:tblCellMar>
        </w:tblPrEx>
        <w:trPr>
          <w:trHeight w:val="687" w:hRule="atLeast"/>
          <w:jc w:val="center"/>
        </w:trPr>
        <w:tc>
          <w:tcPr>
            <w:tcW w:w="3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完成纪检监察年度目标任务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形成风清气正的氛围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形成风清气正的氛围</w:t>
            </w:r>
          </w:p>
        </w:tc>
      </w:tr>
      <w:tr>
        <w:tblPrEx>
          <w:tblCellMar>
            <w:top w:w="0" w:type="dxa"/>
            <w:left w:w="0" w:type="dxa"/>
            <w:bottom w:w="0" w:type="dxa"/>
            <w:right w:w="0" w:type="dxa"/>
          </w:tblCellMar>
        </w:tblPrEx>
        <w:trPr>
          <w:trHeight w:val="662" w:hRule="atLeast"/>
          <w:jc w:val="center"/>
        </w:trPr>
        <w:tc>
          <w:tcPr>
            <w:tcW w:w="3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群众满意度100%</w:t>
            </w:r>
          </w:p>
        </w:tc>
      </w:tr>
    </w:tbl>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（2）</w:t>
      </w:r>
      <w:r>
        <w:rPr>
          <w:rFonts w:hint="default" w:ascii="Times New Roman" w:hAnsi="Times New Roman" w:eastAsia="仿宋_GB2312" w:cs="Times New Roman"/>
          <w:sz w:val="32"/>
          <w:szCs w:val="32"/>
          <w:lang w:val="en-US" w:eastAsia="zh-CN"/>
        </w:rPr>
        <w:t>政府全体会议及其他一类会议项目绩效目标按质</w:t>
      </w:r>
      <w:r>
        <w:rPr>
          <w:rFonts w:hint="eastAsia" w:eastAsia="仿宋_GB2312" w:cs="Times New Roman"/>
          <w:sz w:val="32"/>
          <w:szCs w:val="32"/>
          <w:lang w:val="en-US" w:eastAsia="zh-CN"/>
        </w:rPr>
        <w:t>按</w:t>
      </w:r>
      <w:r>
        <w:rPr>
          <w:rFonts w:hint="default" w:ascii="Times New Roman" w:hAnsi="Times New Roman" w:eastAsia="仿宋_GB2312" w:cs="Times New Roman"/>
          <w:sz w:val="32"/>
          <w:szCs w:val="32"/>
          <w:lang w:val="en-US" w:eastAsia="zh-CN"/>
        </w:rPr>
        <w:t>量已完成，全年预算数为15万元，执行数为15万元，完成预算的100%</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83"/>
        <w:gridCol w:w="1074"/>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政府全体会议及其他一类会议费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攀枝花市西区人民政府办公室</w:t>
            </w: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276"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149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召开政府全体会、政府常务会、经济工作、城市建设、环境保护、农业农村等一类会议，市级部门参加的二类、三类会议及其他评审会、座谈会等四类会议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全部完成</w:t>
            </w:r>
            <w:r>
              <w:rPr>
                <w:rFonts w:hint="eastAsia" w:ascii="宋体" w:hAnsi="宋体" w:cs="宋体"/>
                <w:color w:val="000000"/>
                <w:sz w:val="24"/>
                <w:lang w:eastAsia="zh-CN"/>
              </w:rPr>
              <w:t>预期目标</w:t>
            </w:r>
          </w:p>
        </w:tc>
      </w:tr>
      <w:tr>
        <w:tblPrEx>
          <w:tblCellMar>
            <w:top w:w="0" w:type="dxa"/>
            <w:left w:w="0" w:type="dxa"/>
            <w:bottom w:w="0" w:type="dxa"/>
            <w:right w:w="0" w:type="dxa"/>
          </w:tblCellMar>
        </w:tblPrEx>
        <w:trPr>
          <w:trHeight w:val="892" w:hRule="atLeast"/>
          <w:jc w:val="center"/>
        </w:trPr>
        <w:tc>
          <w:tcPr>
            <w:tcW w:w="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38"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召开政府全体会、政府常务会、经济工作、城市建设、环境保护、农业农村等一类会议；市级部门参加的二类、三类会议及其他评审会、座谈会等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全年召开各类会议360余次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59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完成年度内各项会议任务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高质量完成各类会议的筹办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70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2019年1月-2019年12月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65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按计划完成各类会议安排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8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促进全区各项工作开展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促进全区各项工作开展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6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参会人员满意度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已完成</w:t>
            </w:r>
          </w:p>
        </w:tc>
      </w:tr>
    </w:tbl>
    <w:p>
      <w:pPr>
        <w:spacing w:line="580" w:lineRule="exact"/>
        <w:ind w:firstLine="640" w:firstLineChars="200"/>
        <w:rPr>
          <w:rFonts w:hint="eastAsia" w:eastAsia="仿宋_GB2312" w:cs="Times New Roman"/>
          <w:sz w:val="32"/>
          <w:szCs w:val="32"/>
          <w:lang w:val="en-US" w:eastAsia="zh-CN"/>
        </w:rPr>
      </w:pPr>
      <w:r>
        <w:rPr>
          <w:rFonts w:hint="eastAsia" w:ascii="仿宋_GB2312" w:hAnsi="仿宋_GB2312" w:eastAsia="仿宋_GB2312" w:cs="仿宋_GB2312"/>
          <w:sz w:val="32"/>
          <w:szCs w:val="32"/>
        </w:rPr>
        <w:t>（3）</w:t>
      </w:r>
      <w:r>
        <w:rPr>
          <w:rFonts w:hint="default" w:ascii="Times New Roman" w:hAnsi="Times New Roman" w:eastAsia="仿宋_GB2312" w:cs="Times New Roman"/>
          <w:sz w:val="32"/>
          <w:szCs w:val="32"/>
          <w:lang w:val="en-US" w:eastAsia="zh-CN"/>
        </w:rPr>
        <w:t>四川省县域经济协会工作项目绩效目标按质按量已完成，全年预算数为10万元，执行数为10万元，完成预算的100%</w:t>
      </w:r>
      <w:r>
        <w:rPr>
          <w:rFonts w:hint="eastAsia" w:eastAsia="仿宋_GB2312" w:cs="Times New Roman"/>
          <w:sz w:val="32"/>
          <w:szCs w:val="32"/>
          <w:lang w:val="en-US" w:eastAsia="zh-CN"/>
        </w:rPr>
        <w:t>。</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83"/>
        <w:gridCol w:w="1074"/>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四川省县域经济协会会费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攀枝花市西区人民政府办公室</w:t>
            </w: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149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完成县域经济协会成员相关工作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全部完成</w:t>
            </w:r>
            <w:r>
              <w:rPr>
                <w:rFonts w:hint="eastAsia" w:ascii="宋体" w:hAnsi="宋体" w:cs="宋体"/>
                <w:color w:val="000000"/>
                <w:sz w:val="24"/>
                <w:lang w:eastAsia="zh-CN"/>
              </w:rPr>
              <w:t>预期目标</w:t>
            </w:r>
          </w:p>
        </w:tc>
      </w:tr>
      <w:tr>
        <w:tblPrEx>
          <w:tblCellMar>
            <w:top w:w="0" w:type="dxa"/>
            <w:left w:w="0" w:type="dxa"/>
            <w:bottom w:w="0" w:type="dxa"/>
            <w:right w:w="0" w:type="dxa"/>
          </w:tblCellMar>
        </w:tblPrEx>
        <w:trPr>
          <w:trHeight w:val="892" w:hRule="atLeast"/>
          <w:jc w:val="center"/>
        </w:trPr>
        <w:tc>
          <w:tcPr>
            <w:tcW w:w="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38"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完成县域经济协办工作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完成县域经济协办工作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59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完成县域经济协办任务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完成县域经济协办任务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70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2019年1月-2019年12月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65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完成县域经济协办工作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8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提升西区宣传影响力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提升西区宣传影响力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6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全区民众满意度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已完成</w:t>
            </w:r>
          </w:p>
        </w:tc>
      </w:tr>
    </w:tbl>
    <w:p>
      <w:pPr>
        <w:spacing w:line="58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信息服务项目绩效目标按质按量已完成，全年预算数为5万元，执行数为5万元，完成预算的100%</w:t>
      </w:r>
      <w:r>
        <w:rPr>
          <w:rFonts w:hint="eastAsia" w:eastAsia="仿宋_GB2312" w:cs="Times New Roman"/>
          <w:sz w:val="32"/>
          <w:szCs w:val="32"/>
          <w:lang w:val="en-US" w:eastAsia="zh-CN"/>
        </w:rPr>
        <w:t>。</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83"/>
        <w:gridCol w:w="1074"/>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信息服务费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攀枝花市西区人民政府办公室</w:t>
            </w: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276"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149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开展信息公开工作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全部完成</w:t>
            </w:r>
            <w:r>
              <w:rPr>
                <w:rFonts w:hint="eastAsia" w:ascii="宋体" w:hAnsi="宋体" w:cs="宋体"/>
                <w:color w:val="000000"/>
                <w:sz w:val="24"/>
                <w:lang w:eastAsia="zh-CN"/>
              </w:rPr>
              <w:t>预期目标</w:t>
            </w:r>
          </w:p>
        </w:tc>
      </w:tr>
      <w:tr>
        <w:tblPrEx>
          <w:tblCellMar>
            <w:top w:w="0" w:type="dxa"/>
            <w:left w:w="0" w:type="dxa"/>
            <w:bottom w:w="0" w:type="dxa"/>
            <w:right w:w="0" w:type="dxa"/>
          </w:tblCellMar>
        </w:tblPrEx>
        <w:trPr>
          <w:trHeight w:val="892" w:hRule="atLeast"/>
          <w:jc w:val="center"/>
        </w:trPr>
        <w:tc>
          <w:tcPr>
            <w:tcW w:w="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38"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完成各类信息设备完善更新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及时完成信息设备更新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59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提高区政府信息化能力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提高区政府信息化能力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70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按照工作推进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2019年1月-2019年12月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65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完成信息化设备及时更新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8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确保政府信息工作正常开展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确保政府信息工作顺利开展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6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全区各单位对本单位各类信息工作满意度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已完成</w:t>
            </w:r>
          </w:p>
        </w:tc>
      </w:tr>
    </w:tbl>
    <w:p>
      <w:pPr>
        <w:numPr>
          <w:ilvl w:val="0"/>
          <w:numId w:val="3"/>
        </w:numPr>
        <w:spacing w:line="58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离退休老干部慰问项目绩效目标按质按量已完成，全年预算数为3.1万元，执行数为3.1万元，完成预算的100%</w:t>
      </w:r>
      <w:r>
        <w:rPr>
          <w:rFonts w:hint="eastAsia" w:eastAsia="仿宋_GB2312" w:cs="Times New Roman"/>
          <w:sz w:val="32"/>
          <w:szCs w:val="32"/>
          <w:lang w:val="en-US" w:eastAsia="zh-CN"/>
        </w:rPr>
        <w:t>。</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83"/>
        <w:gridCol w:w="1074"/>
        <w:gridCol w:w="1025"/>
        <w:gridCol w:w="2326"/>
        <w:gridCol w:w="2460"/>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default" w:ascii="宋体" w:hAnsi="宋体" w:cs="宋体"/>
                <w:color w:val="000000"/>
                <w:sz w:val="24"/>
                <w:lang w:val="en-US" w:eastAsia="zh-CN"/>
              </w:rPr>
              <w:t>离退休</w:t>
            </w:r>
            <w:r>
              <w:rPr>
                <w:rFonts w:hint="eastAsia" w:ascii="宋体" w:hAnsi="宋体" w:cs="宋体"/>
                <w:color w:val="000000"/>
                <w:sz w:val="24"/>
              </w:rPr>
              <w:t>老干部慰问经费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攀枝花市西区人民政府办公室</w:t>
            </w: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w:t>
            </w:r>
          </w:p>
        </w:tc>
      </w:tr>
      <w:tr>
        <w:tblPrEx>
          <w:tblCellMar>
            <w:top w:w="0" w:type="dxa"/>
            <w:left w:w="0" w:type="dxa"/>
            <w:bottom w:w="0" w:type="dxa"/>
            <w:right w:w="0" w:type="dxa"/>
          </w:tblCellMar>
        </w:tblPrEx>
        <w:trPr>
          <w:trHeight w:val="276"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w:t>
            </w:r>
          </w:p>
        </w:tc>
      </w:tr>
      <w:tr>
        <w:tblPrEx>
          <w:tblCellMar>
            <w:top w:w="0" w:type="dxa"/>
            <w:left w:w="0" w:type="dxa"/>
            <w:bottom w:w="0" w:type="dxa"/>
            <w:right w:w="0" w:type="dxa"/>
          </w:tblCellMar>
        </w:tblPrEx>
        <w:trPr>
          <w:trHeight w:val="149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0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4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慰问全区离退休老干部</w:t>
            </w:r>
          </w:p>
        </w:tc>
        <w:tc>
          <w:tcPr>
            <w:tcW w:w="4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全部完成</w:t>
            </w:r>
            <w:r>
              <w:rPr>
                <w:rFonts w:hint="eastAsia" w:ascii="宋体" w:hAnsi="宋体" w:cs="宋体"/>
                <w:color w:val="000000"/>
                <w:sz w:val="24"/>
                <w:lang w:eastAsia="zh-CN"/>
              </w:rPr>
              <w:t>预期目标</w:t>
            </w:r>
          </w:p>
        </w:tc>
      </w:tr>
      <w:tr>
        <w:tblPrEx>
          <w:tblCellMar>
            <w:top w:w="0" w:type="dxa"/>
            <w:left w:w="0" w:type="dxa"/>
            <w:bottom w:w="0" w:type="dxa"/>
            <w:right w:w="0" w:type="dxa"/>
          </w:tblCellMar>
        </w:tblPrEx>
        <w:trPr>
          <w:trHeight w:val="892" w:hRule="atLeast"/>
          <w:jc w:val="center"/>
        </w:trPr>
        <w:tc>
          <w:tcPr>
            <w:tcW w:w="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538"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开展春节前慰问全区离退休老干部</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62人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59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完成重大节日走访慰问</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完成重大节日走访慰问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70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时效指标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2019年2月</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春节前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全部完成</w:t>
            </w:r>
          </w:p>
        </w:tc>
      </w:tr>
      <w:tr>
        <w:tblPrEx>
          <w:tblCellMar>
            <w:top w:w="0" w:type="dxa"/>
            <w:left w:w="0" w:type="dxa"/>
            <w:bottom w:w="0" w:type="dxa"/>
            <w:right w:w="0" w:type="dxa"/>
          </w:tblCellMar>
        </w:tblPrEx>
        <w:trPr>
          <w:trHeight w:val="65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慰问经费</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3.1</w:t>
            </w:r>
            <w:r>
              <w:rPr>
                <w:rFonts w:hint="eastAsia" w:ascii="宋体" w:hAnsi="宋体" w:eastAsia="宋体" w:cs="宋体"/>
                <w:i w:val="0"/>
                <w:color w:val="000000"/>
                <w:kern w:val="0"/>
                <w:sz w:val="18"/>
                <w:szCs w:val="18"/>
                <w:u w:val="none"/>
                <w:lang w:val="en-US" w:eastAsia="zh-CN" w:bidi="ar"/>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87"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体现区政府对老干部的关心</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老干部队伍团结稳定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62" w:hRule="atLeast"/>
          <w:jc w:val="center"/>
        </w:trPr>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满意度指标</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离退休老干部满意度</w:t>
            </w:r>
          </w:p>
        </w:tc>
        <w:tc>
          <w:tcPr>
            <w:tcW w:w="2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已完成</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w:t>
      </w:r>
      <w:bookmarkStart w:id="73" w:name="_GoBack"/>
      <w:bookmarkEnd w:id="7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攀枝花市西区人民政府办公室</w:t>
      </w:r>
      <w:r>
        <w:rPr>
          <w:rFonts w:hint="eastAsia" w:ascii="仿宋_GB2312" w:hAnsi="仿宋_GB2312" w:eastAsia="仿宋_GB2312" w:cs="仿宋_GB2312"/>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hint="eastAsia" w:ascii="仿宋_GB2312" w:hAnsi="仿宋" w:eastAsia="仿宋_GB2312"/>
          <w:sz w:val="32"/>
          <w:szCs w:val="32"/>
        </w:rPr>
      </w:pPr>
      <w:bookmarkStart w:id="57" w:name="_Toc15396614"/>
      <w:bookmarkStart w:id="58" w:name="_Toc15377226"/>
      <w:r>
        <w:rPr>
          <w:rFonts w:hint="eastAsia" w:ascii="仿宋_GB2312" w:hAnsi="仿宋" w:eastAsia="仿宋_GB2312"/>
          <w:sz w:val="32"/>
          <w:szCs w:val="32"/>
        </w:rPr>
        <w:t>1.财政拨款收入：指单位从同级财政部门取得的财政预算资金。</w:t>
      </w:r>
    </w:p>
    <w:p>
      <w:pPr>
        <w:pStyle w:val="24"/>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2.其他收入：指单位取得的除上述收入以外的各项收入。主要是利息收入。</w:t>
      </w:r>
    </w:p>
    <w:p>
      <w:pPr>
        <w:pStyle w:val="24"/>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3.年初结转和结余：指以前年度尚未完成、结转到本年按有关规定继续使用的资金。</w:t>
      </w:r>
    </w:p>
    <w:p>
      <w:pPr>
        <w:pStyle w:val="24"/>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4、年末结转和结余：指单位按有关规定结转到下年或以后年度继续使用的资金。</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5.一般公共服务支出（类）政府办公厅（室）及相关机构事务（款）行政运行（项）：指区政府办公室用于保障机构正常运行、开展日常工作的基本支出。</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6.社会保障和就业（类）行政事业单位离退休（款）未归口管理的行政单位离退休（项）：指区政府办公室离退休人员的支出。</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w:t>
      </w:r>
      <w:r>
        <w:rPr>
          <w:rFonts w:hint="eastAsia" w:ascii="仿宋_GB2312" w:hAnsi="仿宋" w:eastAsia="仿宋_GB2312"/>
          <w:color w:val="000000"/>
          <w:sz w:val="32"/>
          <w:szCs w:val="32"/>
          <w:lang w:eastAsia="zh-CN"/>
        </w:rPr>
        <w:t>卫生健康支出</w:t>
      </w:r>
      <w:r>
        <w:rPr>
          <w:rFonts w:hint="eastAsia" w:ascii="仿宋_GB2312" w:hAnsi="仿宋" w:eastAsia="仿宋_GB2312"/>
          <w:color w:val="000000"/>
          <w:sz w:val="32"/>
          <w:szCs w:val="32"/>
        </w:rPr>
        <w:t>（类）</w:t>
      </w:r>
      <w:r>
        <w:rPr>
          <w:rFonts w:hint="eastAsia" w:ascii="仿宋_GB2312" w:hAnsi="仿宋" w:eastAsia="仿宋_GB2312"/>
          <w:color w:val="000000"/>
          <w:sz w:val="32"/>
          <w:szCs w:val="32"/>
          <w:lang w:eastAsia="zh-CN"/>
        </w:rPr>
        <w:t>行政事业单位医疗</w:t>
      </w:r>
      <w:r>
        <w:rPr>
          <w:rFonts w:hint="eastAsia" w:ascii="仿宋_GB2312" w:hAnsi="仿宋" w:eastAsia="仿宋_GB2312"/>
          <w:color w:val="000000"/>
          <w:sz w:val="32"/>
          <w:szCs w:val="32"/>
        </w:rPr>
        <w:t>（款）行政单位医疗（项）：指单位基本医疗保险</w:t>
      </w:r>
      <w:r>
        <w:rPr>
          <w:rFonts w:hint="eastAsia" w:ascii="仿宋_GB2312" w:hAnsi="仿宋" w:eastAsia="仿宋_GB2312"/>
          <w:color w:val="000000"/>
          <w:sz w:val="32"/>
          <w:szCs w:val="32"/>
          <w:lang w:eastAsia="zh-CN"/>
        </w:rPr>
        <w:t>缴费经费</w:t>
      </w:r>
      <w:r>
        <w:rPr>
          <w:rFonts w:hint="eastAsia" w:ascii="仿宋_GB2312" w:hAnsi="仿宋" w:eastAsia="仿宋_GB2312"/>
          <w:color w:val="000000"/>
          <w:sz w:val="32"/>
          <w:szCs w:val="32"/>
        </w:rPr>
        <w:t>。</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8.住房保障支出（类）住房改革支出（款）住房公积金（项）：指按照《住房公积金管理条例》的规定，由单位及在职职工按规定比例缴存的住房公积金。</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9.基本支出：指为保障机构正常运转、完成日常工作任务而发生的人员支出和公用支出。</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10.项目支出：指在基本支出之外为完成特定行政任务和事业发展目标所发生的支出。</w:t>
      </w:r>
    </w:p>
    <w:p>
      <w:pPr>
        <w:pStyle w:val="24"/>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w:t>
      </w:r>
      <w:r>
        <w:rPr>
          <w:rFonts w:hint="eastAsia" w:ascii="仿宋_GB2312" w:hAnsi="仿宋" w:eastAsia="仿宋_GB2312"/>
          <w:sz w:val="32"/>
          <w:szCs w:val="32"/>
          <w:lang w:eastAsia="zh-CN"/>
        </w:rPr>
        <w:t>等。</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攀枝花市西区人民政府办公室</w:t>
      </w:r>
    </w:p>
    <w:p>
      <w:pPr>
        <w:spacing w:line="600" w:lineRule="exact"/>
        <w:jc w:val="center"/>
        <w:rPr>
          <w:rFonts w:ascii="仿宋_GB2312" w:hAnsi="宋体" w:eastAsia="仿宋_GB2312"/>
          <w:sz w:val="32"/>
          <w:szCs w:val="32"/>
          <w:shd w:val="clear" w:color="auto" w:fill="FFFFFF"/>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default" w:ascii="Times New Roman" w:hAnsi="Times New Roman" w:eastAsia="仿宋_GB2312" w:cs="Times New Roman"/>
          <w:sz w:val="32"/>
          <w:szCs w:val="32"/>
        </w:rPr>
        <w:t>区政府</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内设机构6个（秘书股、机要股、综合股、督查股、信息股、机关事务股）。</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default" w:ascii="Times New Roman" w:hAnsi="Times New Roman" w:eastAsia="仿宋_GB2312" w:cs="Times New Roman"/>
          <w:sz w:val="32"/>
          <w:szCs w:val="32"/>
        </w:rPr>
        <w:t>攀枝花市西区人民政府办公室（简称区政府办公室），为协助区政府领导处理区政府日常工作的机构。其主要职能为：协助区政府领导同志组织起草或审核以区政府、区政府办公室名义发布的公文，办理市政府、市政府办公室及市级部门发送区政府的文电，指导全区行政机关公文处理工作；研究区政府部门和镇人民政府、区政府派出机构请示区政府的事项，提出审核意见，报区政府领导同志审批；负责区政府重要会议事务工作和区政府领导同志参加重大活动的组织安排；协助完成区政府的有关接待工作；督促检查区政府部门和镇人民政府、区政府派出机构对区政府决定事项及区政府领导同志指示的贯彻落实情况，及时向区政府领导同志报告；根据区政府领导同志的指示，对区政府部门间争议问题提出处理意见和建议，报区政府领导同志决定；负责区政府值班工作，指导区政府部门和镇人民政府、区政府派出机构值班工作，及时报告重要情况；指导、监督全区政府信息公开工作；牵头负责全区民生工程工作的实施和推进，组织办理涉及区政府工作的人大代表议案、批评、建议和政协委员提案、建议案；围绕区政府中心工作和区政府领导同志的指示，组织专题调查研究，及时反映情况，提出政策性建议；负责区政府外事工作；承担区政府公布的有关行政审批事项；承办区政府和区政府领导同志交办的其他事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eastAsia="仿宋_GB2312" w:cs="Times New Roman"/>
          <w:sz w:val="32"/>
          <w:szCs w:val="32"/>
          <w:lang w:eastAsia="zh-CN"/>
        </w:rPr>
        <w:t>区政府办公室</w:t>
      </w:r>
      <w:r>
        <w:rPr>
          <w:rFonts w:hint="default" w:ascii="Times New Roman" w:hAnsi="Times New Roman" w:eastAsia="仿宋_GB2312" w:cs="Times New Roman"/>
          <w:sz w:val="32"/>
          <w:szCs w:val="32"/>
        </w:rPr>
        <w:t>共设编制14个，其中，区领导编制6个，公务员编制8个，2019年年末实有17人，其中区领导6名（1名为其他单位编制），公务员9名，工勤人员2名。1名离休干部，10名退休人员。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年度收入总计</w:t>
      </w:r>
      <w:r>
        <w:rPr>
          <w:rFonts w:hint="eastAsia" w:ascii="仿宋_GB2312" w:hAnsi="仿宋" w:eastAsia="仿宋_GB2312" w:cs="仿宋_GB2312"/>
          <w:sz w:val="32"/>
          <w:szCs w:val="32"/>
          <w:lang w:val="en-US" w:eastAsia="zh-CN"/>
        </w:rPr>
        <w:t>564.19</w:t>
      </w:r>
      <w:r>
        <w:rPr>
          <w:rFonts w:hint="eastAsia" w:ascii="仿宋_GB2312" w:hAnsi="仿宋" w:eastAsia="仿宋_GB2312" w:cs="仿宋_GB2312"/>
          <w:sz w:val="32"/>
          <w:szCs w:val="32"/>
        </w:rPr>
        <w:t>万元，其中一般公共预算财政拨款收入</w:t>
      </w:r>
      <w:r>
        <w:rPr>
          <w:rFonts w:hint="eastAsia" w:ascii="仿宋_GB2312" w:hAnsi="仿宋" w:eastAsia="仿宋_GB2312" w:cs="仿宋_GB2312"/>
          <w:sz w:val="32"/>
          <w:szCs w:val="32"/>
          <w:lang w:val="en-US" w:eastAsia="zh-CN"/>
        </w:rPr>
        <w:t>455.58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年初结转结余</w:t>
      </w:r>
      <w:r>
        <w:rPr>
          <w:rFonts w:hint="eastAsia" w:ascii="仿宋_GB2312" w:hAnsi="仿宋" w:eastAsia="仿宋_GB2312" w:cs="仿宋_GB2312"/>
          <w:sz w:val="32"/>
          <w:szCs w:val="32"/>
          <w:lang w:val="en-US" w:eastAsia="zh-CN"/>
        </w:rPr>
        <w:t>108.56万元，其他收入0.05万元。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default" w:ascii="黑体" w:hAnsi="宋体" w:eastAsia="黑体" w:cs="宋体"/>
          <w:color w:val="000000"/>
          <w:kern w:val="0"/>
          <w:sz w:val="32"/>
          <w:szCs w:val="32"/>
          <w:shd w:val="clear" w:color="auto" w:fill="FFFFFF"/>
          <w:lang w:val="en-US"/>
        </w:rPr>
      </w:pPr>
      <w:r>
        <w:rPr>
          <w:rFonts w:hint="eastAsia" w:ascii="仿宋_GB2312" w:hAnsi="仿宋" w:eastAsia="仿宋_GB2312" w:cs="仿宋_GB2312"/>
          <w:sz w:val="32"/>
          <w:szCs w:val="32"/>
        </w:rPr>
        <w:t xml:space="preserve"> 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年本年支出合计</w:t>
      </w:r>
      <w:r>
        <w:rPr>
          <w:rFonts w:hint="eastAsia" w:ascii="仿宋_GB2312" w:hAnsi="仿宋" w:eastAsia="仿宋_GB2312" w:cs="仿宋_GB2312"/>
          <w:sz w:val="32"/>
          <w:szCs w:val="32"/>
          <w:lang w:val="en-US" w:eastAsia="zh-CN"/>
        </w:rPr>
        <w:t>544.2</w:t>
      </w:r>
      <w:r>
        <w:rPr>
          <w:rFonts w:hint="eastAsia" w:ascii="仿宋_GB2312" w:hAnsi="仿宋" w:eastAsia="仿宋_GB2312" w:cs="仿宋_GB2312"/>
          <w:sz w:val="32"/>
          <w:szCs w:val="32"/>
        </w:rPr>
        <w:t>万元，其中</w:t>
      </w:r>
      <w:r>
        <w:rPr>
          <w:rFonts w:hint="eastAsia" w:ascii="仿宋_GB2312" w:hAnsi="仿宋" w:eastAsia="仿宋_GB2312" w:cs="仿宋_GB2312"/>
          <w:sz w:val="32"/>
          <w:szCs w:val="32"/>
          <w:lang w:eastAsia="zh-CN"/>
        </w:rPr>
        <w:t>一般公共服务支出</w:t>
      </w:r>
      <w:r>
        <w:rPr>
          <w:rFonts w:hint="eastAsia" w:ascii="仿宋_GB2312" w:hAnsi="仿宋" w:eastAsia="仿宋_GB2312" w:cs="仿宋_GB2312"/>
          <w:sz w:val="32"/>
          <w:szCs w:val="32"/>
          <w:lang w:val="en-US" w:eastAsia="zh-CN"/>
        </w:rPr>
        <w:t>440.34</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；社会保障和就业支出</w:t>
      </w:r>
      <w:r>
        <w:rPr>
          <w:rFonts w:hint="eastAsia" w:ascii="仿宋_GB2312" w:hAnsi="仿宋" w:eastAsia="仿宋_GB2312" w:cs="仿宋_GB2312"/>
          <w:sz w:val="32"/>
          <w:szCs w:val="32"/>
          <w:lang w:val="en-US" w:eastAsia="zh-CN"/>
        </w:rPr>
        <w:t>46.72万元；卫生健康支出22.89万元；住房保障支出34.25万元。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年，在区委区政府的领导下，区政府机关党组团结带领办公室干部职工，守正创新、开拓奋进，充分发挥参谋助手、运作枢纽作用，圆满完成各项目标任务。</w:t>
      </w:r>
    </w:p>
    <w:p>
      <w:pPr>
        <w:spacing w:line="58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（一）部门预算管理。</w:t>
      </w:r>
    </w:p>
    <w:p>
      <w:pPr>
        <w:widowControl/>
        <w:spacing w:line="360" w:lineRule="auto"/>
        <w:ind w:firstLine="48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以预算编制为引领，以支出管理为核心，扎实做好201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预算工作。一是严格按照区财政部门预算编制要求，认真贯彻落实中央、省市关于“厉行节约”的一系列指示要求，切实做好预算工作，确保预算编制的科学性和准确性。二是加强支出进度管理，完善预算动态监控，主动作为，提前谋划，确保了区政府工作稳定运行，各项工作顺利开展，服务全区经济社会发展。</w:t>
      </w:r>
    </w:p>
    <w:p>
      <w:pPr>
        <w:spacing w:line="58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（二）执行管理情况。</w:t>
      </w:r>
    </w:p>
    <w:p>
      <w:pPr>
        <w:widowControl/>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强化底线思维，狠抓风险防控，进一步完善了审核制度，强化了预算执行管理。完善西区人民政府办公室收支管理内部控制制度，进一步明确了开支范围和审批权限，在保证各项工作顺利运转的同时，确保各项财务收支符合国家的法律、法规和财经纪律。实现了财务报销、票据审核、财务处理等环节的相互分离与相互制约。</w:t>
      </w:r>
    </w:p>
    <w:p>
      <w:pPr>
        <w:spacing w:line="580" w:lineRule="exact"/>
        <w:ind w:firstLine="640" w:firstLineChars="200"/>
        <w:rPr>
          <w:rFonts w:ascii="楷体_GB2312" w:hAnsi="仿宋" w:eastAsia="楷体_GB2312" w:cs="仿宋_GB2312"/>
          <w:sz w:val="32"/>
          <w:szCs w:val="32"/>
        </w:rPr>
      </w:pPr>
      <w:r>
        <w:rPr>
          <w:rFonts w:ascii="楷体_GB2312" w:hAnsi="仿宋" w:eastAsia="楷体_GB2312" w:cs="仿宋_GB2312"/>
          <w:sz w:val="32"/>
          <w:szCs w:val="32"/>
        </w:rPr>
        <w:t>（三）结果应用情况。</w:t>
      </w:r>
    </w:p>
    <w:p>
      <w:pPr>
        <w:widowControl/>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区政府办公室全面贯彻落实区委区政府重大决策部署，按照“规范、高效、廉洁”要求，以政治建设为统领，统一思想行动，以发挥作用为核心，服务发展大局，以优质高效为标准，促进规范运转。确保了政府办公室机关运行和重大项目的实施，工作质量和服务效能整体提升。</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default" w:ascii="Times New Roman" w:hAnsi="Times New Roman" w:eastAsia="仿宋_GB2312" w:cs="Times New Roman"/>
          <w:i w:val="0"/>
          <w:caps w:val="0"/>
          <w:color w:val="333333"/>
          <w:spacing w:val="0"/>
          <w:sz w:val="32"/>
          <w:szCs w:val="32"/>
        </w:rPr>
        <w:t>2019年度部门预算整体绩效目标已</w:t>
      </w:r>
      <w:r>
        <w:rPr>
          <w:rFonts w:hint="default" w:ascii="Times New Roman" w:hAnsi="Times New Roman" w:eastAsia="仿宋_GB2312" w:cs="Times New Roman"/>
          <w:i w:val="0"/>
          <w:caps w:val="0"/>
          <w:color w:val="333333"/>
          <w:spacing w:val="0"/>
          <w:sz w:val="32"/>
          <w:szCs w:val="32"/>
          <w:lang w:eastAsia="zh-CN"/>
        </w:rPr>
        <w:t>基本</w:t>
      </w:r>
      <w:r>
        <w:rPr>
          <w:rFonts w:hint="default" w:ascii="Times New Roman" w:hAnsi="Times New Roman" w:eastAsia="仿宋_GB2312" w:cs="Times New Roman"/>
          <w:i w:val="0"/>
          <w:caps w:val="0"/>
          <w:color w:val="333333"/>
          <w:spacing w:val="0"/>
          <w:sz w:val="32"/>
          <w:szCs w:val="32"/>
        </w:rPr>
        <w:t>完成。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default" w:ascii="Times New Roman" w:hAnsi="Times New Roman" w:eastAsia="仿宋_GB2312" w:cs="Times New Roman"/>
          <w:i w:val="0"/>
          <w:caps w:val="0"/>
          <w:color w:val="333333"/>
          <w:spacing w:val="0"/>
          <w:sz w:val="32"/>
          <w:szCs w:val="32"/>
        </w:rPr>
        <w:t>绩效管理还存在一些不足。主要是支出绩效管理指标、工作方法、管理制度等仍在不断完善中，各类基础数据、绩效运行信息采集衔接不及时，预算绩效管理还需进一步科学化和全面化。</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30" w:lineRule="exact"/>
        <w:ind w:leftChars="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i w:val="0"/>
          <w:caps w:val="0"/>
          <w:color w:val="333333"/>
          <w:spacing w:val="0"/>
          <w:sz w:val="32"/>
          <w:szCs w:val="32"/>
        </w:rPr>
        <w:t>在今后预算绩效管理工作中，进一步完善各项绩效目标管理相关指标体系、制度、方法，进一步提高绩效管理相关数据、信息的准确性和完整性，缩小设定的绩效目标值与实际完成数偏离程度，提高财政资金使用绩效管理效率。</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D49FDD"/>
    <w:multiLevelType w:val="singleLevel"/>
    <w:tmpl w:val="12D49FDD"/>
    <w:lvl w:ilvl="0" w:tentative="0">
      <w:start w:val="2"/>
      <w:numFmt w:val="chineseCounting"/>
      <w:suff w:val="nothing"/>
      <w:lvlText w:val="（%1）"/>
      <w:lvlJc w:val="left"/>
      <w:rPr>
        <w:rFonts w:hint="eastAsia"/>
      </w:rPr>
    </w:lvl>
  </w:abstractNum>
  <w:abstractNum w:abstractNumId="4">
    <w:nsid w:val="4204470B"/>
    <w:multiLevelType w:val="singleLevel"/>
    <w:tmpl w:val="4204470B"/>
    <w:lvl w:ilvl="0" w:tentative="0">
      <w:start w:val="5"/>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7A0CED"/>
    <w:rsid w:val="05B749D4"/>
    <w:rsid w:val="05ED6FCF"/>
    <w:rsid w:val="0921238E"/>
    <w:rsid w:val="094B1045"/>
    <w:rsid w:val="0C78600E"/>
    <w:rsid w:val="0F3F1B29"/>
    <w:rsid w:val="10C055FF"/>
    <w:rsid w:val="12DF3223"/>
    <w:rsid w:val="15884F9E"/>
    <w:rsid w:val="15BB4052"/>
    <w:rsid w:val="161D1240"/>
    <w:rsid w:val="16BB723D"/>
    <w:rsid w:val="1AAB7AC3"/>
    <w:rsid w:val="1C435750"/>
    <w:rsid w:val="1DA06325"/>
    <w:rsid w:val="21B37519"/>
    <w:rsid w:val="22B96D20"/>
    <w:rsid w:val="240371BF"/>
    <w:rsid w:val="29FD04D3"/>
    <w:rsid w:val="306F15E8"/>
    <w:rsid w:val="316E6768"/>
    <w:rsid w:val="319F7F4E"/>
    <w:rsid w:val="31C13D0D"/>
    <w:rsid w:val="339151BA"/>
    <w:rsid w:val="36070783"/>
    <w:rsid w:val="37703FCD"/>
    <w:rsid w:val="3C9B0004"/>
    <w:rsid w:val="3FBA6429"/>
    <w:rsid w:val="409C5305"/>
    <w:rsid w:val="412D2472"/>
    <w:rsid w:val="41B32835"/>
    <w:rsid w:val="41CB5A5A"/>
    <w:rsid w:val="44DF224B"/>
    <w:rsid w:val="4A394FF6"/>
    <w:rsid w:val="4A4241BE"/>
    <w:rsid w:val="4ECE2238"/>
    <w:rsid w:val="520D7765"/>
    <w:rsid w:val="53A63F5D"/>
    <w:rsid w:val="544D2632"/>
    <w:rsid w:val="58AB0FDE"/>
    <w:rsid w:val="593F0B7A"/>
    <w:rsid w:val="5E4717EF"/>
    <w:rsid w:val="64B6064E"/>
    <w:rsid w:val="678C0E5F"/>
    <w:rsid w:val="6E890605"/>
    <w:rsid w:val="6EA44FFC"/>
    <w:rsid w:val="6ED91BE0"/>
    <w:rsid w:val="6F181C5E"/>
    <w:rsid w:val="72734D90"/>
    <w:rsid w:val="73670919"/>
    <w:rsid w:val="75A16D75"/>
    <w:rsid w:val="7A4B61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pPr>
      <w:ind w:firstLine="21" w:firstLineChars="200"/>
      <w:jc w:val="left"/>
    </w:pPr>
    <w:rPr>
      <w:rFonts w:ascii="宋体" w:hAnsi="Courier New" w:cs="Courier New"/>
      <w:kern w:val="0"/>
      <w:szCs w:val="21"/>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5732"/>
          <c:y val="0.194223826714801"/>
          <c:w val="0.88468"/>
          <c:h val="0.590709987966306"/>
        </c:manualLayout>
      </c:layout>
      <c:barChart>
        <c:barDir val="col"/>
        <c:grouping val="clustered"/>
        <c:varyColors val="0"/>
        <c:ser>
          <c:idx val="0"/>
          <c:order val="0"/>
          <c:tx>
            <c:strRef>
              <c:f>Sheet1!$B$1</c:f>
              <c:strCache>
                <c:ptCount val="1"/>
                <c:pt idx="0">
                  <c:v>2018年收支</c:v>
                </c:pt>
              </c:strCache>
            </c:strRef>
          </c:tx>
          <c:spPr>
            <a:solidFill>
              <a:schemeClr val="accent1"/>
            </a:solidFill>
            <a:ln>
              <a:noFill/>
            </a:ln>
            <a:effectLst/>
          </c:spPr>
          <c:invertIfNegative val="0"/>
          <c:dLbls>
            <c:delete val="1"/>
          </c:dLbls>
          <c:cat>
            <c:strRef>
              <c:f>Sheet1!$A$2:$A$5</c:f>
              <c:strCache>
                <c:ptCount val="4"/>
                <c:pt idx="0">
                  <c:v>2018年收支总额</c:v>
                </c:pt>
                <c:pt idx="2">
                  <c:v>2019年收支总额</c:v>
                </c:pt>
              </c:strCache>
            </c:strRef>
          </c:cat>
          <c:val>
            <c:numRef>
              <c:f>Sheet1!$B$2:$B$5</c:f>
              <c:numCache>
                <c:formatCode>General</c:formatCode>
                <c:ptCount val="4"/>
                <c:pt idx="0">
                  <c:v>630.64</c:v>
                </c:pt>
                <c:pt idx="2">
                  <c:v>564.19</c:v>
                </c:pt>
              </c:numCache>
            </c:numRef>
          </c:val>
        </c:ser>
        <c:dLbls>
          <c:showLegendKey val="0"/>
          <c:showVal val="0"/>
          <c:showCatName val="0"/>
          <c:showSerName val="0"/>
          <c:showPercent val="0"/>
          <c:showBubbleSize val="0"/>
        </c:dLbls>
        <c:gapWidth val="219"/>
        <c:overlap val="-27"/>
        <c:axId val="748923103"/>
        <c:axId val="288960004"/>
      </c:barChart>
      <c:catAx>
        <c:axId val="7489231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960004"/>
        <c:crosses val="autoZero"/>
        <c:auto val="1"/>
        <c:lblAlgn val="ctr"/>
        <c:lblOffset val="100"/>
        <c:noMultiLvlLbl val="0"/>
      </c:catAx>
      <c:valAx>
        <c:axId val="2889600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923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455.63</c:v>
                </c:pt>
                <c:pt idx="1">
                  <c:v>0</c:v>
                </c:pt>
                <c:pt idx="2">
                  <c:v>0</c:v>
                </c:pt>
                <c:pt idx="3">
                  <c:v>0</c:v>
                </c:pt>
                <c:pt idx="4">
                  <c:v>0</c:v>
                </c:pt>
                <c:pt idx="5">
                  <c:v>0</c:v>
                </c:pt>
                <c:pt idx="6">
                  <c:v>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446.98</c:v>
                </c:pt>
                <c:pt idx="1">
                  <c:v>97.21</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9372"/>
          <c:y val="0.147810324605096"/>
          <c:w val="0.88468"/>
          <c:h val="0.590709987966306"/>
        </c:manualLayout>
      </c:layout>
      <c:barChart>
        <c:barDir val="col"/>
        <c:grouping val="clustered"/>
        <c:varyColors val="0"/>
        <c:ser>
          <c:idx val="0"/>
          <c:order val="0"/>
          <c:tx>
            <c:strRef>
              <c:f>Sheet1!$B$1</c:f>
              <c:strCache>
                <c:ptCount val="1"/>
                <c:pt idx="0">
                  <c:v>2018年收支</c:v>
                </c:pt>
              </c:strCache>
            </c:strRef>
          </c:tx>
          <c:spPr>
            <a:solidFill>
              <a:schemeClr val="accent1"/>
            </a:solidFill>
            <a:ln>
              <a:noFill/>
            </a:ln>
            <a:effectLst/>
          </c:spPr>
          <c:invertIfNegative val="0"/>
          <c:dLbls>
            <c:delete val="1"/>
          </c:dLbls>
          <c:cat>
            <c:strRef>
              <c:f>Sheet1!$A$2:$A$5</c:f>
              <c:strCache>
                <c:ptCount val="4"/>
                <c:pt idx="0">
                  <c:v>2018年财政拨款收、支总计</c:v>
                </c:pt>
                <c:pt idx="2">
                  <c:v>2019年财政拨款收、支总计</c:v>
                </c:pt>
              </c:strCache>
            </c:strRef>
          </c:cat>
          <c:val>
            <c:numRef>
              <c:f>Sheet1!$B$2:$B$5</c:f>
              <c:numCache>
                <c:formatCode>General</c:formatCode>
                <c:ptCount val="4"/>
                <c:pt idx="0">
                  <c:v>630.23</c:v>
                </c:pt>
                <c:pt idx="2">
                  <c:v>563.78</c:v>
                </c:pt>
              </c:numCache>
            </c:numRef>
          </c:val>
        </c:ser>
        <c:dLbls>
          <c:showLegendKey val="0"/>
          <c:showVal val="0"/>
          <c:showCatName val="0"/>
          <c:showSerName val="0"/>
          <c:showPercent val="0"/>
          <c:showBubbleSize val="0"/>
        </c:dLbls>
        <c:gapWidth val="219"/>
        <c:overlap val="-27"/>
        <c:axId val="748923103"/>
        <c:axId val="288960004"/>
      </c:barChart>
      <c:catAx>
        <c:axId val="7489231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960004"/>
        <c:crosses val="autoZero"/>
        <c:auto val="1"/>
        <c:lblAlgn val="ctr"/>
        <c:lblOffset val="100"/>
        <c:noMultiLvlLbl val="0"/>
      </c:catAx>
      <c:valAx>
        <c:axId val="2889600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923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9372"/>
          <c:y val="0.178853046594982"/>
          <c:w val="0.88468"/>
          <c:h val="0.590709987966306"/>
        </c:manualLayout>
      </c:layout>
      <c:barChart>
        <c:barDir val="col"/>
        <c:grouping val="clustered"/>
        <c:varyColors val="0"/>
        <c:ser>
          <c:idx val="0"/>
          <c:order val="0"/>
          <c:tx>
            <c:strRef>
              <c:f>Sheet1!$B$1</c:f>
              <c:strCache>
                <c:ptCount val="1"/>
                <c:pt idx="0">
                  <c:v>2018年收支</c:v>
                </c:pt>
              </c:strCache>
            </c:strRef>
          </c:tx>
          <c:spPr>
            <a:solidFill>
              <a:schemeClr val="accent1"/>
            </a:solidFill>
            <a:ln>
              <a:noFill/>
            </a:ln>
            <a:effectLst/>
          </c:spPr>
          <c:invertIfNegative val="0"/>
          <c:dLbls>
            <c:delete val="1"/>
          </c:dLbls>
          <c:cat>
            <c:strRef>
              <c:f>Sheet1!$A$2:$A$5</c:f>
              <c:strCache>
                <c:ptCount val="4"/>
                <c:pt idx="0">
                  <c:v>2018年一般公共预算财政拨款支出</c:v>
                </c:pt>
                <c:pt idx="2">
                  <c:v>2019年一般公共预算财政拨款支出</c:v>
                </c:pt>
              </c:strCache>
            </c:strRef>
          </c:cat>
          <c:val>
            <c:numRef>
              <c:f>Sheet1!$B$2:$B$5</c:f>
              <c:numCache>
                <c:formatCode>General</c:formatCode>
                <c:ptCount val="4"/>
                <c:pt idx="0">
                  <c:v>610.24</c:v>
                </c:pt>
                <c:pt idx="2">
                  <c:v>544.15</c:v>
                </c:pt>
              </c:numCache>
            </c:numRef>
          </c:val>
        </c:ser>
        <c:dLbls>
          <c:showLegendKey val="0"/>
          <c:showVal val="0"/>
          <c:showCatName val="0"/>
          <c:showSerName val="0"/>
          <c:showPercent val="0"/>
          <c:showBubbleSize val="0"/>
        </c:dLbls>
        <c:gapWidth val="219"/>
        <c:overlap val="-27"/>
        <c:axId val="748923103"/>
        <c:axId val="288960004"/>
      </c:barChart>
      <c:catAx>
        <c:axId val="7489231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960004"/>
        <c:crosses val="autoZero"/>
        <c:auto val="1"/>
        <c:lblAlgn val="ctr"/>
        <c:lblOffset val="100"/>
        <c:noMultiLvlLbl val="0"/>
      </c:catAx>
      <c:valAx>
        <c:axId val="2889600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923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1"/>
              <c:layout>
                <c:manualLayout>
                  <c:x val="0.0668889619483508"/>
                  <c:y val="0.15345467198801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355276128263878"/>
                  <c:y val="0.1227149114277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一般公共服务</c:v>
                </c:pt>
                <c:pt idx="1">
                  <c:v>社会保障和就业</c:v>
                </c:pt>
                <c:pt idx="2">
                  <c:v>卫生健康支出</c:v>
                </c:pt>
                <c:pt idx="3">
                  <c:v>住房保障支出</c:v>
                </c:pt>
              </c:strCache>
            </c:strRef>
          </c:cat>
          <c:val>
            <c:numRef>
              <c:f>Sheet1!$B$2:$B$5</c:f>
              <c:numCache>
                <c:formatCode>General</c:formatCode>
                <c:ptCount val="4"/>
                <c:pt idx="0">
                  <c:v>440.3</c:v>
                </c:pt>
                <c:pt idx="1">
                  <c:v>46.71</c:v>
                </c:pt>
                <c:pt idx="2">
                  <c:v>22.89</c:v>
                </c:pt>
                <c:pt idx="3">
                  <c:v>34.25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16057233704"/>
          <c:y val="0.0644567219152855"/>
          <c:w val="0.452106518282989"/>
          <c:h val="0.837937384898711"/>
        </c:manualLayout>
      </c:layout>
      <c:pieChart>
        <c:varyColors val="1"/>
        <c:ser>
          <c:idx val="0"/>
          <c:order val="0"/>
          <c:tx>
            <c:strRef>
              <c:f>Sheet1!$B$1</c:f>
              <c:strCache>
                <c:ptCount val="1"/>
                <c:pt idx="0">
                  <c:v>“三公”经费财政拨款支出决算</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0.07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20</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我是静静</cp:lastModifiedBy>
  <cp:lastPrinted>2020-07-23T02:58:00Z</cp:lastPrinted>
  <dcterms:modified xsi:type="dcterms:W3CDTF">2020-11-23T09:41:19Z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