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黑体" w:hAnsi="黑体" w:eastAsia="黑体"/>
          <w:color w:val="000000"/>
          <w:sz w:val="52"/>
          <w:szCs w:val="52"/>
        </w:rPr>
      </w:pPr>
      <w:bookmarkStart w:id="1" w:name="_Toc15396597"/>
      <w:bookmarkStart w:id="2" w:name="_Toc15378441"/>
      <w:bookmarkStart w:id="3" w:name="_Toc15396475"/>
      <w:bookmarkStart w:id="4" w:name="_Toc15377425"/>
      <w:bookmarkStart w:id="5" w:name="_Toc15377193"/>
      <w:r>
        <w:rPr>
          <w:rFonts w:ascii="黑体" w:hAnsi="黑体" w:eastAsia="黑体"/>
          <w:color w:val="000000"/>
          <w:sz w:val="52"/>
          <w:szCs w:val="52"/>
        </w:rPr>
        <w:t>201</w:t>
      </w:r>
      <w:r>
        <w:rPr>
          <w:rFonts w:hint="eastAsia" w:ascii="黑体" w:hAnsi="黑体" w:eastAsia="黑体"/>
          <w:color w:val="000000"/>
          <w:sz w:val="52"/>
          <w:szCs w:val="52"/>
        </w:rPr>
        <w:t>9年度</w:t>
      </w:r>
      <w:bookmarkEnd w:id="1"/>
      <w:bookmarkEnd w:id="2"/>
      <w:bookmarkEnd w:id="3"/>
      <w:bookmarkEnd w:id="4"/>
      <w:bookmarkEnd w:id="5"/>
    </w:p>
    <w:p>
      <w:pPr>
        <w:adjustRightInd w:val="0"/>
        <w:snapToGrid w:val="0"/>
        <w:spacing w:line="360" w:lineRule="auto"/>
        <w:jc w:val="center"/>
        <w:outlineLvl w:val="0"/>
        <w:rPr>
          <w:rFonts w:ascii="黑体" w:hAnsi="黑体" w:eastAsia="黑体"/>
          <w:color w:val="000000"/>
          <w:sz w:val="52"/>
          <w:szCs w:val="52"/>
        </w:rPr>
      </w:pPr>
      <w:bookmarkStart w:id="6" w:name="_Toc15396598"/>
      <w:bookmarkStart w:id="7" w:name="_Toc15396476"/>
      <w:bookmarkStart w:id="8" w:name="_Toc15377426"/>
      <w:bookmarkStart w:id="9" w:name="_Toc15377194"/>
      <w:bookmarkStart w:id="10" w:name="_Toc15378442"/>
      <w:r>
        <w:rPr>
          <w:rFonts w:hint="eastAsia" w:ascii="黑体" w:hAnsi="黑体" w:eastAsia="黑体"/>
          <w:color w:val="000000"/>
          <w:sz w:val="52"/>
          <w:szCs w:val="52"/>
        </w:rPr>
        <w:t>四川省</w:t>
      </w:r>
      <w:bookmarkEnd w:id="0"/>
      <w:bookmarkStart w:id="11" w:name="_Toc15306268"/>
      <w:r>
        <w:rPr>
          <w:rFonts w:hint="eastAsia" w:ascii="黑体" w:hAnsi="黑体" w:eastAsia="黑体"/>
          <w:color w:val="000000"/>
          <w:sz w:val="52"/>
          <w:szCs w:val="52"/>
        </w:rPr>
        <w:t>攀枝花市西区市容环境卫生管理服务中心部门决算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公开时间：2020年11月24日</w:t>
      </w:r>
    </w:p>
    <w:p/>
    <w:p>
      <w:pPr>
        <w:pStyle w:val="11"/>
        <w:adjustRightInd w:val="0"/>
        <w:snapToGrid w:val="0"/>
        <w:spacing w:before="0" w:line="440" w:lineRule="exact"/>
        <w:jc w:val="both"/>
        <w:rPr>
          <w:rFonts w:cstheme="minorBidi"/>
          <w:sz w:val="24"/>
          <w:szCs w:val="24"/>
        </w:rPr>
      </w:pPr>
      <w:r>
        <w:rPr>
          <w:rFonts w:hint="eastAsia"/>
          <w:sz w:val="24"/>
        </w:rPr>
        <w:t>第一部分部门概况</w:t>
      </w:r>
    </w:p>
    <w:p>
      <w:pPr>
        <w:pStyle w:val="12"/>
        <w:adjustRightInd w:val="0"/>
        <w:snapToGrid w:val="0"/>
        <w:spacing w:line="440" w:lineRule="exact"/>
        <w:jc w:val="right"/>
        <w:rPr>
          <w:rFonts w:ascii="仿宋" w:hAnsi="仿宋"/>
          <w:sz w:val="24"/>
        </w:rPr>
      </w:pPr>
      <w:r>
        <w:rPr>
          <w:rFonts w:hint="eastAsia"/>
          <w:sz w:val="24"/>
        </w:rPr>
        <w:t>一、基本职能及主要工作.................................................................................4页</w:t>
      </w:r>
    </w:p>
    <w:p>
      <w:pPr>
        <w:pStyle w:val="12"/>
        <w:adjustRightInd w:val="0"/>
        <w:snapToGrid w:val="0"/>
        <w:spacing w:line="440" w:lineRule="exact"/>
        <w:jc w:val="right"/>
        <w:rPr>
          <w:rFonts w:ascii="仿宋" w:hAnsi="仿宋" w:cstheme="minorBidi"/>
          <w:sz w:val="24"/>
        </w:rPr>
      </w:pPr>
      <w:r>
        <w:rPr>
          <w:rFonts w:hint="eastAsia"/>
          <w:sz w:val="24"/>
        </w:rPr>
        <w:t>二、机构设置.....................................................................................................4页</w:t>
      </w:r>
    </w:p>
    <w:p>
      <w:pPr>
        <w:pStyle w:val="11"/>
        <w:adjustRightInd w:val="0"/>
        <w:snapToGrid w:val="0"/>
        <w:spacing w:before="0" w:line="440" w:lineRule="exact"/>
        <w:jc w:val="right"/>
        <w:rPr>
          <w:sz w:val="24"/>
          <w:szCs w:val="24"/>
        </w:rPr>
      </w:pPr>
      <w:r>
        <w:rPr>
          <w:rFonts w:hint="eastAsia"/>
          <w:sz w:val="24"/>
        </w:rPr>
        <w:t>第二部分度部门决算情况说明.......................................5页</w:t>
      </w:r>
    </w:p>
    <w:p>
      <w:pPr>
        <w:pStyle w:val="12"/>
        <w:adjustRightInd w:val="0"/>
        <w:snapToGrid w:val="0"/>
        <w:spacing w:line="440" w:lineRule="exact"/>
        <w:jc w:val="right"/>
        <w:rPr>
          <w:rFonts w:ascii="仿宋" w:hAnsi="仿宋" w:cstheme="minorBidi"/>
          <w:sz w:val="24"/>
        </w:rPr>
      </w:pPr>
      <w:r>
        <w:rPr>
          <w:rFonts w:hint="eastAsia"/>
          <w:sz w:val="24"/>
        </w:rPr>
        <w:t>一、收入支出决算总体情况说明....................................................................5页</w:t>
      </w:r>
    </w:p>
    <w:p>
      <w:pPr>
        <w:pStyle w:val="12"/>
        <w:adjustRightInd w:val="0"/>
        <w:snapToGrid w:val="0"/>
        <w:spacing w:line="440" w:lineRule="exact"/>
        <w:jc w:val="right"/>
        <w:rPr>
          <w:rFonts w:ascii="仿宋" w:hAnsi="仿宋" w:cstheme="minorBidi"/>
          <w:sz w:val="24"/>
        </w:rPr>
      </w:pPr>
      <w:r>
        <w:rPr>
          <w:rFonts w:hint="eastAsia"/>
          <w:sz w:val="24"/>
        </w:rPr>
        <w:t>二、收入决算情况说明.....................................................................................5页</w:t>
      </w:r>
    </w:p>
    <w:p>
      <w:pPr>
        <w:pStyle w:val="12"/>
        <w:adjustRightInd w:val="0"/>
        <w:snapToGrid w:val="0"/>
        <w:spacing w:line="440" w:lineRule="exact"/>
        <w:jc w:val="right"/>
        <w:rPr>
          <w:rFonts w:ascii="仿宋" w:hAnsi="仿宋" w:cstheme="minorBidi"/>
          <w:sz w:val="24"/>
        </w:rPr>
      </w:pPr>
      <w:r>
        <w:rPr>
          <w:rFonts w:hint="eastAsia"/>
          <w:sz w:val="24"/>
        </w:rPr>
        <w:t>三、支出决算情况说明....................................................................................6页</w:t>
      </w:r>
    </w:p>
    <w:p>
      <w:pPr>
        <w:pStyle w:val="12"/>
        <w:adjustRightInd w:val="0"/>
        <w:snapToGrid w:val="0"/>
        <w:spacing w:line="440" w:lineRule="exact"/>
        <w:jc w:val="right"/>
        <w:rPr>
          <w:rFonts w:ascii="仿宋" w:hAnsi="仿宋" w:cstheme="minorBidi"/>
          <w:sz w:val="24"/>
        </w:rPr>
      </w:pPr>
      <w:r>
        <w:rPr>
          <w:rFonts w:hint="eastAsia"/>
          <w:sz w:val="24"/>
        </w:rPr>
        <w:t>四、财政拨款收入支出决算总体情况说明....................................................7页</w:t>
      </w:r>
    </w:p>
    <w:p>
      <w:pPr>
        <w:pStyle w:val="12"/>
        <w:adjustRightInd w:val="0"/>
        <w:snapToGrid w:val="0"/>
        <w:spacing w:line="440" w:lineRule="exact"/>
        <w:jc w:val="right"/>
        <w:rPr>
          <w:rFonts w:ascii="仿宋" w:hAnsi="仿宋" w:cstheme="minorBidi"/>
          <w:sz w:val="24"/>
        </w:rPr>
      </w:pPr>
      <w:r>
        <w:rPr>
          <w:rFonts w:hint="eastAsia"/>
          <w:sz w:val="24"/>
        </w:rPr>
        <w:t>五、一般公共预算财政拨款支出决算情况说明............................................7页</w:t>
      </w:r>
    </w:p>
    <w:p>
      <w:pPr>
        <w:pStyle w:val="12"/>
        <w:adjustRightInd w:val="0"/>
        <w:snapToGrid w:val="0"/>
        <w:spacing w:line="440" w:lineRule="exact"/>
        <w:jc w:val="right"/>
        <w:rPr>
          <w:rFonts w:ascii="仿宋" w:hAnsi="仿宋" w:cstheme="minorBidi"/>
          <w:sz w:val="24"/>
        </w:rPr>
      </w:pPr>
      <w:r>
        <w:rPr>
          <w:rFonts w:hint="eastAsia"/>
          <w:sz w:val="24"/>
        </w:rPr>
        <w:t>六、一般公共预算财政拨款基本支出决算情况说明....................................9页</w:t>
      </w:r>
    </w:p>
    <w:p>
      <w:pPr>
        <w:pStyle w:val="12"/>
        <w:adjustRightInd w:val="0"/>
        <w:snapToGrid w:val="0"/>
        <w:spacing w:line="440" w:lineRule="exact"/>
        <w:jc w:val="right"/>
        <w:rPr>
          <w:rFonts w:ascii="仿宋" w:hAnsi="仿宋" w:cstheme="minorBidi"/>
          <w:sz w:val="24"/>
        </w:rPr>
      </w:pPr>
      <w:r>
        <w:rPr>
          <w:rFonts w:hint="eastAsia"/>
          <w:sz w:val="24"/>
        </w:rPr>
        <w:t>七、</w:t>
      </w:r>
      <w:r>
        <w:rPr>
          <w:sz w:val="24"/>
        </w:rPr>
        <w:t>“</w:t>
      </w:r>
      <w:r>
        <w:rPr>
          <w:rFonts w:hint="eastAsia"/>
          <w:sz w:val="24"/>
        </w:rPr>
        <w:t>三公”经费财政拨款支出决算情况说明.............................................10页</w:t>
      </w:r>
    </w:p>
    <w:p>
      <w:pPr>
        <w:pStyle w:val="12"/>
        <w:adjustRightInd w:val="0"/>
        <w:snapToGrid w:val="0"/>
        <w:spacing w:line="440" w:lineRule="exact"/>
        <w:jc w:val="right"/>
        <w:rPr>
          <w:rFonts w:ascii="仿宋" w:hAnsi="仿宋" w:cstheme="minorBidi"/>
          <w:sz w:val="24"/>
        </w:rPr>
      </w:pPr>
      <w:r>
        <w:rPr>
          <w:rFonts w:hint="eastAsia"/>
          <w:sz w:val="24"/>
        </w:rPr>
        <w:t>八、政府性基金预算支出决算情况说明......................................................11页</w:t>
      </w:r>
    </w:p>
    <w:p>
      <w:pPr>
        <w:pStyle w:val="12"/>
        <w:adjustRightInd w:val="0"/>
        <w:snapToGrid w:val="0"/>
        <w:spacing w:line="440" w:lineRule="exact"/>
        <w:ind w:leftChars="0"/>
        <w:jc w:val="right"/>
        <w:rPr>
          <w:rFonts w:ascii="仿宋" w:hAnsi="仿宋"/>
          <w:sz w:val="24"/>
        </w:rPr>
      </w:pPr>
      <w:r>
        <w:rPr>
          <w:rFonts w:hint="eastAsia" w:ascii="仿宋" w:hAnsi="仿宋" w:eastAsia="仿宋"/>
          <w:sz w:val="24"/>
        </w:rPr>
        <w:t>九、</w:t>
      </w:r>
      <w:r>
        <w:rPr>
          <w:sz w:val="24"/>
        </w:rPr>
        <w:t xml:space="preserve"> 国</w:t>
      </w:r>
      <w:r>
        <w:rPr>
          <w:rFonts w:hint="eastAsia"/>
          <w:sz w:val="24"/>
        </w:rPr>
        <w:t>有资本经营预算支出决算情况说明................................................11页</w:t>
      </w:r>
    </w:p>
    <w:p>
      <w:pPr>
        <w:adjustRightInd w:val="0"/>
        <w:snapToGrid w:val="0"/>
        <w:spacing w:line="440" w:lineRule="exact"/>
        <w:ind w:firstLine="480" w:firstLineChars="200"/>
        <w:jc w:val="right"/>
        <w:rPr>
          <w:rFonts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其他重要事项的情况说明....................................................................11页</w:t>
      </w:r>
      <w:r>
        <w:rPr>
          <w:rFonts w:ascii="仿宋" w:hAnsi="仿宋" w:eastAsia="仿宋"/>
          <w:sz w:val="24"/>
        </w:rPr>
        <w:tab/>
      </w:r>
      <w:r>
        <w:rPr>
          <w:rFonts w:hint="eastAsia"/>
          <w:sz w:val="24"/>
        </w:rPr>
        <w:t>第三部分名词解释.......................................................................................17页</w:t>
      </w:r>
    </w:p>
    <w:p>
      <w:pPr>
        <w:pStyle w:val="11"/>
        <w:adjustRightInd w:val="0"/>
        <w:snapToGrid w:val="0"/>
        <w:spacing w:before="0" w:line="440" w:lineRule="exact"/>
        <w:jc w:val="right"/>
        <w:rPr>
          <w:rFonts w:cstheme="minorBidi"/>
          <w:sz w:val="24"/>
          <w:szCs w:val="24"/>
        </w:rPr>
      </w:pPr>
      <w:r>
        <w:rPr>
          <w:rFonts w:hint="eastAsia"/>
          <w:sz w:val="24"/>
        </w:rPr>
        <w:t>第四部分附件...................................................20页</w:t>
      </w:r>
    </w:p>
    <w:p>
      <w:pPr>
        <w:pStyle w:val="12"/>
        <w:adjustRightInd w:val="0"/>
        <w:snapToGrid w:val="0"/>
        <w:spacing w:line="440" w:lineRule="exact"/>
        <w:jc w:val="right"/>
        <w:rPr>
          <w:rFonts w:ascii="仿宋" w:hAnsi="仿宋" w:cstheme="minorBidi"/>
          <w:sz w:val="24"/>
        </w:rPr>
      </w:pPr>
      <w:r>
        <w:rPr>
          <w:rFonts w:hint="eastAsia"/>
          <w:sz w:val="24"/>
        </w:rPr>
        <w:t>附件</w:t>
      </w:r>
      <w:r>
        <w:rPr>
          <w:sz w:val="24"/>
        </w:rPr>
        <w:t>1</w:t>
      </w:r>
      <w:r>
        <w:rPr>
          <w:rFonts w:hint="eastAsia"/>
          <w:sz w:val="24"/>
        </w:rPr>
        <w:t>..............................................................................................................20页</w:t>
      </w:r>
    </w:p>
    <w:p>
      <w:pPr>
        <w:pStyle w:val="12"/>
        <w:adjustRightInd w:val="0"/>
        <w:snapToGrid w:val="0"/>
        <w:spacing w:line="440" w:lineRule="exact"/>
        <w:jc w:val="right"/>
        <w:rPr>
          <w:rFonts w:ascii="仿宋" w:hAnsi="仿宋" w:cstheme="minorBidi"/>
          <w:sz w:val="24"/>
        </w:rPr>
      </w:pPr>
      <w:r>
        <w:rPr>
          <w:rFonts w:hint="eastAsia"/>
          <w:sz w:val="24"/>
        </w:rPr>
        <w:t>附件</w:t>
      </w:r>
      <w:r>
        <w:rPr>
          <w:sz w:val="24"/>
        </w:rPr>
        <w:t>2</w:t>
      </w:r>
      <w:r>
        <w:rPr>
          <w:rFonts w:hint="eastAsia"/>
          <w:sz w:val="24"/>
        </w:rPr>
        <w:t>.............................................................................................................23页</w:t>
      </w:r>
    </w:p>
    <w:p>
      <w:pPr>
        <w:pStyle w:val="11"/>
        <w:adjustRightInd w:val="0"/>
        <w:snapToGrid w:val="0"/>
        <w:spacing w:before="0" w:line="440" w:lineRule="exact"/>
        <w:jc w:val="right"/>
        <w:rPr>
          <w:rFonts w:cstheme="minorBidi"/>
          <w:sz w:val="24"/>
          <w:szCs w:val="24"/>
        </w:rPr>
      </w:pPr>
      <w:r>
        <w:rPr>
          <w:rFonts w:hint="eastAsia"/>
          <w:sz w:val="24"/>
        </w:rPr>
        <w:t>第五部分附表...................................................30页</w:t>
      </w:r>
    </w:p>
    <w:p>
      <w:pPr>
        <w:pStyle w:val="12"/>
        <w:adjustRightInd w:val="0"/>
        <w:snapToGrid w:val="0"/>
        <w:spacing w:line="440" w:lineRule="exact"/>
        <w:jc w:val="right"/>
        <w:rPr>
          <w:rFonts w:ascii="仿宋" w:hAnsi="仿宋" w:cstheme="minorBidi"/>
          <w:sz w:val="24"/>
        </w:rPr>
      </w:pPr>
      <w:r>
        <w:rPr>
          <w:rFonts w:hint="eastAsia" w:ascii="仿宋" w:hAnsi="仿宋" w:eastAsia="仿宋"/>
          <w:sz w:val="24"/>
        </w:rPr>
        <w:t>一、</w:t>
      </w:r>
      <w:r>
        <w:rPr>
          <w:rFonts w:hint="eastAsia"/>
          <w:sz w:val="24"/>
        </w:rPr>
        <w:t>收入支出决算总表................................................................................30页</w:t>
      </w:r>
    </w:p>
    <w:p>
      <w:pPr>
        <w:pStyle w:val="12"/>
        <w:adjustRightInd w:val="0"/>
        <w:snapToGrid w:val="0"/>
        <w:spacing w:line="440" w:lineRule="exact"/>
        <w:jc w:val="right"/>
        <w:rPr>
          <w:rFonts w:ascii="仿宋" w:hAnsi="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表.............................................................................................30页</w:t>
      </w:r>
    </w:p>
    <w:p>
      <w:pPr>
        <w:pStyle w:val="12"/>
        <w:adjustRightInd w:val="0"/>
        <w:snapToGrid w:val="0"/>
        <w:spacing w:line="440" w:lineRule="exact"/>
        <w:jc w:val="right"/>
        <w:rPr>
          <w:rFonts w:ascii="仿宋" w:hAnsi="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表............................................................................................30页</w:t>
      </w:r>
    </w:p>
    <w:p>
      <w:pPr>
        <w:pStyle w:val="12"/>
        <w:adjustRightInd w:val="0"/>
        <w:snapToGrid w:val="0"/>
        <w:spacing w:line="440" w:lineRule="exact"/>
        <w:jc w:val="right"/>
        <w:rPr>
          <w:rFonts w:ascii="仿宋" w:hAnsi="仿宋" w:cstheme="minorBidi"/>
          <w:sz w:val="24"/>
        </w:rPr>
      </w:pPr>
      <w:r>
        <w:rPr>
          <w:rFonts w:hint="eastAsia" w:ascii="仿宋" w:hAnsi="仿宋" w:eastAsia="仿宋"/>
          <w:sz w:val="24"/>
        </w:rPr>
        <w:t>四、</w:t>
      </w:r>
      <w:r>
        <w:rPr>
          <w:rFonts w:hint="eastAsia"/>
          <w:sz w:val="24"/>
        </w:rPr>
        <w:t>财政拨款收入支出决算总表................................................................30页</w:t>
      </w:r>
    </w:p>
    <w:p>
      <w:pPr>
        <w:pStyle w:val="12"/>
        <w:adjustRightInd w:val="0"/>
        <w:snapToGrid w:val="0"/>
        <w:spacing w:line="440" w:lineRule="exact"/>
        <w:jc w:val="right"/>
        <w:rPr>
          <w:rFonts w:ascii="仿宋" w:hAnsi="仿宋" w:eastAsia="仿宋"/>
          <w:sz w:val="24"/>
        </w:rPr>
      </w:pPr>
      <w:r>
        <w:rPr>
          <w:rFonts w:hint="eastAsia" w:ascii="仿宋" w:hAnsi="仿宋" w:eastAsia="仿宋"/>
          <w:sz w:val="24"/>
        </w:rPr>
        <w:t>五、财政拨款支出决算明细表..................................</w:t>
      </w:r>
      <w:r>
        <w:rPr>
          <w:rFonts w:hint="eastAsia"/>
          <w:sz w:val="24"/>
        </w:rPr>
        <w:t>30</w:t>
      </w:r>
      <w:r>
        <w:rPr>
          <w:rFonts w:hint="eastAsia" w:ascii="仿宋" w:hAnsi="仿宋" w:eastAsia="仿宋"/>
          <w:sz w:val="24"/>
        </w:rPr>
        <w:t>页</w:t>
      </w:r>
    </w:p>
    <w:p>
      <w:pPr>
        <w:pStyle w:val="12"/>
        <w:adjustRightInd w:val="0"/>
        <w:snapToGrid w:val="0"/>
        <w:spacing w:line="440" w:lineRule="exact"/>
        <w:jc w:val="right"/>
        <w:rPr>
          <w:rFonts w:ascii="仿宋" w:hAnsi="仿宋" w:cstheme="minorBidi"/>
          <w:sz w:val="24"/>
        </w:rPr>
      </w:pPr>
      <w:r>
        <w:rPr>
          <w:rFonts w:hint="eastAsia" w:ascii="仿宋" w:hAnsi="仿宋" w:eastAsia="仿宋"/>
          <w:sz w:val="24"/>
        </w:rPr>
        <w:t>六、</w:t>
      </w:r>
      <w:r>
        <w:rPr>
          <w:rFonts w:hint="eastAsia"/>
          <w:sz w:val="24"/>
        </w:rPr>
        <w:t>一般公共预算财政拨款支出决算表....................................................30页</w:t>
      </w:r>
    </w:p>
    <w:p>
      <w:pPr>
        <w:pStyle w:val="12"/>
        <w:adjustRightInd w:val="0"/>
        <w:snapToGrid w:val="0"/>
        <w:spacing w:line="440" w:lineRule="exact"/>
        <w:jc w:val="right"/>
        <w:rPr>
          <w:rFonts w:ascii="仿宋" w:hAnsi="仿宋" w:cstheme="minorBidi"/>
          <w:sz w:val="24"/>
        </w:rPr>
      </w:pPr>
      <w:r>
        <w:rPr>
          <w:rFonts w:hint="eastAsia" w:ascii="仿宋" w:hAnsi="仿宋" w:eastAsia="仿宋"/>
          <w:sz w:val="24"/>
        </w:rPr>
        <w:t>七、</w:t>
      </w:r>
      <w:r>
        <w:rPr>
          <w:rFonts w:hint="eastAsia"/>
          <w:sz w:val="24"/>
        </w:rPr>
        <w:t>一般公共预算财政拨款支出决算明细表............................................30页</w:t>
      </w:r>
    </w:p>
    <w:p>
      <w:pPr>
        <w:pStyle w:val="12"/>
        <w:adjustRightInd w:val="0"/>
        <w:snapToGrid w:val="0"/>
        <w:spacing w:line="440" w:lineRule="exact"/>
        <w:jc w:val="right"/>
        <w:rPr>
          <w:rFonts w:ascii="仿宋" w:hAnsi="仿宋" w:cstheme="minorBidi"/>
          <w:sz w:val="24"/>
        </w:rPr>
      </w:pPr>
      <w:r>
        <w:rPr>
          <w:rFonts w:hint="eastAsia" w:ascii="仿宋" w:hAnsi="仿宋" w:eastAsia="仿宋"/>
          <w:sz w:val="24"/>
        </w:rPr>
        <w:t>八、</w:t>
      </w:r>
      <w:r>
        <w:rPr>
          <w:rFonts w:hint="eastAsia"/>
          <w:sz w:val="24"/>
        </w:rPr>
        <w:t>一般公共预算财政拨款基本支出决算表...............................................30页</w:t>
      </w:r>
    </w:p>
    <w:p>
      <w:pPr>
        <w:pStyle w:val="12"/>
        <w:adjustRightInd w:val="0"/>
        <w:snapToGrid w:val="0"/>
        <w:spacing w:line="440" w:lineRule="exact"/>
        <w:jc w:val="right"/>
        <w:rPr>
          <w:rFonts w:ascii="仿宋" w:hAnsi="仿宋" w:cstheme="minorBidi"/>
          <w:sz w:val="24"/>
        </w:rPr>
      </w:pPr>
      <w:r>
        <w:rPr>
          <w:rFonts w:hint="eastAsia" w:ascii="仿宋" w:hAnsi="仿宋" w:eastAsia="仿宋"/>
          <w:sz w:val="24"/>
        </w:rPr>
        <w:t>九、</w:t>
      </w:r>
      <w:r>
        <w:rPr>
          <w:rFonts w:hint="eastAsia"/>
          <w:sz w:val="24"/>
        </w:rPr>
        <w:t>一般公共预算财政拨款项目支出决算表...............................................30页</w:t>
      </w:r>
    </w:p>
    <w:p>
      <w:pPr>
        <w:pStyle w:val="12"/>
        <w:adjustRightInd w:val="0"/>
        <w:snapToGrid w:val="0"/>
        <w:spacing w:line="440" w:lineRule="exact"/>
        <w:jc w:val="right"/>
        <w:rPr>
          <w:rFonts w:ascii="仿宋" w:hAnsi="仿宋" w:cstheme="minorBidi"/>
          <w:sz w:val="24"/>
        </w:rPr>
      </w:pPr>
      <w:r>
        <w:rPr>
          <w:rFonts w:hint="eastAsia" w:ascii="仿宋" w:hAnsi="仿宋" w:eastAsia="仿宋"/>
          <w:sz w:val="24"/>
        </w:rPr>
        <w:t>十、</w:t>
      </w:r>
      <w:r>
        <w:rPr>
          <w:rFonts w:hint="eastAsia"/>
          <w:sz w:val="24"/>
        </w:rPr>
        <w:t>一般公共预算财政拨款“三公”经费支出决算表..............................30页</w:t>
      </w:r>
    </w:p>
    <w:p>
      <w:pPr>
        <w:pStyle w:val="12"/>
        <w:adjustRightInd w:val="0"/>
        <w:snapToGrid w:val="0"/>
        <w:spacing w:line="440" w:lineRule="exact"/>
        <w:jc w:val="right"/>
        <w:rPr>
          <w:rFonts w:hint="eastAsia"/>
          <w:sz w:val="24"/>
        </w:rPr>
      </w:pPr>
      <w:r>
        <w:rPr>
          <w:rFonts w:hint="eastAsia" w:ascii="仿宋" w:hAnsi="仿宋" w:eastAsia="仿宋"/>
          <w:sz w:val="24"/>
        </w:rPr>
        <w:t>十一、</w:t>
      </w:r>
      <w:r>
        <w:rPr>
          <w:rFonts w:hint="eastAsia"/>
          <w:sz w:val="24"/>
        </w:rPr>
        <w:t>政府性基金预算财政拨款收入支出决算表.......................................30页</w:t>
      </w:r>
      <w:r>
        <w:rPr>
          <w:rFonts w:hint="eastAsia" w:ascii="仿宋" w:hAnsi="仿宋" w:eastAsia="仿宋"/>
          <w:sz w:val="24"/>
        </w:rPr>
        <w:t>十二、</w:t>
      </w:r>
      <w:r>
        <w:rPr>
          <w:rFonts w:hint="eastAsia"/>
          <w:sz w:val="24"/>
        </w:rPr>
        <w:t>政府性基金预算财政拨款“三公”经费支出决算表......................30页</w:t>
      </w:r>
      <w:r>
        <w:rPr>
          <w:rFonts w:hint="eastAsia" w:ascii="仿宋" w:hAnsi="仿宋" w:eastAsia="仿宋"/>
          <w:sz w:val="24"/>
        </w:rPr>
        <w:t>十三、</w:t>
      </w:r>
      <w:r>
        <w:rPr>
          <w:rFonts w:hint="eastAsia"/>
          <w:sz w:val="24"/>
        </w:rPr>
        <w:t>国有资本经营预算支出决算表..........................................................30</w:t>
      </w:r>
      <w:bookmarkStart w:id="77" w:name="_GoBack"/>
      <w:bookmarkEnd w:id="77"/>
      <w:r>
        <w:rPr>
          <w:rFonts w:hint="eastAsia"/>
          <w:sz w:val="24"/>
        </w:rPr>
        <w:t>页</w:t>
      </w:r>
      <w:bookmarkStart w:id="12" w:name="_Toc15377196"/>
      <w:bookmarkStart w:id="13" w:name="_Toc15396599"/>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jc w:val="center"/>
        <w:rPr>
          <w:rFonts w:ascii="黑体" w:eastAsia="黑体"/>
          <w:color w:val="000000"/>
          <w:sz w:val="32"/>
          <w:szCs w:val="32"/>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spacing w:line="360" w:lineRule="auto"/>
        <w:rPr>
          <w:rFonts w:ascii="仿宋" w:hAnsi="仿宋" w:eastAsia="仿宋"/>
          <w:sz w:val="32"/>
          <w:szCs w:val="32"/>
        </w:rPr>
      </w:pPr>
      <w:bookmarkStart w:id="16" w:name="_Toc15377198"/>
      <w:bookmarkStart w:id="17" w:name="_Toc15378445"/>
      <w:r>
        <w:rPr>
          <w:rFonts w:hint="eastAsia" w:ascii="仿宋" w:hAnsi="仿宋" w:eastAsia="仿宋"/>
          <w:bCs/>
          <w:color w:val="000000"/>
          <w:sz w:val="32"/>
          <w:szCs w:val="32"/>
        </w:rPr>
        <w:t>（一）</w:t>
      </w:r>
      <w:bookmarkEnd w:id="16"/>
      <w:bookmarkEnd w:id="17"/>
      <w:bookmarkStart w:id="18" w:name="_Toc15378446"/>
      <w:bookmarkStart w:id="19" w:name="_Toc15377199"/>
      <w:r>
        <w:rPr>
          <w:rFonts w:hint="eastAsia" w:ascii="仿宋" w:hAnsi="仿宋" w:eastAsia="仿宋"/>
          <w:sz w:val="32"/>
          <w:szCs w:val="32"/>
        </w:rPr>
        <w:t>主要职责：</w:t>
      </w:r>
    </w:p>
    <w:p>
      <w:pPr>
        <w:spacing w:line="360" w:lineRule="auto"/>
        <w:ind w:firstLine="787" w:firstLineChars="246"/>
        <w:rPr>
          <w:rFonts w:ascii="仿宋" w:hAnsi="仿宋" w:eastAsia="仿宋"/>
          <w:sz w:val="32"/>
          <w:szCs w:val="32"/>
        </w:rPr>
      </w:pPr>
      <w:r>
        <w:rPr>
          <w:rFonts w:hint="eastAsia" w:ascii="仿宋" w:hAnsi="仿宋" w:eastAsia="仿宋"/>
          <w:sz w:val="32"/>
          <w:szCs w:val="32"/>
        </w:rPr>
        <w:t>1、为维护城市环境卫生提供管理保障和为城市美化提供市容管理保障；</w:t>
      </w:r>
    </w:p>
    <w:p>
      <w:pPr>
        <w:spacing w:line="360" w:lineRule="auto"/>
        <w:ind w:firstLine="787" w:firstLineChars="246"/>
        <w:rPr>
          <w:rFonts w:ascii="仿宋" w:hAnsi="仿宋" w:eastAsia="仿宋"/>
          <w:sz w:val="32"/>
          <w:szCs w:val="32"/>
        </w:rPr>
      </w:pPr>
      <w:r>
        <w:rPr>
          <w:rFonts w:hint="eastAsia" w:ascii="仿宋" w:hAnsi="仿宋" w:eastAsia="仿宋"/>
          <w:sz w:val="32"/>
          <w:szCs w:val="32"/>
        </w:rPr>
        <w:t>2、城市环境卫生设施建设；</w:t>
      </w:r>
    </w:p>
    <w:p>
      <w:pPr>
        <w:spacing w:line="360" w:lineRule="auto"/>
        <w:ind w:firstLine="787" w:firstLineChars="246"/>
        <w:rPr>
          <w:rFonts w:ascii="仿宋" w:hAnsi="仿宋" w:eastAsia="仿宋"/>
          <w:sz w:val="32"/>
          <w:szCs w:val="32"/>
        </w:rPr>
      </w:pPr>
      <w:r>
        <w:rPr>
          <w:rFonts w:hint="eastAsia" w:ascii="仿宋" w:hAnsi="仿宋" w:eastAsia="仿宋"/>
          <w:sz w:val="32"/>
          <w:szCs w:val="32"/>
        </w:rPr>
        <w:t>3、城市环境卫生设施运营与维护；</w:t>
      </w:r>
    </w:p>
    <w:p>
      <w:pPr>
        <w:spacing w:line="360" w:lineRule="auto"/>
        <w:ind w:firstLine="787" w:firstLineChars="246"/>
        <w:rPr>
          <w:rFonts w:ascii="仿宋" w:hAnsi="仿宋" w:eastAsia="仿宋"/>
          <w:sz w:val="32"/>
          <w:szCs w:val="32"/>
        </w:rPr>
      </w:pPr>
      <w:r>
        <w:rPr>
          <w:rFonts w:hint="eastAsia" w:ascii="仿宋" w:hAnsi="仿宋" w:eastAsia="仿宋"/>
          <w:sz w:val="32"/>
          <w:szCs w:val="32"/>
        </w:rPr>
        <w:t>4、城市环境卫生监督；</w:t>
      </w:r>
    </w:p>
    <w:p>
      <w:pPr>
        <w:spacing w:line="360" w:lineRule="auto"/>
        <w:ind w:firstLine="787" w:firstLineChars="246"/>
        <w:rPr>
          <w:rFonts w:ascii="仿宋" w:hAnsi="仿宋" w:eastAsia="仿宋"/>
          <w:sz w:val="32"/>
          <w:szCs w:val="32"/>
        </w:rPr>
      </w:pPr>
      <w:r>
        <w:rPr>
          <w:rFonts w:hint="eastAsia" w:ascii="仿宋" w:hAnsi="仿宋" w:eastAsia="仿宋"/>
          <w:sz w:val="32"/>
          <w:szCs w:val="32"/>
        </w:rPr>
        <w:t>5、城市环境卫生作业管理。</w:t>
      </w:r>
    </w:p>
    <w:p>
      <w:pPr>
        <w:spacing w:line="360" w:lineRule="auto"/>
        <w:rPr>
          <w:rFonts w:ascii="仿宋" w:hAnsi="仿宋" w:eastAsia="仿宋"/>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spacing w:line="360" w:lineRule="auto"/>
        <w:ind w:firstLine="944" w:firstLineChars="295"/>
        <w:rPr>
          <w:rFonts w:ascii="仿宋" w:hAnsi="仿宋" w:eastAsia="仿宋"/>
          <w:sz w:val="32"/>
          <w:szCs w:val="32"/>
        </w:rPr>
      </w:pPr>
      <w:bookmarkStart w:id="20" w:name="_Toc15396601"/>
      <w:bookmarkStart w:id="21" w:name="_Toc15377200"/>
      <w:r>
        <w:rPr>
          <w:rFonts w:hint="eastAsia" w:ascii="仿宋" w:hAnsi="仿宋" w:eastAsia="仿宋"/>
          <w:sz w:val="32"/>
          <w:szCs w:val="32"/>
        </w:rPr>
        <w:t>2019年重点工作任务：</w:t>
      </w:r>
    </w:p>
    <w:p>
      <w:pPr>
        <w:spacing w:line="360" w:lineRule="auto"/>
        <w:ind w:firstLine="630"/>
        <w:rPr>
          <w:rFonts w:ascii="仿宋" w:hAnsi="仿宋" w:eastAsia="仿宋"/>
          <w:sz w:val="32"/>
          <w:szCs w:val="32"/>
        </w:rPr>
      </w:pPr>
      <w:r>
        <w:rPr>
          <w:rFonts w:hint="eastAsia" w:ascii="仿宋" w:hAnsi="仿宋" w:eastAsia="仿宋"/>
          <w:sz w:val="32"/>
          <w:szCs w:val="32"/>
        </w:rPr>
        <w:t>洒水降尘、垃圾清运；辖区内的市容环境卫生监督、检查及管理。做好“创建文明城市”复检工作。</w:t>
      </w:r>
    </w:p>
    <w:p>
      <w:pPr>
        <w:pStyle w:val="3"/>
        <w:numPr>
          <w:ilvl w:val="0"/>
          <w:numId w:val="1"/>
        </w:numPr>
        <w:rPr>
          <w:rStyle w:val="26"/>
          <w:b w:val="0"/>
          <w:bCs w:val="0"/>
        </w:rPr>
      </w:pP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adjustRightInd w:val="0"/>
        <w:snapToGrid w:val="0"/>
        <w:spacing w:before="72" w:line="600" w:lineRule="exact"/>
        <w:ind w:firstLine="1120" w:firstLineChars="350"/>
        <w:rPr>
          <w:rFonts w:ascii="仿宋" w:hAnsi="仿宋" w:eastAsia="仿宋"/>
          <w:color w:val="000000"/>
          <w:sz w:val="32"/>
          <w:szCs w:val="32"/>
        </w:rPr>
      </w:pPr>
      <w:bookmarkStart w:id="22" w:name="_Toc15377432"/>
      <w:bookmarkStart w:id="23" w:name="_Toc15378448"/>
      <w:bookmarkStart w:id="24" w:name="_Toc15306275"/>
      <w:bookmarkStart w:id="25" w:name="_Toc15377201"/>
      <w:r>
        <w:rPr>
          <w:rFonts w:hint="eastAsia" w:ascii="仿宋" w:hAnsi="仿宋" w:eastAsia="仿宋"/>
          <w:sz w:val="32"/>
          <w:szCs w:val="32"/>
        </w:rPr>
        <w:t>西区市容环境卫生管理服务中心属参照公务员法管理的事业单位</w:t>
      </w:r>
      <w:r>
        <w:rPr>
          <w:rFonts w:hint="eastAsia" w:ascii="仿宋" w:hAnsi="仿宋" w:eastAsia="仿宋"/>
          <w:bCs/>
          <w:sz w:val="32"/>
          <w:szCs w:val="32"/>
        </w:rPr>
        <w:t>1</w:t>
      </w:r>
      <w:r>
        <w:rPr>
          <w:rFonts w:hint="eastAsia" w:ascii="仿宋" w:hAnsi="仿宋" w:eastAsia="仿宋"/>
          <w:sz w:val="32"/>
          <w:szCs w:val="32"/>
        </w:rPr>
        <w:t>个，无其他事业单位</w:t>
      </w:r>
      <w:bookmarkEnd w:id="22"/>
      <w:bookmarkEnd w:id="23"/>
      <w:bookmarkEnd w:id="24"/>
      <w:bookmarkEnd w:id="25"/>
      <w:r>
        <w:rPr>
          <w:rFonts w:hint="eastAsia" w:ascii="仿宋" w:hAnsi="仿宋" w:eastAsia="仿宋"/>
          <w:color w:val="000000"/>
          <w:sz w:val="32"/>
          <w:szCs w:val="32"/>
        </w:rPr>
        <w:t>。</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6" w:name="_Toc15377204"/>
      <w:bookmarkStart w:id="27" w:name="_Toc15396602"/>
      <w:r>
        <w:rPr>
          <w:rFonts w:hint="eastAsia" w:ascii="黑体" w:hAnsi="黑体" w:eastAsia="黑体"/>
          <w:b w:val="0"/>
          <w:color w:val="000000"/>
        </w:rPr>
        <w:t>第二部分</w:t>
      </w:r>
      <w:r>
        <w:rPr>
          <w:rStyle w:val="25"/>
          <w:rFonts w:hint="eastAsia" w:ascii="黑体" w:hAnsi="黑体" w:eastAsia="黑体"/>
          <w:b w:val="0"/>
          <w:bCs w:val="0"/>
        </w:rPr>
        <w:t>2019年度部门决算情况说明</w:t>
      </w:r>
      <w:bookmarkEnd w:id="26"/>
      <w:bookmarkEnd w:id="27"/>
    </w:p>
    <w:p/>
    <w:p>
      <w:pPr>
        <w:pStyle w:val="24"/>
        <w:numPr>
          <w:ilvl w:val="0"/>
          <w:numId w:val="2"/>
        </w:numPr>
        <w:spacing w:line="600" w:lineRule="exact"/>
        <w:ind w:firstLineChars="0"/>
        <w:outlineLvl w:val="1"/>
        <w:rPr>
          <w:rStyle w:val="26"/>
          <w:rFonts w:ascii="黑体" w:hAnsi="黑体" w:eastAsia="黑体"/>
          <w:b w:val="0"/>
        </w:rPr>
      </w:pPr>
      <w:bookmarkStart w:id="28" w:name="_Toc15377205"/>
      <w:bookmarkStart w:id="29"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8"/>
      <w:bookmarkEnd w:id="29"/>
    </w:p>
    <w:p>
      <w:pPr>
        <w:spacing w:line="600" w:lineRule="exact"/>
        <w:ind w:firstLine="1120" w:firstLineChars="350"/>
        <w:rPr>
          <w:rFonts w:ascii="仿宋" w:hAnsi="仿宋" w:eastAsia="仿宋"/>
          <w:color w:val="000000"/>
          <w:sz w:val="32"/>
          <w:szCs w:val="32"/>
        </w:rPr>
      </w:pPr>
      <w:r>
        <w:rPr>
          <w:rFonts w:hint="eastAsia" w:ascii="仿宋" w:hAnsi="仿宋" w:eastAsia="仿宋"/>
          <w:color w:val="000000"/>
          <w:sz w:val="32"/>
          <w:szCs w:val="32"/>
        </w:rPr>
        <w:t>2019年度收入支出总计897.58万元。与2018年相比，收、支总计增加14.09万元，</w:t>
      </w:r>
      <w:r>
        <w:rPr>
          <w:rFonts w:hint="eastAsia" w:ascii="仿宋" w:hAnsi="仿宋" w:eastAsia="仿宋"/>
          <w:sz w:val="32"/>
          <w:szCs w:val="32"/>
        </w:rPr>
        <w:t>增长1.6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sz w:val="32"/>
          <w:szCs w:val="32"/>
        </w:rPr>
        <w:t>主要变动原因是临聘人员、办公费及环卫经费增加。</w:t>
      </w:r>
    </w:p>
    <w:p>
      <w:pPr>
        <w:spacing w:line="600" w:lineRule="exact"/>
        <w:ind w:firstLine="640" w:firstLineChars="200"/>
        <w:rPr>
          <w:rFonts w:ascii="仿宋" w:hAnsi="仿宋" w:eastAsia="仿宋"/>
          <w:color w:val="000000" w:themeColor="text1"/>
          <w:sz w:val="32"/>
          <w:szCs w:val="32"/>
        </w:rPr>
      </w:pPr>
    </w:p>
    <w:p>
      <w:pPr>
        <w:spacing w:line="600" w:lineRule="exact"/>
        <w:rPr>
          <w:rFonts w:ascii="仿宋" w:hAnsi="仿宋" w:eastAsia="仿宋"/>
          <w:color w:val="000000"/>
          <w:sz w:val="32"/>
          <w:szCs w:val="32"/>
        </w:rPr>
      </w:pPr>
      <w:bookmarkStart w:id="30" w:name="_Toc15396604"/>
      <w:bookmarkStart w:id="31" w:name="_Toc15377206"/>
      <w:r>
        <w:rPr>
          <w:rFonts w:hint="eastAsia" w:ascii="仿宋" w:hAnsi="仿宋" w:eastAsia="仿宋"/>
          <w:color w:val="000000"/>
          <w:sz w:val="32"/>
          <w:szCs w:val="32"/>
        </w:rPr>
        <w:drawing>
          <wp:anchor distT="0" distB="0" distL="114300" distR="114300" simplePos="0" relativeHeight="251660288" behindDoc="1" locked="0" layoutInCell="1" allowOverlap="1">
            <wp:simplePos x="0" y="0"/>
            <wp:positionH relativeFrom="column">
              <wp:posOffset>113030</wp:posOffset>
            </wp:positionH>
            <wp:positionV relativeFrom="paragraph">
              <wp:posOffset>1270</wp:posOffset>
            </wp:positionV>
            <wp:extent cx="3665855" cy="2440940"/>
            <wp:effectExtent l="0" t="0" r="0" b="0"/>
            <wp:wrapNone/>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pStyle w:val="24"/>
        <w:numPr>
          <w:ilvl w:val="0"/>
          <w:numId w:val="2"/>
        </w:numPr>
        <w:spacing w:line="600" w:lineRule="exact"/>
        <w:ind w:firstLineChars="0"/>
        <w:outlineLvl w:val="1"/>
        <w:rPr>
          <w:rStyle w:val="26"/>
          <w:rFonts w:ascii="黑体" w:hAnsi="黑体" w:eastAsia="黑体"/>
          <w:b w:val="0"/>
        </w:rPr>
      </w:pPr>
      <w:r>
        <w:rPr>
          <w:rFonts w:hint="eastAsia" w:ascii="黑体" w:hAnsi="黑体" w:eastAsia="黑体"/>
          <w:color w:val="000000"/>
          <w:sz w:val="32"/>
          <w:szCs w:val="32"/>
        </w:rPr>
        <w:t>收</w:t>
      </w:r>
      <w:r>
        <w:rPr>
          <w:rStyle w:val="26"/>
          <w:rFonts w:hint="eastAsia" w:ascii="黑体" w:hAnsi="黑体" w:eastAsia="黑体"/>
          <w:b w:val="0"/>
        </w:rPr>
        <w:t>入决算情况说明</w:t>
      </w:r>
      <w:bookmarkEnd w:id="30"/>
      <w:bookmarkEnd w:id="31"/>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9年本年收入合计811.44万元，其中：一般公共预算财政拨款收入544.66万元，占67</w:t>
      </w:r>
      <w:r>
        <w:rPr>
          <w:rFonts w:ascii="仿宋" w:hAnsi="仿宋" w:eastAsia="仿宋"/>
          <w:color w:val="000000"/>
          <w:sz w:val="32"/>
          <w:szCs w:val="32"/>
        </w:rPr>
        <w:t>%</w:t>
      </w:r>
      <w:r>
        <w:rPr>
          <w:rFonts w:hint="eastAsia" w:ascii="仿宋" w:hAnsi="仿宋" w:eastAsia="仿宋"/>
          <w:color w:val="000000"/>
          <w:sz w:val="32"/>
          <w:szCs w:val="32"/>
        </w:rPr>
        <w:t>；政府性基金预算财政拨款收入266.6万元，占32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；其他收入0.17万元，占1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59264" behindDoc="0" locked="0" layoutInCell="1" allowOverlap="1">
            <wp:simplePos x="0" y="0"/>
            <wp:positionH relativeFrom="column">
              <wp:posOffset>709295</wp:posOffset>
            </wp:positionH>
            <wp:positionV relativeFrom="paragraph">
              <wp:posOffset>635</wp:posOffset>
            </wp:positionV>
            <wp:extent cx="2559685" cy="1709420"/>
            <wp:effectExtent l="0" t="0" r="0" b="0"/>
            <wp:wrapNone/>
            <wp:docPr id="6"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w:t>
      </w:r>
    </w:p>
    <w:p>
      <w:pPr>
        <w:pStyle w:val="24"/>
        <w:numPr>
          <w:ilvl w:val="0"/>
          <w:numId w:val="2"/>
        </w:numPr>
        <w:spacing w:line="600" w:lineRule="exact"/>
        <w:ind w:firstLineChars="0"/>
        <w:outlineLvl w:val="1"/>
        <w:rPr>
          <w:rStyle w:val="26"/>
          <w:rFonts w:ascii="黑体" w:hAnsi="黑体" w:eastAsia="黑体"/>
          <w:b w:val="0"/>
        </w:rPr>
      </w:pPr>
      <w:bookmarkStart w:id="32" w:name="_Toc15377207"/>
      <w:bookmarkStart w:id="33"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32"/>
      <w:bookmarkEnd w:id="33"/>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9年本年支出合计897.41万元，其中：基本支出559.67万元，占62</w:t>
      </w:r>
      <w:r>
        <w:rPr>
          <w:rFonts w:ascii="仿宋" w:hAnsi="仿宋" w:eastAsia="仿宋"/>
          <w:color w:val="000000"/>
          <w:sz w:val="32"/>
          <w:szCs w:val="32"/>
        </w:rPr>
        <w:t>%</w:t>
      </w:r>
      <w:r>
        <w:rPr>
          <w:rFonts w:hint="eastAsia" w:ascii="仿宋" w:hAnsi="仿宋" w:eastAsia="仿宋"/>
          <w:color w:val="000000"/>
          <w:sz w:val="32"/>
          <w:szCs w:val="32"/>
        </w:rPr>
        <w:t>；项目支出337.74万元，占38</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1312" behindDoc="1" locked="0" layoutInCell="1" allowOverlap="1">
            <wp:simplePos x="0" y="0"/>
            <wp:positionH relativeFrom="column">
              <wp:posOffset>502920</wp:posOffset>
            </wp:positionH>
            <wp:positionV relativeFrom="paragraph">
              <wp:posOffset>290195</wp:posOffset>
            </wp:positionV>
            <wp:extent cx="2742565" cy="1828800"/>
            <wp:effectExtent l="0" t="0" r="635" b="0"/>
            <wp:wrapNone/>
            <wp:docPr id="1"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w:t>
      </w:r>
    </w:p>
    <w:p>
      <w:pPr>
        <w:spacing w:line="600" w:lineRule="exact"/>
        <w:ind w:firstLine="640" w:firstLineChars="200"/>
        <w:outlineLvl w:val="1"/>
        <w:rPr>
          <w:rStyle w:val="26"/>
          <w:rFonts w:ascii="黑体" w:hAnsi="黑体" w:eastAsia="黑体"/>
          <w:b w:val="0"/>
        </w:rPr>
      </w:pPr>
      <w:bookmarkStart w:id="34" w:name="_Toc15396606"/>
      <w:bookmarkStart w:id="35"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4"/>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9年财政拨款收、支总计897.58万元。与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8年相比，财政拨款收、支总计均增加14.09万元，增长1.6</w:t>
      </w:r>
      <w:r>
        <w:rPr>
          <w:rFonts w:ascii="仿宋" w:hAnsi="仿宋" w:eastAsia="仿宋"/>
          <w:color w:val="000000"/>
          <w:sz w:val="32"/>
          <w:szCs w:val="32"/>
        </w:rPr>
        <w:t>%</w:t>
      </w:r>
      <w:r>
        <w:rPr>
          <w:rFonts w:hint="eastAsia" w:ascii="仿宋" w:hAnsi="仿宋" w:eastAsia="仿宋"/>
          <w:color w:val="000000"/>
          <w:sz w:val="32"/>
          <w:szCs w:val="32"/>
        </w:rPr>
        <w:t>。主要变动原因是临聘人员、办公费及环卫经费增加。</w:t>
      </w:r>
    </w:p>
    <w:p>
      <w:pPr>
        <w:spacing w:line="600" w:lineRule="exact"/>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1" locked="0" layoutInCell="1" allowOverlap="1">
            <wp:simplePos x="0" y="0"/>
            <wp:positionH relativeFrom="column">
              <wp:posOffset>264160</wp:posOffset>
            </wp:positionH>
            <wp:positionV relativeFrom="paragraph">
              <wp:posOffset>161925</wp:posOffset>
            </wp:positionV>
            <wp:extent cx="3665220" cy="2440940"/>
            <wp:effectExtent l="0" t="0" r="0" b="0"/>
            <wp:wrapNone/>
            <wp:docPr id="4"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b/>
          <w:color w:val="00B050"/>
          <w:sz w:val="32"/>
          <w:szCs w:val="32"/>
        </w:rPr>
      </w:pPr>
      <w:r>
        <w:rPr>
          <w:rFonts w:hint="eastAsia" w:ascii="仿宋" w:hAnsi="仿宋" w:eastAsia="仿宋"/>
          <w:color w:val="000000" w:themeColor="text1"/>
          <w:sz w:val="32"/>
          <w:szCs w:val="32"/>
        </w:rPr>
        <w:t>（图4：财政拨款收、支决算总计变动情况）</w:t>
      </w:r>
    </w:p>
    <w:p>
      <w:pPr>
        <w:spacing w:line="600" w:lineRule="exact"/>
        <w:ind w:firstLine="640" w:firstLineChars="200"/>
        <w:outlineLvl w:val="1"/>
        <w:rPr>
          <w:rStyle w:val="26"/>
          <w:rFonts w:ascii="黑体" w:hAnsi="黑体" w:eastAsia="黑体"/>
          <w:b w:val="0"/>
        </w:rPr>
      </w:pPr>
      <w:bookmarkStart w:id="36" w:name="_Toc15377209"/>
      <w:bookmarkStart w:id="37"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9年一般公共预算财政拨款支出559.67万元，占本年支出合计的62.37</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8年相比，一般公共预算财政拨款支出</w:t>
      </w:r>
      <w:r>
        <w:rPr>
          <w:rFonts w:hint="eastAsia" w:ascii="仿宋" w:hAnsi="仿宋" w:eastAsia="仿宋"/>
          <w:color w:val="000000"/>
          <w:sz w:val="32"/>
          <w:szCs w:val="32"/>
          <w:lang w:eastAsia="zh-CN"/>
        </w:rPr>
        <w:t>减少</w:t>
      </w:r>
      <w:r>
        <w:rPr>
          <w:rFonts w:hint="eastAsia" w:ascii="仿宋" w:hAnsi="仿宋" w:eastAsia="仿宋"/>
          <w:color w:val="000000"/>
          <w:sz w:val="32"/>
          <w:szCs w:val="32"/>
        </w:rPr>
        <w:t>261.47万元，</w:t>
      </w:r>
      <w:r>
        <w:rPr>
          <w:rFonts w:hint="eastAsia" w:ascii="仿宋" w:hAnsi="仿宋" w:eastAsia="仿宋"/>
          <w:color w:val="000000"/>
          <w:sz w:val="32"/>
          <w:szCs w:val="32"/>
          <w:lang w:eastAsia="zh-CN"/>
        </w:rPr>
        <w:t>降低</w:t>
      </w:r>
      <w:r>
        <w:rPr>
          <w:rFonts w:hint="eastAsia" w:ascii="仿宋" w:hAnsi="仿宋" w:eastAsia="仿宋"/>
          <w:color w:val="000000"/>
          <w:sz w:val="32"/>
          <w:szCs w:val="32"/>
          <w:lang w:val="en-US" w:eastAsia="zh-CN"/>
        </w:rPr>
        <w:t>32.21</w:t>
      </w:r>
      <w:r>
        <w:rPr>
          <w:rFonts w:ascii="仿宋" w:hAnsi="仿宋" w:eastAsia="仿宋"/>
          <w:color w:val="000000"/>
          <w:sz w:val="32"/>
          <w:szCs w:val="32"/>
        </w:rPr>
        <w:t>%</w:t>
      </w:r>
      <w:r>
        <w:rPr>
          <w:rFonts w:hint="eastAsia" w:ascii="仿宋" w:hAnsi="仿宋" w:eastAsia="仿宋"/>
          <w:color w:val="000000"/>
          <w:sz w:val="32"/>
          <w:szCs w:val="32"/>
        </w:rPr>
        <w:t xml:space="preserve">。主要变动原因是2019年增加政府性基金预算及临聘人员、办公费增加。 </w:t>
      </w:r>
    </w:p>
    <w:p>
      <w:pPr>
        <w:spacing w:line="600" w:lineRule="exact"/>
        <w:ind w:firstLine="420" w:firstLineChars="200"/>
        <w:rPr>
          <w:rFonts w:ascii="仿宋" w:hAnsi="仿宋" w:eastAsia="仿宋"/>
          <w:color w:val="000000"/>
          <w:sz w:val="24"/>
        </w:rPr>
      </w:pPr>
      <w:r>
        <w:rPr>
          <w:rFonts w:ascii="仿宋" w:hAnsi="仿宋" w:eastAsia="仿宋"/>
          <w:color w:val="000000"/>
          <w:szCs w:val="21"/>
        </w:rPr>
        <w:pict>
          <v:roundrect id="_x0000_s1036" o:spid="_x0000_s1036" o:spt="2" style="position:absolute;left:0pt;margin-left:176.25pt;margin-top:24.75pt;height:95.25pt;width:32.25pt;z-index:251666432;mso-width-relative:page;mso-height-relative:page;" fillcolor="#C0504D [3205]" filled="t" stroked="t" coordsize="21600,21600" arcsize="0.166666666666667">
            <v:path/>
            <v:fill on="t" focussize="0,0"/>
            <v:stroke weight="3pt" color="#F2F2F2 [3041]"/>
            <v:imagedata o:title=""/>
            <o:lock v:ext="edit"/>
            <v:shadow on="t" type="perspective" color="#622423 [1605]" opacity="32768f" offset="1pt,2pt" offset2="-1pt,-2pt"/>
          </v:roundrect>
        </w:pict>
      </w:r>
      <w:r>
        <w:rPr>
          <w:rFonts w:hint="eastAsia" w:ascii="仿宋" w:hAnsi="仿宋" w:eastAsia="仿宋"/>
          <w:color w:val="000000"/>
          <w:sz w:val="32"/>
          <w:szCs w:val="32"/>
        </w:rPr>
        <w:t xml:space="preserve">                    </w:t>
      </w:r>
      <w:r>
        <w:rPr>
          <w:rFonts w:hint="eastAsia" w:ascii="仿宋" w:hAnsi="仿宋" w:eastAsia="仿宋"/>
          <w:color w:val="000000"/>
          <w:sz w:val="24"/>
        </w:rPr>
        <w:t xml:space="preserve">821.14  </w:t>
      </w:r>
    </w:p>
    <w:p>
      <w:pPr>
        <w:spacing w:line="600" w:lineRule="exact"/>
        <w:rPr>
          <w:rFonts w:ascii="仿宋" w:hAnsi="仿宋" w:eastAsia="仿宋"/>
          <w:color w:val="000000"/>
          <w:szCs w:val="21"/>
        </w:rPr>
      </w:pPr>
      <w:r>
        <w:rPr>
          <w:rFonts w:ascii="仿宋" w:hAnsi="仿宋" w:eastAsia="仿宋"/>
          <w:color w:val="000000"/>
          <w:szCs w:val="21"/>
        </w:rPr>
        <w:pict>
          <v:roundrect id="_x0000_s1035" o:spid="_x0000_s1035" o:spt="2" style="position:absolute;left:0pt;margin-left:117.75pt;margin-top:24.75pt;height:69.75pt;width:33pt;z-index:251665408;mso-width-relative:page;mso-height-relative:page;" fillcolor="#9BBB59 [3206]" filled="t" stroked="t" coordsize="21600,21600" arcsize="0.166666666666667">
            <v:path/>
            <v:fill on="t" focussize="0,0"/>
            <v:stroke weight="3pt" color="#F2F2F2 [3041]"/>
            <v:imagedata o:title=""/>
            <o:lock v:ext="edit"/>
            <v:shadow on="t" type="perspective" color="#4E6128 [1606]" opacity="32768f" offset="1pt,2pt" offset2="-1pt,-2pt"/>
          </v:roundrect>
        </w:pict>
      </w:r>
      <w:r>
        <w:rPr>
          <w:rFonts w:hint="eastAsia" w:ascii="仿宋" w:hAnsi="仿宋" w:eastAsia="仿宋"/>
          <w:color w:val="000000"/>
          <w:szCs w:val="21"/>
        </w:rPr>
        <w:t xml:space="preserve">                     559.67</w:t>
      </w:r>
    </w:p>
    <w:p>
      <w:pPr>
        <w:spacing w:line="600" w:lineRule="exact"/>
        <w:rPr>
          <w:rFonts w:ascii="仿宋" w:hAnsi="仿宋" w:eastAsia="仿宋"/>
          <w:color w:val="000000"/>
          <w:szCs w:val="21"/>
        </w:rPr>
      </w:pPr>
    </w:p>
    <w:p>
      <w:pPr>
        <w:spacing w:line="600" w:lineRule="exact"/>
        <w:rPr>
          <w:rFonts w:ascii="仿宋" w:hAnsi="仿宋" w:eastAsia="仿宋"/>
          <w:color w:val="000000"/>
          <w:szCs w:val="21"/>
        </w:rPr>
      </w:pPr>
    </w:p>
    <w:p>
      <w:pPr>
        <w:spacing w:line="600" w:lineRule="exact"/>
        <w:rPr>
          <w:rFonts w:ascii="仿宋" w:hAnsi="仿宋" w:eastAsia="仿宋"/>
          <w:color w:val="000000"/>
          <w:szCs w:val="21"/>
        </w:rPr>
      </w:pPr>
    </w:p>
    <w:p>
      <w:pPr>
        <w:spacing w:line="600" w:lineRule="exact"/>
        <w:ind w:firstLine="315" w:firstLineChars="150"/>
        <w:rPr>
          <w:rFonts w:ascii="仿宋" w:hAnsi="仿宋" w:eastAsia="仿宋"/>
          <w:color w:val="000000"/>
          <w:szCs w:val="21"/>
        </w:rPr>
      </w:pPr>
      <w:r>
        <w:rPr>
          <w:rFonts w:hint="eastAsia" w:ascii="仿宋" w:hAnsi="仿宋" w:eastAsia="仿宋"/>
          <w:color w:val="000000"/>
          <w:szCs w:val="21"/>
        </w:rPr>
        <w:t xml:space="preserve">                       2019年     2018年</w:t>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39" w:name="_Toc15377211"/>
      <w:r>
        <w:rPr>
          <w:rFonts w:hint="eastAsia" w:ascii="仿宋" w:hAnsi="仿宋" w:eastAsia="仿宋"/>
          <w:b/>
          <w:color w:val="000000"/>
          <w:sz w:val="32"/>
          <w:szCs w:val="32"/>
        </w:rPr>
        <w:t>（二）一般公共预算财政拨款支出决算结构情况</w:t>
      </w:r>
      <w:bookmarkEnd w:id="39"/>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政拨款支出559.67万元，主要用于以下方面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城乡社区支出（类）</w:t>
      </w:r>
      <w:r>
        <w:rPr>
          <w:rFonts w:hint="eastAsia" w:ascii="仿宋" w:hAnsi="仿宋" w:eastAsia="仿宋"/>
          <w:color w:val="000000" w:themeColor="text1"/>
          <w:sz w:val="32"/>
          <w:szCs w:val="32"/>
        </w:rPr>
        <w:t>支出480.09万元，占86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支出31.43万元，占6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18.15万元，占3</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；住房保障支出30万元，占5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4384" behindDoc="0" locked="0" layoutInCell="1" allowOverlap="1">
            <wp:simplePos x="0" y="0"/>
            <wp:positionH relativeFrom="column">
              <wp:posOffset>637540</wp:posOffset>
            </wp:positionH>
            <wp:positionV relativeFrom="paragraph">
              <wp:posOffset>8890</wp:posOffset>
            </wp:positionV>
            <wp:extent cx="3776345" cy="2313305"/>
            <wp:effectExtent l="0" t="0" r="0" b="0"/>
            <wp:wrapSquare wrapText="right"/>
            <wp:docPr id="3"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pPr>
        <w:spacing w:line="600" w:lineRule="exact"/>
        <w:ind w:firstLine="643" w:firstLineChars="200"/>
        <w:outlineLvl w:val="2"/>
        <w:rPr>
          <w:rFonts w:ascii="仿宋" w:hAnsi="仿宋" w:eastAsia="仿宋"/>
          <w:color w:val="FF0000"/>
          <w:sz w:val="32"/>
          <w:szCs w:val="32"/>
        </w:rPr>
      </w:pPr>
      <w:bookmarkStart w:id="41" w:name="_Toc15377444"/>
      <w:bookmarkStart w:id="42" w:name="_Toc15378460"/>
      <w:bookmarkStart w:id="43" w:name="_Toc15377213"/>
      <w:r>
        <w:rPr>
          <w:rFonts w:hint="eastAsia" w:ascii="仿宋" w:hAnsi="仿宋" w:eastAsia="仿宋"/>
          <w:b/>
          <w:color w:val="000000" w:themeColor="text1"/>
          <w:sz w:val="32"/>
          <w:szCs w:val="32"/>
        </w:rPr>
        <w:t>2019年般公共预算支出决算数为559.67万元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41"/>
      <w:bookmarkEnd w:id="42"/>
      <w:bookmarkEnd w:id="43"/>
    </w:p>
    <w:p>
      <w:pPr>
        <w:spacing w:line="600" w:lineRule="exact"/>
        <w:ind w:firstLine="643" w:firstLineChars="200"/>
        <w:rPr>
          <w:rStyle w:val="14"/>
          <w:rFonts w:ascii="仿宋" w:hAnsi="仿宋" w:eastAsia="仿宋"/>
          <w:b w:val="0"/>
          <w:color w:val="000000"/>
          <w:sz w:val="32"/>
          <w:szCs w:val="32"/>
        </w:rPr>
      </w:pPr>
      <w:r>
        <w:rPr>
          <w:rStyle w:val="14"/>
          <w:rFonts w:hint="eastAsia" w:ascii="仿宋" w:hAnsi="仿宋" w:eastAsia="仿宋"/>
          <w:color w:val="000000"/>
          <w:sz w:val="32"/>
          <w:szCs w:val="32"/>
        </w:rPr>
        <w:t>1.社会保障和就业（2080504）未归口管理的行政单位离退休:2019年</w:t>
      </w:r>
      <w:r>
        <w:rPr>
          <w:rStyle w:val="14"/>
          <w:rFonts w:hint="eastAsia" w:ascii="仿宋" w:hAnsi="仿宋" w:eastAsia="仿宋"/>
          <w:b w:val="0"/>
          <w:color w:val="000000"/>
          <w:sz w:val="32"/>
          <w:szCs w:val="32"/>
        </w:rPr>
        <w:t>支出决算为</w:t>
      </w:r>
      <w:r>
        <w:rPr>
          <w:rFonts w:hint="eastAsia" w:ascii="仿宋" w:hAnsi="仿宋" w:eastAsia="仿宋"/>
          <w:color w:val="000000"/>
          <w:sz w:val="32"/>
          <w:szCs w:val="32"/>
        </w:rPr>
        <w:t>7.31</w:t>
      </w:r>
      <w:r>
        <w:rPr>
          <w:rStyle w:val="14"/>
          <w:rFonts w:hint="eastAsia" w:ascii="仿宋" w:hAnsi="仿宋" w:eastAsia="仿宋"/>
          <w:b w:val="0"/>
          <w:color w:val="000000"/>
          <w:sz w:val="32"/>
          <w:szCs w:val="32"/>
        </w:rPr>
        <w:t>万元，完成预算100%。</w:t>
      </w:r>
    </w:p>
    <w:p>
      <w:pPr>
        <w:spacing w:line="600" w:lineRule="exact"/>
        <w:ind w:firstLine="643" w:firstLineChars="200"/>
        <w:rPr>
          <w:rStyle w:val="14"/>
          <w:rFonts w:ascii="仿宋" w:hAnsi="仿宋" w:eastAsia="仿宋"/>
          <w:b w:val="0"/>
          <w:color w:val="000000"/>
          <w:sz w:val="32"/>
          <w:szCs w:val="32"/>
        </w:rPr>
      </w:pPr>
      <w:r>
        <w:rPr>
          <w:rStyle w:val="14"/>
          <w:rFonts w:hint="eastAsia" w:ascii="仿宋" w:hAnsi="仿宋" w:eastAsia="仿宋"/>
          <w:color w:val="000000"/>
          <w:sz w:val="32"/>
          <w:szCs w:val="32"/>
        </w:rPr>
        <w:t>2.社会保障和就业（2080505）机关事业单位基本养老保险缴费支出:2019年</w:t>
      </w:r>
      <w:r>
        <w:rPr>
          <w:rStyle w:val="14"/>
          <w:rFonts w:hint="eastAsia" w:ascii="仿宋" w:hAnsi="仿宋" w:eastAsia="仿宋"/>
          <w:b w:val="0"/>
          <w:color w:val="000000"/>
          <w:sz w:val="32"/>
          <w:szCs w:val="32"/>
        </w:rPr>
        <w:t>支出决算为</w:t>
      </w:r>
      <w:r>
        <w:rPr>
          <w:rFonts w:hint="eastAsia" w:ascii="仿宋" w:hAnsi="仿宋" w:eastAsia="仿宋"/>
          <w:color w:val="000000"/>
          <w:sz w:val="32"/>
          <w:szCs w:val="32"/>
        </w:rPr>
        <w:t>24.12</w:t>
      </w:r>
      <w:r>
        <w:rPr>
          <w:rStyle w:val="14"/>
          <w:rFonts w:hint="eastAsia" w:ascii="仿宋" w:hAnsi="仿宋" w:eastAsia="仿宋"/>
          <w:b w:val="0"/>
          <w:color w:val="000000"/>
          <w:sz w:val="32"/>
          <w:szCs w:val="32"/>
        </w:rPr>
        <w:t>万元，完成预算100%。</w:t>
      </w:r>
    </w:p>
    <w:p>
      <w:pPr>
        <w:spacing w:line="600" w:lineRule="exact"/>
        <w:ind w:firstLine="643" w:firstLineChars="200"/>
        <w:rPr>
          <w:rStyle w:val="14"/>
          <w:rFonts w:ascii="仿宋" w:hAnsi="仿宋" w:eastAsia="仿宋"/>
          <w:b w:val="0"/>
          <w:color w:val="000000"/>
          <w:sz w:val="32"/>
          <w:szCs w:val="32"/>
        </w:rPr>
      </w:pPr>
      <w:r>
        <w:rPr>
          <w:rFonts w:hint="eastAsia" w:ascii="仿宋" w:hAnsi="仿宋" w:eastAsia="仿宋"/>
          <w:b/>
          <w:color w:val="000000"/>
          <w:sz w:val="32"/>
          <w:szCs w:val="32"/>
        </w:rPr>
        <w:t>3.医疗卫生与计划生育（2101101）行政单位医疗：</w:t>
      </w:r>
      <w:r>
        <w:rPr>
          <w:rStyle w:val="14"/>
          <w:rFonts w:hint="eastAsia" w:ascii="仿宋" w:hAnsi="仿宋" w:eastAsia="仿宋"/>
          <w:color w:val="000000"/>
          <w:sz w:val="32"/>
          <w:szCs w:val="32"/>
        </w:rPr>
        <w:t>2019年</w:t>
      </w:r>
      <w:r>
        <w:rPr>
          <w:rStyle w:val="14"/>
          <w:rFonts w:hint="eastAsia" w:ascii="仿宋" w:hAnsi="仿宋" w:eastAsia="仿宋"/>
          <w:b w:val="0"/>
          <w:color w:val="000000"/>
          <w:sz w:val="32"/>
          <w:szCs w:val="32"/>
        </w:rPr>
        <w:t>支出决算为15.81万元，完成预算100%。</w:t>
      </w:r>
    </w:p>
    <w:p>
      <w:pPr>
        <w:spacing w:line="600" w:lineRule="exact"/>
        <w:ind w:firstLine="643" w:firstLineChars="200"/>
        <w:rPr>
          <w:rStyle w:val="14"/>
          <w:rFonts w:ascii="仿宋" w:hAnsi="仿宋" w:eastAsia="仿宋"/>
          <w:b w:val="0"/>
          <w:color w:val="000000"/>
          <w:sz w:val="32"/>
          <w:szCs w:val="32"/>
        </w:rPr>
      </w:pPr>
      <w:r>
        <w:rPr>
          <w:rFonts w:hint="eastAsia" w:ascii="仿宋" w:hAnsi="仿宋" w:eastAsia="仿宋"/>
          <w:b/>
          <w:color w:val="000000"/>
          <w:sz w:val="32"/>
          <w:szCs w:val="32"/>
        </w:rPr>
        <w:t>4.医疗卫生与计划生育（2101103）公务员医疗补助：</w:t>
      </w:r>
      <w:r>
        <w:rPr>
          <w:rStyle w:val="14"/>
          <w:rFonts w:hint="eastAsia" w:ascii="仿宋" w:hAnsi="仿宋" w:eastAsia="仿宋"/>
          <w:color w:val="000000"/>
          <w:sz w:val="32"/>
          <w:szCs w:val="32"/>
        </w:rPr>
        <w:t>2019年</w:t>
      </w:r>
      <w:r>
        <w:rPr>
          <w:rStyle w:val="14"/>
          <w:rFonts w:hint="eastAsia" w:ascii="仿宋" w:hAnsi="仿宋" w:eastAsia="仿宋"/>
          <w:b w:val="0"/>
          <w:color w:val="000000"/>
          <w:sz w:val="32"/>
          <w:szCs w:val="32"/>
        </w:rPr>
        <w:t>支出决算为2.34万元，完成预算100%。</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color w:val="000000"/>
          <w:sz w:val="32"/>
          <w:szCs w:val="32"/>
        </w:rPr>
        <w:t>5.城乡社区支出（2120101）行政运行:2019年</w:t>
      </w:r>
      <w:r>
        <w:rPr>
          <w:rStyle w:val="14"/>
          <w:rFonts w:hint="eastAsia" w:ascii="仿宋" w:hAnsi="仿宋" w:eastAsia="仿宋"/>
          <w:b w:val="0"/>
          <w:color w:val="000000"/>
          <w:sz w:val="32"/>
          <w:szCs w:val="32"/>
        </w:rPr>
        <w:t>支出决算为480.09万元，完成预算100%。</w:t>
      </w:r>
    </w:p>
    <w:p>
      <w:pPr>
        <w:spacing w:line="600" w:lineRule="exact"/>
        <w:ind w:firstLine="643" w:firstLineChars="200"/>
        <w:rPr>
          <w:rStyle w:val="14"/>
          <w:rFonts w:ascii="仿宋" w:hAnsi="仿宋" w:eastAsia="仿宋"/>
          <w:color w:val="000000"/>
          <w:sz w:val="32"/>
          <w:szCs w:val="32"/>
        </w:rPr>
      </w:pPr>
      <w:r>
        <w:rPr>
          <w:rStyle w:val="14"/>
          <w:rFonts w:hint="eastAsia" w:ascii="仿宋" w:hAnsi="仿宋" w:eastAsia="仿宋"/>
          <w:color w:val="000000"/>
          <w:sz w:val="32"/>
          <w:szCs w:val="32"/>
        </w:rPr>
        <w:t>6.住房保障(2210201)住房公积金: 2019年</w:t>
      </w:r>
      <w:r>
        <w:rPr>
          <w:rStyle w:val="14"/>
          <w:rFonts w:hint="eastAsia" w:ascii="仿宋" w:hAnsi="仿宋" w:eastAsia="仿宋"/>
          <w:b w:val="0"/>
          <w:color w:val="000000"/>
          <w:sz w:val="32"/>
          <w:szCs w:val="32"/>
        </w:rPr>
        <w:t>支出决算为30万元，完成预算100%</w:t>
      </w:r>
      <w:r>
        <w:rPr>
          <w:rStyle w:val="14"/>
          <w:rFonts w:hint="eastAsia" w:ascii="仿宋" w:hAnsi="仿宋" w:eastAsia="仿宋"/>
          <w:color w:val="000000"/>
          <w:sz w:val="32"/>
          <w:szCs w:val="32"/>
        </w:rPr>
        <w:t>。</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6"/>
        </w:rPr>
      </w:pPr>
      <w:bookmarkStart w:id="44" w:name="_Toc15396608"/>
      <w:bookmarkStart w:id="4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4"/>
      <w:bookmarkEnd w:id="45"/>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9年一般公共预算财政拨款基本支出559.67万元，其中：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531.22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28.45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6" w:name="_Toc15377215"/>
      <w:bookmarkStart w:id="47"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9年本单位“三公”经费财政拨款支出决算为0万元，完成预算0</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rPr>
        <w:t xml:space="preserve"> </w:t>
      </w:r>
    </w:p>
    <w:p>
      <w:pPr>
        <w:spacing w:line="60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9年本单位未产生“三公”经费。财政拨款支出决算中因公出国（境）费支出决算0万元，占0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ascii="仿宋" w:hAnsi="仿宋" w:eastAsia="仿宋"/>
          <w:b/>
          <w:color w:val="000000"/>
          <w:sz w:val="32"/>
          <w:szCs w:val="32"/>
        </w:rPr>
        <w:t>1.</w:t>
      </w:r>
      <w:r>
        <w:rPr>
          <w:rFonts w:hint="eastAsia" w:ascii="仿宋" w:hAnsi="仿宋" w:eastAsia="仿宋"/>
          <w:b/>
          <w:color w:val="000000"/>
          <w:sz w:val="32"/>
          <w:szCs w:val="32"/>
        </w:rPr>
        <w:t>因公出国（境）经费支出</w:t>
      </w:r>
      <w:r>
        <w:rPr>
          <w:rFonts w:hint="eastAsia" w:ascii="仿宋" w:hAnsi="仿宋" w:eastAsia="仿宋"/>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 w:hAnsi="仿宋" w:eastAsia="仿宋"/>
          <w:color w:val="000000"/>
          <w:sz w:val="32"/>
          <w:szCs w:val="32"/>
        </w:rPr>
        <w:t>全年安排因公出国（境）团组0次，出国（境）0人。因公出国（境）支出决算比</w:t>
      </w:r>
      <w:r>
        <w:rPr>
          <w:rFonts w:ascii="仿宋" w:hAnsi="仿宋" w:eastAsia="仿宋"/>
          <w:color w:val="000000"/>
          <w:sz w:val="32"/>
          <w:szCs w:val="32"/>
        </w:rPr>
        <w:t>201</w:t>
      </w:r>
      <w:r>
        <w:rPr>
          <w:rFonts w:hint="eastAsia" w:ascii="仿宋" w:hAnsi="仿宋" w:eastAsia="仿宋"/>
          <w:color w:val="000000"/>
          <w:sz w:val="32"/>
          <w:szCs w:val="32"/>
        </w:rPr>
        <w:t>8年增加</w:t>
      </w:r>
      <w:r>
        <w:rPr>
          <w:rFonts w:ascii="仿宋" w:hAnsi="仿宋" w:eastAsia="仿宋"/>
          <w:color w:val="000000"/>
          <w:sz w:val="32"/>
          <w:szCs w:val="32"/>
        </w:rPr>
        <w:t>/</w:t>
      </w:r>
      <w:r>
        <w:rPr>
          <w:rFonts w:hint="eastAsia" w:ascii="仿宋" w:hAnsi="仿宋" w:eastAsia="仿宋"/>
          <w:color w:val="000000"/>
          <w:sz w:val="32"/>
          <w:szCs w:val="32"/>
        </w:rPr>
        <w:t>减少0万元，增长</w:t>
      </w:r>
      <w:r>
        <w:rPr>
          <w:rFonts w:ascii="仿宋" w:hAnsi="仿宋" w:eastAsia="仿宋"/>
          <w:color w:val="000000"/>
          <w:sz w:val="32"/>
          <w:szCs w:val="32"/>
        </w:rPr>
        <w:t>/</w:t>
      </w:r>
      <w:r>
        <w:rPr>
          <w:rFonts w:hint="eastAsia" w:ascii="仿宋" w:hAnsi="仿宋" w:eastAsia="仿宋"/>
          <w:color w:val="000000"/>
          <w:sz w:val="32"/>
          <w:szCs w:val="32"/>
        </w:rPr>
        <w:t>下降0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b/>
          <w:color w:val="000000"/>
          <w:sz w:val="32"/>
          <w:szCs w:val="32"/>
        </w:rPr>
      </w:pPr>
      <w:r>
        <w:rPr>
          <w:rFonts w:ascii="仿宋" w:hAnsi="仿宋" w:eastAsia="仿宋"/>
          <w:b/>
          <w:color w:val="000000"/>
          <w:sz w:val="32"/>
          <w:szCs w:val="32"/>
        </w:rPr>
        <w:t>2.</w:t>
      </w:r>
      <w:r>
        <w:rPr>
          <w:rFonts w:hint="eastAsia" w:ascii="仿宋" w:hAnsi="仿宋" w:eastAsia="仿宋"/>
          <w:b/>
          <w:color w:val="000000"/>
          <w:sz w:val="32"/>
          <w:szCs w:val="32"/>
        </w:rPr>
        <w:t>公务用车购置及运行维护费支出</w:t>
      </w:r>
      <w:r>
        <w:rPr>
          <w:rFonts w:hint="eastAsia" w:ascii="仿宋" w:hAnsi="仿宋" w:eastAsia="仿宋"/>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 w:hAnsi="仿宋" w:eastAsia="仿宋"/>
          <w:color w:val="000000"/>
          <w:sz w:val="32"/>
          <w:szCs w:val="32"/>
        </w:rPr>
        <w:t>公务用车购置及运行维护费支出决算比</w:t>
      </w:r>
      <w:r>
        <w:rPr>
          <w:rFonts w:ascii="仿宋" w:hAnsi="仿宋" w:eastAsia="仿宋"/>
          <w:color w:val="000000"/>
          <w:sz w:val="32"/>
          <w:szCs w:val="32"/>
        </w:rPr>
        <w:t>201</w:t>
      </w:r>
      <w:r>
        <w:rPr>
          <w:rFonts w:hint="eastAsia" w:ascii="仿宋" w:hAnsi="仿宋" w:eastAsia="仿宋"/>
          <w:color w:val="000000"/>
          <w:sz w:val="32"/>
          <w:szCs w:val="32"/>
        </w:rPr>
        <w:t>8年增加</w:t>
      </w:r>
      <w:r>
        <w:rPr>
          <w:rFonts w:ascii="仿宋" w:hAnsi="仿宋" w:eastAsia="仿宋"/>
          <w:color w:val="000000"/>
          <w:sz w:val="32"/>
          <w:szCs w:val="32"/>
        </w:rPr>
        <w:t>/</w:t>
      </w:r>
      <w:r>
        <w:rPr>
          <w:rFonts w:hint="eastAsia" w:ascii="仿宋" w:hAnsi="仿宋" w:eastAsia="仿宋"/>
          <w:color w:val="000000"/>
          <w:sz w:val="32"/>
          <w:szCs w:val="32"/>
        </w:rPr>
        <w:t>减少0万元，增长</w:t>
      </w:r>
      <w:r>
        <w:rPr>
          <w:rFonts w:ascii="仿宋" w:hAnsi="仿宋" w:eastAsia="仿宋"/>
          <w:color w:val="000000"/>
          <w:sz w:val="32"/>
          <w:szCs w:val="32"/>
        </w:rPr>
        <w:t>/</w:t>
      </w:r>
      <w:r>
        <w:rPr>
          <w:rFonts w:hint="eastAsia" w:ascii="仿宋" w:hAnsi="仿宋" w:eastAsia="仿宋"/>
          <w:color w:val="000000"/>
          <w:sz w:val="32"/>
          <w:szCs w:val="32"/>
        </w:rPr>
        <w:t>下降0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其中：</w:t>
      </w:r>
      <w:r>
        <w:rPr>
          <w:rFonts w:hint="eastAsia" w:ascii="仿宋" w:hAnsi="仿宋" w:eastAsia="仿宋"/>
          <w:b/>
          <w:color w:val="000000"/>
          <w:sz w:val="32"/>
          <w:szCs w:val="32"/>
        </w:rPr>
        <w:t>公务用车购置支出</w:t>
      </w:r>
      <w:r>
        <w:rPr>
          <w:rFonts w:hint="eastAsia" w:ascii="仿宋" w:hAnsi="仿宋" w:eastAsia="仿宋"/>
          <w:color w:val="000000"/>
          <w:sz w:val="32"/>
          <w:szCs w:val="32"/>
        </w:rPr>
        <w:t>0万元。全年按规定更新购置公务用车0辆，金额0</w:t>
      </w:r>
      <w:r>
        <w:rPr>
          <w:rFonts w:ascii="仿宋" w:hAnsi="仿宋" w:eastAsia="仿宋"/>
          <w:color w:val="000000"/>
          <w:sz w:val="32"/>
          <w:szCs w:val="32"/>
        </w:rPr>
        <w:t>元。</w:t>
      </w:r>
      <w:r>
        <w:rPr>
          <w:rFonts w:hint="eastAsia" w:ascii="仿宋" w:hAnsi="仿宋" w:eastAsia="仿宋"/>
          <w:color w:val="000000"/>
          <w:sz w:val="32"/>
          <w:szCs w:val="32"/>
        </w:rPr>
        <w:t>截至</w:t>
      </w:r>
      <w:r>
        <w:rPr>
          <w:rFonts w:ascii="仿宋" w:hAnsi="仿宋" w:eastAsia="仿宋"/>
          <w:color w:val="000000"/>
          <w:sz w:val="32"/>
          <w:szCs w:val="32"/>
        </w:rPr>
        <w:t>201</w:t>
      </w:r>
      <w:r>
        <w:rPr>
          <w:rFonts w:hint="eastAsia" w:ascii="仿宋" w:hAnsi="仿宋" w:eastAsia="仿宋"/>
          <w:color w:val="000000"/>
          <w:sz w:val="32"/>
          <w:szCs w:val="32"/>
        </w:rPr>
        <w:t>9年</w:t>
      </w:r>
      <w:r>
        <w:rPr>
          <w:rFonts w:ascii="仿宋" w:hAnsi="仿宋" w:eastAsia="仿宋"/>
          <w:color w:val="000000"/>
          <w:sz w:val="32"/>
          <w:szCs w:val="32"/>
        </w:rPr>
        <w:t>12</w:t>
      </w:r>
      <w:r>
        <w:rPr>
          <w:rFonts w:hint="eastAsia" w:ascii="仿宋" w:hAnsi="仿宋" w:eastAsia="仿宋"/>
          <w:color w:val="000000"/>
          <w:sz w:val="32"/>
          <w:szCs w:val="32"/>
        </w:rPr>
        <w:t>月底，单位共有公务用车0辆，其中：主要领导干部用车0辆、机要通信用车0辆、应急保障用车0辆、 执法执勤用车0辆</w:t>
      </w:r>
    </w:p>
    <w:p>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公务用车运行维护费支出</w:t>
      </w:r>
      <w:r>
        <w:rPr>
          <w:rFonts w:hint="eastAsia" w:ascii="仿宋" w:hAnsi="仿宋" w:eastAsia="仿宋"/>
          <w:color w:val="000000"/>
          <w:sz w:val="32"/>
          <w:szCs w:val="32"/>
        </w:rPr>
        <w:t>0万元。</w:t>
      </w:r>
    </w:p>
    <w:p>
      <w:pPr>
        <w:spacing w:line="600" w:lineRule="exact"/>
        <w:ind w:firstLine="640"/>
        <w:rPr>
          <w:rFonts w:ascii="仿宋" w:hAnsi="仿宋" w:eastAsia="仿宋"/>
          <w:color w:val="000000"/>
          <w:sz w:val="32"/>
          <w:szCs w:val="32"/>
        </w:rPr>
      </w:pPr>
      <w:r>
        <w:rPr>
          <w:rFonts w:ascii="仿宋" w:hAnsi="仿宋" w:eastAsia="仿宋"/>
          <w:b/>
          <w:color w:val="000000"/>
          <w:sz w:val="32"/>
          <w:szCs w:val="32"/>
        </w:rPr>
        <w:t>3.</w:t>
      </w:r>
      <w:r>
        <w:rPr>
          <w:rFonts w:hint="eastAsia" w:ascii="仿宋" w:hAnsi="仿宋" w:eastAsia="仿宋"/>
          <w:b/>
          <w:color w:val="000000"/>
          <w:sz w:val="32"/>
          <w:szCs w:val="32"/>
        </w:rPr>
        <w:t>公务接待费支出</w:t>
      </w:r>
      <w:r>
        <w:rPr>
          <w:rFonts w:hint="eastAsia" w:ascii="仿宋" w:hAnsi="仿宋" w:eastAsia="仿宋"/>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201</w:t>
      </w:r>
      <w:r>
        <w:rPr>
          <w:rFonts w:hint="eastAsia" w:ascii="仿宋" w:hAnsi="仿宋" w:eastAsia="仿宋"/>
          <w:color w:val="000000"/>
          <w:sz w:val="32"/>
          <w:szCs w:val="32"/>
        </w:rPr>
        <w:t>8年增加</w:t>
      </w:r>
      <w:r>
        <w:rPr>
          <w:rFonts w:ascii="仿宋" w:hAnsi="仿宋" w:eastAsia="仿宋"/>
          <w:color w:val="000000"/>
          <w:sz w:val="32"/>
          <w:szCs w:val="32"/>
        </w:rPr>
        <w:t>/</w:t>
      </w:r>
      <w:r>
        <w:rPr>
          <w:rFonts w:hint="eastAsia" w:ascii="仿宋" w:hAnsi="仿宋" w:eastAsia="仿宋"/>
          <w:color w:val="000000"/>
          <w:sz w:val="32"/>
          <w:szCs w:val="32"/>
        </w:rPr>
        <w:t>减少0万元，增长</w:t>
      </w:r>
      <w:r>
        <w:rPr>
          <w:rFonts w:ascii="仿宋" w:hAnsi="仿宋" w:eastAsia="仿宋"/>
          <w:color w:val="000000"/>
          <w:sz w:val="32"/>
          <w:szCs w:val="32"/>
        </w:rPr>
        <w:t>/</w:t>
      </w:r>
      <w:r>
        <w:rPr>
          <w:rFonts w:hint="eastAsia" w:ascii="仿宋" w:hAnsi="仿宋" w:eastAsia="仿宋"/>
          <w:color w:val="000000"/>
          <w:sz w:val="32"/>
          <w:szCs w:val="32"/>
        </w:rPr>
        <w:t>下降0</w:t>
      </w:r>
      <w:r>
        <w:rPr>
          <w:rFonts w:ascii="仿宋" w:hAnsi="仿宋" w:eastAsia="仿宋"/>
          <w:color w:val="000000"/>
          <w:sz w:val="32"/>
          <w:szCs w:val="32"/>
        </w:rPr>
        <w:t>%</w:t>
      </w:r>
      <w:r>
        <w:rPr>
          <w:rFonts w:hint="eastAsia" w:ascii="仿宋" w:hAnsi="仿宋" w:eastAsia="仿宋"/>
          <w:color w:val="000000"/>
          <w:sz w:val="32"/>
          <w:szCs w:val="32"/>
        </w:rPr>
        <w:t>。其中：</w:t>
      </w:r>
    </w:p>
    <w:p>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0万元。国内公务接待0批次，0人次（不包括陪同人员），共计支出0万元。</w:t>
      </w:r>
    </w:p>
    <w:p>
      <w:pPr>
        <w:spacing w:line="600" w:lineRule="exact"/>
        <w:ind w:firstLine="643" w:firstLineChars="200"/>
        <w:rPr>
          <w:rFonts w:ascii="仿宋" w:hAnsi="仿宋" w:eastAsia="仿宋"/>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0万元</w:t>
      </w:r>
      <w:r>
        <w:rPr>
          <w:rFonts w:hint="eastAsia" w:ascii="仿宋" w:hAnsi="仿宋" w:eastAsia="仿宋"/>
          <w:color w:val="000000" w:themeColor="text1"/>
          <w:sz w:val="32"/>
          <w:szCs w:val="32"/>
        </w:rPr>
        <w:t>，外事接待0批次，0人，共计支出0万元。</w:t>
      </w:r>
      <w:r>
        <w:rPr>
          <w:rFonts w:ascii="仿宋" w:hAnsi="仿宋" w:eastAsia="仿宋"/>
          <w:color w:val="000000" w:themeColor="text1"/>
          <w:sz w:val="32"/>
          <w:szCs w:val="32"/>
        </w:rPr>
        <w:t xml:space="preserve"> </w:t>
      </w:r>
    </w:p>
    <w:p>
      <w:pPr>
        <w:spacing w:line="600" w:lineRule="exact"/>
        <w:ind w:firstLine="643" w:firstLineChars="200"/>
        <w:outlineLvl w:val="1"/>
        <w:rPr>
          <w:rStyle w:val="26"/>
          <w:rFonts w:ascii="仿宋" w:hAnsi="仿宋" w:eastAsia="仿宋"/>
          <w:b/>
          <w:bCs/>
        </w:rPr>
      </w:pPr>
      <w:bookmarkStart w:id="50" w:name="_Toc15377218"/>
      <w:bookmarkStart w:id="51" w:name="_Toc15396610"/>
      <w:r>
        <w:rPr>
          <w:rFonts w:hint="eastAsia" w:ascii="仿宋" w:hAnsi="仿宋" w:eastAsia="仿宋"/>
          <w:b/>
          <w:bCs/>
          <w:color w:val="000000"/>
          <w:sz w:val="32"/>
          <w:szCs w:val="32"/>
        </w:rPr>
        <w:t>八、</w:t>
      </w:r>
      <w:r>
        <w:rPr>
          <w:rStyle w:val="26"/>
          <w:rFonts w:hint="eastAsia" w:ascii="仿宋" w:hAnsi="仿宋" w:eastAsia="仿宋"/>
          <w:b/>
          <w:bCs/>
        </w:rPr>
        <w:t>政府性基金预算支出决算情况说明</w:t>
      </w:r>
      <w:bookmarkEnd w:id="50"/>
      <w:bookmarkEnd w:id="5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9年政府性基金预算拨款支出337.74万元。</w:t>
      </w:r>
    </w:p>
    <w:p>
      <w:pPr>
        <w:spacing w:line="600" w:lineRule="exact"/>
        <w:ind w:firstLine="643" w:firstLineChars="200"/>
        <w:outlineLvl w:val="1"/>
        <w:rPr>
          <w:rStyle w:val="26"/>
          <w:rFonts w:ascii="仿宋" w:hAnsi="仿宋" w:eastAsia="仿宋"/>
          <w:b/>
          <w:bCs w:val="0"/>
        </w:rPr>
      </w:pPr>
      <w:bookmarkStart w:id="52" w:name="_Toc15396611"/>
      <w:bookmarkStart w:id="53" w:name="_Toc15377219"/>
      <w:r>
        <w:rPr>
          <w:rStyle w:val="26"/>
          <w:rFonts w:hint="eastAsia" w:ascii="仿宋" w:hAnsi="仿宋" w:eastAsia="仿宋"/>
          <w:b/>
          <w:bCs w:val="0"/>
        </w:rPr>
        <w:t>九、国有资本经营预算支出决算情况说明</w:t>
      </w:r>
      <w:bookmarkEnd w:id="52"/>
      <w:bookmarkEnd w:id="5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9年国有资本经营预算拨款支出0万元。</w:t>
      </w:r>
    </w:p>
    <w:p>
      <w:pPr>
        <w:spacing w:line="600" w:lineRule="exact"/>
        <w:ind w:firstLine="643" w:firstLineChars="200"/>
        <w:outlineLvl w:val="1"/>
        <w:rPr>
          <w:rStyle w:val="26"/>
          <w:rFonts w:ascii="仿宋" w:hAnsi="仿宋" w:eastAsia="仿宋"/>
          <w:b/>
          <w:bCs/>
        </w:rPr>
      </w:pPr>
      <w:bookmarkStart w:id="54" w:name="_Toc15377221"/>
      <w:bookmarkStart w:id="55" w:name="_Toc15396612"/>
      <w:r>
        <w:rPr>
          <w:rFonts w:hint="eastAsia" w:ascii="仿宋" w:hAnsi="仿宋" w:eastAsia="仿宋"/>
          <w:b/>
          <w:bCs/>
          <w:color w:val="000000"/>
          <w:sz w:val="32"/>
          <w:szCs w:val="32"/>
        </w:rPr>
        <w:t>十</w:t>
      </w:r>
      <w:r>
        <w:rPr>
          <w:rStyle w:val="26"/>
          <w:rFonts w:hint="eastAsia" w:ascii="仿宋" w:hAnsi="仿宋" w:eastAsia="仿宋"/>
          <w:b/>
          <w:bCs/>
        </w:rPr>
        <w:t>、其他重要事项的情况说明</w:t>
      </w:r>
      <w:bookmarkEnd w:id="54"/>
      <w:bookmarkEnd w:id="55"/>
    </w:p>
    <w:p>
      <w:pPr>
        <w:spacing w:line="600" w:lineRule="exact"/>
        <w:ind w:firstLine="321" w:firstLineChars="100"/>
        <w:outlineLvl w:val="2"/>
        <w:rPr>
          <w:rFonts w:ascii="仿宋" w:hAnsi="仿宋" w:eastAsia="仿宋"/>
          <w:color w:val="000000"/>
          <w:sz w:val="32"/>
          <w:szCs w:val="32"/>
        </w:rPr>
      </w:pPr>
      <w:bookmarkStart w:id="56" w:name="_Toc15377222"/>
      <w:r>
        <w:rPr>
          <w:rFonts w:hint="eastAsia" w:ascii="仿宋" w:hAnsi="仿宋" w:eastAsia="仿宋"/>
          <w:b/>
          <w:color w:val="000000"/>
          <w:sz w:val="32"/>
          <w:szCs w:val="32"/>
        </w:rPr>
        <w:t>（一）机关运行经费支出情况</w:t>
      </w:r>
      <w:bookmarkEnd w:id="56"/>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9年，西区市容环境卫生管理服务中心机关运行经费支出28.45万元，比</w:t>
      </w:r>
      <w:r>
        <w:rPr>
          <w:rFonts w:ascii="仿宋" w:hAnsi="仿宋" w:eastAsia="仿宋"/>
          <w:color w:val="000000"/>
          <w:sz w:val="32"/>
          <w:szCs w:val="32"/>
        </w:rPr>
        <w:t>201</w:t>
      </w:r>
      <w:r>
        <w:rPr>
          <w:rFonts w:hint="eastAsia" w:ascii="仿宋" w:hAnsi="仿宋" w:eastAsia="仿宋"/>
          <w:color w:val="000000"/>
          <w:sz w:val="32"/>
          <w:szCs w:val="32"/>
        </w:rPr>
        <w:t>8年减少0.25万元，下降0.89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主要原因是办公经费减少。</w:t>
      </w:r>
    </w:p>
    <w:p>
      <w:pPr>
        <w:autoSpaceDE w:val="0"/>
        <w:autoSpaceDN w:val="0"/>
        <w:adjustRightInd w:val="0"/>
        <w:spacing w:line="600" w:lineRule="exact"/>
        <w:ind w:firstLine="321" w:firstLineChars="100"/>
        <w:jc w:val="left"/>
        <w:outlineLvl w:val="2"/>
        <w:rPr>
          <w:rFonts w:ascii="仿宋" w:hAnsi="仿宋" w:eastAsia="仿宋"/>
          <w:b/>
          <w:color w:val="000000"/>
          <w:sz w:val="32"/>
          <w:szCs w:val="32"/>
        </w:rPr>
      </w:pPr>
      <w:bookmarkStart w:id="57" w:name="_Toc15377223"/>
      <w:r>
        <w:rPr>
          <w:rFonts w:hint="eastAsia" w:ascii="仿宋" w:hAnsi="仿宋" w:eastAsia="仿宋"/>
          <w:b/>
          <w:color w:val="000000"/>
          <w:sz w:val="32"/>
          <w:szCs w:val="32"/>
        </w:rPr>
        <w:t>（二）政府采购支出情况</w:t>
      </w:r>
      <w:bookmarkEnd w:id="5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9年，西区市容环境卫生管理服务中心未产生政府采购支出。总额0万元，其中：政府采购货物支出0万元、政府采购工程支出0万元、政府采购服务支出0万元。授予中小企业合同金额0万元，占政府采购支出总额的0</w:t>
      </w:r>
      <w:r>
        <w:rPr>
          <w:rFonts w:ascii="仿宋" w:hAnsi="仿宋" w:eastAsia="仿宋"/>
          <w:color w:val="000000"/>
          <w:sz w:val="32"/>
          <w:szCs w:val="32"/>
        </w:rPr>
        <w:t>%</w:t>
      </w:r>
      <w:r>
        <w:rPr>
          <w:rFonts w:hint="eastAsia" w:ascii="仿宋" w:hAnsi="仿宋" w:eastAsia="仿宋"/>
          <w:color w:val="000000"/>
          <w:sz w:val="32"/>
          <w:szCs w:val="32"/>
        </w:rPr>
        <w:t>，其中：授予小微企业合同金额0万元，占政府采购支出总额的0</w:t>
      </w:r>
      <w:r>
        <w:rPr>
          <w:rFonts w:ascii="仿宋" w:hAnsi="仿宋" w:eastAsia="仿宋"/>
          <w:color w:val="000000"/>
          <w:sz w:val="32"/>
          <w:szCs w:val="32"/>
        </w:rPr>
        <w:t>%</w:t>
      </w:r>
      <w:r>
        <w:rPr>
          <w:rFonts w:hint="eastAsia" w:ascii="仿宋" w:hAnsi="仿宋" w:eastAsia="仿宋"/>
          <w:color w:val="000000"/>
          <w:sz w:val="32"/>
          <w:szCs w:val="32"/>
        </w:rPr>
        <w:t>。</w:t>
      </w:r>
    </w:p>
    <w:p>
      <w:pPr>
        <w:autoSpaceDE w:val="0"/>
        <w:autoSpaceDN w:val="0"/>
        <w:adjustRightInd w:val="0"/>
        <w:spacing w:line="600" w:lineRule="exact"/>
        <w:jc w:val="left"/>
        <w:outlineLvl w:val="2"/>
        <w:rPr>
          <w:rFonts w:ascii="仿宋" w:hAnsi="仿宋" w:eastAsia="仿宋"/>
          <w:b/>
          <w:color w:val="000000"/>
          <w:sz w:val="32"/>
          <w:szCs w:val="32"/>
        </w:rPr>
      </w:pPr>
      <w:bookmarkStart w:id="58" w:name="_Toc15377224"/>
      <w:r>
        <w:rPr>
          <w:rFonts w:hint="eastAsia" w:ascii="仿宋" w:hAnsi="仿宋" w:eastAsia="仿宋"/>
          <w:b/>
          <w:color w:val="000000"/>
          <w:sz w:val="32"/>
          <w:szCs w:val="32"/>
        </w:rPr>
        <w:t>（三）国有资产占有使用情况</w:t>
      </w:r>
      <w:bookmarkEnd w:id="58"/>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201</w:t>
      </w:r>
      <w:r>
        <w:rPr>
          <w:rFonts w:hint="eastAsia" w:ascii="仿宋" w:hAnsi="仿宋" w:eastAsia="仿宋"/>
          <w:color w:val="000000"/>
          <w:sz w:val="32"/>
          <w:szCs w:val="32"/>
        </w:rPr>
        <w:t>9年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日，西区市容环境卫生管理服务中心共有车辆24辆，其中：主要领导干部用车0辆、机要通信用车0辆、应急保障用车0辆、其他用车0辆、特种专业技术用车24辆。</w:t>
      </w:r>
      <w:r>
        <w:rPr>
          <w:rFonts w:hint="eastAsia" w:ascii="仿宋" w:hAnsi="仿宋" w:eastAsia="仿宋"/>
          <w:color w:val="000000" w:themeColor="text1"/>
          <w:sz w:val="32"/>
          <w:szCs w:val="32"/>
        </w:rPr>
        <w:t>其他用车主要是用于，单价</w:t>
      </w:r>
      <w:r>
        <w:rPr>
          <w:rFonts w:ascii="仿宋" w:hAnsi="仿宋" w:eastAsia="仿宋"/>
          <w:color w:val="000000" w:themeColor="text1"/>
          <w:sz w:val="32"/>
          <w:szCs w:val="32"/>
        </w:rPr>
        <w:t>50</w:t>
      </w:r>
      <w:r>
        <w:rPr>
          <w:rFonts w:hint="eastAsia" w:ascii="仿宋" w:hAnsi="仿宋" w:eastAsia="仿宋"/>
          <w:color w:val="000000" w:themeColor="text1"/>
          <w:sz w:val="32"/>
          <w:szCs w:val="32"/>
        </w:rPr>
        <w:t>万元以上通用设备0台（套），单价</w:t>
      </w:r>
      <w:r>
        <w:rPr>
          <w:rFonts w:ascii="仿宋" w:hAnsi="仿宋" w:eastAsia="仿宋"/>
          <w:color w:val="000000" w:themeColor="text1"/>
          <w:sz w:val="32"/>
          <w:szCs w:val="32"/>
        </w:rPr>
        <w:t>100</w:t>
      </w:r>
      <w:r>
        <w:rPr>
          <w:rFonts w:hint="eastAsia" w:ascii="仿宋" w:hAnsi="仿宋" w:eastAsia="仿宋"/>
          <w:color w:val="000000"/>
          <w:sz w:val="32"/>
          <w:szCs w:val="32"/>
        </w:rPr>
        <w:t>万元以上专用设备0台（套）。</w:t>
      </w:r>
    </w:p>
    <w:p>
      <w:pPr>
        <w:autoSpaceDE w:val="0"/>
        <w:autoSpaceDN w:val="0"/>
        <w:adjustRightInd w:val="0"/>
        <w:spacing w:line="600" w:lineRule="exact"/>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w:t>
      </w:r>
      <w:r>
        <w:rPr>
          <w:rFonts w:hint="eastAsia" w:ascii="仿宋" w:hAnsi="仿宋" w:eastAsia="仿宋"/>
          <w:color w:val="000000"/>
          <w:sz w:val="32"/>
          <w:szCs w:val="32"/>
        </w:rPr>
        <w:t>西区市容环境卫生管理服务中心</w:t>
      </w:r>
      <w:r>
        <w:rPr>
          <w:rFonts w:hint="eastAsia" w:ascii="仿宋" w:hAnsi="仿宋" w:eastAsia="仿宋" w:cs="仿宋_GB2312"/>
          <w:sz w:val="32"/>
          <w:szCs w:val="32"/>
        </w:rPr>
        <w:t>在年初预算编制阶段，组织对环卫生产作业经费项目开展了预算事前绩效评估，对1个项目编制了绩效目标，预算执行过程中，选取1个项目开展绩效监控，年终执行完毕后，对1个项目开展了绩效目标完成情况自评。</w:t>
      </w:r>
    </w:p>
    <w:p>
      <w:pPr>
        <w:pStyle w:val="7"/>
        <w:spacing w:line="353" w:lineRule="auto"/>
        <w:ind w:firstLine="640" w:firstLineChars="200"/>
        <w:rPr>
          <w:rFonts w:ascii="Times New Roman" w:hAnsi="Times New Roman" w:eastAsia="仿宋_GB2312"/>
          <w:sz w:val="32"/>
          <w:szCs w:val="32"/>
        </w:rPr>
      </w:pPr>
      <w:r>
        <w:rPr>
          <w:rFonts w:hint="eastAsia" w:ascii="仿宋" w:hAnsi="仿宋" w:eastAsia="仿宋" w:cs="仿宋_GB2312"/>
          <w:sz w:val="32"/>
          <w:szCs w:val="32"/>
        </w:rPr>
        <w:t>本部门按要求对2019年部门整体支出开展绩效自评，从评价情况来看</w:t>
      </w:r>
      <w:r>
        <w:rPr>
          <w:rFonts w:hint="eastAsia" w:ascii="仿宋" w:hAnsi="仿宋" w:eastAsia="仿宋"/>
          <w:sz w:val="32"/>
          <w:szCs w:val="32"/>
        </w:rPr>
        <w:t>本单位项目经费337.74万元，占项目计划支出总额的100%，年初及追加项目由区级财政预算支出。主要用于完善城市功能</w:t>
      </w:r>
      <w:r>
        <w:rPr>
          <w:rFonts w:hint="eastAsia" w:ascii="Times New Roman" w:hAnsi="Times New Roman" w:eastAsia="仿宋_GB2312"/>
          <w:sz w:val="32"/>
          <w:szCs w:val="32"/>
        </w:rPr>
        <w:t>，</w:t>
      </w:r>
      <w:r>
        <w:rPr>
          <w:rFonts w:hint="eastAsia" w:ascii="仿宋" w:hAnsi="仿宋" w:eastAsia="仿宋" w:cs="仿宋"/>
          <w:kern w:val="0"/>
          <w:sz w:val="32"/>
          <w:szCs w:val="32"/>
        </w:rPr>
        <w:t>城乡环境整洁行动，垃圾清运、洒水降尘严格按部颁标准执行，生活垃圾确保日产日清，环卫作业车辆保证车容整洁</w:t>
      </w:r>
      <w:r>
        <w:rPr>
          <w:rFonts w:hint="eastAsia" w:ascii="Times New Roman" w:hAnsi="Times New Roman" w:eastAsia="仿宋_GB2312"/>
          <w:sz w:val="32"/>
          <w:szCs w:val="32"/>
        </w:rPr>
        <w:t>。</w:t>
      </w:r>
    </w:p>
    <w:p>
      <w:pPr>
        <w:pStyle w:val="7"/>
        <w:spacing w:line="353" w:lineRule="auto"/>
        <w:ind w:firstLine="640" w:firstLineChars="200"/>
        <w:rPr>
          <w:rFonts w:ascii="仿宋" w:hAnsi="仿宋" w:eastAsia="仿宋"/>
          <w:sz w:val="32"/>
          <w:szCs w:val="32"/>
        </w:rPr>
      </w:pPr>
      <w:r>
        <w:rPr>
          <w:rFonts w:hint="eastAsia" w:ascii="仿宋" w:hAnsi="仿宋" w:eastAsia="仿宋" w:cs="仿宋_GB2312"/>
          <w:sz w:val="32"/>
          <w:szCs w:val="32"/>
        </w:rPr>
        <w:t>本部门还自行组织了1个项目支出绩效评价，从评价情况来看</w:t>
      </w:r>
      <w:r>
        <w:rPr>
          <w:rFonts w:hint="eastAsia" w:ascii="Times New Roman" w:hAnsi="Times New Roman" w:eastAsia="仿宋_GB2312"/>
          <w:sz w:val="32"/>
          <w:szCs w:val="32"/>
        </w:rPr>
        <w:t>：</w:t>
      </w:r>
      <w:r>
        <w:rPr>
          <w:rFonts w:hint="eastAsia" w:ascii="仿宋" w:hAnsi="仿宋" w:eastAsia="仿宋"/>
          <w:sz w:val="32"/>
          <w:szCs w:val="32"/>
        </w:rPr>
        <w:t>基本支出保证人员经费基本待遇。提升了城市管理整体水平，改善了城市环境，提高了城市形象，为市民提供更加舒适的生活环境，使市民获得更多的幸福感。</w:t>
      </w:r>
    </w:p>
    <w:p>
      <w:pPr>
        <w:numPr>
          <w:ilvl w:val="0"/>
          <w:numId w:val="3"/>
        </w:num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项目绩效目标完成情况。</w:t>
      </w:r>
    </w:p>
    <w:p>
      <w:pPr>
        <w:spacing w:line="580" w:lineRule="exact"/>
        <w:rPr>
          <w:rFonts w:ascii="仿宋" w:hAnsi="仿宋" w:eastAsia="仿宋" w:cs="仿宋_GB2312"/>
          <w:sz w:val="32"/>
          <w:szCs w:val="32"/>
        </w:rPr>
      </w:pPr>
      <w:r>
        <w:rPr>
          <w:rFonts w:hint="eastAsia" w:ascii="仿宋" w:hAnsi="仿宋" w:eastAsia="仿宋" w:cs="仿宋_GB2312"/>
          <w:sz w:val="32"/>
          <w:szCs w:val="32"/>
        </w:rPr>
        <w:t xml:space="preserve">  本部门在2019年度部门决算中反映“环卫生产作业经费</w:t>
      </w:r>
      <w:r>
        <w:rPr>
          <w:rFonts w:ascii="仿宋" w:hAnsi="仿宋" w:eastAsia="仿宋" w:cs="仿宋_GB2312"/>
          <w:sz w:val="32"/>
          <w:szCs w:val="32"/>
        </w:rPr>
        <w:t>”</w:t>
      </w:r>
      <w:r>
        <w:rPr>
          <w:rFonts w:hint="eastAsia" w:ascii="仿宋" w:hAnsi="仿宋" w:eastAsia="仿宋" w:cs="仿宋_GB2312"/>
          <w:sz w:val="32"/>
          <w:szCs w:val="32"/>
        </w:rPr>
        <w:t>等1个项目绩效目标实际完成情况。</w:t>
      </w:r>
    </w:p>
    <w:p>
      <w:pPr>
        <w:pStyle w:val="7"/>
        <w:spacing w:line="353" w:lineRule="auto"/>
        <w:ind w:firstLine="640" w:firstLineChars="200"/>
        <w:rPr>
          <w:rFonts w:ascii="仿宋" w:hAnsi="仿宋" w:eastAsia="仿宋"/>
          <w:sz w:val="32"/>
          <w:szCs w:val="32"/>
        </w:rPr>
      </w:pPr>
      <w:r>
        <w:rPr>
          <w:rFonts w:hint="eastAsia" w:ascii="仿宋" w:hAnsi="仿宋" w:eastAsia="仿宋" w:cs="仿宋_GB2312"/>
          <w:sz w:val="32"/>
          <w:szCs w:val="32"/>
        </w:rPr>
        <w:t>（1）环卫生产作业经费项目绩效目标完成情况综述。项目全年预算数337.74万元，执行数为337.74万元，完成预算的100%。通过项目实施，保障</w:t>
      </w:r>
      <w:r>
        <w:rPr>
          <w:rFonts w:hint="eastAsia" w:ascii="仿宋" w:hAnsi="仿宋" w:eastAsia="仿宋"/>
          <w:sz w:val="32"/>
          <w:szCs w:val="32"/>
        </w:rPr>
        <w:t>完善城市功能，</w:t>
      </w:r>
      <w:r>
        <w:rPr>
          <w:rFonts w:hint="eastAsia" w:ascii="仿宋" w:hAnsi="仿宋" w:eastAsia="仿宋" w:cs="仿宋"/>
          <w:kern w:val="0"/>
          <w:sz w:val="32"/>
          <w:szCs w:val="32"/>
        </w:rPr>
        <w:t>城乡环境整洁行动，垃圾清运、洒水降尘严格按部颁标准执行，生活垃圾确保日产日清，环卫作业车辆保证车容整洁</w:t>
      </w:r>
      <w:r>
        <w:rPr>
          <w:rFonts w:hint="eastAsia" w:ascii="仿宋" w:hAnsi="仿宋" w:eastAsia="仿宋"/>
          <w:sz w:val="32"/>
          <w:szCs w:val="32"/>
        </w:rPr>
        <w:t>不断提升人居环境，体现城市文明程度。减少扬尘危害，改善空气质量，无恶臭。项目实施对人、自然、资源是否带来可持续影，实现人与自然和谐相处、资源为人类带来福利。</w:t>
      </w:r>
    </w:p>
    <w:p>
      <w:pPr>
        <w:pStyle w:val="7"/>
        <w:spacing w:line="353" w:lineRule="auto"/>
        <w:ind w:firstLine="640" w:firstLineChars="200"/>
        <w:rPr>
          <w:rFonts w:ascii="仿宋" w:hAnsi="仿宋" w:eastAsia="仿宋"/>
          <w:sz w:val="32"/>
          <w:szCs w:val="32"/>
        </w:rPr>
      </w:pPr>
    </w:p>
    <w:p>
      <w:pPr>
        <w:pStyle w:val="7"/>
        <w:spacing w:line="353" w:lineRule="auto"/>
        <w:ind w:firstLine="640" w:firstLineChars="200"/>
        <w:rPr>
          <w:rFonts w:hint="eastAsia" w:ascii="仿宋" w:hAnsi="仿宋" w:eastAsia="仿宋" w:cs="仿宋_GB2312"/>
          <w:sz w:val="32"/>
          <w:szCs w:val="32"/>
        </w:rPr>
      </w:pPr>
    </w:p>
    <w:p>
      <w:pPr>
        <w:pStyle w:val="7"/>
        <w:spacing w:line="353" w:lineRule="auto"/>
        <w:ind w:firstLine="640" w:firstLineChars="200"/>
        <w:rPr>
          <w:rFonts w:ascii="仿宋" w:hAnsi="仿宋" w:eastAsia="仿宋" w:cs="仿宋_GB2312"/>
          <w:sz w:val="32"/>
          <w:szCs w:val="32"/>
        </w:rPr>
      </w:pPr>
    </w:p>
    <w:tbl>
      <w:tblPr>
        <w:tblStyle w:val="16"/>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299"/>
        <w:gridCol w:w="1458"/>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环卫生产作业经费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西区市容环境卫生管理服务中心</w:t>
            </w:r>
          </w:p>
        </w:tc>
      </w:tr>
      <w:tr>
        <w:tblPrEx>
          <w:tblLayout w:type="fixed"/>
          <w:tblCellMar>
            <w:top w:w="0" w:type="dxa"/>
            <w:left w:w="0" w:type="dxa"/>
            <w:bottom w:w="0" w:type="dxa"/>
            <w:right w:w="0" w:type="dxa"/>
          </w:tblCellMar>
        </w:tblPrEx>
        <w:trPr>
          <w:trHeight w:val="276" w:hRule="atLeast"/>
          <w:jc w:val="center"/>
        </w:trPr>
        <w:tc>
          <w:tcPr>
            <w:tcW w:w="2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337.74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337.74</w:t>
            </w:r>
          </w:p>
        </w:tc>
      </w:tr>
      <w:tr>
        <w:tblPrEx>
          <w:tblLayout w:type="fixed"/>
          <w:tblCellMar>
            <w:top w:w="0" w:type="dxa"/>
            <w:left w:w="0" w:type="dxa"/>
            <w:bottom w:w="0" w:type="dxa"/>
            <w:right w:w="0" w:type="dxa"/>
          </w:tblCellMar>
        </w:tblPrEx>
        <w:trPr>
          <w:trHeight w:val="276" w:hRule="atLeast"/>
          <w:jc w:val="center"/>
        </w:trPr>
        <w:tc>
          <w:tcPr>
            <w:tcW w:w="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337.74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337.74</w:t>
            </w:r>
          </w:p>
        </w:tc>
      </w:tr>
      <w:tr>
        <w:tblPrEx>
          <w:tblLayout w:type="fixed"/>
          <w:tblCellMar>
            <w:top w:w="0" w:type="dxa"/>
            <w:left w:w="0" w:type="dxa"/>
            <w:bottom w:w="0" w:type="dxa"/>
            <w:right w:w="0" w:type="dxa"/>
          </w:tblCellMar>
        </w:tblPrEx>
        <w:trPr>
          <w:trHeight w:val="1484" w:hRule="atLeast"/>
          <w:jc w:val="center"/>
        </w:trPr>
        <w:tc>
          <w:tcPr>
            <w:tcW w:w="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4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无</w:t>
            </w:r>
          </w:p>
        </w:tc>
      </w:tr>
      <w:tr>
        <w:tblPrEx>
          <w:tblLayout w:type="fixed"/>
          <w:tblCellMar>
            <w:top w:w="0" w:type="dxa"/>
            <w:left w:w="0" w:type="dxa"/>
            <w:bottom w:w="0" w:type="dxa"/>
            <w:right w:w="0" w:type="dxa"/>
          </w:tblCellMar>
        </w:tblPrEx>
        <w:trPr>
          <w:trHeight w:val="276" w:hRule="atLeast"/>
          <w:jc w:val="center"/>
        </w:trPr>
        <w:tc>
          <w:tcPr>
            <w:tcW w:w="2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8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8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sz w:val="30"/>
                <w:szCs w:val="30"/>
              </w:rPr>
            </w:pPr>
            <w:r>
              <w:rPr>
                <w:rFonts w:hint="eastAsia" w:ascii="仿宋" w:hAnsi="仿宋" w:eastAsia="仿宋"/>
                <w:sz w:val="30"/>
                <w:szCs w:val="30"/>
              </w:rPr>
              <w:t>按照2019年预算，确保人员费用支出，项目费用支出。做好辖区内洒水降尘，垃圾清运工作。</w:t>
            </w:r>
          </w:p>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完成2019年预算。保障职工权益。垃圾清运、洒水降尘严格按部颁标准执行，为市民创建了一个干净、卫生的生活环境。</w:t>
            </w:r>
          </w:p>
        </w:tc>
      </w:tr>
      <w:tr>
        <w:tblPrEx>
          <w:tblLayout w:type="fixed"/>
          <w:tblCellMar>
            <w:top w:w="0" w:type="dxa"/>
            <w:left w:w="0" w:type="dxa"/>
            <w:bottom w:w="0" w:type="dxa"/>
            <w:right w:w="0" w:type="dxa"/>
          </w:tblCellMar>
        </w:tblPrEx>
        <w:trPr>
          <w:trHeight w:val="1042" w:hRule="atLeast"/>
          <w:jc w:val="center"/>
        </w:trPr>
        <w:tc>
          <w:tcPr>
            <w:tcW w:w="29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29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环卫作业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r>
              <w:rPr>
                <w:rFonts w:hint="eastAsia"/>
                <w:sz w:val="18"/>
                <w:szCs w:val="18"/>
              </w:rPr>
              <w:t>全区（江北）主干道每天洒水4次，冲洗2次；垃圾房79座、垃圾桶294个、垃圾投放点165个、垃圾池48个的日产日清</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完成</w:t>
            </w:r>
          </w:p>
        </w:tc>
      </w:tr>
      <w:tr>
        <w:tblPrEx>
          <w:tblLayout w:type="fixed"/>
          <w:tblCellMar>
            <w:top w:w="0" w:type="dxa"/>
            <w:left w:w="0" w:type="dxa"/>
            <w:bottom w:w="0" w:type="dxa"/>
            <w:right w:w="0" w:type="dxa"/>
          </w:tblCellMar>
        </w:tblPrEx>
        <w:trPr>
          <w:trHeight w:val="1297" w:hRule="atLeast"/>
          <w:jc w:val="center"/>
        </w:trPr>
        <w:tc>
          <w:tcPr>
            <w:tcW w:w="29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大集体退休人员工资发放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51</w:t>
            </w:r>
          </w:p>
        </w:tc>
      </w:tr>
      <w:tr>
        <w:tblPrEx>
          <w:tblLayout w:type="fixed"/>
          <w:tblCellMar>
            <w:top w:w="0" w:type="dxa"/>
            <w:left w:w="0" w:type="dxa"/>
            <w:bottom w:w="0" w:type="dxa"/>
            <w:right w:w="0" w:type="dxa"/>
          </w:tblCellMar>
        </w:tblPrEx>
        <w:trPr>
          <w:trHeight w:val="1042" w:hRule="atLeast"/>
          <w:jc w:val="center"/>
        </w:trPr>
        <w:tc>
          <w:tcPr>
            <w:tcW w:w="29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确保环卫作业经费落实到位</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生活垃圾日产日清，垃圾收集设施附近无散落垃圾，无恶臭。改善辖区空气质量，降低路面扬尘</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完成</w:t>
            </w:r>
          </w:p>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29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确保人员经费落实到位</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保证单位日常正常运行</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完成</w:t>
            </w:r>
          </w:p>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29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完成时间</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2019年12月</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完成</w:t>
            </w:r>
          </w:p>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29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环龄工资</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约每月每人93元，共5.7万元</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完成。支出5.7万元</w:t>
            </w:r>
          </w:p>
          <w:p>
            <w:pPr>
              <w:widowControl/>
              <w:jc w:val="center"/>
              <w:textAlignment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1042" w:hRule="atLeast"/>
          <w:jc w:val="center"/>
        </w:trPr>
        <w:tc>
          <w:tcPr>
            <w:tcW w:w="299"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rPr>
              <w:t xml:space="preserve">环卫作业经费支出 </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rPr>
              <w:t>保障职工权益，日常工作正常运行</w:t>
            </w:r>
          </w:p>
          <w:p>
            <w:pPr>
              <w:jc w:val="center"/>
              <w:rPr>
                <w:rFonts w:ascii="宋体" w:hAnsi="宋体" w:cs="宋体"/>
                <w:sz w:val="24"/>
              </w:rPr>
            </w:pPr>
            <w:r>
              <w:rPr>
                <w:rFonts w:hint="eastAsia"/>
              </w:rPr>
              <w:t>作业车辆油料、维修、保险年审费，水费、人员工资、垃圾房管理费用约332.04万元</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rPr>
              <w:t>完成。支出为 332.04万元</w:t>
            </w:r>
          </w:p>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29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社会稳定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安定民心</w:t>
            </w:r>
            <w:r>
              <w:rPr>
                <w:rFonts w:hint="eastAsia" w:ascii="宋体" w:hAnsi="宋体" w:cs="宋体"/>
                <w:color w:val="000000"/>
                <w:sz w:val="24"/>
              </w:rPr>
              <w:t>，</w:t>
            </w:r>
            <w:r>
              <w:rPr>
                <w:rFonts w:ascii="宋体" w:hAnsi="宋体" w:cs="宋体"/>
                <w:color w:val="000000"/>
                <w:sz w:val="24"/>
              </w:rPr>
              <w:t>维护社会稳定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较好</w:t>
            </w:r>
          </w:p>
        </w:tc>
      </w:tr>
      <w:tr>
        <w:tblPrEx>
          <w:tblLayout w:type="fixed"/>
          <w:tblCellMar>
            <w:top w:w="0" w:type="dxa"/>
            <w:left w:w="0" w:type="dxa"/>
            <w:bottom w:w="0" w:type="dxa"/>
            <w:right w:w="0" w:type="dxa"/>
          </w:tblCellMar>
        </w:tblPrEx>
        <w:trPr>
          <w:trHeight w:val="1297" w:hRule="atLeast"/>
          <w:jc w:val="center"/>
        </w:trPr>
        <w:tc>
          <w:tcPr>
            <w:tcW w:w="29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环卫作业</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不断提升辖区人居环境，体现城市文明程度</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较好</w:t>
            </w:r>
          </w:p>
        </w:tc>
      </w:tr>
      <w:tr>
        <w:tblPrEx>
          <w:tblLayout w:type="fixed"/>
          <w:tblCellMar>
            <w:top w:w="0" w:type="dxa"/>
            <w:left w:w="0" w:type="dxa"/>
            <w:bottom w:w="0" w:type="dxa"/>
            <w:right w:w="0" w:type="dxa"/>
          </w:tblCellMar>
        </w:tblPrEx>
        <w:trPr>
          <w:trHeight w:val="1297" w:hRule="atLeast"/>
          <w:jc w:val="center"/>
        </w:trPr>
        <w:tc>
          <w:tcPr>
            <w:tcW w:w="29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环卫作业</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减少扬尘危害，改善空气质量</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较好</w:t>
            </w:r>
          </w:p>
        </w:tc>
      </w:tr>
      <w:tr>
        <w:tblPrEx>
          <w:tblLayout w:type="fixed"/>
          <w:tblCellMar>
            <w:top w:w="0" w:type="dxa"/>
            <w:left w:w="0" w:type="dxa"/>
            <w:bottom w:w="0" w:type="dxa"/>
            <w:right w:w="0" w:type="dxa"/>
          </w:tblCellMar>
        </w:tblPrEx>
        <w:trPr>
          <w:trHeight w:val="1050" w:hRule="atLeast"/>
          <w:jc w:val="center"/>
        </w:trPr>
        <w:tc>
          <w:tcPr>
            <w:tcW w:w="2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 w:val="24"/>
              </w:rPr>
            </w:pPr>
            <w:r>
              <w:rPr>
                <w:rFonts w:hint="eastAsia"/>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满意度达到基本满意以上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满意</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本部门按要求对2019年部门整体支出绩效评价情况开展自评，《西区市容环境卫生管理服务中心2019年部门整体支出绩效评价报告》见附件（附件1）。</w:t>
      </w:r>
    </w:p>
    <w:p>
      <w:pPr>
        <w:spacing w:line="580" w:lineRule="exact"/>
        <w:ind w:firstLine="640" w:firstLineChars="200"/>
        <w:rPr>
          <w:rFonts w:ascii="仿宋" w:hAnsi="仿宋" w:eastAsia="仿宋"/>
          <w:b/>
          <w:color w:val="000000"/>
          <w:sz w:val="32"/>
          <w:szCs w:val="32"/>
        </w:rPr>
      </w:pPr>
      <w:r>
        <w:rPr>
          <w:rFonts w:hint="eastAsia" w:ascii="仿宋" w:hAnsi="仿宋" w:eastAsia="仿宋" w:cs="仿宋_GB2312"/>
          <w:sz w:val="32"/>
          <w:szCs w:val="32"/>
        </w:rPr>
        <w:t>本部门自行组织对环卫生产作业经费项目开展了绩效评价，《环卫生产作业经费项目2019年绩效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59" w:name="_Toc15396613"/>
      <w:bookmarkStart w:id="60"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59"/>
      <w:bookmarkEnd w:id="60"/>
    </w:p>
    <w:p>
      <w:pPr>
        <w:spacing w:line="600" w:lineRule="exact"/>
        <w:jc w:val="left"/>
        <w:rPr>
          <w:rFonts w:ascii="宋体"/>
          <w:b/>
          <w:color w:val="000000"/>
          <w:sz w:val="44"/>
          <w:szCs w:val="44"/>
        </w:rPr>
      </w:pPr>
    </w:p>
    <w:p>
      <w:pPr>
        <w:pStyle w:val="23"/>
        <w:spacing w:line="560" w:lineRule="exact"/>
        <w:ind w:firstLine="640" w:firstLineChars="200"/>
        <w:rPr>
          <w:rFonts w:hAnsi="仿宋"/>
          <w:sz w:val="32"/>
          <w:szCs w:val="32"/>
        </w:rPr>
      </w:pPr>
      <w:r>
        <w:rPr>
          <w:rFonts w:hAnsi="仿宋"/>
          <w:sz w:val="32"/>
          <w:szCs w:val="32"/>
        </w:rPr>
        <w:t>1.</w:t>
      </w:r>
      <w:r>
        <w:rPr>
          <w:rFonts w:hint="eastAsia" w:hAnsi="仿宋"/>
          <w:sz w:val="32"/>
          <w:szCs w:val="32"/>
        </w:rPr>
        <w:t>财政拨款收入：指单位从同级财政部门取得的财政预算资金。</w:t>
      </w:r>
    </w:p>
    <w:p>
      <w:pPr>
        <w:pStyle w:val="23"/>
        <w:spacing w:line="560" w:lineRule="exact"/>
        <w:ind w:firstLine="640" w:firstLineChars="200"/>
        <w:rPr>
          <w:rFonts w:hAnsi="仿宋"/>
          <w:sz w:val="32"/>
          <w:szCs w:val="32"/>
        </w:rPr>
      </w:pPr>
      <w:r>
        <w:rPr>
          <w:rFonts w:hAnsi="仿宋"/>
          <w:sz w:val="32"/>
          <w:szCs w:val="32"/>
        </w:rPr>
        <w:t>2.</w:t>
      </w:r>
      <w:r>
        <w:rPr>
          <w:rFonts w:hint="eastAsia" w:hAnsi="仿宋"/>
          <w:sz w:val="32"/>
          <w:szCs w:val="32"/>
        </w:rPr>
        <w:t>事业收入：指事业单位开展专业业务活动及辅助活动取得的收入。</w:t>
      </w:r>
    </w:p>
    <w:p>
      <w:pPr>
        <w:pStyle w:val="23"/>
        <w:spacing w:line="560" w:lineRule="exact"/>
        <w:ind w:firstLine="640" w:firstLineChars="200"/>
        <w:rPr>
          <w:rFonts w:hAnsi="仿宋"/>
          <w:sz w:val="32"/>
          <w:szCs w:val="32"/>
        </w:rPr>
      </w:pPr>
      <w:r>
        <w:rPr>
          <w:rFonts w:hAnsi="仿宋"/>
          <w:sz w:val="32"/>
          <w:szCs w:val="32"/>
        </w:rPr>
        <w:t>3.</w:t>
      </w:r>
      <w:r>
        <w:rPr>
          <w:rFonts w:hint="eastAsia" w:hAnsi="仿宋"/>
          <w:sz w:val="32"/>
          <w:szCs w:val="32"/>
        </w:rPr>
        <w:t>经营收入：指事业单位在专业业务活动及其辅助活动之外开展非独立核算经营活动取得的收入。</w:t>
      </w:r>
    </w:p>
    <w:p>
      <w:pPr>
        <w:pStyle w:val="23"/>
        <w:spacing w:line="560" w:lineRule="exact"/>
        <w:ind w:firstLine="640" w:firstLineChars="200"/>
        <w:rPr>
          <w:rFonts w:hAnsi="仿宋"/>
          <w:sz w:val="32"/>
          <w:szCs w:val="32"/>
        </w:rPr>
      </w:pPr>
      <w:r>
        <w:rPr>
          <w:rFonts w:hAnsi="仿宋"/>
          <w:sz w:val="32"/>
          <w:szCs w:val="32"/>
        </w:rPr>
        <w:t>4.</w:t>
      </w:r>
      <w:r>
        <w:rPr>
          <w:rFonts w:hint="eastAsia" w:hAnsi="仿宋"/>
          <w:sz w:val="32"/>
          <w:szCs w:val="32"/>
        </w:rPr>
        <w:t>其他收入：指单位取得的除上述收入以外的各项收入。主要是银行利息收入。</w:t>
      </w:r>
    </w:p>
    <w:p>
      <w:pPr>
        <w:pStyle w:val="23"/>
        <w:spacing w:line="560" w:lineRule="exact"/>
        <w:ind w:firstLine="640" w:firstLineChars="200"/>
        <w:rPr>
          <w:rFonts w:hAnsi="仿宋"/>
          <w:sz w:val="32"/>
          <w:szCs w:val="32"/>
        </w:rPr>
      </w:pPr>
      <w:r>
        <w:rPr>
          <w:rFonts w:hAnsi="仿宋"/>
          <w:sz w:val="32"/>
          <w:szCs w:val="32"/>
        </w:rPr>
        <w:t>5.</w:t>
      </w:r>
      <w:r>
        <w:rPr>
          <w:rFonts w:hint="eastAsia" w:hAnsi="仿宋"/>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hAnsi="仿宋"/>
          <w:sz w:val="32"/>
          <w:szCs w:val="32"/>
        </w:rPr>
      </w:pPr>
      <w:r>
        <w:rPr>
          <w:rFonts w:hAnsi="仿宋"/>
          <w:sz w:val="32"/>
          <w:szCs w:val="32"/>
        </w:rPr>
        <w:t>6.</w:t>
      </w:r>
      <w:r>
        <w:rPr>
          <w:rFonts w:hint="eastAsia" w:hAnsi="仿宋"/>
          <w:sz w:val="32"/>
          <w:szCs w:val="32"/>
        </w:rPr>
        <w:t>年初结转和结余：指以前年度尚未完成、结转到本年按有关规定继续使用的资金。</w:t>
      </w:r>
    </w:p>
    <w:p>
      <w:pPr>
        <w:pStyle w:val="23"/>
        <w:spacing w:line="560" w:lineRule="exact"/>
        <w:ind w:firstLine="640" w:firstLineChars="200"/>
        <w:rPr>
          <w:rFonts w:hAnsi="仿宋"/>
          <w:sz w:val="32"/>
          <w:szCs w:val="32"/>
        </w:rPr>
      </w:pPr>
      <w:r>
        <w:rPr>
          <w:rFonts w:hAnsi="仿宋"/>
          <w:sz w:val="32"/>
          <w:szCs w:val="32"/>
        </w:rPr>
        <w:t>7.</w:t>
      </w:r>
      <w:r>
        <w:rPr>
          <w:rFonts w:hint="eastAsia" w:hAnsi="仿宋"/>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hAnsi="仿宋"/>
          <w:sz w:val="32"/>
          <w:szCs w:val="32"/>
        </w:rPr>
      </w:pPr>
      <w:r>
        <w:rPr>
          <w:rFonts w:hAnsi="仿宋"/>
          <w:sz w:val="32"/>
          <w:szCs w:val="32"/>
        </w:rPr>
        <w:t>8</w:t>
      </w:r>
      <w:r>
        <w:rPr>
          <w:rFonts w:hint="eastAsia" w:hAnsi="仿宋"/>
          <w:sz w:val="32"/>
          <w:szCs w:val="32"/>
        </w:rPr>
        <w:t>、年末结转和结余：指单位按有关规定结转到下年或以后年度继续使用的资金。</w:t>
      </w:r>
    </w:p>
    <w:p>
      <w:pPr>
        <w:ind w:firstLine="640" w:firstLineChars="200"/>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 xml:space="preserve"> 城乡社区支出（类）城乡社区管理事务（款）行政运行（项）：指行政单位（包括实行公务员管理的事业单位）的基本支出。</w:t>
      </w:r>
    </w:p>
    <w:p>
      <w:pPr>
        <w:ind w:firstLine="640" w:firstLineChars="200"/>
        <w:rPr>
          <w:rFonts w:ascii="仿宋" w:hAnsi="仿宋" w:eastAsia="仿宋"/>
          <w:color w:val="000000"/>
          <w:sz w:val="32"/>
          <w:szCs w:val="32"/>
        </w:rPr>
      </w:pPr>
      <w:r>
        <w:rPr>
          <w:rFonts w:ascii="仿宋" w:hAnsi="仿宋" w:eastAsia="仿宋"/>
          <w:color w:val="000000"/>
          <w:sz w:val="32"/>
          <w:szCs w:val="32"/>
        </w:rPr>
        <w:t>10.</w:t>
      </w:r>
      <w:r>
        <w:rPr>
          <w:rFonts w:hint="eastAsia" w:ascii="仿宋" w:hAnsi="仿宋" w:eastAsia="仿宋"/>
          <w:color w:val="000000"/>
          <w:sz w:val="32"/>
          <w:szCs w:val="32"/>
        </w:rPr>
        <w:t xml:space="preserve"> 城乡社区支出（类）国有土地使用权出让收入及对应专项债务收入安排的支出（款）土地开发支出（项）：指项目以外其他用于城乡社区管理事务方面的支出。</w:t>
      </w:r>
    </w:p>
    <w:p>
      <w:pPr>
        <w:ind w:firstLine="640" w:firstLineChars="200"/>
        <w:rPr>
          <w:rFonts w:ascii="仿宋" w:hAnsi="仿宋" w:eastAsia="仿宋"/>
          <w:color w:val="000000"/>
          <w:sz w:val="32"/>
          <w:szCs w:val="32"/>
        </w:rPr>
      </w:pPr>
      <w:r>
        <w:rPr>
          <w:rFonts w:ascii="仿宋" w:hAnsi="仿宋" w:eastAsia="仿宋"/>
          <w:color w:val="000000"/>
          <w:sz w:val="32"/>
          <w:szCs w:val="32"/>
        </w:rPr>
        <w:t>11.</w:t>
      </w:r>
      <w:r>
        <w:rPr>
          <w:rFonts w:hint="eastAsia" w:ascii="仿宋" w:hAnsi="仿宋" w:eastAsia="仿宋"/>
          <w:color w:val="000000"/>
          <w:sz w:val="32"/>
          <w:szCs w:val="32"/>
        </w:rPr>
        <w:t xml:space="preserve"> 社会保障和就业（类）行政事业单位离退休（款）未归口管理的行政单位离退休（项）：指未实行归口管理的行政单位（包括实行公务员管理的事业单位）开支的离退休支出。</w:t>
      </w:r>
    </w:p>
    <w:p>
      <w:pPr>
        <w:ind w:firstLine="640" w:firstLineChars="200"/>
        <w:rPr>
          <w:rFonts w:ascii="仿宋" w:hAnsi="仿宋" w:eastAsia="仿宋"/>
          <w:color w:val="000000"/>
          <w:sz w:val="32"/>
          <w:szCs w:val="32"/>
        </w:rPr>
      </w:pPr>
      <w:r>
        <w:rPr>
          <w:rFonts w:ascii="仿宋" w:hAnsi="仿宋" w:eastAsia="仿宋"/>
          <w:color w:val="000000"/>
          <w:sz w:val="32"/>
          <w:szCs w:val="32"/>
        </w:rPr>
        <w:t>12.</w:t>
      </w:r>
      <w:r>
        <w:rPr>
          <w:rFonts w:hint="eastAsia" w:ascii="仿宋" w:hAnsi="仿宋" w:eastAsia="仿宋"/>
          <w:color w:val="000000"/>
          <w:sz w:val="32"/>
          <w:szCs w:val="32"/>
        </w:rPr>
        <w:t xml:space="preserve"> 社会保障和就业（类）行政事业单位离退休（款）机关事业单位基本养老保险缴费支出（项）：指机关事业单位实施养老保险制度由单位缴纳的基本养老保险支出。</w:t>
      </w:r>
    </w:p>
    <w:p>
      <w:pPr>
        <w:ind w:firstLine="640" w:firstLineChars="200"/>
        <w:rPr>
          <w:rFonts w:ascii="仿宋" w:hAnsi="仿宋" w:eastAsia="仿宋"/>
          <w:color w:val="000000"/>
          <w:sz w:val="32"/>
          <w:szCs w:val="32"/>
        </w:rPr>
      </w:pPr>
      <w:r>
        <w:rPr>
          <w:rFonts w:ascii="仿宋" w:hAnsi="仿宋" w:eastAsia="仿宋"/>
          <w:color w:val="000000"/>
          <w:sz w:val="32"/>
          <w:szCs w:val="32"/>
        </w:rPr>
        <w:t>13.</w:t>
      </w:r>
      <w:r>
        <w:rPr>
          <w:rFonts w:hint="eastAsia" w:ascii="仿宋" w:hAnsi="仿宋" w:eastAsia="仿宋"/>
          <w:color w:val="000000"/>
          <w:sz w:val="32"/>
          <w:szCs w:val="32"/>
        </w:rPr>
        <w:t xml:space="preserve"> 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医疗卫生与计划生育（类）行政事业单位医疗（款）行政单位医疗（项）：指单位为职工缴纳的基本医疗保险。</w:t>
      </w:r>
    </w:p>
    <w:p>
      <w:pPr>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5</w:t>
      </w:r>
      <w:r>
        <w:rPr>
          <w:rFonts w:ascii="仿宋" w:hAnsi="仿宋" w:eastAsia="仿宋"/>
          <w:color w:val="000000"/>
          <w:sz w:val="32"/>
          <w:szCs w:val="32"/>
        </w:rPr>
        <w:t>.</w:t>
      </w:r>
      <w:r>
        <w:rPr>
          <w:rFonts w:hint="eastAsia" w:ascii="仿宋" w:hAnsi="仿宋" w:eastAsia="仿宋"/>
          <w:color w:val="000000"/>
          <w:sz w:val="32"/>
          <w:szCs w:val="32"/>
        </w:rPr>
        <w:t>医疗卫生与计划生育（类）行政事业单位医疗（款）公务员医疗补助（项）：指单位为职工缴纳的公务员医疗补助费。</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16</w:t>
      </w:r>
      <w:r>
        <w:rPr>
          <w:rFonts w:ascii="仿宋" w:hAnsi="仿宋" w:eastAsia="仿宋"/>
          <w:color w:val="000000"/>
          <w:sz w:val="32"/>
          <w:szCs w:val="32"/>
        </w:rPr>
        <w:t>.</w:t>
      </w:r>
      <w:r>
        <w:rPr>
          <w:rFonts w:hint="eastAsia" w:ascii="仿宋" w:hAnsi="仿宋" w:eastAsia="仿宋"/>
          <w:color w:val="000000"/>
          <w:sz w:val="32"/>
          <w:szCs w:val="32"/>
        </w:rPr>
        <w:t>基本支出：指为保障机构正常运转、完成日常工作任务而发生的人员支出和公用支出。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17</w:t>
      </w:r>
      <w:r>
        <w:rPr>
          <w:rFonts w:ascii="仿宋" w:hAnsi="仿宋" w:eastAsia="仿宋"/>
          <w:color w:val="000000"/>
          <w:sz w:val="32"/>
          <w:szCs w:val="32"/>
        </w:rPr>
        <w:t>.</w:t>
      </w:r>
      <w:r>
        <w:rPr>
          <w:rFonts w:hint="eastAsia" w:ascii="仿宋" w:hAnsi="仿宋" w:eastAsia="仿宋"/>
          <w:color w:val="000000"/>
          <w:sz w:val="32"/>
          <w:szCs w:val="32"/>
        </w:rPr>
        <w:t>项目支出：指在基本支出之外为完成特定行政任务和事业发展目标所发生的支出。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18</w:t>
      </w:r>
      <w:r>
        <w:rPr>
          <w:rFonts w:ascii="仿宋" w:hAnsi="仿宋" w:eastAsia="仿宋"/>
          <w:color w:val="000000"/>
          <w:sz w:val="32"/>
          <w:szCs w:val="32"/>
        </w:rPr>
        <w:t>.</w:t>
      </w:r>
      <w:r>
        <w:rPr>
          <w:rFonts w:hint="eastAsia" w:ascii="仿宋" w:hAnsi="仿宋" w:eastAsia="仿宋"/>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hAnsi="仿宋"/>
          <w:sz w:val="32"/>
          <w:szCs w:val="32"/>
        </w:rPr>
      </w:pPr>
      <w:r>
        <w:rPr>
          <w:rFonts w:hint="eastAsia" w:hAnsi="仿宋"/>
          <w:sz w:val="32"/>
          <w:szCs w:val="32"/>
        </w:rPr>
        <w:t>19</w:t>
      </w:r>
      <w:r>
        <w:rPr>
          <w:rFonts w:hAnsi="仿宋"/>
          <w:sz w:val="32"/>
          <w:szCs w:val="32"/>
        </w:rPr>
        <w:t>.</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hAnsi="仿宋"/>
          <w:sz w:val="32"/>
          <w:szCs w:val="32"/>
        </w:rPr>
      </w:pPr>
      <w:r>
        <w:rPr>
          <w:rFonts w:hint="eastAsia" w:hAnsi="仿宋"/>
          <w:sz w:val="32"/>
          <w:szCs w:val="32"/>
        </w:rPr>
        <w:t>20</w:t>
      </w:r>
      <w:r>
        <w:rPr>
          <w:rFonts w:hAnsi="仿宋"/>
          <w:sz w:val="32"/>
          <w:szCs w:val="32"/>
        </w:rPr>
        <w:t>.</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hAnsi="仿宋"/>
          <w:sz w:val="32"/>
          <w:szCs w:val="32"/>
        </w:rPr>
      </w:pPr>
    </w:p>
    <w:p>
      <w:pPr>
        <w:pStyle w:val="23"/>
        <w:spacing w:line="560" w:lineRule="exact"/>
        <w:ind w:firstLine="640" w:firstLineChars="200"/>
        <w:rPr>
          <w:rFonts w:hAnsi="仿宋" w:cs="黑体"/>
          <w:sz w:val="32"/>
          <w:szCs w:val="32"/>
        </w:rPr>
      </w:pPr>
    </w:p>
    <w:p>
      <w:pPr>
        <w:spacing w:line="600" w:lineRule="exact"/>
        <w:jc w:val="center"/>
        <w:outlineLvl w:val="0"/>
        <w:rPr>
          <w:rStyle w:val="25"/>
          <w:rFonts w:ascii="仿宋" w:hAnsi="仿宋" w:eastAsia="仿宋"/>
          <w:b w:val="0"/>
          <w:sz w:val="32"/>
          <w:szCs w:val="32"/>
        </w:rPr>
      </w:pPr>
      <w:bookmarkStart w:id="61" w:name="_Toc15377226"/>
      <w:r>
        <w:rPr>
          <w:rFonts w:ascii="仿宋" w:hAnsi="仿宋" w:eastAsia="仿宋"/>
          <w:b/>
          <w:color w:val="000000"/>
          <w:sz w:val="32"/>
          <w:szCs w:val="32"/>
        </w:rPr>
        <w:br w:type="page"/>
      </w:r>
      <w:bookmarkStart w:id="62" w:name="_Toc15396614"/>
      <w:r>
        <w:rPr>
          <w:rFonts w:hint="eastAsia" w:ascii="仿宋" w:hAnsi="仿宋" w:eastAsia="仿宋"/>
          <w:color w:val="000000"/>
          <w:sz w:val="32"/>
          <w:szCs w:val="32"/>
        </w:rPr>
        <w:t>第</w:t>
      </w:r>
      <w:r>
        <w:rPr>
          <w:rStyle w:val="25"/>
          <w:rFonts w:hint="eastAsia" w:ascii="仿宋" w:hAnsi="仿宋" w:eastAsia="仿宋"/>
          <w:b w:val="0"/>
          <w:sz w:val="32"/>
          <w:szCs w:val="32"/>
        </w:rPr>
        <w:t>四部分 附件</w:t>
      </w:r>
      <w:bookmarkEnd w:id="62"/>
    </w:p>
    <w:p>
      <w:pPr>
        <w:spacing w:line="600" w:lineRule="exact"/>
        <w:jc w:val="left"/>
        <w:outlineLvl w:val="0"/>
        <w:rPr>
          <w:rFonts w:ascii="仿宋" w:hAnsi="仿宋" w:eastAsia="仿宋" w:cs="方正小标宋简体"/>
          <w:sz w:val="32"/>
          <w:szCs w:val="32"/>
        </w:rPr>
      </w:pPr>
      <w:r>
        <w:rPr>
          <w:rFonts w:hint="eastAsia" w:ascii="仿宋" w:hAnsi="仿宋" w:eastAsia="仿宋" w:cs="黑体"/>
          <w:sz w:val="32"/>
          <w:szCs w:val="32"/>
        </w:rPr>
        <w:t>附件1</w:t>
      </w:r>
    </w:p>
    <w:p>
      <w:pPr>
        <w:spacing w:line="580" w:lineRule="exact"/>
        <w:jc w:val="center"/>
        <w:rPr>
          <w:rFonts w:ascii="仿宋" w:hAnsi="仿宋" w:eastAsia="仿宋" w:cs="方正小标宋简体"/>
          <w:sz w:val="32"/>
          <w:szCs w:val="32"/>
        </w:rPr>
      </w:pPr>
    </w:p>
    <w:p>
      <w:pPr>
        <w:spacing w:line="600" w:lineRule="exact"/>
        <w:jc w:val="center"/>
        <w:rPr>
          <w:rFonts w:ascii="仿宋" w:hAnsi="仿宋" w:eastAsia="仿宋"/>
          <w:color w:val="000000"/>
          <w:kern w:val="0"/>
          <w:sz w:val="36"/>
          <w:szCs w:val="36"/>
        </w:rPr>
      </w:pPr>
      <w:r>
        <w:rPr>
          <w:rFonts w:hint="eastAsia" w:ascii="仿宋" w:hAnsi="仿宋" w:eastAsia="仿宋"/>
          <w:color w:val="000000"/>
          <w:kern w:val="0"/>
          <w:sz w:val="36"/>
          <w:szCs w:val="36"/>
        </w:rPr>
        <w:t>西区市容环境卫生管理服务中心</w:t>
      </w:r>
    </w:p>
    <w:p>
      <w:pPr>
        <w:spacing w:line="600" w:lineRule="exact"/>
        <w:jc w:val="center"/>
        <w:rPr>
          <w:rFonts w:ascii="仿宋" w:hAnsi="仿宋" w:eastAsia="仿宋"/>
          <w:color w:val="000000"/>
          <w:kern w:val="0"/>
          <w:sz w:val="36"/>
          <w:szCs w:val="36"/>
          <w:lang w:val="zh-CN"/>
        </w:rPr>
      </w:pPr>
      <w:r>
        <w:rPr>
          <w:rFonts w:ascii="仿宋" w:hAnsi="仿宋" w:eastAsia="仿宋"/>
          <w:color w:val="000000"/>
          <w:kern w:val="0"/>
          <w:sz w:val="36"/>
          <w:szCs w:val="36"/>
        </w:rPr>
        <w:t>2019年部门</w:t>
      </w:r>
      <w:r>
        <w:rPr>
          <w:rFonts w:hint="eastAsia" w:ascii="仿宋" w:hAnsi="仿宋" w:eastAsia="仿宋"/>
          <w:color w:val="000000"/>
          <w:kern w:val="0"/>
          <w:sz w:val="36"/>
          <w:szCs w:val="36"/>
          <w:lang w:val="zh-CN"/>
        </w:rPr>
        <w:t>整体支出绩效评价报告</w:t>
      </w:r>
    </w:p>
    <w:p>
      <w:pPr>
        <w:widowControl/>
        <w:spacing w:line="580" w:lineRule="exact"/>
        <w:ind w:firstLine="640" w:firstLineChars="200"/>
        <w:contextualSpacing/>
        <w:jc w:val="center"/>
        <w:rPr>
          <w:rFonts w:ascii="仿宋" w:hAnsi="仿宋" w:eastAsia="仿宋"/>
          <w:sz w:val="32"/>
          <w:szCs w:val="32"/>
          <w:shd w:val="clear" w:color="auto" w:fill="FFFFFF"/>
        </w:rPr>
      </w:pPr>
    </w:p>
    <w:p>
      <w:pPr>
        <w:widowControl/>
        <w:adjustRightInd w:val="0"/>
        <w:snapToGrid w:val="0"/>
        <w:spacing w:line="580" w:lineRule="exact"/>
        <w:contextualSpacing/>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rPr>
        <w:t>一、</w:t>
      </w:r>
      <w:r>
        <w:rPr>
          <w:rFonts w:hint="eastAsia" w:ascii="仿宋" w:hAnsi="仿宋" w:eastAsia="仿宋" w:cs="宋体"/>
          <w:color w:val="000000"/>
          <w:kern w:val="0"/>
          <w:sz w:val="32"/>
          <w:szCs w:val="32"/>
          <w:shd w:val="clear" w:color="auto" w:fill="FFFFFF"/>
          <w:lang w:val="zh-CN"/>
        </w:rPr>
        <w:t>部门（单位）概况</w:t>
      </w:r>
    </w:p>
    <w:p>
      <w:pPr>
        <w:pStyle w:val="7"/>
        <w:spacing w:line="353" w:lineRule="auto"/>
        <w:ind w:firstLine="1120" w:firstLineChars="350"/>
        <w:rPr>
          <w:rFonts w:ascii="仿宋" w:hAnsi="仿宋" w:eastAsia="仿宋" w:cs="仿宋_GB2312"/>
          <w:sz w:val="32"/>
          <w:szCs w:val="32"/>
        </w:rPr>
      </w:pPr>
      <w:r>
        <w:rPr>
          <w:rFonts w:ascii="仿宋" w:hAnsi="仿宋" w:eastAsia="仿宋"/>
          <w:sz w:val="32"/>
          <w:szCs w:val="32"/>
        </w:rPr>
        <w:t>简要阐述本部门的基本职能、人员构成和固定资产等情况</w:t>
      </w:r>
      <w:r>
        <w:rPr>
          <w:rFonts w:hint="eastAsia" w:ascii="仿宋" w:hAnsi="仿宋" w:eastAsia="仿宋"/>
          <w:sz w:val="32"/>
          <w:szCs w:val="32"/>
        </w:rPr>
        <w:t>。</w:t>
      </w:r>
      <w:r>
        <w:rPr>
          <w:rFonts w:hint="eastAsia" w:ascii="仿宋" w:hAnsi="仿宋" w:eastAsia="仿宋" w:cs="仿宋_GB2312"/>
          <w:kern w:val="0"/>
          <w:sz w:val="32"/>
          <w:szCs w:val="32"/>
        </w:rPr>
        <w:t>主要职能职责：</w:t>
      </w:r>
      <w:r>
        <w:rPr>
          <w:rFonts w:hint="eastAsia" w:ascii="仿宋" w:hAnsi="仿宋" w:eastAsia="仿宋" w:cs="仿宋_GB2312"/>
          <w:bCs/>
          <w:sz w:val="32"/>
          <w:szCs w:val="32"/>
        </w:rPr>
        <w:t>（1）</w:t>
      </w:r>
      <w:r>
        <w:rPr>
          <w:rFonts w:hint="eastAsia" w:ascii="仿宋" w:hAnsi="仿宋" w:eastAsia="仿宋" w:cs="仿宋_GB2312"/>
          <w:sz w:val="32"/>
          <w:szCs w:val="32"/>
        </w:rPr>
        <w:t>宣传、贯彻执行国家、省、市有关市容环境卫生管理工作的法律、法规和方针、政策，参与编制西区市容环境卫生事业发展规划，并负责组织实施。（2）负责落实执行相关行政部门单位制订的攀枝花市城市西区市容和环境卫生管理工作标准；负责协助相关行政部门单位对西区市容环境卫生的综合整治、日常管理、监督检查；负责辖区内各居民小区的市容环境卫生工作的业务指导和监督。（3）负责市容环境卫生科学技术的引进、推广、应用等工作。（4）负责责权范围内西区市容环境卫生公共设备设施（含环卫车辆、垃圾桶、果皮箱等）的日常维护、维修和管理。（5）负责西区城市主干道、街道、人行道责权范围内的垃圾清运及洒水防尘等工作。（6）完成上级交办的其他工作任务。</w:t>
      </w:r>
    </w:p>
    <w:p>
      <w:pPr>
        <w:ind w:firstLine="630"/>
        <w:rPr>
          <w:rFonts w:ascii="仿宋" w:hAnsi="仿宋" w:eastAsia="仿宋" w:cs="仿宋"/>
          <w:kern w:val="0"/>
          <w:sz w:val="32"/>
          <w:szCs w:val="32"/>
        </w:rPr>
      </w:pPr>
      <w:r>
        <w:rPr>
          <w:rFonts w:hint="eastAsia" w:ascii="仿宋" w:hAnsi="仿宋" w:eastAsia="仿宋" w:cs="仿宋"/>
          <w:kern w:val="0"/>
          <w:sz w:val="32"/>
          <w:szCs w:val="32"/>
        </w:rPr>
        <w:t>人员构成：截止</w:t>
      </w:r>
      <w:r>
        <w:rPr>
          <w:rFonts w:ascii="仿宋" w:hAnsi="仿宋" w:eastAsia="仿宋" w:cs="仿宋"/>
          <w:kern w:val="0"/>
          <w:sz w:val="32"/>
          <w:szCs w:val="32"/>
        </w:rPr>
        <w:t>2019</w:t>
      </w:r>
      <w:r>
        <w:rPr>
          <w:rFonts w:hint="eastAsia" w:ascii="仿宋" w:hAnsi="仿宋" w:eastAsia="仿宋" w:cs="仿宋"/>
          <w:kern w:val="0"/>
          <w:sz w:val="32"/>
          <w:szCs w:val="32"/>
        </w:rPr>
        <w:t>年12月统计，我部门基本情况如下：行政人员编制25人，实有</w:t>
      </w:r>
      <w:r>
        <w:rPr>
          <w:rFonts w:ascii="仿宋" w:hAnsi="仿宋" w:eastAsia="仿宋" w:cs="仿宋"/>
          <w:kern w:val="0"/>
          <w:sz w:val="32"/>
          <w:szCs w:val="32"/>
        </w:rPr>
        <w:t>19</w:t>
      </w:r>
      <w:r>
        <w:rPr>
          <w:rFonts w:hint="eastAsia" w:ascii="仿宋" w:hAnsi="仿宋" w:eastAsia="仿宋" w:cs="仿宋"/>
          <w:kern w:val="0"/>
          <w:sz w:val="32"/>
          <w:szCs w:val="32"/>
        </w:rPr>
        <w:t>人。</w:t>
      </w:r>
    </w:p>
    <w:p>
      <w:pPr>
        <w:ind w:firstLine="630"/>
        <w:rPr>
          <w:rFonts w:ascii="仿宋" w:hAnsi="仿宋" w:eastAsia="仿宋" w:cs="仿宋"/>
          <w:kern w:val="0"/>
          <w:sz w:val="32"/>
          <w:szCs w:val="32"/>
        </w:rPr>
      </w:pPr>
      <w:r>
        <w:rPr>
          <w:rFonts w:hint="eastAsia" w:ascii="仿宋" w:hAnsi="仿宋" w:eastAsia="仿宋" w:cs="仿宋"/>
          <w:kern w:val="0"/>
          <w:sz w:val="32"/>
          <w:szCs w:val="32"/>
        </w:rPr>
        <w:t>编内聘用人员编制</w:t>
      </w:r>
      <w:r>
        <w:rPr>
          <w:rFonts w:ascii="仿宋" w:hAnsi="仿宋" w:eastAsia="仿宋" w:cs="仿宋"/>
          <w:kern w:val="0"/>
          <w:sz w:val="32"/>
          <w:szCs w:val="32"/>
        </w:rPr>
        <w:t>64</w:t>
      </w:r>
      <w:r>
        <w:rPr>
          <w:rFonts w:hint="eastAsia" w:ascii="仿宋" w:hAnsi="仿宋" w:eastAsia="仿宋" w:cs="仿宋"/>
          <w:kern w:val="0"/>
          <w:sz w:val="32"/>
          <w:szCs w:val="32"/>
        </w:rPr>
        <w:t>人，实有59人，退休人员9人。</w:t>
      </w:r>
    </w:p>
    <w:p>
      <w:pPr>
        <w:widowControl/>
        <w:adjustRightInd w:val="0"/>
        <w:snapToGrid w:val="0"/>
        <w:spacing w:line="580" w:lineRule="exact"/>
        <w:contextualSpacing/>
        <w:jc w:val="left"/>
        <w:rPr>
          <w:rFonts w:ascii="仿宋" w:hAnsi="仿宋" w:eastAsia="仿宋" w:cs="宋体"/>
          <w:color w:val="000000"/>
          <w:kern w:val="0"/>
          <w:sz w:val="32"/>
          <w:szCs w:val="32"/>
          <w:shd w:val="clear" w:color="auto" w:fill="FFFFFF"/>
        </w:rPr>
      </w:pPr>
      <w:r>
        <w:rPr>
          <w:rFonts w:hint="eastAsia" w:ascii="仿宋" w:hAnsi="仿宋" w:eastAsia="仿宋" w:cs="宋体"/>
          <w:color w:val="000000"/>
          <w:kern w:val="0"/>
          <w:sz w:val="32"/>
          <w:szCs w:val="32"/>
          <w:shd w:val="clear" w:color="auto" w:fill="FFFFFF"/>
        </w:rPr>
        <w:t>二、部门财政资金收支情况</w:t>
      </w:r>
    </w:p>
    <w:p>
      <w:pPr>
        <w:widowControl/>
        <w:adjustRightInd w:val="0"/>
        <w:snapToGrid w:val="0"/>
        <w:spacing w:line="580" w:lineRule="exact"/>
        <w:contextualSpacing/>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 w:hAnsi="仿宋" w:eastAsia="仿宋"/>
          <w:sz w:val="32"/>
          <w:szCs w:val="32"/>
        </w:rPr>
      </w:pPr>
      <w:r>
        <w:rPr>
          <w:rFonts w:hint="eastAsia" w:ascii="仿宋" w:hAnsi="仿宋" w:eastAsia="仿宋"/>
          <w:sz w:val="32"/>
          <w:szCs w:val="32"/>
        </w:rPr>
        <w:t>我单位2019年年初预算总收入514.14万元，决算收入897.41万元。</w:t>
      </w:r>
    </w:p>
    <w:p>
      <w:pPr>
        <w:widowControl/>
        <w:adjustRightInd w:val="0"/>
        <w:snapToGrid w:val="0"/>
        <w:spacing w:line="580" w:lineRule="exact"/>
        <w:contextualSpacing/>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ascii="仿宋" w:hAnsi="仿宋" w:eastAsia="仿宋"/>
          <w:sz w:val="32"/>
          <w:szCs w:val="32"/>
        </w:rPr>
      </w:pPr>
      <w:r>
        <w:rPr>
          <w:rFonts w:hint="eastAsia" w:ascii="仿宋" w:hAnsi="仿宋" w:eastAsia="仿宋"/>
          <w:sz w:val="32"/>
          <w:szCs w:val="32"/>
        </w:rPr>
        <w:t>我单位本年支出年初预算514.14万元，决算支出897.41万元，其中基本支出：年初预算508.44万元，决算559.67万元；项目支出：年初预算5.7万元，决算337.74万。</w:t>
      </w:r>
    </w:p>
    <w:p>
      <w:pPr>
        <w:widowControl/>
        <w:adjustRightInd w:val="0"/>
        <w:snapToGrid w:val="0"/>
        <w:spacing w:line="580" w:lineRule="exact"/>
        <w:contextualSpacing/>
        <w:jc w:val="left"/>
        <w:rPr>
          <w:rFonts w:ascii="仿宋" w:hAnsi="仿宋" w:eastAsia="仿宋" w:cs="宋体"/>
          <w:color w:val="000000"/>
          <w:kern w:val="0"/>
          <w:sz w:val="32"/>
          <w:szCs w:val="32"/>
          <w:shd w:val="clear" w:color="auto" w:fill="FFFFFF"/>
        </w:rPr>
      </w:pPr>
      <w:r>
        <w:rPr>
          <w:rFonts w:hint="eastAsia" w:ascii="仿宋" w:hAnsi="仿宋" w:eastAsia="仿宋" w:cs="宋体"/>
          <w:color w:val="000000"/>
          <w:kern w:val="0"/>
          <w:sz w:val="32"/>
          <w:szCs w:val="32"/>
          <w:shd w:val="clear" w:color="auto" w:fill="FFFFFF"/>
        </w:rPr>
        <w:t>三、部门整体预算绩效管理情况</w:t>
      </w:r>
    </w:p>
    <w:p>
      <w:pPr>
        <w:pStyle w:val="7"/>
        <w:spacing w:line="353" w:lineRule="auto"/>
        <w:ind w:firstLine="640" w:firstLineChars="200"/>
        <w:rPr>
          <w:rFonts w:ascii="仿宋" w:hAnsi="仿宋" w:eastAsia="仿宋"/>
          <w:sz w:val="32"/>
          <w:szCs w:val="32"/>
        </w:rPr>
      </w:pPr>
      <w:r>
        <w:rPr>
          <w:rFonts w:hint="eastAsia" w:ascii="仿宋" w:hAnsi="仿宋" w:eastAsia="仿宋"/>
          <w:sz w:val="32"/>
          <w:szCs w:val="32"/>
        </w:rPr>
        <w:t>2019年，根据本单位年初工作规划和重点性工作，积极履职，强化管理，较好的完成了年度工作目标。通过加强预算收支管理，不断建立健全内部管理制度，梳理内部管理流程，部门整体支出管理情况得到提升。根据2019年度部门整体支出状况的概述和分析，部门整体支出绩效情况如下：</w:t>
      </w:r>
    </w:p>
    <w:p>
      <w:pPr>
        <w:pStyle w:val="7"/>
        <w:spacing w:line="353" w:lineRule="auto"/>
        <w:ind w:firstLine="640" w:firstLineChars="200"/>
        <w:rPr>
          <w:rFonts w:ascii="仿宋" w:hAnsi="仿宋" w:eastAsia="仿宋"/>
          <w:sz w:val="32"/>
          <w:szCs w:val="32"/>
        </w:rPr>
      </w:pPr>
      <w:r>
        <w:rPr>
          <w:rFonts w:hint="eastAsia" w:ascii="仿宋" w:hAnsi="仿宋" w:eastAsia="仿宋"/>
          <w:sz w:val="32"/>
          <w:szCs w:val="32"/>
        </w:rPr>
        <w:t>数量指标：基本支出保证人员经费基本待遇。全系统在职在编及退休87人，其中：在职19人，在编59人，退休9人。</w:t>
      </w:r>
    </w:p>
    <w:p>
      <w:pPr>
        <w:pStyle w:val="7"/>
        <w:spacing w:line="353" w:lineRule="auto"/>
        <w:ind w:firstLine="640" w:firstLineChars="200"/>
        <w:rPr>
          <w:rFonts w:ascii="仿宋" w:hAnsi="仿宋" w:eastAsia="仿宋"/>
          <w:sz w:val="32"/>
          <w:szCs w:val="32"/>
        </w:rPr>
      </w:pPr>
      <w:r>
        <w:rPr>
          <w:rFonts w:hint="eastAsia" w:ascii="仿宋" w:hAnsi="仿宋" w:eastAsia="仿宋"/>
          <w:sz w:val="32"/>
          <w:szCs w:val="32"/>
        </w:rPr>
        <w:t>质量指标：提升了城市管理整体水平，改善了城市环境，提高了城市形象，为市民提供更加舒适的生活环境，使市民获得更多的幸福感。</w:t>
      </w:r>
    </w:p>
    <w:p>
      <w:pPr>
        <w:pStyle w:val="7"/>
        <w:spacing w:line="353" w:lineRule="auto"/>
        <w:ind w:firstLine="640" w:firstLineChars="200"/>
        <w:rPr>
          <w:rFonts w:ascii="仿宋" w:hAnsi="仿宋" w:eastAsia="仿宋"/>
          <w:sz w:val="32"/>
          <w:szCs w:val="32"/>
        </w:rPr>
      </w:pPr>
      <w:r>
        <w:rPr>
          <w:rFonts w:hint="eastAsia" w:ascii="仿宋" w:hAnsi="仿宋" w:eastAsia="仿宋"/>
          <w:sz w:val="32"/>
          <w:szCs w:val="32"/>
        </w:rPr>
        <w:t>成本指标：年度项目经费支出337.74万元。用于环卫作业车辆油料、维修、保险年审费，水费、人员工资、垃圾房清运管理费约332.04万元，</w:t>
      </w:r>
      <w:r>
        <w:rPr>
          <w:rFonts w:hint="eastAsia" w:ascii="仿宋" w:hAnsi="仿宋" w:eastAsia="仿宋" w:cs="仿宋"/>
          <w:kern w:val="0"/>
          <w:sz w:val="32"/>
          <w:szCs w:val="32"/>
        </w:rPr>
        <w:t>环卫大集体所有制企业退休职工的环卫工龄工资</w:t>
      </w:r>
      <w:r>
        <w:rPr>
          <w:rFonts w:hint="eastAsia" w:ascii="仿宋" w:hAnsi="仿宋" w:eastAsia="仿宋"/>
          <w:sz w:val="32"/>
          <w:szCs w:val="32"/>
        </w:rPr>
        <w:t>5.7万元。</w:t>
      </w:r>
    </w:p>
    <w:p>
      <w:pPr>
        <w:pStyle w:val="7"/>
        <w:spacing w:line="353" w:lineRule="auto"/>
        <w:ind w:firstLine="640" w:firstLineChars="200"/>
        <w:rPr>
          <w:rFonts w:ascii="仿宋" w:hAnsi="仿宋" w:eastAsia="仿宋"/>
          <w:sz w:val="32"/>
          <w:szCs w:val="32"/>
        </w:rPr>
      </w:pPr>
      <w:r>
        <w:rPr>
          <w:rFonts w:hint="eastAsia" w:ascii="仿宋" w:hAnsi="仿宋" w:eastAsia="仿宋"/>
          <w:sz w:val="32"/>
          <w:szCs w:val="32"/>
        </w:rPr>
        <w:t>时效指标：年度内按预定时间完成。</w:t>
      </w:r>
    </w:p>
    <w:p>
      <w:pPr>
        <w:pStyle w:val="7"/>
        <w:numPr>
          <w:ilvl w:val="0"/>
          <w:numId w:val="5"/>
        </w:numPr>
        <w:spacing w:line="353" w:lineRule="auto"/>
        <w:ind w:firstLine="640" w:firstLineChars="200"/>
        <w:rPr>
          <w:rFonts w:ascii="仿宋" w:hAnsi="仿宋" w:eastAsia="仿宋" w:cs="仿宋"/>
          <w:sz w:val="32"/>
          <w:szCs w:val="32"/>
        </w:rPr>
      </w:pPr>
      <w:r>
        <w:rPr>
          <w:rFonts w:hint="eastAsia" w:ascii="仿宋" w:hAnsi="仿宋" w:eastAsia="仿宋" w:cs="仿宋"/>
          <w:sz w:val="32"/>
          <w:szCs w:val="32"/>
        </w:rPr>
        <w:t>效益指标完成情况分析。包括经济效益、社会效益、生态效益和可持续影响。</w:t>
      </w:r>
    </w:p>
    <w:p>
      <w:pPr>
        <w:pStyle w:val="7"/>
        <w:spacing w:line="353" w:lineRule="auto"/>
        <w:ind w:firstLine="640" w:firstLineChars="200"/>
        <w:rPr>
          <w:rFonts w:ascii="仿宋" w:hAnsi="仿宋" w:eastAsia="仿宋"/>
          <w:sz w:val="32"/>
          <w:szCs w:val="32"/>
        </w:rPr>
      </w:pPr>
      <w:r>
        <w:rPr>
          <w:rFonts w:hint="eastAsia" w:ascii="仿宋" w:hAnsi="仿宋" w:eastAsia="仿宋"/>
          <w:sz w:val="32"/>
          <w:szCs w:val="32"/>
        </w:rPr>
        <w:t>经济效益指标：本单位项目经费337.74万元，占项目计划支出总额的100%，年初及追加项目由区级财政预算支出。主要用于完善城市功能，</w:t>
      </w:r>
      <w:r>
        <w:rPr>
          <w:rFonts w:hint="eastAsia" w:ascii="仿宋" w:hAnsi="仿宋" w:eastAsia="仿宋" w:cs="仿宋"/>
          <w:kern w:val="0"/>
          <w:sz w:val="32"/>
          <w:szCs w:val="32"/>
        </w:rPr>
        <w:t>城乡环境整洁行动，垃圾清运、洒水降尘严格按部颁标准执行，生活垃圾确保日产日清，环卫作业车辆保证车容整洁</w:t>
      </w:r>
      <w:r>
        <w:rPr>
          <w:rFonts w:hint="eastAsia" w:ascii="仿宋" w:hAnsi="仿宋" w:eastAsia="仿宋"/>
          <w:sz w:val="32"/>
          <w:szCs w:val="32"/>
        </w:rPr>
        <w:t>。</w:t>
      </w:r>
    </w:p>
    <w:p>
      <w:pPr>
        <w:pStyle w:val="7"/>
        <w:spacing w:line="353" w:lineRule="auto"/>
        <w:ind w:firstLine="640" w:firstLineChars="200"/>
        <w:rPr>
          <w:rFonts w:ascii="仿宋" w:hAnsi="仿宋" w:eastAsia="仿宋"/>
          <w:sz w:val="32"/>
          <w:szCs w:val="32"/>
        </w:rPr>
      </w:pPr>
      <w:r>
        <w:rPr>
          <w:rFonts w:hint="eastAsia" w:ascii="仿宋" w:hAnsi="仿宋" w:eastAsia="仿宋"/>
          <w:sz w:val="32"/>
          <w:szCs w:val="32"/>
        </w:rPr>
        <w:t>社会效益指标：不断提升人居环境，体现城市文明程度。</w:t>
      </w:r>
    </w:p>
    <w:p>
      <w:pPr>
        <w:pStyle w:val="7"/>
        <w:spacing w:line="353" w:lineRule="auto"/>
        <w:ind w:firstLine="640" w:firstLineChars="200"/>
        <w:rPr>
          <w:rFonts w:ascii="仿宋" w:hAnsi="仿宋" w:eastAsia="仿宋"/>
          <w:sz w:val="32"/>
          <w:szCs w:val="32"/>
        </w:rPr>
      </w:pPr>
      <w:r>
        <w:rPr>
          <w:rFonts w:hint="eastAsia" w:ascii="仿宋" w:hAnsi="仿宋" w:eastAsia="仿宋"/>
          <w:sz w:val="32"/>
          <w:szCs w:val="32"/>
        </w:rPr>
        <w:t>生态效益指标：减少扬尘危害，改善空气质量，无恶臭。</w:t>
      </w:r>
    </w:p>
    <w:p>
      <w:pPr>
        <w:pStyle w:val="7"/>
        <w:spacing w:line="353" w:lineRule="auto"/>
        <w:ind w:firstLine="640" w:firstLineChars="200"/>
        <w:rPr>
          <w:rFonts w:ascii="仿宋" w:hAnsi="仿宋" w:eastAsia="仿宋"/>
          <w:sz w:val="32"/>
          <w:szCs w:val="32"/>
        </w:rPr>
      </w:pPr>
      <w:r>
        <w:rPr>
          <w:rFonts w:hint="eastAsia" w:ascii="仿宋" w:hAnsi="仿宋" w:eastAsia="仿宋"/>
          <w:sz w:val="32"/>
          <w:szCs w:val="32"/>
        </w:rPr>
        <w:t>可持续影响指标：项目实施对人、自然、资源是否带来可持续影，实现人与自然和谐相处、资源为人类带来福利。</w:t>
      </w:r>
    </w:p>
    <w:p>
      <w:pPr>
        <w:widowControl/>
        <w:adjustRightInd w:val="0"/>
        <w:snapToGrid w:val="0"/>
        <w:spacing w:line="580" w:lineRule="exact"/>
        <w:contextualSpacing/>
        <w:jc w:val="left"/>
        <w:rPr>
          <w:rFonts w:ascii="仿宋" w:hAnsi="仿宋" w:eastAsia="仿宋" w:cs="宋体"/>
          <w:color w:val="000000"/>
          <w:kern w:val="0"/>
          <w:sz w:val="32"/>
          <w:szCs w:val="32"/>
          <w:shd w:val="clear" w:color="auto" w:fill="FFFFFF"/>
        </w:rPr>
      </w:pPr>
      <w:r>
        <w:rPr>
          <w:rFonts w:hint="eastAsia" w:ascii="仿宋" w:hAnsi="仿宋" w:eastAsia="仿宋" w:cs="宋体"/>
          <w:color w:val="000000"/>
          <w:kern w:val="0"/>
          <w:sz w:val="32"/>
          <w:szCs w:val="32"/>
          <w:shd w:val="clear" w:color="auto" w:fill="FFFFFF"/>
        </w:rPr>
        <w:t>四、评价结论及建议</w:t>
      </w:r>
    </w:p>
    <w:p>
      <w:pPr>
        <w:spacing w:line="353"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本单位持续开展城乡环境整洁行动，垃圾清运、洒水降尘严格按部颁标准执行，生活垃圾确保日产日清，环卫作业车辆保证车容整洁。开展辖区环境卫生整治行动，包括对积存垃圾的清理、商业城区、背街小巷、老旧社区环境卫生的整治，深入扬尘源头，对道路扬尘及抛撒现象清理控制。组织人员对积存垃圾进行彻底清理清运，加强主次干道、市政设施的清扫保洁力度。特别针对晨光巷积尘、扬尘现象，由区综合行政执法局牵头对该地段道路、围墙进行修复、重建，在公路两边实施立体绿化工程，联合其他部门对此路段的重型车辆抛撒现象进行管理整治。上半年共开展环境卫生巡查约80余次，清运垃圾约8000吨，洒水降尘用水约21000吨。</w:t>
      </w:r>
    </w:p>
    <w:p>
      <w:pPr>
        <w:tabs>
          <w:tab w:val="left" w:pos="3626"/>
        </w:tabs>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我单位存在的问题及不足：环卫特种作业设备部分车辆老化严重，车况差，存在安全隐患，维修频次高，维修成本投入大。垃圾转运运力不足，无法达到每日垃圾转运标准。城市垃圾收储点餐厨垃圾混合、收转运车渗滤液严重。垃圾分类工作需政府主导，全体动员，资金缺口大。</w:t>
      </w:r>
    </w:p>
    <w:p>
      <w:pPr>
        <w:pStyle w:val="7"/>
        <w:spacing w:line="353" w:lineRule="auto"/>
        <w:ind w:firstLine="640" w:firstLineChars="200"/>
        <w:rPr>
          <w:rFonts w:ascii="仿宋" w:hAnsi="仿宋" w:eastAsia="仿宋"/>
          <w:sz w:val="32"/>
          <w:szCs w:val="32"/>
        </w:rPr>
      </w:pPr>
      <w:r>
        <w:rPr>
          <w:rFonts w:hint="eastAsia" w:ascii="仿宋" w:hAnsi="仿宋" w:eastAsia="仿宋"/>
          <w:sz w:val="32"/>
          <w:szCs w:val="32"/>
        </w:rPr>
        <w:t>偏离绩效目标原因：资金紧缺且存在支付不及时，还存在预算执行不够完整的问题。</w:t>
      </w:r>
    </w:p>
    <w:p>
      <w:pPr>
        <w:pStyle w:val="7"/>
        <w:spacing w:line="353" w:lineRule="auto"/>
        <w:ind w:firstLine="640" w:firstLineChars="200"/>
        <w:rPr>
          <w:rFonts w:ascii="仿宋" w:hAnsi="仿宋" w:eastAsia="仿宋"/>
          <w:sz w:val="32"/>
          <w:szCs w:val="32"/>
        </w:rPr>
      </w:pPr>
      <w:r>
        <w:rPr>
          <w:rFonts w:hint="eastAsia" w:ascii="仿宋" w:hAnsi="仿宋" w:eastAsia="仿宋"/>
          <w:sz w:val="32"/>
          <w:szCs w:val="32"/>
        </w:rPr>
        <w:t>改进措施：进一步加强预算管理意识，严格按照预算编制的相关规定要求进行预算编制，优先保障固定性的、相对刚性的费用支出项目，尽量压缩变动性的、有控制空间的费用项目，进一步提高预算编制的科学性、严谨性和可控性。加强内部预算编制的审核和预算控制指标的下达，提高预算的合理性和准确性。</w:t>
      </w:r>
    </w:p>
    <w:p>
      <w:pPr>
        <w:pStyle w:val="7"/>
        <w:spacing w:line="353" w:lineRule="auto"/>
        <w:rPr>
          <w:rFonts w:hint="eastAsia" w:ascii="仿宋" w:hAnsi="仿宋" w:eastAsia="仿宋"/>
          <w:sz w:val="32"/>
          <w:szCs w:val="32"/>
        </w:rPr>
      </w:pPr>
    </w:p>
    <w:p>
      <w:pPr>
        <w:pStyle w:val="7"/>
        <w:spacing w:line="353" w:lineRule="auto"/>
        <w:rPr>
          <w:rFonts w:hint="eastAsia" w:ascii="仿宋" w:hAnsi="仿宋" w:eastAsia="仿宋"/>
          <w:sz w:val="32"/>
          <w:szCs w:val="32"/>
        </w:rPr>
      </w:pPr>
    </w:p>
    <w:p>
      <w:pPr>
        <w:pStyle w:val="7"/>
        <w:spacing w:line="353" w:lineRule="auto"/>
        <w:rPr>
          <w:rFonts w:hint="eastAsia" w:ascii="仿宋" w:hAnsi="仿宋" w:eastAsia="仿宋"/>
          <w:sz w:val="32"/>
          <w:szCs w:val="32"/>
        </w:rPr>
      </w:pPr>
    </w:p>
    <w:p>
      <w:pPr>
        <w:pStyle w:val="7"/>
        <w:spacing w:line="353" w:lineRule="auto"/>
        <w:rPr>
          <w:rFonts w:ascii="仿宋" w:hAnsi="仿宋" w:eastAsia="仿宋"/>
          <w:sz w:val="32"/>
          <w:szCs w:val="32"/>
        </w:rPr>
      </w:pPr>
    </w:p>
    <w:p>
      <w:pPr>
        <w:spacing w:line="580" w:lineRule="exact"/>
        <w:rPr>
          <w:rFonts w:ascii="仿宋" w:hAnsi="仿宋" w:eastAsia="仿宋" w:cs="仿宋_GB2312"/>
          <w:sz w:val="32"/>
          <w:szCs w:val="32"/>
        </w:rPr>
      </w:pPr>
      <w:r>
        <w:rPr>
          <w:rFonts w:hint="eastAsia" w:ascii="仿宋" w:hAnsi="仿宋" w:eastAsia="仿宋" w:cs="黑体"/>
          <w:sz w:val="32"/>
          <w:szCs w:val="32"/>
        </w:rPr>
        <w:t>附件2</w:t>
      </w:r>
    </w:p>
    <w:p>
      <w:pPr>
        <w:spacing w:line="580" w:lineRule="exact"/>
        <w:ind w:firstLine="640" w:firstLineChars="200"/>
        <w:rPr>
          <w:rFonts w:ascii="仿宋" w:hAnsi="仿宋" w:eastAsia="仿宋" w:cs="仿宋_GB2312"/>
          <w:sz w:val="32"/>
          <w:szCs w:val="32"/>
        </w:rPr>
      </w:pPr>
    </w:p>
    <w:p>
      <w:pPr>
        <w:spacing w:line="600" w:lineRule="exact"/>
        <w:jc w:val="center"/>
        <w:rPr>
          <w:rFonts w:ascii="仿宋" w:hAnsi="仿宋" w:eastAsia="仿宋"/>
          <w:color w:val="000000"/>
          <w:kern w:val="0"/>
          <w:sz w:val="36"/>
          <w:szCs w:val="36"/>
          <w:lang w:val="zh-CN"/>
        </w:rPr>
      </w:pPr>
      <w:r>
        <w:rPr>
          <w:rFonts w:hint="eastAsia" w:ascii="仿宋" w:hAnsi="仿宋" w:eastAsia="仿宋"/>
          <w:color w:val="000000"/>
          <w:kern w:val="0"/>
          <w:sz w:val="36"/>
          <w:szCs w:val="36"/>
        </w:rPr>
        <w:t>环卫生产作业经费</w:t>
      </w:r>
      <w:r>
        <w:rPr>
          <w:rFonts w:hint="eastAsia" w:ascii="仿宋" w:hAnsi="仿宋" w:eastAsia="仿宋"/>
          <w:color w:val="000000"/>
          <w:kern w:val="0"/>
          <w:sz w:val="36"/>
          <w:szCs w:val="36"/>
          <w:lang w:val="zh-CN"/>
        </w:rPr>
        <w:t>项目</w:t>
      </w:r>
    </w:p>
    <w:p>
      <w:pPr>
        <w:spacing w:line="600" w:lineRule="exact"/>
        <w:jc w:val="center"/>
        <w:rPr>
          <w:rFonts w:ascii="仿宋" w:hAnsi="仿宋" w:eastAsia="仿宋"/>
          <w:color w:val="000000"/>
          <w:kern w:val="0"/>
          <w:sz w:val="36"/>
          <w:szCs w:val="36"/>
          <w:lang w:val="zh-CN"/>
        </w:rPr>
      </w:pPr>
      <w:r>
        <w:rPr>
          <w:rFonts w:hint="eastAsia" w:ascii="仿宋" w:hAnsi="仿宋" w:eastAsia="仿宋"/>
          <w:color w:val="000000"/>
          <w:kern w:val="0"/>
          <w:sz w:val="36"/>
          <w:szCs w:val="36"/>
        </w:rPr>
        <w:t>2019年</w:t>
      </w:r>
      <w:r>
        <w:rPr>
          <w:rFonts w:hint="eastAsia" w:ascii="仿宋" w:hAnsi="仿宋" w:eastAsia="仿宋"/>
          <w:color w:val="000000"/>
          <w:kern w:val="0"/>
          <w:sz w:val="36"/>
          <w:szCs w:val="36"/>
          <w:lang w:val="zh-CN"/>
        </w:rPr>
        <w:t>绩效评价报告</w:t>
      </w:r>
    </w:p>
    <w:p>
      <w:pPr>
        <w:spacing w:line="600" w:lineRule="exact"/>
        <w:rPr>
          <w:rFonts w:ascii="仿宋" w:hAnsi="仿宋" w:eastAsia="仿宋"/>
          <w:sz w:val="32"/>
          <w:szCs w:val="32"/>
          <w:lang w:val="zh-CN"/>
        </w:rPr>
      </w:pPr>
    </w:p>
    <w:p>
      <w:pPr>
        <w:adjustRightInd w:val="0"/>
        <w:snapToGrid w:val="0"/>
        <w:spacing w:line="600" w:lineRule="exact"/>
        <w:rPr>
          <w:rFonts w:ascii="仿宋" w:hAnsi="仿宋" w:eastAsia="仿宋"/>
          <w:sz w:val="32"/>
          <w:szCs w:val="32"/>
          <w:lang w:val="zh-CN"/>
        </w:rPr>
      </w:pPr>
      <w:r>
        <w:rPr>
          <w:rFonts w:hint="eastAsia" w:ascii="仿宋" w:hAnsi="仿宋" w:eastAsia="仿宋"/>
          <w:sz w:val="32"/>
          <w:szCs w:val="32"/>
        </w:rPr>
        <w:t>一、</w:t>
      </w:r>
      <w:r>
        <w:rPr>
          <w:rFonts w:hint="eastAsia" w:ascii="仿宋" w:hAnsi="仿宋" w:eastAsia="仿宋"/>
          <w:sz w:val="32"/>
          <w:szCs w:val="32"/>
          <w:lang w:val="zh-CN"/>
        </w:rPr>
        <w:t>项目概况</w:t>
      </w:r>
    </w:p>
    <w:p>
      <w:pPr>
        <w:adjustRightInd w:val="0"/>
        <w:snapToGrid w:val="0"/>
        <w:spacing w:line="600" w:lineRule="exact"/>
        <w:rPr>
          <w:rFonts w:ascii="仿宋" w:hAnsi="仿宋" w:eastAsia="仿宋"/>
          <w:b/>
          <w:sz w:val="32"/>
          <w:szCs w:val="32"/>
          <w:lang w:val="zh-CN"/>
        </w:rPr>
      </w:pPr>
      <w:r>
        <w:rPr>
          <w:rFonts w:hint="eastAsia" w:ascii="仿宋" w:hAnsi="仿宋" w:eastAsia="仿宋"/>
          <w:b/>
          <w:sz w:val="32"/>
          <w:szCs w:val="32"/>
          <w:lang w:val="zh-CN"/>
        </w:rPr>
        <w:t>（一）项目基本情况。</w:t>
      </w:r>
    </w:p>
    <w:p>
      <w:pPr>
        <w:spacing w:line="360" w:lineRule="auto"/>
        <w:ind w:firstLine="640" w:firstLineChars="200"/>
        <w:rPr>
          <w:rFonts w:ascii="仿宋" w:hAnsi="仿宋" w:eastAsia="仿宋" w:cs="华文仿宋"/>
          <w:kern w:val="0"/>
          <w:sz w:val="32"/>
          <w:szCs w:val="32"/>
        </w:rPr>
      </w:pPr>
      <w:r>
        <w:rPr>
          <w:rFonts w:hint="eastAsia" w:ascii="仿宋" w:hAnsi="仿宋" w:eastAsia="仿宋" w:cs="华文仿宋"/>
          <w:kern w:val="0"/>
          <w:sz w:val="32"/>
          <w:szCs w:val="32"/>
        </w:rPr>
        <w:t>1.根据攀枝花市西区人民政府办公室关于印发《西区环卫作业实施方案》的通知（攀西府办函〔2012〕87号）主要职能职责：</w:t>
      </w:r>
    </w:p>
    <w:p>
      <w:pPr>
        <w:spacing w:line="360" w:lineRule="auto"/>
        <w:ind w:firstLine="640" w:firstLineChars="200"/>
        <w:rPr>
          <w:rFonts w:ascii="仿宋" w:hAnsi="仿宋" w:eastAsia="仿宋" w:cs="华文仿宋"/>
          <w:sz w:val="32"/>
          <w:szCs w:val="32"/>
        </w:rPr>
      </w:pPr>
      <w:r>
        <w:rPr>
          <w:rFonts w:hint="eastAsia" w:ascii="仿宋" w:hAnsi="仿宋" w:eastAsia="仿宋" w:cs="华文仿宋"/>
          <w:sz w:val="32"/>
          <w:szCs w:val="32"/>
        </w:rPr>
        <w:t>（1）负责落实执行相关行政</w:t>
      </w:r>
      <w:r>
        <w:rPr>
          <w:rFonts w:hint="eastAsia" w:ascii="仿宋" w:hAnsi="仿宋" w:eastAsia="仿宋" w:cs="仿宋_GB2312"/>
          <w:sz w:val="32"/>
          <w:szCs w:val="32"/>
        </w:rPr>
        <w:t>部门单位</w:t>
      </w:r>
      <w:r>
        <w:rPr>
          <w:rFonts w:hint="eastAsia" w:ascii="仿宋" w:hAnsi="仿宋" w:eastAsia="仿宋" w:cs="华文仿宋"/>
          <w:sz w:val="32"/>
          <w:szCs w:val="32"/>
        </w:rPr>
        <w:t>制订的攀枝花市城市西区市容和环境卫生管理工作标准；负责协助相关行政</w:t>
      </w:r>
      <w:r>
        <w:rPr>
          <w:rFonts w:hint="eastAsia" w:ascii="仿宋" w:hAnsi="仿宋" w:eastAsia="仿宋" w:cs="仿宋_GB2312"/>
          <w:sz w:val="32"/>
          <w:szCs w:val="32"/>
        </w:rPr>
        <w:t>部门单位</w:t>
      </w:r>
      <w:r>
        <w:rPr>
          <w:rFonts w:hint="eastAsia" w:ascii="仿宋" w:hAnsi="仿宋" w:eastAsia="仿宋" w:cs="华文仿宋"/>
          <w:sz w:val="32"/>
          <w:szCs w:val="32"/>
        </w:rPr>
        <w:t>对西区市容环境卫生的综合整治、日常管理、监督检查；负责辖区内各居民小区的市容环境卫生工作的业务指导和监督。</w:t>
      </w:r>
    </w:p>
    <w:p>
      <w:pPr>
        <w:spacing w:line="360" w:lineRule="auto"/>
        <w:ind w:firstLine="640" w:firstLineChars="200"/>
        <w:rPr>
          <w:rFonts w:ascii="仿宋" w:hAnsi="仿宋" w:eastAsia="仿宋" w:cs="华文仿宋"/>
          <w:sz w:val="32"/>
          <w:szCs w:val="32"/>
        </w:rPr>
      </w:pPr>
      <w:r>
        <w:rPr>
          <w:rFonts w:hint="eastAsia" w:ascii="仿宋" w:hAnsi="仿宋" w:eastAsia="仿宋" w:cs="华文仿宋"/>
          <w:sz w:val="32"/>
          <w:szCs w:val="32"/>
        </w:rPr>
        <w:t>（2）负责市容环境卫生科学技术的引进、推广、应用等工作。</w:t>
      </w:r>
    </w:p>
    <w:p>
      <w:pPr>
        <w:spacing w:line="360" w:lineRule="auto"/>
        <w:ind w:firstLine="640" w:firstLineChars="200"/>
        <w:rPr>
          <w:rFonts w:ascii="仿宋" w:hAnsi="仿宋" w:eastAsia="仿宋" w:cs="华文仿宋"/>
          <w:sz w:val="32"/>
          <w:szCs w:val="32"/>
        </w:rPr>
      </w:pPr>
      <w:r>
        <w:rPr>
          <w:rFonts w:hint="eastAsia" w:ascii="仿宋" w:hAnsi="仿宋" w:eastAsia="仿宋" w:cs="华文仿宋"/>
          <w:sz w:val="32"/>
          <w:szCs w:val="32"/>
        </w:rPr>
        <w:t>（3）负责责权范围内西区市容环境卫生公共设备设施（含环卫车辆、垃圾桶、果皮箱等）的日常维护、维修和管理。</w:t>
      </w:r>
    </w:p>
    <w:p>
      <w:pPr>
        <w:spacing w:line="360" w:lineRule="auto"/>
        <w:ind w:firstLine="640" w:firstLineChars="200"/>
        <w:rPr>
          <w:rFonts w:hint="eastAsia" w:ascii="仿宋" w:hAnsi="仿宋" w:eastAsia="仿宋" w:cs="华文仿宋"/>
          <w:sz w:val="32"/>
          <w:szCs w:val="32"/>
        </w:rPr>
      </w:pPr>
      <w:r>
        <w:rPr>
          <w:rFonts w:hint="eastAsia" w:ascii="仿宋" w:hAnsi="仿宋" w:eastAsia="仿宋" w:cs="华文仿宋"/>
          <w:sz w:val="32"/>
          <w:szCs w:val="32"/>
        </w:rPr>
        <w:t>（4）负责西区城市主干道、街道、人行道责权范围内的垃圾清运及洒水防尘等工作。</w:t>
      </w:r>
    </w:p>
    <w:p>
      <w:pPr>
        <w:spacing w:line="360" w:lineRule="auto"/>
        <w:rPr>
          <w:rFonts w:ascii="仿宋" w:hAnsi="仿宋" w:eastAsia="仿宋" w:cs="华文仿宋"/>
          <w:sz w:val="32"/>
          <w:szCs w:val="32"/>
        </w:rPr>
      </w:pPr>
      <w:r>
        <w:rPr>
          <w:rFonts w:hint="eastAsia" w:ascii="仿宋" w:hAnsi="仿宋" w:eastAsia="仿宋"/>
          <w:sz w:val="32"/>
          <w:szCs w:val="32"/>
          <w:lang w:val="zh-CN"/>
        </w:rPr>
        <w:t>2.项目立项、资金申报的依据。</w:t>
      </w:r>
    </w:p>
    <w:p>
      <w:pPr>
        <w:spacing w:line="360" w:lineRule="auto"/>
        <w:ind w:firstLine="960" w:firstLineChars="300"/>
        <w:rPr>
          <w:rFonts w:ascii="仿宋" w:hAnsi="仿宋" w:eastAsia="仿宋" w:cs="华文仿宋"/>
          <w:sz w:val="32"/>
          <w:szCs w:val="32"/>
        </w:rPr>
      </w:pPr>
      <w:r>
        <w:rPr>
          <w:rFonts w:hint="eastAsia" w:ascii="仿宋" w:hAnsi="仿宋" w:eastAsia="仿宋" w:cs="华文仿宋"/>
          <w:kern w:val="0"/>
          <w:sz w:val="32"/>
          <w:szCs w:val="32"/>
        </w:rPr>
        <w:t>根据攀枝花市西区人民政府办公室关于印发《西区环卫作业实施方案》的通知（攀西府办函〔2012〕87号）、《关于进一步理顺西区市政设施管理职责的请示》（攀西城管〔2014〕25号）文件。</w:t>
      </w:r>
    </w:p>
    <w:p>
      <w:pPr>
        <w:adjustRightInd w:val="0"/>
        <w:snapToGrid w:val="0"/>
        <w:spacing w:line="600" w:lineRule="exact"/>
        <w:rPr>
          <w:rFonts w:ascii="仿宋" w:hAnsi="仿宋" w:eastAsia="仿宋"/>
          <w:sz w:val="32"/>
          <w:szCs w:val="32"/>
          <w:lang w:val="zh-CN"/>
        </w:rPr>
      </w:pPr>
      <w:r>
        <w:rPr>
          <w:rFonts w:hint="eastAsia" w:ascii="仿宋" w:hAnsi="仿宋" w:eastAsia="仿宋"/>
          <w:sz w:val="32"/>
          <w:szCs w:val="32"/>
          <w:lang w:val="zh-CN"/>
        </w:rPr>
        <w:t>3．资金管理办法制定情况，资金支持具体项目的条件、范围与支持方式概况。</w:t>
      </w:r>
    </w:p>
    <w:p>
      <w:pPr>
        <w:adjustRightInd w:val="0"/>
        <w:snapToGrid w:val="0"/>
        <w:spacing w:line="600" w:lineRule="exact"/>
        <w:rPr>
          <w:rFonts w:ascii="仿宋" w:hAnsi="仿宋" w:eastAsia="仿宋"/>
          <w:sz w:val="32"/>
          <w:szCs w:val="32"/>
          <w:lang w:val="zh-CN"/>
        </w:rPr>
      </w:pPr>
      <w:r>
        <w:rPr>
          <w:rFonts w:hint="eastAsia" w:ascii="仿宋" w:hAnsi="仿宋" w:eastAsia="仿宋"/>
          <w:sz w:val="32"/>
          <w:szCs w:val="32"/>
          <w:lang w:val="zh-CN"/>
        </w:rPr>
        <w:t>4．资金分配的原则及考虑因素。</w:t>
      </w:r>
    </w:p>
    <w:p>
      <w:pPr>
        <w:spacing w:line="353" w:lineRule="auto"/>
        <w:ind w:firstLine="960" w:firstLineChars="300"/>
        <w:rPr>
          <w:rFonts w:hint="eastAsia" w:ascii="仿宋" w:hAnsi="仿宋" w:eastAsia="仿宋" w:cs="华文仿宋"/>
          <w:sz w:val="32"/>
          <w:szCs w:val="32"/>
        </w:rPr>
      </w:pPr>
      <w:r>
        <w:rPr>
          <w:rFonts w:hint="eastAsia" w:ascii="仿宋" w:hAnsi="仿宋" w:eastAsia="仿宋" w:cs="华文仿宋"/>
          <w:sz w:val="32"/>
          <w:szCs w:val="32"/>
        </w:rPr>
        <w:t>为加快城市管理长效机制建设，巩固“双创”和城乡环境综合治理阶段成果，促进辖区人居环境的不断提升，根据《</w:t>
      </w:r>
      <w:r>
        <w:rPr>
          <w:rFonts w:hint="eastAsia" w:ascii="仿宋" w:hAnsi="仿宋" w:eastAsia="仿宋" w:cs="华文仿宋"/>
          <w:kern w:val="0"/>
          <w:sz w:val="32"/>
          <w:szCs w:val="32"/>
        </w:rPr>
        <w:t>攀西府办函〔2012〕87号》文精神的原则及考虑因素，资金分配如下：格里坪镇经费拨款237.94万元；清香坪街办拨款193.78万元；玉泉街办拨款221.38万元；河门口街办拨款94.83万元；陶家渡街办拨款36.65万元；大宝鼎街办拨款2.16万元；摩梭河街办拨款0.72万元；河门口公园拨款11.36万元；城管局拨款6.44万元；西区环卫局拨款332.04万元。</w:t>
      </w:r>
    </w:p>
    <w:p>
      <w:pPr>
        <w:spacing w:line="353" w:lineRule="auto"/>
        <w:rPr>
          <w:rFonts w:ascii="仿宋" w:hAnsi="仿宋" w:eastAsia="仿宋" w:cs="华文仿宋"/>
          <w:sz w:val="32"/>
          <w:szCs w:val="32"/>
        </w:rPr>
      </w:pPr>
      <w:r>
        <w:rPr>
          <w:rFonts w:hint="eastAsia" w:ascii="仿宋" w:hAnsi="仿宋" w:eastAsia="仿宋"/>
          <w:b/>
          <w:sz w:val="32"/>
          <w:szCs w:val="32"/>
          <w:lang w:val="zh-CN"/>
        </w:rPr>
        <w:t>（二）项目绩效目标。</w:t>
      </w:r>
    </w:p>
    <w:p>
      <w:pPr>
        <w:adjustRightInd w:val="0"/>
        <w:snapToGrid w:val="0"/>
        <w:spacing w:line="600" w:lineRule="exact"/>
        <w:rPr>
          <w:rFonts w:ascii="仿宋" w:hAnsi="仿宋" w:eastAsia="仿宋"/>
          <w:sz w:val="32"/>
          <w:szCs w:val="32"/>
          <w:lang w:val="zh-CN"/>
        </w:rPr>
      </w:pPr>
      <w:r>
        <w:rPr>
          <w:rFonts w:hint="eastAsia" w:ascii="仿宋" w:hAnsi="仿宋" w:eastAsia="仿宋"/>
          <w:sz w:val="32"/>
          <w:szCs w:val="32"/>
          <w:lang w:val="zh-CN"/>
        </w:rPr>
        <w:t>1．项目主要内容。</w:t>
      </w:r>
    </w:p>
    <w:p>
      <w:pPr>
        <w:spacing w:line="353" w:lineRule="auto"/>
        <w:ind w:firstLine="960" w:firstLineChars="300"/>
        <w:rPr>
          <w:rFonts w:ascii="仿宋" w:hAnsi="仿宋" w:eastAsia="仿宋" w:cs="华文仿宋"/>
          <w:sz w:val="32"/>
          <w:szCs w:val="32"/>
        </w:rPr>
      </w:pPr>
      <w:r>
        <w:rPr>
          <w:rFonts w:hint="eastAsia" w:ascii="仿宋" w:hAnsi="仿宋" w:eastAsia="仿宋" w:cs="华文仿宋"/>
          <w:sz w:val="32"/>
          <w:szCs w:val="32"/>
        </w:rPr>
        <w:t>本单位重点项目主要内容是</w:t>
      </w:r>
      <w:r>
        <w:rPr>
          <w:rFonts w:hint="eastAsia" w:ascii="仿宋" w:hAnsi="仿宋" w:eastAsia="仿宋" w:cs="华文仿宋"/>
          <w:kern w:val="0"/>
          <w:sz w:val="32"/>
          <w:szCs w:val="32"/>
        </w:rPr>
        <w:t>格里坪镇、清香坪街办等各街办负责</w:t>
      </w:r>
      <w:r>
        <w:rPr>
          <w:rFonts w:hint="eastAsia" w:ascii="仿宋" w:hAnsi="仿宋" w:eastAsia="仿宋" w:cs="华文仿宋"/>
          <w:sz w:val="32"/>
          <w:szCs w:val="32"/>
        </w:rPr>
        <w:t>辖区主次干道、繁华商业区、广场路段及背街小巷的清扫保洁，和全区一二三类公测（66座）管理；区环卫局负责辖区主次干道居民生活区、城乡结合部的生活垃圾清运。涉及垃圾房79座、垃圾桶294个、垃圾投放点165个、垃圾池48个。及主要干道和街道洒水降尘冲洗工作。包括苏铁大道、格萨拉大道、宁化路等。</w:t>
      </w:r>
    </w:p>
    <w:p>
      <w:pPr>
        <w:numPr>
          <w:ilvl w:val="0"/>
          <w:numId w:val="6"/>
        </w:numPr>
        <w:spacing w:line="353" w:lineRule="auto"/>
        <w:ind w:firstLine="640" w:firstLineChars="200"/>
        <w:rPr>
          <w:rFonts w:ascii="仿宋" w:hAnsi="仿宋" w:eastAsia="仿宋" w:cs="华文仿宋"/>
          <w:sz w:val="32"/>
          <w:szCs w:val="32"/>
        </w:rPr>
      </w:pPr>
      <w:r>
        <w:rPr>
          <w:rFonts w:hint="eastAsia" w:ascii="仿宋" w:hAnsi="仿宋" w:eastAsia="仿宋" w:cs="华文仿宋"/>
          <w:sz w:val="32"/>
          <w:szCs w:val="32"/>
        </w:rPr>
        <w:t>项目应实现的具体绩效目标，包括目标的量化、细化情况以及项目实施进度计划等。</w:t>
      </w:r>
    </w:p>
    <w:p>
      <w:pPr>
        <w:spacing w:line="353" w:lineRule="auto"/>
        <w:rPr>
          <w:rFonts w:ascii="仿宋" w:hAnsi="仿宋" w:eastAsia="仿宋" w:cs="华文仿宋"/>
          <w:sz w:val="32"/>
          <w:szCs w:val="32"/>
        </w:rPr>
      </w:pPr>
      <w:r>
        <w:rPr>
          <w:rFonts w:hint="eastAsia" w:ascii="仿宋" w:hAnsi="仿宋" w:eastAsia="仿宋" w:cs="华文仿宋"/>
          <w:sz w:val="32"/>
          <w:szCs w:val="32"/>
        </w:rPr>
        <w:t>结合2019年的工作计划，在进行研究、论证的基础发展趋势等，制定了切合实际，可量化、可考评的年度目标。资金覆盖率符合年度预算实施进度计划要求。</w:t>
      </w:r>
    </w:p>
    <w:p>
      <w:pPr>
        <w:spacing w:line="353" w:lineRule="auto"/>
        <w:rPr>
          <w:rFonts w:ascii="仿宋" w:hAnsi="仿宋" w:eastAsia="仿宋" w:cs="华文仿宋"/>
          <w:sz w:val="32"/>
          <w:szCs w:val="32"/>
        </w:rPr>
      </w:pPr>
      <w:r>
        <w:rPr>
          <w:rFonts w:hint="eastAsia" w:ascii="仿宋" w:hAnsi="仿宋" w:eastAsia="仿宋" w:cs="华文仿宋"/>
          <w:sz w:val="32"/>
          <w:szCs w:val="32"/>
        </w:rPr>
        <w:t>（一）项目资金申报及批复情况。</w:t>
      </w:r>
    </w:p>
    <w:p>
      <w:pPr>
        <w:spacing w:line="353" w:lineRule="auto"/>
        <w:ind w:firstLine="640" w:firstLineChars="200"/>
        <w:rPr>
          <w:rFonts w:ascii="仿宋" w:hAnsi="仿宋" w:eastAsia="仿宋" w:cs="华文仿宋"/>
          <w:kern w:val="0"/>
          <w:sz w:val="32"/>
          <w:szCs w:val="32"/>
        </w:rPr>
      </w:pPr>
      <w:r>
        <w:rPr>
          <w:rFonts w:hint="eastAsia" w:ascii="仿宋" w:hAnsi="仿宋" w:eastAsia="仿宋" w:cs="华文仿宋"/>
          <w:kern w:val="0"/>
          <w:sz w:val="32"/>
          <w:szCs w:val="32"/>
        </w:rPr>
        <w:t>按照《西区环卫作业实施方案》的通知（攀西府办函〔2012〕87号）文件内容各项作业经费进行申报。</w:t>
      </w:r>
    </w:p>
    <w:p>
      <w:pPr>
        <w:spacing w:line="353" w:lineRule="auto"/>
        <w:rPr>
          <w:rFonts w:ascii="仿宋" w:hAnsi="仿宋" w:eastAsia="仿宋" w:cs="华文仿宋"/>
          <w:sz w:val="32"/>
          <w:szCs w:val="32"/>
        </w:rPr>
      </w:pPr>
      <w:r>
        <w:rPr>
          <w:rFonts w:hint="eastAsia" w:ascii="仿宋" w:hAnsi="仿宋" w:eastAsia="仿宋" w:cs="华文仿宋"/>
          <w:sz w:val="32"/>
          <w:szCs w:val="32"/>
        </w:rPr>
        <w:t>（二）资金计划、到位及使用情况。</w:t>
      </w:r>
    </w:p>
    <w:p>
      <w:pPr>
        <w:spacing w:line="353" w:lineRule="auto"/>
        <w:ind w:firstLine="960" w:firstLineChars="300"/>
        <w:rPr>
          <w:rFonts w:ascii="仿宋" w:hAnsi="仿宋" w:eastAsia="仿宋" w:cs="华文仿宋"/>
          <w:sz w:val="32"/>
          <w:szCs w:val="32"/>
        </w:rPr>
      </w:pPr>
      <w:r>
        <w:rPr>
          <w:rFonts w:hint="eastAsia" w:ascii="仿宋" w:hAnsi="仿宋" w:eastAsia="仿宋" w:cs="华文仿宋"/>
          <w:sz w:val="32"/>
          <w:szCs w:val="32"/>
        </w:rPr>
        <w:t>2019年度财政预算下拨环卫经费1083.36万元，其中环卫局278.09万元，支付278.09万元。</w:t>
      </w:r>
      <w:r>
        <w:rPr>
          <w:rFonts w:hint="eastAsia" w:ascii="仿宋" w:hAnsi="仿宋" w:eastAsia="仿宋" w:cs="华文仿宋"/>
          <w:kern w:val="0"/>
          <w:sz w:val="32"/>
          <w:szCs w:val="32"/>
        </w:rPr>
        <w:t>格里坪镇拨款237.94万元，</w:t>
      </w:r>
      <w:r>
        <w:rPr>
          <w:rFonts w:hint="eastAsia" w:ascii="仿宋" w:hAnsi="仿宋" w:eastAsia="仿宋" w:cs="华文仿宋"/>
          <w:sz w:val="32"/>
          <w:szCs w:val="32"/>
        </w:rPr>
        <w:t>支付</w:t>
      </w:r>
      <w:r>
        <w:rPr>
          <w:rFonts w:hint="eastAsia" w:ascii="仿宋" w:hAnsi="仿宋" w:eastAsia="仿宋" w:cs="华文仿宋"/>
          <w:kern w:val="0"/>
          <w:sz w:val="32"/>
          <w:szCs w:val="32"/>
        </w:rPr>
        <w:t>237.94</w:t>
      </w:r>
      <w:r>
        <w:rPr>
          <w:rFonts w:hint="eastAsia" w:ascii="仿宋" w:hAnsi="仿宋" w:eastAsia="仿宋" w:cs="华文仿宋"/>
          <w:sz w:val="32"/>
          <w:szCs w:val="32"/>
        </w:rPr>
        <w:t>万元</w:t>
      </w:r>
      <w:r>
        <w:rPr>
          <w:rFonts w:hint="eastAsia" w:ascii="仿宋" w:hAnsi="仿宋" w:eastAsia="仿宋" w:cs="华文仿宋"/>
          <w:kern w:val="0"/>
          <w:sz w:val="32"/>
          <w:szCs w:val="32"/>
        </w:rPr>
        <w:t>；清香坪街拨款193.78万元，</w:t>
      </w:r>
      <w:r>
        <w:rPr>
          <w:rFonts w:hint="eastAsia" w:ascii="仿宋" w:hAnsi="仿宋" w:eastAsia="仿宋" w:cs="华文仿宋"/>
          <w:sz w:val="32"/>
          <w:szCs w:val="32"/>
        </w:rPr>
        <w:t>支付</w:t>
      </w:r>
      <w:r>
        <w:rPr>
          <w:rFonts w:hint="eastAsia" w:ascii="仿宋" w:hAnsi="仿宋" w:eastAsia="仿宋" w:cs="华文仿宋"/>
          <w:kern w:val="0"/>
          <w:sz w:val="32"/>
          <w:szCs w:val="32"/>
        </w:rPr>
        <w:t>193.78</w:t>
      </w:r>
      <w:r>
        <w:rPr>
          <w:rFonts w:hint="eastAsia" w:ascii="仿宋" w:hAnsi="仿宋" w:eastAsia="仿宋" w:cs="华文仿宋"/>
          <w:sz w:val="32"/>
          <w:szCs w:val="32"/>
        </w:rPr>
        <w:t>万元</w:t>
      </w:r>
      <w:r>
        <w:rPr>
          <w:rFonts w:hint="eastAsia" w:ascii="仿宋" w:hAnsi="仿宋" w:eastAsia="仿宋" w:cs="华文仿宋"/>
          <w:kern w:val="0"/>
          <w:sz w:val="32"/>
          <w:szCs w:val="32"/>
        </w:rPr>
        <w:t>；玉泉街办拨款221.38万元，支付221.38万元，；河门口街办拨款94.83万元，支付94.83万元；陶家渡街办拨款36.65万元，支付36.65万元；大宝鼎街办拨款2.16万元，支付2.16万元；摩梭河街办拨款0.72万元，支付0.72万元；河门口公园拨款11.36万元，支付11.36万元；城管局拨款6.44万元，支付6.44万元。资金到位率100%。</w:t>
      </w:r>
    </w:p>
    <w:p>
      <w:pPr>
        <w:spacing w:line="353" w:lineRule="auto"/>
        <w:rPr>
          <w:rFonts w:ascii="仿宋" w:hAnsi="仿宋" w:eastAsia="仿宋" w:cs="华文仿宋"/>
          <w:sz w:val="32"/>
          <w:szCs w:val="32"/>
        </w:rPr>
      </w:pPr>
      <w:r>
        <w:rPr>
          <w:rFonts w:hint="eastAsia" w:ascii="仿宋" w:hAnsi="仿宋" w:eastAsia="仿宋" w:cs="华文仿宋"/>
          <w:sz w:val="32"/>
          <w:szCs w:val="32"/>
        </w:rPr>
        <w:t>（三）项目财务管理情况。</w:t>
      </w:r>
    </w:p>
    <w:p>
      <w:pPr>
        <w:ind w:firstLine="640" w:firstLineChars="200"/>
        <w:rPr>
          <w:rFonts w:ascii="仿宋" w:hAnsi="仿宋" w:eastAsia="仿宋" w:cs="华文仿宋"/>
          <w:sz w:val="32"/>
          <w:szCs w:val="32"/>
        </w:rPr>
      </w:pPr>
      <w:r>
        <w:rPr>
          <w:rFonts w:hint="eastAsia" w:ascii="仿宋" w:hAnsi="仿宋" w:eastAsia="仿宋" w:cs="华文仿宋"/>
          <w:kern w:val="0"/>
          <w:sz w:val="32"/>
          <w:szCs w:val="32"/>
        </w:rPr>
        <w:t>该项目</w:t>
      </w:r>
      <w:r>
        <w:rPr>
          <w:rFonts w:hint="eastAsia" w:ascii="仿宋" w:hAnsi="仿宋" w:eastAsia="仿宋" w:cs="华文仿宋"/>
          <w:color w:val="000000"/>
          <w:sz w:val="32"/>
          <w:szCs w:val="32"/>
        </w:rPr>
        <w:t>财务管理制度健全，严格执行财务管理制度，财务处理及时，会计核算规范。</w:t>
      </w:r>
      <w:r>
        <w:rPr>
          <w:rFonts w:hint="eastAsia" w:ascii="仿宋" w:hAnsi="仿宋" w:eastAsia="仿宋" w:cs="华文仿宋"/>
          <w:kern w:val="0"/>
          <w:sz w:val="32"/>
          <w:szCs w:val="32"/>
        </w:rPr>
        <w:t>资金使用范围符合要求，项目资金能在核定的预算额度内专款专用，未发现扩大开支范围，挤占、挪用、转移项目经费的现象，</w:t>
      </w:r>
      <w:r>
        <w:rPr>
          <w:rFonts w:hint="eastAsia" w:ascii="仿宋" w:hAnsi="仿宋" w:eastAsia="仿宋" w:cs="华文仿宋"/>
          <w:sz w:val="32"/>
          <w:szCs w:val="32"/>
        </w:rPr>
        <w:t>账务处理和会计核算较为规范。</w:t>
      </w:r>
    </w:p>
    <w:p>
      <w:pPr>
        <w:numPr>
          <w:ilvl w:val="0"/>
          <w:numId w:val="7"/>
        </w:numPr>
        <w:spacing w:line="353" w:lineRule="auto"/>
        <w:rPr>
          <w:rFonts w:ascii="仿宋" w:hAnsi="仿宋" w:eastAsia="仿宋" w:cs="华文仿宋"/>
          <w:sz w:val="32"/>
          <w:szCs w:val="32"/>
        </w:rPr>
      </w:pPr>
      <w:r>
        <w:rPr>
          <w:rFonts w:hint="eastAsia" w:ascii="仿宋" w:hAnsi="仿宋" w:eastAsia="仿宋" w:cs="华文仿宋"/>
          <w:sz w:val="32"/>
          <w:szCs w:val="32"/>
        </w:rPr>
        <w:t>项目实施及管理情况</w:t>
      </w:r>
    </w:p>
    <w:p>
      <w:pPr>
        <w:numPr>
          <w:ilvl w:val="0"/>
          <w:numId w:val="8"/>
        </w:numPr>
        <w:spacing w:line="353" w:lineRule="auto"/>
        <w:rPr>
          <w:rFonts w:ascii="仿宋" w:hAnsi="仿宋" w:eastAsia="仿宋" w:cs="华文仿宋"/>
          <w:sz w:val="32"/>
          <w:szCs w:val="32"/>
        </w:rPr>
      </w:pPr>
      <w:r>
        <w:rPr>
          <w:rFonts w:hint="eastAsia" w:ascii="仿宋" w:hAnsi="仿宋" w:eastAsia="仿宋" w:cs="华文仿宋"/>
          <w:sz w:val="32"/>
          <w:szCs w:val="32"/>
        </w:rPr>
        <w:t>项目组织架构及实施流程。</w:t>
      </w:r>
    </w:p>
    <w:p>
      <w:pPr>
        <w:spacing w:line="353" w:lineRule="auto"/>
        <w:ind w:firstLine="960" w:firstLineChars="300"/>
        <w:rPr>
          <w:rFonts w:ascii="仿宋" w:hAnsi="仿宋" w:eastAsia="仿宋" w:cs="华文仿宋"/>
          <w:sz w:val="32"/>
          <w:szCs w:val="32"/>
        </w:rPr>
      </w:pPr>
      <w:r>
        <w:rPr>
          <w:rFonts w:hint="eastAsia" w:ascii="仿宋" w:hAnsi="仿宋" w:eastAsia="仿宋" w:cs="华文仿宋"/>
          <w:kern w:val="0"/>
          <w:sz w:val="32"/>
          <w:szCs w:val="32"/>
        </w:rPr>
        <w:t>根据攀枝花市西区人民政府办公室关于印发《西区环卫作业实施方案》的通知（攀西府办函〔2012〕87号）及《攀枝花市人民政府关于加强城市管理工作的意见》（攀府发〔2008〕45号）文精神，结合市区相关变化的实际情况，制定实施管理方案。</w:t>
      </w:r>
    </w:p>
    <w:p>
      <w:pPr>
        <w:spacing w:line="353" w:lineRule="auto"/>
        <w:rPr>
          <w:rFonts w:ascii="仿宋" w:hAnsi="仿宋" w:eastAsia="仿宋" w:cs="华文仿宋"/>
          <w:sz w:val="32"/>
          <w:szCs w:val="32"/>
        </w:rPr>
      </w:pPr>
      <w:r>
        <w:rPr>
          <w:rFonts w:hint="eastAsia" w:ascii="仿宋" w:hAnsi="仿宋" w:eastAsia="仿宋" w:cs="华文仿宋"/>
          <w:sz w:val="32"/>
          <w:szCs w:val="32"/>
        </w:rPr>
        <w:t>（二）项目管理情况</w:t>
      </w:r>
    </w:p>
    <w:p>
      <w:pPr>
        <w:spacing w:line="353" w:lineRule="auto"/>
        <w:ind w:firstLine="960" w:firstLineChars="300"/>
        <w:rPr>
          <w:rFonts w:ascii="仿宋" w:hAnsi="仿宋" w:eastAsia="仿宋" w:cs="华文仿宋"/>
          <w:sz w:val="32"/>
          <w:szCs w:val="32"/>
        </w:rPr>
      </w:pPr>
      <w:r>
        <w:rPr>
          <w:rFonts w:hint="eastAsia" w:ascii="仿宋" w:hAnsi="仿宋" w:eastAsia="仿宋" w:cs="华文仿宋"/>
          <w:sz w:val="32"/>
          <w:szCs w:val="32"/>
        </w:rPr>
        <w:t>2019年西区环卫作业生产经费实行平时考核和年终考核相结合的方式，由财政预留总经费的20%作为奖罚经费。</w:t>
      </w:r>
    </w:p>
    <w:p>
      <w:pPr>
        <w:spacing w:line="353" w:lineRule="auto"/>
        <w:rPr>
          <w:rFonts w:ascii="仿宋" w:hAnsi="仿宋" w:eastAsia="仿宋" w:cs="华文仿宋"/>
          <w:sz w:val="32"/>
          <w:szCs w:val="32"/>
        </w:rPr>
      </w:pPr>
      <w:r>
        <w:rPr>
          <w:rFonts w:hint="eastAsia" w:ascii="仿宋" w:hAnsi="仿宋" w:eastAsia="仿宋" w:cs="华文仿宋"/>
          <w:sz w:val="32"/>
          <w:szCs w:val="32"/>
        </w:rPr>
        <w:t>（三）项目监管情况。</w:t>
      </w:r>
    </w:p>
    <w:p>
      <w:pPr>
        <w:spacing w:line="353" w:lineRule="auto"/>
        <w:rPr>
          <w:rFonts w:ascii="仿宋" w:hAnsi="仿宋" w:eastAsia="仿宋" w:cs="华文仿宋"/>
          <w:sz w:val="32"/>
          <w:szCs w:val="32"/>
        </w:rPr>
      </w:pPr>
      <w:r>
        <w:rPr>
          <w:rFonts w:hint="eastAsia" w:ascii="仿宋" w:hAnsi="仿宋" w:eastAsia="仿宋" w:cs="华文仿宋"/>
          <w:sz w:val="32"/>
          <w:szCs w:val="32"/>
        </w:rPr>
        <w:t xml:space="preserve">       我单位按季度开展项目支出绩效监控工作，及时收集汇总季度目标完成情况，发现严重偏差，及时反馈，采取有效措施，重点跟踪，及时纠偏，阶段性任务能够按计划完成。</w:t>
      </w:r>
    </w:p>
    <w:p>
      <w:pPr>
        <w:spacing w:line="353" w:lineRule="auto"/>
        <w:rPr>
          <w:rFonts w:ascii="仿宋" w:hAnsi="仿宋" w:eastAsia="仿宋" w:cs="华文仿宋"/>
          <w:sz w:val="32"/>
          <w:szCs w:val="32"/>
        </w:rPr>
      </w:pPr>
      <w:r>
        <w:rPr>
          <w:rFonts w:hint="eastAsia" w:ascii="仿宋" w:hAnsi="仿宋" w:eastAsia="仿宋" w:cs="华文仿宋"/>
          <w:sz w:val="32"/>
          <w:szCs w:val="32"/>
        </w:rPr>
        <w:t>四、项目绩效情况</w:t>
      </w:r>
    </w:p>
    <w:p>
      <w:pPr>
        <w:spacing w:line="353" w:lineRule="auto"/>
        <w:rPr>
          <w:rFonts w:ascii="仿宋" w:hAnsi="仿宋" w:eastAsia="仿宋" w:cs="华文仿宋"/>
          <w:sz w:val="32"/>
          <w:szCs w:val="32"/>
        </w:rPr>
      </w:pPr>
      <w:r>
        <w:rPr>
          <w:rFonts w:hint="eastAsia" w:ascii="仿宋" w:hAnsi="仿宋" w:eastAsia="仿宋" w:cs="华文仿宋"/>
          <w:sz w:val="32"/>
          <w:szCs w:val="32"/>
        </w:rPr>
        <w:t>（一）项目完成情况。</w:t>
      </w:r>
    </w:p>
    <w:p>
      <w:pPr>
        <w:pStyle w:val="7"/>
        <w:spacing w:line="353" w:lineRule="auto"/>
        <w:rPr>
          <w:rFonts w:ascii="仿宋" w:hAnsi="仿宋" w:eastAsia="仿宋" w:cs="华文仿宋"/>
          <w:sz w:val="32"/>
          <w:szCs w:val="32"/>
        </w:rPr>
      </w:pPr>
      <w:r>
        <w:rPr>
          <w:rFonts w:hint="eastAsia" w:ascii="仿宋" w:hAnsi="仿宋" w:eastAsia="仿宋" w:cs="华文仿宋"/>
          <w:sz w:val="32"/>
          <w:szCs w:val="32"/>
        </w:rPr>
        <w:t>（1）产出指标完成情况分析。</w:t>
      </w:r>
    </w:p>
    <w:p>
      <w:pPr>
        <w:pStyle w:val="7"/>
        <w:spacing w:line="353" w:lineRule="auto"/>
        <w:ind w:firstLine="640" w:firstLineChars="200"/>
        <w:rPr>
          <w:rFonts w:ascii="仿宋" w:hAnsi="仿宋" w:eastAsia="仿宋" w:cs="华文仿宋"/>
          <w:sz w:val="32"/>
          <w:szCs w:val="32"/>
        </w:rPr>
      </w:pPr>
      <w:r>
        <w:rPr>
          <w:rFonts w:hint="eastAsia" w:ascii="仿宋" w:hAnsi="仿宋" w:eastAsia="仿宋" w:cs="华文仿宋"/>
          <w:sz w:val="32"/>
          <w:szCs w:val="32"/>
        </w:rPr>
        <w:t>2019年，根据本单位年初工作规划和重点性工作，积极履职，强化管理，较好的完成了年度工作目标。通过加强预算收支管理，不断建立健全内部管理制度，梳理内部管理流程，部门整体支出管理情况得到提升。根据2019年度部门整体支出状况的概述和分析，部门整体支出绩效情况如下：</w:t>
      </w:r>
    </w:p>
    <w:p>
      <w:pPr>
        <w:pStyle w:val="7"/>
        <w:spacing w:line="353" w:lineRule="auto"/>
        <w:ind w:firstLine="640" w:firstLineChars="200"/>
        <w:rPr>
          <w:rFonts w:ascii="仿宋" w:hAnsi="仿宋" w:eastAsia="仿宋" w:cs="华文仿宋"/>
          <w:sz w:val="32"/>
          <w:szCs w:val="32"/>
        </w:rPr>
      </w:pPr>
      <w:r>
        <w:rPr>
          <w:rFonts w:hint="eastAsia" w:ascii="仿宋" w:hAnsi="仿宋" w:eastAsia="仿宋" w:cs="华文仿宋"/>
          <w:sz w:val="32"/>
          <w:szCs w:val="32"/>
        </w:rPr>
        <w:t>数量指标：基本支出保证人员经费基本待遇。全系统在职在编及退休87人，其中：在职19人，在编59人，退休9人。</w:t>
      </w:r>
    </w:p>
    <w:p>
      <w:pPr>
        <w:pStyle w:val="7"/>
        <w:spacing w:line="353" w:lineRule="auto"/>
        <w:ind w:firstLine="640" w:firstLineChars="200"/>
        <w:rPr>
          <w:rFonts w:ascii="仿宋" w:hAnsi="仿宋" w:eastAsia="仿宋" w:cs="华文仿宋"/>
          <w:sz w:val="32"/>
          <w:szCs w:val="32"/>
        </w:rPr>
      </w:pPr>
      <w:r>
        <w:rPr>
          <w:rFonts w:hint="eastAsia" w:ascii="仿宋" w:hAnsi="仿宋" w:eastAsia="仿宋" w:cs="华文仿宋"/>
          <w:sz w:val="32"/>
          <w:szCs w:val="32"/>
        </w:rPr>
        <w:t>质量指标：提升了城市管理整体水平，改善了城市环境，提高了城市形象，为市民提供更加舒适的生活环境，使市民获得更多的幸福感。</w:t>
      </w:r>
    </w:p>
    <w:p>
      <w:pPr>
        <w:pStyle w:val="7"/>
        <w:spacing w:line="353" w:lineRule="auto"/>
        <w:ind w:firstLine="640" w:firstLineChars="200"/>
        <w:rPr>
          <w:rFonts w:ascii="仿宋" w:hAnsi="仿宋" w:eastAsia="仿宋" w:cs="华文仿宋"/>
          <w:sz w:val="32"/>
          <w:szCs w:val="32"/>
        </w:rPr>
      </w:pPr>
      <w:r>
        <w:rPr>
          <w:rFonts w:hint="eastAsia" w:ascii="仿宋" w:hAnsi="仿宋" w:eastAsia="仿宋" w:cs="华文仿宋"/>
          <w:sz w:val="32"/>
          <w:szCs w:val="32"/>
        </w:rPr>
        <w:t>成本指标：年度项目经费支出337.74万元。</w:t>
      </w:r>
    </w:p>
    <w:p>
      <w:pPr>
        <w:pStyle w:val="7"/>
        <w:spacing w:line="353" w:lineRule="auto"/>
        <w:ind w:firstLine="640" w:firstLineChars="200"/>
        <w:rPr>
          <w:rFonts w:ascii="仿宋" w:hAnsi="仿宋" w:eastAsia="仿宋" w:cs="华文仿宋"/>
          <w:sz w:val="32"/>
          <w:szCs w:val="32"/>
        </w:rPr>
      </w:pPr>
      <w:r>
        <w:rPr>
          <w:rFonts w:hint="eastAsia" w:ascii="仿宋" w:hAnsi="仿宋" w:eastAsia="仿宋" w:cs="华文仿宋"/>
          <w:sz w:val="32"/>
          <w:szCs w:val="32"/>
        </w:rPr>
        <w:t>时效指标：2019年度内按预定时间完成。</w:t>
      </w:r>
    </w:p>
    <w:p>
      <w:pPr>
        <w:pStyle w:val="7"/>
        <w:spacing w:line="353" w:lineRule="auto"/>
        <w:rPr>
          <w:rFonts w:ascii="仿宋" w:hAnsi="仿宋" w:eastAsia="仿宋" w:cs="华文仿宋"/>
          <w:sz w:val="32"/>
          <w:szCs w:val="32"/>
        </w:rPr>
      </w:pPr>
      <w:r>
        <w:rPr>
          <w:rFonts w:hint="eastAsia" w:ascii="仿宋" w:hAnsi="仿宋" w:eastAsia="仿宋" w:cs="华文仿宋"/>
          <w:sz w:val="32"/>
          <w:szCs w:val="32"/>
        </w:rPr>
        <w:t>（二）项目效益情况。</w:t>
      </w:r>
    </w:p>
    <w:p>
      <w:pPr>
        <w:pStyle w:val="7"/>
        <w:spacing w:line="353" w:lineRule="auto"/>
        <w:ind w:firstLine="800" w:firstLineChars="250"/>
        <w:rPr>
          <w:rFonts w:ascii="仿宋" w:hAnsi="仿宋" w:eastAsia="仿宋" w:cs="华文仿宋"/>
          <w:sz w:val="32"/>
          <w:szCs w:val="32"/>
        </w:rPr>
      </w:pPr>
      <w:r>
        <w:rPr>
          <w:rFonts w:hint="eastAsia" w:ascii="仿宋" w:hAnsi="仿宋" w:eastAsia="仿宋" w:cs="华文仿宋"/>
          <w:sz w:val="32"/>
          <w:szCs w:val="32"/>
        </w:rPr>
        <w:t>经济效益指标：本单位项目经费1083.36元，占项目计划支出总额的100%，年初及追加项目由区级财政预算支出。主要用于完善城市功能，</w:t>
      </w:r>
      <w:r>
        <w:rPr>
          <w:rFonts w:hint="eastAsia" w:ascii="仿宋" w:hAnsi="仿宋" w:eastAsia="仿宋" w:cs="华文仿宋"/>
          <w:kern w:val="0"/>
          <w:sz w:val="32"/>
          <w:szCs w:val="32"/>
        </w:rPr>
        <w:t>城乡环境整洁行动，垃圾清运、洒水降尘严格按部颁标准执行，生活垃圾确保日产日清，环卫作业车辆保证车容整洁</w:t>
      </w:r>
      <w:r>
        <w:rPr>
          <w:rFonts w:hint="eastAsia" w:ascii="仿宋" w:hAnsi="仿宋" w:eastAsia="仿宋" w:cs="华文仿宋"/>
          <w:sz w:val="32"/>
          <w:szCs w:val="32"/>
        </w:rPr>
        <w:t>。</w:t>
      </w:r>
    </w:p>
    <w:p>
      <w:pPr>
        <w:pStyle w:val="7"/>
        <w:spacing w:line="353" w:lineRule="auto"/>
        <w:ind w:firstLine="640" w:firstLineChars="200"/>
        <w:rPr>
          <w:rFonts w:ascii="仿宋" w:hAnsi="仿宋" w:eastAsia="仿宋" w:cs="华文仿宋"/>
          <w:sz w:val="32"/>
          <w:szCs w:val="32"/>
        </w:rPr>
      </w:pPr>
      <w:r>
        <w:rPr>
          <w:rFonts w:hint="eastAsia" w:ascii="仿宋" w:hAnsi="仿宋" w:eastAsia="仿宋" w:cs="华文仿宋"/>
          <w:sz w:val="32"/>
          <w:szCs w:val="32"/>
        </w:rPr>
        <w:t>社会效益指标：不断提升人居环境，体现城市文明程度。</w:t>
      </w:r>
    </w:p>
    <w:p>
      <w:pPr>
        <w:pStyle w:val="7"/>
        <w:spacing w:line="353" w:lineRule="auto"/>
        <w:ind w:firstLine="640" w:firstLineChars="200"/>
        <w:rPr>
          <w:rFonts w:ascii="仿宋" w:hAnsi="仿宋" w:eastAsia="仿宋" w:cs="华文仿宋"/>
          <w:sz w:val="32"/>
          <w:szCs w:val="32"/>
        </w:rPr>
      </w:pPr>
      <w:r>
        <w:rPr>
          <w:rFonts w:hint="eastAsia" w:ascii="仿宋" w:hAnsi="仿宋" w:eastAsia="仿宋" w:cs="华文仿宋"/>
          <w:sz w:val="32"/>
          <w:szCs w:val="32"/>
        </w:rPr>
        <w:t>生态效益指标：减少扬尘危害，改善空气质量，无恶臭。</w:t>
      </w:r>
    </w:p>
    <w:p>
      <w:pPr>
        <w:pStyle w:val="7"/>
        <w:spacing w:line="353" w:lineRule="auto"/>
        <w:ind w:firstLine="640" w:firstLineChars="200"/>
        <w:rPr>
          <w:rFonts w:ascii="仿宋" w:hAnsi="仿宋" w:eastAsia="仿宋" w:cs="华文仿宋"/>
          <w:sz w:val="32"/>
          <w:szCs w:val="32"/>
        </w:rPr>
      </w:pPr>
      <w:r>
        <w:rPr>
          <w:rFonts w:hint="eastAsia" w:ascii="仿宋" w:hAnsi="仿宋" w:eastAsia="仿宋" w:cs="华文仿宋"/>
          <w:sz w:val="32"/>
          <w:szCs w:val="32"/>
        </w:rPr>
        <w:t>可持续影响指标：项目实施对人、自然、资源是否带来可持续影，实现人与自然和谐相处、资源为人类带来福利。</w:t>
      </w:r>
    </w:p>
    <w:p>
      <w:pPr>
        <w:pStyle w:val="7"/>
        <w:numPr>
          <w:ilvl w:val="0"/>
          <w:numId w:val="5"/>
        </w:numPr>
        <w:spacing w:line="353" w:lineRule="auto"/>
        <w:ind w:firstLine="640" w:firstLineChars="200"/>
        <w:rPr>
          <w:rFonts w:ascii="仿宋" w:hAnsi="仿宋" w:eastAsia="仿宋" w:cs="华文仿宋"/>
          <w:sz w:val="32"/>
          <w:szCs w:val="32"/>
        </w:rPr>
      </w:pPr>
      <w:r>
        <w:rPr>
          <w:rFonts w:hint="eastAsia" w:ascii="仿宋" w:hAnsi="仿宋" w:eastAsia="仿宋" w:cs="华文仿宋"/>
          <w:sz w:val="32"/>
          <w:szCs w:val="32"/>
        </w:rPr>
        <w:t>满意度指标完成情况分析。</w:t>
      </w:r>
    </w:p>
    <w:p>
      <w:pPr>
        <w:pStyle w:val="7"/>
        <w:spacing w:line="353" w:lineRule="auto"/>
        <w:ind w:firstLine="640" w:firstLineChars="200"/>
        <w:rPr>
          <w:rFonts w:ascii="仿宋" w:hAnsi="仿宋" w:eastAsia="仿宋" w:cs="华文仿宋"/>
          <w:sz w:val="32"/>
          <w:szCs w:val="32"/>
        </w:rPr>
      </w:pPr>
      <w:r>
        <w:rPr>
          <w:rFonts w:hint="eastAsia" w:ascii="仿宋" w:hAnsi="仿宋" w:eastAsia="仿宋" w:cs="华文仿宋"/>
          <w:sz w:val="32"/>
          <w:szCs w:val="32"/>
        </w:rPr>
        <w:t>群众满意度较高。</w:t>
      </w:r>
    </w:p>
    <w:p>
      <w:pPr>
        <w:spacing w:line="353" w:lineRule="auto"/>
        <w:rPr>
          <w:rFonts w:ascii="仿宋" w:hAnsi="仿宋" w:eastAsia="仿宋" w:cs="华文仿宋"/>
          <w:sz w:val="32"/>
          <w:szCs w:val="32"/>
        </w:rPr>
      </w:pPr>
      <w:r>
        <w:rPr>
          <w:rFonts w:hint="eastAsia" w:ascii="仿宋" w:hAnsi="仿宋" w:eastAsia="仿宋" w:cs="华文仿宋"/>
          <w:sz w:val="32"/>
          <w:szCs w:val="32"/>
        </w:rPr>
        <w:t>五、评价结论及建议</w:t>
      </w:r>
    </w:p>
    <w:p>
      <w:pPr>
        <w:spacing w:line="353" w:lineRule="auto"/>
        <w:rPr>
          <w:rFonts w:ascii="仿宋" w:hAnsi="仿宋" w:eastAsia="仿宋" w:cs="华文仿宋"/>
          <w:sz w:val="32"/>
          <w:szCs w:val="32"/>
        </w:rPr>
      </w:pPr>
      <w:r>
        <w:rPr>
          <w:rFonts w:hint="eastAsia" w:ascii="仿宋" w:hAnsi="仿宋" w:eastAsia="仿宋" w:cs="华文仿宋"/>
          <w:sz w:val="32"/>
          <w:szCs w:val="32"/>
        </w:rPr>
        <w:t>（一）评价结论。</w:t>
      </w:r>
    </w:p>
    <w:p>
      <w:pPr>
        <w:spacing w:line="360" w:lineRule="auto"/>
        <w:ind w:firstLine="960" w:firstLineChars="300"/>
        <w:rPr>
          <w:rFonts w:ascii="仿宋" w:hAnsi="仿宋" w:eastAsia="仿宋" w:cs="华文仿宋"/>
          <w:sz w:val="32"/>
          <w:szCs w:val="32"/>
          <w:shd w:val="clear" w:color="auto" w:fill="FFFFFF"/>
        </w:rPr>
      </w:pPr>
      <w:r>
        <w:rPr>
          <w:rFonts w:hint="eastAsia" w:ascii="仿宋" w:hAnsi="仿宋" w:eastAsia="仿宋" w:cs="华文仿宋"/>
          <w:kern w:val="0"/>
          <w:sz w:val="32"/>
          <w:szCs w:val="32"/>
        </w:rPr>
        <w:t>持续开展城乡环境整洁行动，垃圾清运、洒水降尘严格按部颁标准执行，生活垃圾确保日产日清，环卫作业车辆保证车容整洁。开展辖区环境卫生整治行动，组织人员对积存垃圾进行彻底清理清运，加强主次干道、市政设施的清扫保洁力度，深入扬尘源头，对道路扬尘及抛撒现象清理控制。</w:t>
      </w:r>
      <w:r>
        <w:rPr>
          <w:rFonts w:hint="eastAsia" w:ascii="仿宋" w:hAnsi="仿宋" w:eastAsia="仿宋" w:cs="华文仿宋"/>
          <w:bCs/>
          <w:color w:val="000000"/>
          <w:sz w:val="32"/>
          <w:szCs w:val="32"/>
        </w:rPr>
        <w:t>2019年共开展环境卫生巡查约150余次，</w:t>
      </w:r>
      <w:r>
        <w:rPr>
          <w:rFonts w:hint="eastAsia" w:ascii="仿宋" w:hAnsi="仿宋" w:eastAsia="仿宋" w:cs="华文仿宋"/>
          <w:sz w:val="32"/>
          <w:szCs w:val="32"/>
          <w:shd w:val="clear" w:color="auto" w:fill="FFFFFF"/>
        </w:rPr>
        <w:t>环卫清运垃圾约1.2万吨；环卫作业用水9万吨。</w:t>
      </w:r>
    </w:p>
    <w:p>
      <w:pPr>
        <w:spacing w:line="353" w:lineRule="auto"/>
        <w:rPr>
          <w:rFonts w:ascii="仿宋" w:hAnsi="仿宋" w:eastAsia="仿宋" w:cs="华文仿宋"/>
          <w:sz w:val="32"/>
          <w:szCs w:val="32"/>
        </w:rPr>
      </w:pPr>
      <w:r>
        <w:rPr>
          <w:rFonts w:hint="eastAsia" w:ascii="仿宋" w:hAnsi="仿宋" w:eastAsia="仿宋" w:cs="华文仿宋"/>
          <w:sz w:val="32"/>
          <w:szCs w:val="32"/>
        </w:rPr>
        <w:t>（二）存在的问题。</w:t>
      </w:r>
    </w:p>
    <w:p>
      <w:pPr>
        <w:spacing w:line="360" w:lineRule="auto"/>
        <w:ind w:firstLine="960" w:firstLineChars="300"/>
        <w:rPr>
          <w:rFonts w:ascii="仿宋" w:hAnsi="仿宋" w:eastAsia="仿宋" w:cs="华文仿宋"/>
          <w:sz w:val="32"/>
          <w:szCs w:val="32"/>
          <w:shd w:val="clear" w:color="auto" w:fill="FFFFFF"/>
        </w:rPr>
      </w:pPr>
      <w:r>
        <w:rPr>
          <w:rFonts w:hint="eastAsia" w:ascii="仿宋" w:hAnsi="仿宋" w:eastAsia="仿宋" w:cs="华文仿宋"/>
          <w:kern w:val="0"/>
          <w:sz w:val="32"/>
          <w:szCs w:val="32"/>
        </w:rPr>
        <w:t>环境卫生主管部门肩负着辖区生活垃圾清运、转运以及洒水降尘工作，面临机构、人员、设备不足、老化，职能职责不明确诸多问题。城市垃圾收储点餐厨垃圾混装问题仍然存在，</w:t>
      </w:r>
      <w:r>
        <w:rPr>
          <w:rFonts w:hint="eastAsia" w:ascii="仿宋" w:hAnsi="仿宋" w:eastAsia="仿宋" w:cs="华文仿宋"/>
          <w:sz w:val="32"/>
          <w:szCs w:val="32"/>
          <w:shd w:val="clear" w:color="auto" w:fill="FFFFFF"/>
        </w:rPr>
        <w:t>“三推”工作需政府主导，全体动员，目前资金缺口大。</w:t>
      </w:r>
    </w:p>
    <w:p>
      <w:pPr>
        <w:spacing w:line="353" w:lineRule="auto"/>
        <w:rPr>
          <w:rFonts w:ascii="仿宋" w:hAnsi="仿宋" w:eastAsia="仿宋" w:cs="华文仿宋"/>
          <w:sz w:val="32"/>
          <w:szCs w:val="32"/>
        </w:rPr>
      </w:pPr>
      <w:r>
        <w:rPr>
          <w:rFonts w:hint="eastAsia" w:ascii="仿宋" w:hAnsi="仿宋" w:eastAsia="仿宋" w:cs="华文仿宋"/>
          <w:sz w:val="32"/>
          <w:szCs w:val="32"/>
        </w:rPr>
        <w:t>（三）相关建议。</w:t>
      </w:r>
    </w:p>
    <w:p>
      <w:pPr>
        <w:spacing w:line="560" w:lineRule="exact"/>
        <w:ind w:firstLine="160" w:firstLineChars="50"/>
        <w:rPr>
          <w:rFonts w:ascii="仿宋" w:hAnsi="仿宋" w:eastAsia="仿宋" w:cs="华文仿宋"/>
          <w:sz w:val="32"/>
          <w:szCs w:val="32"/>
          <w:shd w:val="clear" w:color="auto" w:fill="FFFFFF"/>
        </w:rPr>
      </w:pPr>
      <w:r>
        <w:rPr>
          <w:rFonts w:hint="eastAsia" w:ascii="仿宋" w:hAnsi="仿宋" w:eastAsia="仿宋" w:cs="华文仿宋"/>
          <w:sz w:val="32"/>
          <w:szCs w:val="32"/>
          <w:shd w:val="clear" w:color="auto" w:fill="FFFFFF"/>
        </w:rPr>
        <w:t>（一）加强清扫保洁频次，对重点路段增派清扫保洁人员，采取人力与机械结合的作业模式，对环境卫生容易反弹的地点加强重视，及时清理道路撒漏情况。增加垃圾清运频率，在保证日产日清的前提下，实行错峰和循环清运，确保环卫基础设施周边无零散垃圾。加大洒水降尘力度，对容易附着灰尘的行道树、隔离栏杆等加强冲洗，喷雾和洒水结合的方式抑制扬尘。</w:t>
      </w:r>
    </w:p>
    <w:p>
      <w:pPr>
        <w:spacing w:line="560" w:lineRule="exact"/>
        <w:ind w:firstLine="640" w:firstLineChars="200"/>
        <w:rPr>
          <w:rFonts w:ascii="仿宋" w:hAnsi="仿宋" w:eastAsia="仿宋" w:cs="华文仿宋"/>
          <w:sz w:val="32"/>
          <w:szCs w:val="32"/>
          <w:shd w:val="clear" w:color="auto" w:fill="FFFFFF"/>
        </w:rPr>
      </w:pPr>
      <w:r>
        <w:rPr>
          <w:rFonts w:hint="eastAsia" w:ascii="仿宋" w:hAnsi="仿宋" w:eastAsia="仿宋" w:cs="华文仿宋"/>
          <w:sz w:val="32"/>
          <w:szCs w:val="32"/>
          <w:shd w:val="clear" w:color="auto" w:fill="FFFFFF"/>
        </w:rPr>
        <w:t>（二）垃圾分类继续有序推进，通过增加垃圾分类环卫基础设施投放，争取资金购置垃圾分类专用清运车辆。强化安全教育，加大安全巡查力度，力争环卫生产作业零事故，并做好信访维稳排查和化解工作。进一步规范环卫行业管理，加强督促检查，提高作业生产能动性。坚持廉政建设不放松，净化工作环境，增强服务意识，改进职工思想作风和工作作风。</w:t>
      </w:r>
    </w:p>
    <w:p>
      <w:pPr>
        <w:spacing w:line="560" w:lineRule="exact"/>
        <w:ind w:firstLine="640" w:firstLineChars="200"/>
        <w:rPr>
          <w:rFonts w:ascii="仿宋" w:hAnsi="仿宋" w:eastAsia="仿宋" w:cs="华文仿宋"/>
          <w:sz w:val="32"/>
          <w:szCs w:val="32"/>
          <w:shd w:val="clear" w:color="auto" w:fill="FFFFFF"/>
        </w:rPr>
      </w:pPr>
      <w:r>
        <w:rPr>
          <w:rFonts w:hint="eastAsia" w:ascii="仿宋" w:hAnsi="仿宋" w:eastAsia="仿宋" w:cs="华文仿宋"/>
          <w:sz w:val="32"/>
          <w:szCs w:val="32"/>
          <w:shd w:val="clear" w:color="auto" w:fill="FFFFFF"/>
        </w:rPr>
        <w:t>（三）坚持引入社会资源投入环卫行业，继续推动清扫保洁市场化运作，借鉴环卫行业社会介入的优良经验，以“放管结合”和“管干分离”为导向，紧紧把握市、区政策，提前部署、提前规划。逐步建立横向到边、纵向到底的环卫管理体系，按照“属地管理”原则，强化督导落实。</w:t>
      </w:r>
    </w:p>
    <w:p>
      <w:pPr>
        <w:tabs>
          <w:tab w:val="left" w:pos="2295"/>
        </w:tabs>
        <w:spacing w:line="560" w:lineRule="exact"/>
        <w:rPr>
          <w:rFonts w:ascii="仿宋" w:hAnsi="仿宋" w:eastAsia="仿宋" w:cs="华文仿宋"/>
          <w:kern w:val="0"/>
          <w:sz w:val="32"/>
          <w:szCs w:val="32"/>
        </w:rPr>
      </w:pPr>
    </w:p>
    <w:p>
      <w:pPr>
        <w:tabs>
          <w:tab w:val="left" w:pos="3626"/>
        </w:tabs>
        <w:spacing w:line="560" w:lineRule="exact"/>
        <w:rPr>
          <w:rFonts w:ascii="仿宋" w:hAnsi="仿宋" w:eastAsia="仿宋" w:cs="华文仿宋"/>
          <w:kern w:val="0"/>
          <w:sz w:val="32"/>
          <w:szCs w:val="32"/>
        </w:rPr>
      </w:pPr>
    </w:p>
    <w:p>
      <w:pPr>
        <w:spacing w:line="353" w:lineRule="auto"/>
        <w:ind w:firstLine="640" w:firstLineChars="200"/>
        <w:rPr>
          <w:rFonts w:ascii="仿宋" w:hAnsi="仿宋" w:eastAsia="仿宋" w:cs="华文仿宋"/>
          <w:sz w:val="32"/>
          <w:szCs w:val="32"/>
        </w:rPr>
      </w:pPr>
    </w:p>
    <w:p>
      <w:pPr>
        <w:widowControl/>
        <w:jc w:val="left"/>
        <w:rPr>
          <w:rStyle w:val="25"/>
          <w:rFonts w:ascii="仿宋" w:hAnsi="仿宋" w:eastAsia="仿宋"/>
          <w:b w:val="0"/>
          <w:sz w:val="32"/>
          <w:szCs w:val="32"/>
        </w:rPr>
      </w:pPr>
    </w:p>
    <w:p>
      <w:pPr>
        <w:widowControl/>
        <w:jc w:val="left"/>
        <w:rPr>
          <w:rStyle w:val="25"/>
          <w:rFonts w:ascii="仿宋" w:hAnsi="仿宋" w:eastAsia="仿宋"/>
          <w:b w:val="0"/>
          <w:sz w:val="32"/>
          <w:szCs w:val="32"/>
        </w:rPr>
      </w:pPr>
      <w:r>
        <w:rPr>
          <w:rStyle w:val="25"/>
          <w:rFonts w:ascii="仿宋" w:hAnsi="仿宋" w:eastAsia="仿宋"/>
          <w:b w:val="0"/>
          <w:sz w:val="32"/>
          <w:szCs w:val="32"/>
        </w:rPr>
        <w:br w:type="page"/>
      </w: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63"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61"/>
      <w:bookmarkEnd w:id="63"/>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4"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4"/>
    </w:p>
    <w:p>
      <w:pPr>
        <w:pStyle w:val="3"/>
        <w:rPr>
          <w:rFonts w:ascii="仿宋" w:hAnsi="仿宋" w:eastAsia="仿宋"/>
          <w:color w:val="000000"/>
        </w:rPr>
      </w:pPr>
      <w:bookmarkStart w:id="65"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5"/>
    </w:p>
    <w:p>
      <w:pPr>
        <w:pStyle w:val="3"/>
        <w:rPr>
          <w:rFonts w:ascii="仿宋" w:hAnsi="仿宋" w:eastAsia="仿宋"/>
          <w:color w:val="000000"/>
        </w:rPr>
      </w:pPr>
      <w:bookmarkStart w:id="66"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6"/>
    </w:p>
    <w:p>
      <w:pPr>
        <w:pStyle w:val="3"/>
        <w:rPr>
          <w:rFonts w:ascii="仿宋" w:hAnsi="仿宋" w:eastAsia="仿宋"/>
          <w:b w:val="0"/>
          <w:color w:val="000000"/>
        </w:rPr>
      </w:pPr>
      <w:bookmarkStart w:id="67"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7"/>
    </w:p>
    <w:p>
      <w:pPr>
        <w:pStyle w:val="3"/>
        <w:rPr>
          <w:rStyle w:val="26"/>
          <w:rFonts w:ascii="仿宋" w:hAnsi="仿宋" w:eastAsia="仿宋"/>
          <w:b w:val="0"/>
          <w:bCs w:val="0"/>
        </w:rPr>
      </w:pPr>
      <w:bookmarkStart w:id="68"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8"/>
      <w:bookmarkStart w:id="69"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9"/>
    </w:p>
    <w:p>
      <w:pPr>
        <w:pStyle w:val="3"/>
        <w:rPr>
          <w:rFonts w:ascii="仿宋" w:hAnsi="仿宋" w:eastAsia="仿宋"/>
          <w:color w:val="000000"/>
        </w:rPr>
      </w:pPr>
      <w:bookmarkStart w:id="70"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70"/>
    </w:p>
    <w:p>
      <w:pPr>
        <w:pStyle w:val="3"/>
        <w:rPr>
          <w:rFonts w:ascii="仿宋" w:hAnsi="仿宋" w:eastAsia="仿宋"/>
          <w:color w:val="000000"/>
        </w:rPr>
      </w:pPr>
      <w:bookmarkStart w:id="71"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1"/>
    </w:p>
    <w:p>
      <w:pPr>
        <w:pStyle w:val="3"/>
        <w:rPr>
          <w:rFonts w:ascii="仿宋" w:hAnsi="仿宋" w:eastAsia="仿宋"/>
          <w:color w:val="000000"/>
        </w:rPr>
      </w:pPr>
      <w:bookmarkStart w:id="72"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2"/>
    </w:p>
    <w:p>
      <w:pPr>
        <w:pStyle w:val="3"/>
        <w:rPr>
          <w:rFonts w:ascii="仿宋" w:hAnsi="仿宋" w:eastAsia="仿宋"/>
          <w:color w:val="000000"/>
        </w:rPr>
      </w:pPr>
      <w:bookmarkStart w:id="73"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3"/>
    </w:p>
    <w:p>
      <w:pPr>
        <w:pStyle w:val="3"/>
        <w:rPr>
          <w:rFonts w:ascii="仿宋" w:hAnsi="仿宋" w:eastAsia="仿宋"/>
          <w:color w:val="000000"/>
        </w:rPr>
      </w:pPr>
      <w:bookmarkStart w:id="74"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4"/>
    </w:p>
    <w:p>
      <w:pPr>
        <w:pStyle w:val="3"/>
        <w:rPr>
          <w:rFonts w:ascii="仿宋" w:hAnsi="仿宋" w:eastAsia="仿宋"/>
          <w:color w:val="000000"/>
        </w:rPr>
      </w:pPr>
      <w:bookmarkStart w:id="75"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5"/>
    </w:p>
    <w:p>
      <w:pPr>
        <w:pStyle w:val="3"/>
        <w:rPr>
          <w:rFonts w:ascii="仿宋" w:hAnsi="仿宋" w:eastAsia="仿宋"/>
          <w:color w:val="000000" w:themeColor="text1"/>
        </w:rPr>
      </w:pPr>
      <w:bookmarkStart w:id="76"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31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7F9938"/>
    <w:multiLevelType w:val="singleLevel"/>
    <w:tmpl w:val="D07F9938"/>
    <w:lvl w:ilvl="0" w:tentative="0">
      <w:start w:val="1"/>
      <w:numFmt w:val="decimal"/>
      <w:lvlText w:val="%1."/>
      <w:lvlJc w:val="left"/>
      <w:pPr>
        <w:tabs>
          <w:tab w:val="left" w:pos="312"/>
        </w:tabs>
      </w:p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F465AF8"/>
    <w:multiLevelType w:val="singleLevel"/>
    <w:tmpl w:val="0F465AF8"/>
    <w:lvl w:ilvl="0" w:tentative="0">
      <w:start w:val="2"/>
      <w:numFmt w:val="decimal"/>
      <w:suff w:val="nothing"/>
      <w:lvlText w:val="（%1）"/>
      <w:lvlJc w:val="left"/>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F658578"/>
    <w:multiLevelType w:val="singleLevel"/>
    <w:tmpl w:val="1F658578"/>
    <w:lvl w:ilvl="0" w:tentative="0">
      <w:start w:val="1"/>
      <w:numFmt w:val="chineseCounting"/>
      <w:suff w:val="nothing"/>
      <w:lvlText w:val="（%1）"/>
      <w:lvlJc w:val="left"/>
      <w:rPr>
        <w:rFonts w:hint="eastAsia"/>
      </w:rPr>
    </w:lvl>
  </w:abstractNum>
  <w:abstractNum w:abstractNumId="5">
    <w:nsid w:val="40C8706B"/>
    <w:multiLevelType w:val="singleLevel"/>
    <w:tmpl w:val="40C8706B"/>
    <w:lvl w:ilvl="0" w:tentative="0">
      <w:start w:val="2"/>
      <w:numFmt w:val="decimal"/>
      <w:suff w:val="nothing"/>
      <w:lvlText w:val="%1．"/>
      <w:lvlJc w:val="left"/>
    </w:lvl>
  </w:abstractNum>
  <w:abstractNum w:abstractNumId="6">
    <w:nsid w:val="5934491E"/>
    <w:multiLevelType w:val="singleLevel"/>
    <w:tmpl w:val="5934491E"/>
    <w:lvl w:ilvl="0" w:tentative="0">
      <w:start w:val="3"/>
      <w:numFmt w:val="chineseCounting"/>
      <w:suff w:val="nothing"/>
      <w:lvlText w:val="%1、"/>
      <w:lvlJc w:val="left"/>
      <w:rPr>
        <w:rFonts w:hint="eastAsia"/>
      </w:rPr>
    </w:lvl>
  </w:abstractNum>
  <w:abstractNum w:abstractNumId="7">
    <w:nsid w:val="72CA0F47"/>
    <w:multiLevelType w:val="multilevel"/>
    <w:tmpl w:val="72CA0F47"/>
    <w:lvl w:ilvl="0" w:tentative="0">
      <w:start w:val="2"/>
      <w:numFmt w:val="japaneseCounting"/>
      <w:lvlText w:val="%1、"/>
      <w:lvlJc w:val="left"/>
      <w:pPr>
        <w:ind w:left="720" w:hanging="720"/>
      </w:pPr>
      <w:rPr>
        <w:rFonts w:hint="default" w:ascii="黑体" w:eastAsia="黑体"/>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
  </w:num>
  <w:num w:numId="3">
    <w:abstractNumId w:val="0"/>
  </w:num>
  <w:num w:numId="4">
    <w:abstractNumId w:val="1"/>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26000"/>
    <w:rsid w:val="00033AE0"/>
    <w:rsid w:val="000468DB"/>
    <w:rsid w:val="0006487A"/>
    <w:rsid w:val="00065F8F"/>
    <w:rsid w:val="00070A43"/>
    <w:rsid w:val="000768F2"/>
    <w:rsid w:val="00076F03"/>
    <w:rsid w:val="000771EF"/>
    <w:rsid w:val="000801C3"/>
    <w:rsid w:val="0008647E"/>
    <w:rsid w:val="0009184B"/>
    <w:rsid w:val="00094236"/>
    <w:rsid w:val="0009593C"/>
    <w:rsid w:val="00097322"/>
    <w:rsid w:val="000A01B5"/>
    <w:rsid w:val="000A6A92"/>
    <w:rsid w:val="000B047F"/>
    <w:rsid w:val="000B5923"/>
    <w:rsid w:val="000B5A48"/>
    <w:rsid w:val="000B6FF3"/>
    <w:rsid w:val="000C3467"/>
    <w:rsid w:val="000C3CA6"/>
    <w:rsid w:val="000D1267"/>
    <w:rsid w:val="000D1D50"/>
    <w:rsid w:val="000D5782"/>
    <w:rsid w:val="000D757D"/>
    <w:rsid w:val="000E06B6"/>
    <w:rsid w:val="000E6613"/>
    <w:rsid w:val="000E7119"/>
    <w:rsid w:val="00103EE0"/>
    <w:rsid w:val="00114E9B"/>
    <w:rsid w:val="001246CC"/>
    <w:rsid w:val="001335DC"/>
    <w:rsid w:val="00142216"/>
    <w:rsid w:val="00144D6A"/>
    <w:rsid w:val="00145433"/>
    <w:rsid w:val="0014729F"/>
    <w:rsid w:val="001564BB"/>
    <w:rsid w:val="00157BAB"/>
    <w:rsid w:val="001654D1"/>
    <w:rsid w:val="00174518"/>
    <w:rsid w:val="0017729B"/>
    <w:rsid w:val="0018106D"/>
    <w:rsid w:val="001877A7"/>
    <w:rsid w:val="00191536"/>
    <w:rsid w:val="00196687"/>
    <w:rsid w:val="001A0EC3"/>
    <w:rsid w:val="001C0962"/>
    <w:rsid w:val="001D1EFC"/>
    <w:rsid w:val="001D5B79"/>
    <w:rsid w:val="001D7531"/>
    <w:rsid w:val="001E737D"/>
    <w:rsid w:val="001F0592"/>
    <w:rsid w:val="001F7506"/>
    <w:rsid w:val="002006CD"/>
    <w:rsid w:val="00202B36"/>
    <w:rsid w:val="00204B7A"/>
    <w:rsid w:val="00204CDE"/>
    <w:rsid w:val="0021101A"/>
    <w:rsid w:val="00220536"/>
    <w:rsid w:val="00235629"/>
    <w:rsid w:val="00260C38"/>
    <w:rsid w:val="002616C0"/>
    <w:rsid w:val="00265230"/>
    <w:rsid w:val="00265372"/>
    <w:rsid w:val="002662AA"/>
    <w:rsid w:val="0027394C"/>
    <w:rsid w:val="00280496"/>
    <w:rsid w:val="002932FE"/>
    <w:rsid w:val="00294DC9"/>
    <w:rsid w:val="00295495"/>
    <w:rsid w:val="002A31DE"/>
    <w:rsid w:val="002B2613"/>
    <w:rsid w:val="002B67AC"/>
    <w:rsid w:val="002D19B0"/>
    <w:rsid w:val="002D6D05"/>
    <w:rsid w:val="002F1818"/>
    <w:rsid w:val="002F567B"/>
    <w:rsid w:val="002F6947"/>
    <w:rsid w:val="003216A9"/>
    <w:rsid w:val="00335A74"/>
    <w:rsid w:val="0036561B"/>
    <w:rsid w:val="0037013F"/>
    <w:rsid w:val="00375EC5"/>
    <w:rsid w:val="00380C92"/>
    <w:rsid w:val="00392925"/>
    <w:rsid w:val="003A484F"/>
    <w:rsid w:val="003A4883"/>
    <w:rsid w:val="003B0BE0"/>
    <w:rsid w:val="003B0C1B"/>
    <w:rsid w:val="003B688C"/>
    <w:rsid w:val="003C0291"/>
    <w:rsid w:val="003C39AE"/>
    <w:rsid w:val="003C7B60"/>
    <w:rsid w:val="003D0C0F"/>
    <w:rsid w:val="003D1741"/>
    <w:rsid w:val="003D1FB2"/>
    <w:rsid w:val="003D22B9"/>
    <w:rsid w:val="003D66DA"/>
    <w:rsid w:val="003E1310"/>
    <w:rsid w:val="003E6F55"/>
    <w:rsid w:val="00406254"/>
    <w:rsid w:val="00416CD4"/>
    <w:rsid w:val="004223DE"/>
    <w:rsid w:val="00427932"/>
    <w:rsid w:val="00434489"/>
    <w:rsid w:val="00437085"/>
    <w:rsid w:val="00440F1C"/>
    <w:rsid w:val="004420E8"/>
    <w:rsid w:val="00443880"/>
    <w:rsid w:val="004464F4"/>
    <w:rsid w:val="0046335E"/>
    <w:rsid w:val="00471401"/>
    <w:rsid w:val="00473F31"/>
    <w:rsid w:val="00480E6A"/>
    <w:rsid w:val="00481973"/>
    <w:rsid w:val="0048263A"/>
    <w:rsid w:val="00487E5D"/>
    <w:rsid w:val="00491A29"/>
    <w:rsid w:val="00497903"/>
    <w:rsid w:val="004A682F"/>
    <w:rsid w:val="004A711F"/>
    <w:rsid w:val="004B199D"/>
    <w:rsid w:val="004B4690"/>
    <w:rsid w:val="004C344E"/>
    <w:rsid w:val="004E0A2D"/>
    <w:rsid w:val="004E206B"/>
    <w:rsid w:val="004E6DF7"/>
    <w:rsid w:val="004F0FBD"/>
    <w:rsid w:val="004F3362"/>
    <w:rsid w:val="004F403E"/>
    <w:rsid w:val="00505A47"/>
    <w:rsid w:val="005102A6"/>
    <w:rsid w:val="00512FDA"/>
    <w:rsid w:val="00520DA0"/>
    <w:rsid w:val="00536767"/>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48"/>
    <w:rsid w:val="0066343B"/>
    <w:rsid w:val="00664777"/>
    <w:rsid w:val="00671A74"/>
    <w:rsid w:val="006748A4"/>
    <w:rsid w:val="00681A31"/>
    <w:rsid w:val="00683E73"/>
    <w:rsid w:val="0069443F"/>
    <w:rsid w:val="00696AFC"/>
    <w:rsid w:val="006A3141"/>
    <w:rsid w:val="006A5E34"/>
    <w:rsid w:val="006B2422"/>
    <w:rsid w:val="006B2B9A"/>
    <w:rsid w:val="006B4967"/>
    <w:rsid w:val="006C1937"/>
    <w:rsid w:val="006D262D"/>
    <w:rsid w:val="006D5D10"/>
    <w:rsid w:val="006D61B9"/>
    <w:rsid w:val="006F020C"/>
    <w:rsid w:val="00711DAE"/>
    <w:rsid w:val="007127B7"/>
    <w:rsid w:val="0071798E"/>
    <w:rsid w:val="00727533"/>
    <w:rsid w:val="007416B6"/>
    <w:rsid w:val="00746540"/>
    <w:rsid w:val="00746F48"/>
    <w:rsid w:val="00750B03"/>
    <w:rsid w:val="0075404D"/>
    <w:rsid w:val="0076182A"/>
    <w:rsid w:val="00765019"/>
    <w:rsid w:val="00767B7E"/>
    <w:rsid w:val="007748AC"/>
    <w:rsid w:val="00775FEB"/>
    <w:rsid w:val="007770C3"/>
    <w:rsid w:val="00784D24"/>
    <w:rsid w:val="00785FBA"/>
    <w:rsid w:val="00786E4A"/>
    <w:rsid w:val="007875EB"/>
    <w:rsid w:val="0079426B"/>
    <w:rsid w:val="007D1682"/>
    <w:rsid w:val="007D312A"/>
    <w:rsid w:val="007D3F19"/>
    <w:rsid w:val="007E1B17"/>
    <w:rsid w:val="007E23B0"/>
    <w:rsid w:val="007E3BB3"/>
    <w:rsid w:val="007E430E"/>
    <w:rsid w:val="007E57BA"/>
    <w:rsid w:val="007F1991"/>
    <w:rsid w:val="007F25EC"/>
    <w:rsid w:val="007F2C2F"/>
    <w:rsid w:val="007F55FC"/>
    <w:rsid w:val="007F5665"/>
    <w:rsid w:val="007F6F1B"/>
    <w:rsid w:val="00800112"/>
    <w:rsid w:val="008050A7"/>
    <w:rsid w:val="00813348"/>
    <w:rsid w:val="008253BB"/>
    <w:rsid w:val="00832E84"/>
    <w:rsid w:val="00833962"/>
    <w:rsid w:val="0083706E"/>
    <w:rsid w:val="008408F6"/>
    <w:rsid w:val="008423A5"/>
    <w:rsid w:val="00850625"/>
    <w:rsid w:val="00853718"/>
    <w:rsid w:val="00855221"/>
    <w:rsid w:val="00860645"/>
    <w:rsid w:val="00871F71"/>
    <w:rsid w:val="00872FD8"/>
    <w:rsid w:val="00885AF4"/>
    <w:rsid w:val="008939CD"/>
    <w:rsid w:val="008952BB"/>
    <w:rsid w:val="008965D0"/>
    <w:rsid w:val="008A4189"/>
    <w:rsid w:val="008B768C"/>
    <w:rsid w:val="008C4DB1"/>
    <w:rsid w:val="008C4EAF"/>
    <w:rsid w:val="008C5176"/>
    <w:rsid w:val="008C6CA7"/>
    <w:rsid w:val="008C7FD0"/>
    <w:rsid w:val="008E1DE7"/>
    <w:rsid w:val="008E488D"/>
    <w:rsid w:val="008E707C"/>
    <w:rsid w:val="008F3813"/>
    <w:rsid w:val="00900B08"/>
    <w:rsid w:val="00902155"/>
    <w:rsid w:val="00902FA3"/>
    <w:rsid w:val="00923564"/>
    <w:rsid w:val="0092392E"/>
    <w:rsid w:val="00926C4F"/>
    <w:rsid w:val="009315F9"/>
    <w:rsid w:val="00933499"/>
    <w:rsid w:val="009348C3"/>
    <w:rsid w:val="00935C98"/>
    <w:rsid w:val="00946945"/>
    <w:rsid w:val="00951248"/>
    <w:rsid w:val="0095152F"/>
    <w:rsid w:val="00954C49"/>
    <w:rsid w:val="00955E37"/>
    <w:rsid w:val="0097099F"/>
    <w:rsid w:val="00971997"/>
    <w:rsid w:val="00971FFC"/>
    <w:rsid w:val="00985D4C"/>
    <w:rsid w:val="0098660A"/>
    <w:rsid w:val="00987BE5"/>
    <w:rsid w:val="00991F58"/>
    <w:rsid w:val="009931C3"/>
    <w:rsid w:val="009B2C43"/>
    <w:rsid w:val="009B4EAE"/>
    <w:rsid w:val="009B7573"/>
    <w:rsid w:val="009C22F4"/>
    <w:rsid w:val="009C2E98"/>
    <w:rsid w:val="009C37FB"/>
    <w:rsid w:val="009C430E"/>
    <w:rsid w:val="009D3447"/>
    <w:rsid w:val="009D4711"/>
    <w:rsid w:val="009F1185"/>
    <w:rsid w:val="009F18CD"/>
    <w:rsid w:val="009F2A13"/>
    <w:rsid w:val="009F7527"/>
    <w:rsid w:val="00A011C5"/>
    <w:rsid w:val="00A02488"/>
    <w:rsid w:val="00A039ED"/>
    <w:rsid w:val="00A04EB0"/>
    <w:rsid w:val="00A052C8"/>
    <w:rsid w:val="00A13CC1"/>
    <w:rsid w:val="00A16847"/>
    <w:rsid w:val="00A237D8"/>
    <w:rsid w:val="00A268C4"/>
    <w:rsid w:val="00A307CD"/>
    <w:rsid w:val="00A331C8"/>
    <w:rsid w:val="00A35117"/>
    <w:rsid w:val="00A40A00"/>
    <w:rsid w:val="00A4142F"/>
    <w:rsid w:val="00A422EB"/>
    <w:rsid w:val="00A45BB7"/>
    <w:rsid w:val="00A52CD1"/>
    <w:rsid w:val="00A56DF2"/>
    <w:rsid w:val="00A56E6E"/>
    <w:rsid w:val="00A67AB5"/>
    <w:rsid w:val="00A733B2"/>
    <w:rsid w:val="00A741C2"/>
    <w:rsid w:val="00A8418F"/>
    <w:rsid w:val="00A91760"/>
    <w:rsid w:val="00A93B00"/>
    <w:rsid w:val="00A93C21"/>
    <w:rsid w:val="00A95AC1"/>
    <w:rsid w:val="00AB64C9"/>
    <w:rsid w:val="00AC3C6A"/>
    <w:rsid w:val="00AC66C0"/>
    <w:rsid w:val="00AD0F83"/>
    <w:rsid w:val="00AD5620"/>
    <w:rsid w:val="00AD656B"/>
    <w:rsid w:val="00AD7C1B"/>
    <w:rsid w:val="00AE16BA"/>
    <w:rsid w:val="00AE1EBE"/>
    <w:rsid w:val="00AE2BEB"/>
    <w:rsid w:val="00AF0C36"/>
    <w:rsid w:val="00AF71C8"/>
    <w:rsid w:val="00AF77F8"/>
    <w:rsid w:val="00B03C9D"/>
    <w:rsid w:val="00B04BFE"/>
    <w:rsid w:val="00B060AE"/>
    <w:rsid w:val="00B10517"/>
    <w:rsid w:val="00B14E76"/>
    <w:rsid w:val="00B161B8"/>
    <w:rsid w:val="00B171F7"/>
    <w:rsid w:val="00B2048C"/>
    <w:rsid w:val="00B24F3E"/>
    <w:rsid w:val="00B310B9"/>
    <w:rsid w:val="00B31171"/>
    <w:rsid w:val="00B35899"/>
    <w:rsid w:val="00B35F3F"/>
    <w:rsid w:val="00B36CBB"/>
    <w:rsid w:val="00B425E0"/>
    <w:rsid w:val="00B440AA"/>
    <w:rsid w:val="00B44B70"/>
    <w:rsid w:val="00B53C56"/>
    <w:rsid w:val="00B57DAF"/>
    <w:rsid w:val="00B77EA6"/>
    <w:rsid w:val="00B81598"/>
    <w:rsid w:val="00B841F1"/>
    <w:rsid w:val="00B944D6"/>
    <w:rsid w:val="00BB4DF0"/>
    <w:rsid w:val="00BB6655"/>
    <w:rsid w:val="00BC289F"/>
    <w:rsid w:val="00BC2D50"/>
    <w:rsid w:val="00BC5361"/>
    <w:rsid w:val="00BC5460"/>
    <w:rsid w:val="00BC6B50"/>
    <w:rsid w:val="00BD0E25"/>
    <w:rsid w:val="00BF5BD6"/>
    <w:rsid w:val="00C03E31"/>
    <w:rsid w:val="00C25CC4"/>
    <w:rsid w:val="00C30E69"/>
    <w:rsid w:val="00C33E72"/>
    <w:rsid w:val="00C354B2"/>
    <w:rsid w:val="00C35554"/>
    <w:rsid w:val="00C36BE3"/>
    <w:rsid w:val="00C42709"/>
    <w:rsid w:val="00C533CC"/>
    <w:rsid w:val="00C5751C"/>
    <w:rsid w:val="00C61BFC"/>
    <w:rsid w:val="00C62B85"/>
    <w:rsid w:val="00C65438"/>
    <w:rsid w:val="00C65D4C"/>
    <w:rsid w:val="00C71F69"/>
    <w:rsid w:val="00C84100"/>
    <w:rsid w:val="00C91CBB"/>
    <w:rsid w:val="00CA3D79"/>
    <w:rsid w:val="00CB4E70"/>
    <w:rsid w:val="00CB75B2"/>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6252"/>
    <w:rsid w:val="00D47D47"/>
    <w:rsid w:val="00D51276"/>
    <w:rsid w:val="00D7035F"/>
    <w:rsid w:val="00D83B60"/>
    <w:rsid w:val="00DA3215"/>
    <w:rsid w:val="00DA634F"/>
    <w:rsid w:val="00DA65AC"/>
    <w:rsid w:val="00DB1913"/>
    <w:rsid w:val="00DC410D"/>
    <w:rsid w:val="00DC5A81"/>
    <w:rsid w:val="00DC68CA"/>
    <w:rsid w:val="00DC7CBA"/>
    <w:rsid w:val="00DD73B7"/>
    <w:rsid w:val="00DF1AC4"/>
    <w:rsid w:val="00DF28BC"/>
    <w:rsid w:val="00DF34B9"/>
    <w:rsid w:val="00E01053"/>
    <w:rsid w:val="00E07ACF"/>
    <w:rsid w:val="00E14670"/>
    <w:rsid w:val="00E32B64"/>
    <w:rsid w:val="00E331A1"/>
    <w:rsid w:val="00E33202"/>
    <w:rsid w:val="00E336A9"/>
    <w:rsid w:val="00E472B1"/>
    <w:rsid w:val="00E50624"/>
    <w:rsid w:val="00E568DF"/>
    <w:rsid w:val="00E64269"/>
    <w:rsid w:val="00E66797"/>
    <w:rsid w:val="00E82267"/>
    <w:rsid w:val="00E853CE"/>
    <w:rsid w:val="00E867B6"/>
    <w:rsid w:val="00E86E6B"/>
    <w:rsid w:val="00E87F08"/>
    <w:rsid w:val="00EA010F"/>
    <w:rsid w:val="00ED1B63"/>
    <w:rsid w:val="00ED3C1F"/>
    <w:rsid w:val="00ED4085"/>
    <w:rsid w:val="00ED420E"/>
    <w:rsid w:val="00ED6FBE"/>
    <w:rsid w:val="00EE2F57"/>
    <w:rsid w:val="00EF4C34"/>
    <w:rsid w:val="00EF64FD"/>
    <w:rsid w:val="00EF77C6"/>
    <w:rsid w:val="00F05438"/>
    <w:rsid w:val="00F1361C"/>
    <w:rsid w:val="00F156F0"/>
    <w:rsid w:val="00F160C7"/>
    <w:rsid w:val="00F2408F"/>
    <w:rsid w:val="00F240E9"/>
    <w:rsid w:val="00F36D8F"/>
    <w:rsid w:val="00F40B11"/>
    <w:rsid w:val="00F417B1"/>
    <w:rsid w:val="00F45853"/>
    <w:rsid w:val="00F602DF"/>
    <w:rsid w:val="00F64586"/>
    <w:rsid w:val="00F754A1"/>
    <w:rsid w:val="00F77F1F"/>
    <w:rsid w:val="00F81FD9"/>
    <w:rsid w:val="00F841AA"/>
    <w:rsid w:val="00F84A94"/>
    <w:rsid w:val="00F87E96"/>
    <w:rsid w:val="00F93D58"/>
    <w:rsid w:val="00F96AA4"/>
    <w:rsid w:val="00FA23E8"/>
    <w:rsid w:val="00FC7042"/>
    <w:rsid w:val="00FD2BFC"/>
    <w:rsid w:val="00FD3CC1"/>
    <w:rsid w:val="00FF0349"/>
    <w:rsid w:val="00FF1E02"/>
    <w:rsid w:val="00FF30B4"/>
    <w:rsid w:val="02B9194B"/>
    <w:rsid w:val="076623C6"/>
    <w:rsid w:val="10C055FF"/>
    <w:rsid w:val="142D145A"/>
    <w:rsid w:val="152E5599"/>
    <w:rsid w:val="16BB723D"/>
    <w:rsid w:val="1848166A"/>
    <w:rsid w:val="19F830DA"/>
    <w:rsid w:val="1E4E5602"/>
    <w:rsid w:val="240371BF"/>
    <w:rsid w:val="29FD04D3"/>
    <w:rsid w:val="319F7F4E"/>
    <w:rsid w:val="31B873B7"/>
    <w:rsid w:val="363308C3"/>
    <w:rsid w:val="3FA6559A"/>
    <w:rsid w:val="40F15BCB"/>
    <w:rsid w:val="423C7582"/>
    <w:rsid w:val="4ECE2238"/>
    <w:rsid w:val="4F8F5143"/>
    <w:rsid w:val="532E2580"/>
    <w:rsid w:val="5A471765"/>
    <w:rsid w:val="5EC567B2"/>
    <w:rsid w:val="62840AB6"/>
    <w:rsid w:val="63220841"/>
    <w:rsid w:val="6DDC7443"/>
    <w:rsid w:val="72734D90"/>
    <w:rsid w:val="7278285E"/>
    <w:rsid w:val="76485AE5"/>
    <w:rsid w:val="7C407E8E"/>
    <w:rsid w:val="7DC814B6"/>
    <w:rsid w:val="7E1C054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1"/>
    <w:qFormat/>
    <w:uiPriority w:val="0"/>
    <w:rPr>
      <w:rFonts w:ascii="宋体" w:hAnsi="Courier New"/>
    </w:r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2"/>
    <w:qFormat/>
    <w:uiPriority w:val="9"/>
    <w:rPr>
      <w:rFonts w:ascii="Times New Roman" w:hAnsi="Times New Roman"/>
      <w:b/>
      <w:bCs/>
      <w:kern w:val="44"/>
      <w:sz w:val="44"/>
      <w:szCs w:val="44"/>
    </w:rPr>
  </w:style>
  <w:style w:type="character" w:customStyle="1" w:styleId="26">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3"/>
    <w:link w:val="8"/>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纯文本 Char"/>
    <w:basedOn w:val="13"/>
    <w:link w:val="7"/>
    <w:qFormat/>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89304812834227"/>
          <c:y val="0.0653061224489796"/>
          <c:w val="0.668449197860963"/>
          <c:h val="0.787755102040818"/>
        </c:manualLayout>
      </c:layout>
      <c:barChart>
        <c:barDir val="col"/>
        <c:grouping val="clustered"/>
        <c:varyColors val="0"/>
        <c:ser>
          <c:idx val="0"/>
          <c:order val="0"/>
          <c:tx>
            <c:strRef>
              <c:f>Sheet1!$A$2</c:f>
              <c:strCache>
                <c:ptCount val="1"/>
                <c:pt idx="0">
                  <c:v>2018年</c:v>
                </c:pt>
              </c:strCache>
            </c:strRef>
          </c:tx>
          <c:spPr>
            <a:solidFill>
              <a:srgbClr val="9999FF"/>
            </a:solidFill>
            <a:ln w="12733">
              <a:solidFill>
                <a:srgbClr val="000000"/>
              </a:solidFill>
              <a:prstDash val="solid"/>
            </a:ln>
          </c:spPr>
          <c:invertIfNegative val="0"/>
          <c:dLbls>
            <c:delete val="1"/>
          </c:dLbls>
          <c:cat>
            <c:strRef>
              <c:f>Sheet1!$B$1:$E$1</c:f>
              <c:strCache>
                <c:ptCount val="2"/>
                <c:pt idx="0">
                  <c:v>收入</c:v>
                </c:pt>
                <c:pt idx="1">
                  <c:v>支出</c:v>
                </c:pt>
              </c:strCache>
            </c:strRef>
          </c:cat>
          <c:val>
            <c:numRef>
              <c:f>Sheet1!$B$2:$E$2</c:f>
              <c:numCache>
                <c:formatCode>General</c:formatCode>
                <c:ptCount val="4"/>
                <c:pt idx="0">
                  <c:v>545.23</c:v>
                </c:pt>
                <c:pt idx="1">
                  <c:v>821.14</c:v>
                </c:pt>
              </c:numCache>
            </c:numRef>
          </c:val>
        </c:ser>
        <c:ser>
          <c:idx val="1"/>
          <c:order val="1"/>
          <c:tx>
            <c:strRef>
              <c:f>Sheet1!$A$3</c:f>
              <c:strCache>
                <c:ptCount val="1"/>
                <c:pt idx="0">
                  <c:v>2019年</c:v>
                </c:pt>
              </c:strCache>
            </c:strRef>
          </c:tx>
          <c:spPr>
            <a:solidFill>
              <a:srgbClr val="993366"/>
            </a:solidFill>
            <a:ln w="12733">
              <a:solidFill>
                <a:srgbClr val="000000"/>
              </a:solidFill>
              <a:prstDash val="solid"/>
            </a:ln>
          </c:spPr>
          <c:invertIfNegative val="0"/>
          <c:dLbls>
            <c:delete val="1"/>
          </c:dLbls>
          <c:cat>
            <c:strRef>
              <c:f>Sheet1!$B$1:$E$1</c:f>
              <c:strCache>
                <c:ptCount val="2"/>
                <c:pt idx="0">
                  <c:v>收入</c:v>
                </c:pt>
                <c:pt idx="1">
                  <c:v>支出</c:v>
                </c:pt>
              </c:strCache>
            </c:strRef>
          </c:cat>
          <c:val>
            <c:numRef>
              <c:f>Sheet1!$B$3:$E$3</c:f>
              <c:numCache>
                <c:formatCode>General</c:formatCode>
                <c:ptCount val="4"/>
                <c:pt idx="0">
                  <c:v>544.66</c:v>
                </c:pt>
                <c:pt idx="1">
                  <c:v>897.58</c:v>
                </c:pt>
              </c:numCache>
            </c:numRef>
          </c:val>
        </c:ser>
        <c:dLbls>
          <c:showLegendKey val="0"/>
          <c:showVal val="0"/>
          <c:showCatName val="0"/>
          <c:showSerName val="0"/>
          <c:showPercent val="0"/>
          <c:showBubbleSize val="0"/>
        </c:dLbls>
        <c:gapWidth val="150"/>
        <c:axId val="194891776"/>
        <c:axId val="194893312"/>
      </c:barChart>
      <c:catAx>
        <c:axId val="194891776"/>
        <c:scaling>
          <c:orientation val="minMax"/>
        </c:scaling>
        <c:delete val="0"/>
        <c:axPos val="b"/>
        <c:numFmt formatCode="General" sourceLinked="1"/>
        <c:majorTickMark val="in"/>
        <c:minorTickMark val="none"/>
        <c:tickLblPos val="low"/>
        <c:spPr>
          <a:ln w="3183" cap="flat" cmpd="sng" algn="ctr">
            <a:solidFill>
              <a:srgbClr val="000000"/>
            </a:solidFill>
            <a:prstDash val="solid"/>
            <a:round/>
          </a:ln>
        </c:spPr>
        <c:txPr>
          <a:bodyPr rot="0" spcFirstLastPara="0" vertOverflow="ellipsis" vert="horz" wrap="square" anchor="ctr" anchorCtr="1"/>
          <a:lstStyle/>
          <a:p>
            <a:pPr>
              <a:defRPr lang="zh-CN" sz="12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94893312"/>
        <c:crosses val="autoZero"/>
        <c:auto val="1"/>
        <c:lblAlgn val="ctr"/>
        <c:lblOffset val="100"/>
        <c:tickLblSkip val="1"/>
        <c:noMultiLvlLbl val="0"/>
      </c:catAx>
      <c:valAx>
        <c:axId val="194893312"/>
        <c:scaling>
          <c:orientation val="minMax"/>
        </c:scaling>
        <c:delete val="0"/>
        <c:axPos val="l"/>
        <c:majorGridlines>
          <c:spPr>
            <a:ln w="3183" cap="flat" cmpd="sng" algn="ctr">
              <a:solidFill>
                <a:srgbClr val="000000"/>
              </a:solidFill>
              <a:prstDash val="solid"/>
              <a:round/>
            </a:ln>
          </c:spPr>
        </c:majorGridlines>
        <c:numFmt formatCode="General" sourceLinked="1"/>
        <c:majorTickMark val="in"/>
        <c:minorTickMark val="none"/>
        <c:tickLblPos val="nextTo"/>
        <c:spPr>
          <a:ln w="3183" cap="flat" cmpd="sng" algn="ctr">
            <a:solidFill>
              <a:srgbClr val="000000"/>
            </a:solidFill>
            <a:prstDash val="solid"/>
            <a:round/>
          </a:ln>
        </c:spPr>
        <c:txPr>
          <a:bodyPr rot="0" spcFirstLastPara="0" vertOverflow="ellipsis" vert="horz" wrap="square" anchor="ctr" anchorCtr="1"/>
          <a:lstStyle/>
          <a:p>
            <a:pPr>
              <a:defRPr lang="zh-CN" sz="12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94891776"/>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6791443850267"/>
          <c:y val="0.412244897959184"/>
          <c:w val="0.192513368983957"/>
          <c:h val="0.175510204081633"/>
        </c:manualLayout>
      </c:layout>
      <c:overlay val="0"/>
      <c:spPr>
        <a:noFill/>
        <a:ln w="3183">
          <a:solidFill>
            <a:srgbClr val="000000"/>
          </a:solidFill>
          <a:prstDash val="solid"/>
        </a:ln>
      </c:spPr>
      <c:txPr>
        <a:bodyPr rot="0" spcFirstLastPara="0" vertOverflow="ellipsis" vert="horz" wrap="square" anchor="ctr" anchorCtr="1"/>
        <a:lstStyle/>
        <a:p>
          <a:pPr>
            <a:defRPr lang="zh-CN" sz="11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120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10810810810811"/>
          <c:y val="0.112426035502959"/>
          <c:w val="0.505791505791506"/>
          <c:h val="0.775147928994085"/>
        </c:manualLayout>
      </c:layout>
      <c:pieChart>
        <c:varyColors val="1"/>
        <c:ser>
          <c:idx val="0"/>
          <c:order val="0"/>
          <c:tx>
            <c:strRef>
              <c:f>Sheet1!$A$2</c:f>
              <c:strCache>
                <c:ptCount val="1"/>
                <c:pt idx="0">
                  <c:v>2019年</c:v>
                </c:pt>
              </c:strCache>
            </c:strRef>
          </c:tx>
          <c:spPr>
            <a:solidFill>
              <a:srgbClr val="9999FF"/>
            </a:solidFill>
            <a:ln w="12697">
              <a:solidFill>
                <a:srgbClr val="000000"/>
              </a:solidFill>
              <a:prstDash val="solid"/>
            </a:ln>
          </c:spPr>
          <c:explosion val="0"/>
          <c:dPt>
            <c:idx val="0"/>
            <c:bubble3D val="0"/>
            <c:spPr>
              <a:solidFill>
                <a:srgbClr val="9999FF"/>
              </a:solidFill>
              <a:ln w="12697">
                <a:solidFill>
                  <a:srgbClr val="000000"/>
                </a:solidFill>
                <a:prstDash val="solid"/>
              </a:ln>
            </c:spPr>
          </c:dPt>
          <c:dPt>
            <c:idx val="1"/>
            <c:bubble3D val="0"/>
            <c:spPr>
              <a:solidFill>
                <a:srgbClr val="993366"/>
              </a:solidFill>
              <a:ln w="12697">
                <a:solidFill>
                  <a:srgbClr val="000000"/>
                </a:solidFill>
                <a:prstDash val="solid"/>
              </a:ln>
            </c:spPr>
          </c:dPt>
          <c:dPt>
            <c:idx val="2"/>
            <c:bubble3D val="0"/>
            <c:spPr>
              <a:solidFill>
                <a:srgbClr val="FFFFCC"/>
              </a:solidFill>
              <a:ln w="12697">
                <a:solidFill>
                  <a:srgbClr val="000000"/>
                </a:solidFill>
                <a:prstDash val="solid"/>
              </a:ln>
            </c:spPr>
          </c:dPt>
          <c:dLbls>
            <c:delete val="1"/>
          </c:dLbls>
          <c:cat>
            <c:strRef>
              <c:f>Sheet1!$B$1:$D$1</c:f>
              <c:strCache>
                <c:ptCount val="3"/>
                <c:pt idx="0">
                  <c:v>一般公共预算财政拨款收入544.66万元</c:v>
                </c:pt>
                <c:pt idx="1">
                  <c:v>政府性基金预算财政拨款收入266.6</c:v>
                </c:pt>
                <c:pt idx="2">
                  <c:v>其他收入0.17万元</c:v>
                </c:pt>
              </c:strCache>
            </c:strRef>
          </c:cat>
          <c:val>
            <c:numRef>
              <c:f>Sheet1!$B$2:$D$2</c:f>
              <c:numCache>
                <c:formatCode>General</c:formatCode>
                <c:ptCount val="3"/>
                <c:pt idx="0">
                  <c:v>544.66</c:v>
                </c:pt>
                <c:pt idx="1">
                  <c:v>266.6</c:v>
                </c:pt>
                <c:pt idx="2">
                  <c:v>0.17</c:v>
                </c:pt>
              </c:numCache>
            </c:numRef>
          </c:val>
        </c:ser>
        <c:ser>
          <c:idx val="1"/>
          <c:order val="1"/>
          <c:tx>
            <c:strRef>
              <c:f>Sheet1!$A$3</c:f>
              <c:strCache>
                <c:ptCount val="1"/>
                <c:pt idx="0">
                  <c:v/>
                </c:pt>
              </c:strCache>
            </c:strRef>
          </c:tx>
          <c:spPr>
            <a:solidFill>
              <a:srgbClr val="993366"/>
            </a:solidFill>
            <a:ln w="12697">
              <a:solidFill>
                <a:srgbClr val="000000"/>
              </a:solidFill>
              <a:prstDash val="solid"/>
            </a:ln>
          </c:spPr>
          <c:explosion val="0"/>
          <c:dPt>
            <c:idx val="0"/>
            <c:bubble3D val="0"/>
            <c:spPr>
              <a:solidFill>
                <a:srgbClr val="9999FF"/>
              </a:solidFill>
              <a:ln w="12697">
                <a:solidFill>
                  <a:srgbClr val="000000"/>
                </a:solidFill>
                <a:prstDash val="solid"/>
              </a:ln>
            </c:spPr>
          </c:dPt>
          <c:dPt>
            <c:idx val="1"/>
            <c:bubble3D val="0"/>
            <c:spPr>
              <a:solidFill>
                <a:srgbClr val="993366"/>
              </a:solidFill>
              <a:ln w="12697">
                <a:solidFill>
                  <a:srgbClr val="000000"/>
                </a:solidFill>
                <a:prstDash val="solid"/>
              </a:ln>
            </c:spPr>
          </c:dPt>
          <c:dPt>
            <c:idx val="2"/>
            <c:bubble3D val="0"/>
            <c:spPr>
              <a:solidFill>
                <a:srgbClr val="FFFFCC"/>
              </a:solidFill>
              <a:ln w="12697">
                <a:solidFill>
                  <a:srgbClr val="000000"/>
                </a:solidFill>
                <a:prstDash val="solid"/>
              </a:ln>
            </c:spPr>
          </c:dPt>
          <c:dLbls>
            <c:delete val="1"/>
          </c:dLbls>
          <c:cat>
            <c:strRef>
              <c:f>Sheet1!$B$1:$D$1</c:f>
              <c:strCache>
                <c:ptCount val="3"/>
                <c:pt idx="0">
                  <c:v>一般公共预算财政拨款收入544.66万元</c:v>
                </c:pt>
                <c:pt idx="1">
                  <c:v>政府性基金预算财政拨款收入266.6</c:v>
                </c:pt>
                <c:pt idx="2">
                  <c:v>其他收入0.17万元</c:v>
                </c:pt>
              </c:strCache>
            </c:strRef>
          </c:cat>
          <c:val>
            <c:numRef>
              <c:f>Sheet1!$B$3:$D$3</c:f>
              <c:numCache>
                <c:formatCode>General</c:formatCode>
                <c:ptCount val="3"/>
              </c:numCache>
            </c:numRef>
          </c:val>
        </c:ser>
        <c:ser>
          <c:idx val="2"/>
          <c:order val="2"/>
          <c:tx>
            <c:strRef>
              <c:f>Sheet1!$A$4</c:f>
              <c:strCache>
                <c:ptCount val="1"/>
                <c:pt idx="0">
                  <c:v/>
                </c:pt>
              </c:strCache>
            </c:strRef>
          </c:tx>
          <c:spPr>
            <a:solidFill>
              <a:srgbClr val="FFFFCC"/>
            </a:solidFill>
            <a:ln w="12697">
              <a:solidFill>
                <a:srgbClr val="000000"/>
              </a:solidFill>
              <a:prstDash val="solid"/>
            </a:ln>
          </c:spPr>
          <c:explosion val="0"/>
          <c:dPt>
            <c:idx val="0"/>
            <c:bubble3D val="0"/>
            <c:spPr>
              <a:solidFill>
                <a:srgbClr val="9999FF"/>
              </a:solidFill>
              <a:ln w="12697">
                <a:solidFill>
                  <a:srgbClr val="000000"/>
                </a:solidFill>
                <a:prstDash val="solid"/>
              </a:ln>
            </c:spPr>
          </c:dPt>
          <c:dPt>
            <c:idx val="1"/>
            <c:bubble3D val="0"/>
            <c:spPr>
              <a:solidFill>
                <a:srgbClr val="993366"/>
              </a:solidFill>
              <a:ln w="12697">
                <a:solidFill>
                  <a:srgbClr val="000000"/>
                </a:solidFill>
                <a:prstDash val="solid"/>
              </a:ln>
            </c:spPr>
          </c:dPt>
          <c:dPt>
            <c:idx val="2"/>
            <c:bubble3D val="0"/>
            <c:spPr>
              <a:solidFill>
                <a:srgbClr val="FFFFCC"/>
              </a:solidFill>
              <a:ln w="12697">
                <a:solidFill>
                  <a:srgbClr val="000000"/>
                </a:solidFill>
                <a:prstDash val="solid"/>
              </a:ln>
            </c:spPr>
          </c:dPt>
          <c:dLbls>
            <c:delete val="1"/>
          </c:dLbls>
          <c:cat>
            <c:strRef>
              <c:f>Sheet1!$B$1:$D$1</c:f>
              <c:strCache>
                <c:ptCount val="3"/>
                <c:pt idx="0">
                  <c:v>一般公共预算财政拨款收入544.66万元</c:v>
                </c:pt>
                <c:pt idx="1">
                  <c:v>政府性基金预算财政拨款收入266.6</c:v>
                </c:pt>
                <c:pt idx="2">
                  <c:v>其他收入0.17万元</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solidFill>
          <a:srgbClr val="C0C0C0"/>
        </a:solidFill>
        <a:ln w="12697">
          <a:solidFill>
            <a:srgbClr val="808080"/>
          </a:solidFill>
          <a:prstDash val="solid"/>
        </a:ln>
      </c:spPr>
    </c:plotArea>
    <c:legend>
      <c:legendPos val="r"/>
      <c:layout>
        <c:manualLayout>
          <c:xMode val="edge"/>
          <c:yMode val="edge"/>
          <c:x val="0.675675675675681"/>
          <c:y val="0.0946745562130179"/>
          <c:w val="0.308880308880311"/>
          <c:h val="0.804733727810651"/>
        </c:manualLayout>
      </c:layout>
      <c:overlay val="0"/>
      <c:spPr>
        <a:noFill/>
        <a:ln w="3174">
          <a:solidFill>
            <a:srgbClr val="000000"/>
          </a:solidFill>
          <a:prstDash val="solid"/>
        </a:ln>
      </c:spPr>
      <c:txPr>
        <a:bodyPr rot="0" spcFirstLastPara="0" vertOverflow="ellipsis" vert="horz" wrap="square" anchor="ctr" anchorCtr="1"/>
        <a:lstStyle/>
        <a:p>
          <a:pPr>
            <a:defRPr lang="zh-CN" sz="8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9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19424460431655"/>
          <c:y val="0.10989010989011"/>
          <c:w val="0.507194244604318"/>
          <c:h val="0.774725274725278"/>
        </c:manualLayout>
      </c:layout>
      <c:pieChart>
        <c:varyColors val="1"/>
        <c:ser>
          <c:idx val="0"/>
          <c:order val="0"/>
          <c:tx>
            <c:strRef>
              <c:f>Sheet1!$A$2</c:f>
              <c:strCache>
                <c:ptCount val="1"/>
                <c:pt idx="0">
                  <c:v>2019年支出</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delete val="1"/>
          </c:dLbls>
          <c:cat>
            <c:strRef>
              <c:f>Sheet1!$B$1:$D$1</c:f>
              <c:strCache>
                <c:ptCount val="3"/>
                <c:pt idx="0">
                  <c:v>总支出897.41万元</c:v>
                </c:pt>
                <c:pt idx="1">
                  <c:v>基本支出559.67万元</c:v>
                </c:pt>
                <c:pt idx="2">
                  <c:v>项目支出337.74万元</c:v>
                </c:pt>
              </c:strCache>
            </c:strRef>
          </c:cat>
          <c:val>
            <c:numRef>
              <c:f>Sheet1!$B$2:$D$2</c:f>
              <c:numCache>
                <c:formatCode>General</c:formatCode>
                <c:ptCount val="3"/>
                <c:pt idx="0">
                  <c:v>897.41</c:v>
                </c:pt>
                <c:pt idx="1">
                  <c:v>559.670000000001</c:v>
                </c:pt>
                <c:pt idx="2">
                  <c:v>337.74</c:v>
                </c:pt>
              </c:numCache>
            </c:numRef>
          </c:val>
        </c:ser>
        <c:ser>
          <c:idx val="1"/>
          <c:order val="1"/>
          <c:tx>
            <c:strRef>
              <c:f>Sheet1!$A$3</c:f>
              <c:strCache>
                <c:ptCount val="1"/>
                <c:pt idx="0">
                  <c:v/>
                </c:pt>
              </c:strCache>
            </c:strRef>
          </c:tx>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delete val="1"/>
          </c:dLbls>
          <c:cat>
            <c:strRef>
              <c:f>Sheet1!$B$1:$D$1</c:f>
              <c:strCache>
                <c:ptCount val="3"/>
                <c:pt idx="0">
                  <c:v>总支出897.41万元</c:v>
                </c:pt>
                <c:pt idx="1">
                  <c:v>基本支出559.67万元</c:v>
                </c:pt>
                <c:pt idx="2">
                  <c:v>项目支出337.74万元</c:v>
                </c:pt>
              </c:strCache>
            </c:strRef>
          </c:cat>
          <c:val>
            <c:numRef>
              <c:f>Sheet1!$B$3:$D$3</c:f>
              <c:numCache>
                <c:formatCode>General</c:formatCode>
                <c:ptCount val="3"/>
              </c:numCache>
            </c:numRef>
          </c:val>
        </c:ser>
        <c:ser>
          <c:idx val="2"/>
          <c:order val="2"/>
          <c:tx>
            <c:strRef>
              <c:f>Sheet1!$A$4</c:f>
              <c:strCache>
                <c:ptCount val="1"/>
                <c:pt idx="0">
                  <c:v/>
                </c:pt>
              </c:strCache>
            </c:strRef>
          </c:tx>
          <c:spPr>
            <a:solidFill>
              <a:srgbClr val="FFFFCC"/>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delete val="1"/>
          </c:dLbls>
          <c:cat>
            <c:strRef>
              <c:f>Sheet1!$B$1:$D$1</c:f>
              <c:strCache>
                <c:ptCount val="3"/>
                <c:pt idx="0">
                  <c:v>总支出897.41万元</c:v>
                </c:pt>
                <c:pt idx="1">
                  <c:v>基本支出559.67万元</c:v>
                </c:pt>
                <c:pt idx="2">
                  <c:v>项目支出337.74万元</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54676258992808"/>
          <c:y val="0.241758241758242"/>
          <c:w val="0.330935251798561"/>
          <c:h val="0.516483516483518"/>
        </c:manualLayout>
      </c:layout>
      <c:overlay val="0"/>
      <c:spPr>
        <a:noFill/>
        <a:ln w="3175">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89304812834227"/>
          <c:y val="0.0653061224489796"/>
          <c:w val="0.668449197860963"/>
          <c:h val="0.787755102040819"/>
        </c:manualLayout>
      </c:layout>
      <c:barChart>
        <c:barDir val="col"/>
        <c:grouping val="clustered"/>
        <c:varyColors val="0"/>
        <c:ser>
          <c:idx val="0"/>
          <c:order val="0"/>
          <c:tx>
            <c:strRef>
              <c:f>Sheet1!$A$2</c:f>
              <c:strCache>
                <c:ptCount val="1"/>
                <c:pt idx="0">
                  <c:v>2018年</c:v>
                </c:pt>
              </c:strCache>
            </c:strRef>
          </c:tx>
          <c:spPr>
            <a:solidFill>
              <a:srgbClr val="9999FF"/>
            </a:solidFill>
            <a:ln w="12733">
              <a:solidFill>
                <a:srgbClr val="000000"/>
              </a:solidFill>
              <a:prstDash val="solid"/>
            </a:ln>
          </c:spPr>
          <c:invertIfNegative val="0"/>
          <c:dLbls>
            <c:delete val="1"/>
          </c:dLbls>
          <c:cat>
            <c:strRef>
              <c:f>Sheet1!$B$1:$E$1</c:f>
              <c:strCache>
                <c:ptCount val="2"/>
                <c:pt idx="0">
                  <c:v>收入</c:v>
                </c:pt>
                <c:pt idx="1">
                  <c:v>支出</c:v>
                </c:pt>
              </c:strCache>
            </c:strRef>
          </c:cat>
          <c:val>
            <c:numRef>
              <c:f>Sheet1!$B$2:$E$2</c:f>
              <c:numCache>
                <c:formatCode>General</c:formatCode>
                <c:ptCount val="4"/>
                <c:pt idx="0">
                  <c:v>545.23</c:v>
                </c:pt>
                <c:pt idx="1">
                  <c:v>821.14</c:v>
                </c:pt>
              </c:numCache>
            </c:numRef>
          </c:val>
        </c:ser>
        <c:ser>
          <c:idx val="1"/>
          <c:order val="1"/>
          <c:tx>
            <c:strRef>
              <c:f>Sheet1!$A$3</c:f>
              <c:strCache>
                <c:ptCount val="1"/>
                <c:pt idx="0">
                  <c:v>2019年</c:v>
                </c:pt>
              </c:strCache>
            </c:strRef>
          </c:tx>
          <c:spPr>
            <a:solidFill>
              <a:srgbClr val="993366"/>
            </a:solidFill>
            <a:ln w="12733">
              <a:solidFill>
                <a:srgbClr val="000000"/>
              </a:solidFill>
              <a:prstDash val="solid"/>
            </a:ln>
          </c:spPr>
          <c:invertIfNegative val="0"/>
          <c:dLbls>
            <c:delete val="1"/>
          </c:dLbls>
          <c:cat>
            <c:strRef>
              <c:f>Sheet1!$B$1:$E$1</c:f>
              <c:strCache>
                <c:ptCount val="2"/>
                <c:pt idx="0">
                  <c:v>收入</c:v>
                </c:pt>
                <c:pt idx="1">
                  <c:v>支出</c:v>
                </c:pt>
              </c:strCache>
            </c:strRef>
          </c:cat>
          <c:val>
            <c:numRef>
              <c:f>Sheet1!$B$3:$E$3</c:f>
              <c:numCache>
                <c:formatCode>General</c:formatCode>
                <c:ptCount val="4"/>
                <c:pt idx="0">
                  <c:v>544.66</c:v>
                </c:pt>
                <c:pt idx="1">
                  <c:v>897.58</c:v>
                </c:pt>
              </c:numCache>
            </c:numRef>
          </c:val>
        </c:ser>
        <c:dLbls>
          <c:showLegendKey val="0"/>
          <c:showVal val="0"/>
          <c:showCatName val="0"/>
          <c:showSerName val="0"/>
          <c:showPercent val="0"/>
          <c:showBubbleSize val="0"/>
        </c:dLbls>
        <c:gapWidth val="150"/>
        <c:axId val="196601344"/>
        <c:axId val="196602880"/>
      </c:barChart>
      <c:catAx>
        <c:axId val="196601344"/>
        <c:scaling>
          <c:orientation val="minMax"/>
        </c:scaling>
        <c:delete val="0"/>
        <c:axPos val="b"/>
        <c:numFmt formatCode="General" sourceLinked="1"/>
        <c:majorTickMark val="in"/>
        <c:minorTickMark val="none"/>
        <c:tickLblPos val="low"/>
        <c:spPr>
          <a:ln w="3183" cap="flat" cmpd="sng" algn="ctr">
            <a:solidFill>
              <a:srgbClr val="000000"/>
            </a:solidFill>
            <a:prstDash val="solid"/>
            <a:round/>
          </a:ln>
        </c:spPr>
        <c:txPr>
          <a:bodyPr rot="0" spcFirstLastPara="0" vertOverflow="ellipsis" vert="horz" wrap="square" anchor="ctr" anchorCtr="1"/>
          <a:lstStyle/>
          <a:p>
            <a:pPr>
              <a:defRPr lang="zh-CN" sz="12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96602880"/>
        <c:crosses val="autoZero"/>
        <c:auto val="1"/>
        <c:lblAlgn val="ctr"/>
        <c:lblOffset val="100"/>
        <c:tickLblSkip val="1"/>
        <c:noMultiLvlLbl val="0"/>
      </c:catAx>
      <c:valAx>
        <c:axId val="196602880"/>
        <c:scaling>
          <c:orientation val="minMax"/>
        </c:scaling>
        <c:delete val="0"/>
        <c:axPos val="l"/>
        <c:majorGridlines>
          <c:spPr>
            <a:ln w="3183" cap="flat" cmpd="sng" algn="ctr">
              <a:solidFill>
                <a:srgbClr val="000000"/>
              </a:solidFill>
              <a:prstDash val="solid"/>
              <a:round/>
            </a:ln>
          </c:spPr>
        </c:majorGridlines>
        <c:numFmt formatCode="General" sourceLinked="1"/>
        <c:majorTickMark val="in"/>
        <c:minorTickMark val="none"/>
        <c:tickLblPos val="nextTo"/>
        <c:spPr>
          <a:ln w="3183" cap="flat" cmpd="sng" algn="ctr">
            <a:solidFill>
              <a:srgbClr val="000000"/>
            </a:solidFill>
            <a:prstDash val="solid"/>
            <a:round/>
          </a:ln>
        </c:spPr>
        <c:txPr>
          <a:bodyPr rot="0" spcFirstLastPara="0" vertOverflow="ellipsis" vert="horz" wrap="square" anchor="ctr" anchorCtr="1"/>
          <a:lstStyle/>
          <a:p>
            <a:pPr>
              <a:defRPr lang="zh-CN" sz="12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96601344"/>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6791443850267"/>
          <c:y val="0.412244897959184"/>
          <c:w val="0.192513368983957"/>
          <c:h val="0.175510204081633"/>
        </c:manualLayout>
      </c:layout>
      <c:overlay val="0"/>
      <c:spPr>
        <a:noFill/>
        <a:ln w="3183">
          <a:solidFill>
            <a:srgbClr val="000000"/>
          </a:solidFill>
          <a:prstDash val="solid"/>
        </a:ln>
      </c:spPr>
      <c:txPr>
        <a:bodyPr rot="0" spcFirstLastPara="0" vertOverflow="ellipsis" vert="horz" wrap="square" anchor="ctr" anchorCtr="1"/>
        <a:lstStyle/>
        <a:p>
          <a:pPr>
            <a:defRPr lang="zh-CN" sz="110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120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0934065934065935"/>
          <c:w val="0.687050359712228"/>
          <c:h val="0.648351648351649"/>
        </c:manualLayout>
      </c:layout>
      <c:ofPieChart>
        <c:ofPieType val="bar"/>
        <c:varyColors val="1"/>
        <c:ser>
          <c:idx val="0"/>
          <c:order val="0"/>
          <c:tx>
            <c:strRef>
              <c:f>Sheet1!$A$2</c:f>
              <c:strCache>
                <c:ptCount val="1"/>
                <c:pt idx="0">
                  <c:v>2019年</c:v>
                </c:pt>
              </c:strCache>
            </c:strRef>
          </c:tx>
          <c:spPr>
            <a:solidFill>
              <a:srgbClr val="9999FF"/>
            </a:solidFill>
            <a:ln w="12675">
              <a:solidFill>
                <a:srgbClr val="000000"/>
              </a:solidFill>
              <a:prstDash val="solid"/>
            </a:ln>
          </c:spPr>
          <c:explosion val="0"/>
          <c:dPt>
            <c:idx val="0"/>
            <c:bubble3D val="0"/>
            <c:spPr>
              <a:solidFill>
                <a:srgbClr val="9999FF"/>
              </a:solidFill>
              <a:ln w="12675">
                <a:solidFill>
                  <a:srgbClr val="000000"/>
                </a:solidFill>
                <a:prstDash val="solid"/>
              </a:ln>
            </c:spPr>
          </c:dPt>
          <c:dPt>
            <c:idx val="1"/>
            <c:bubble3D val="0"/>
            <c:spPr>
              <a:solidFill>
                <a:srgbClr val="993366"/>
              </a:solidFill>
              <a:ln w="12675">
                <a:solidFill>
                  <a:srgbClr val="000000"/>
                </a:solidFill>
                <a:prstDash val="solid"/>
              </a:ln>
            </c:spPr>
          </c:dPt>
          <c:dPt>
            <c:idx val="2"/>
            <c:bubble3D val="0"/>
            <c:spPr>
              <a:solidFill>
                <a:srgbClr val="FFFFCC"/>
              </a:solidFill>
              <a:ln w="12675">
                <a:solidFill>
                  <a:srgbClr val="000000"/>
                </a:solidFill>
                <a:prstDash val="solid"/>
              </a:ln>
            </c:spPr>
          </c:dPt>
          <c:dPt>
            <c:idx val="3"/>
            <c:bubble3D val="0"/>
            <c:spPr>
              <a:solidFill>
                <a:srgbClr val="CCFFFF"/>
              </a:solidFill>
              <a:ln w="12675">
                <a:solidFill>
                  <a:srgbClr val="000000"/>
                </a:solidFill>
                <a:prstDash val="solid"/>
              </a:ln>
            </c:spPr>
          </c:dPt>
          <c:dPt>
            <c:idx val="4"/>
            <c:bubble3D val="0"/>
            <c:spPr>
              <a:solidFill>
                <a:srgbClr val="660066"/>
              </a:solidFill>
              <a:ln w="12675">
                <a:solidFill>
                  <a:srgbClr val="000000"/>
                </a:solidFill>
                <a:prstDash val="solid"/>
              </a:ln>
            </c:spPr>
          </c:dPt>
          <c:dPt>
            <c:idx val="5"/>
            <c:bubble3D val="0"/>
            <c:spPr>
              <a:solidFill>
                <a:srgbClr val="FF8080"/>
              </a:solidFill>
              <a:ln w="12675">
                <a:solidFill>
                  <a:srgbClr val="000000"/>
                </a:solidFill>
                <a:prstDash val="solid"/>
              </a:ln>
            </c:spPr>
          </c:dPt>
          <c:dLbls>
            <c:delete val="1"/>
          </c:dLbls>
          <c:cat>
            <c:strRef>
              <c:f>Sheet1!$B$1:$F$1</c:f>
              <c:strCache>
                <c:ptCount val="5"/>
                <c:pt idx="0">
                  <c:v>一般公共预算财政拨款支出559.67万元</c:v>
                </c:pt>
                <c:pt idx="1">
                  <c:v>城乡社区支出480.09万元</c:v>
                </c:pt>
                <c:pt idx="2">
                  <c:v>社会保障和就业支出31.43万元</c:v>
                </c:pt>
                <c:pt idx="3">
                  <c:v>医疗卫生与计划生育支出18.15万元</c:v>
                </c:pt>
                <c:pt idx="4">
                  <c:v>住房保障支出30万元</c:v>
                </c:pt>
              </c:strCache>
            </c:strRef>
          </c:cat>
          <c:val>
            <c:numRef>
              <c:f>Sheet1!$B$2:$F$2</c:f>
              <c:numCache>
                <c:formatCode>General</c:formatCode>
                <c:ptCount val="5"/>
                <c:pt idx="0">
                  <c:v>559.67</c:v>
                </c:pt>
                <c:pt idx="1">
                  <c:v>480.09</c:v>
                </c:pt>
                <c:pt idx="2">
                  <c:v>31.43</c:v>
                </c:pt>
                <c:pt idx="3">
                  <c:v>18.15</c:v>
                </c:pt>
                <c:pt idx="4">
                  <c:v>30</c:v>
                </c:pt>
              </c:numCache>
            </c:numRef>
          </c:val>
        </c:ser>
        <c:ser>
          <c:idx val="1"/>
          <c:order val="1"/>
          <c:tx>
            <c:strRef>
              <c:f>Sheet1!$A$3</c:f>
              <c:strCache>
                <c:ptCount val="1"/>
                <c:pt idx="0">
                  <c:v/>
                </c:pt>
              </c:strCache>
            </c:strRef>
          </c:tx>
          <c:spPr>
            <a:solidFill>
              <a:srgbClr val="993366"/>
            </a:solidFill>
            <a:ln w="12675">
              <a:solidFill>
                <a:srgbClr val="000000"/>
              </a:solidFill>
              <a:prstDash val="solid"/>
            </a:ln>
          </c:spPr>
          <c:explosion val="0"/>
          <c:dPt>
            <c:idx val="0"/>
            <c:bubble3D val="0"/>
            <c:spPr>
              <a:solidFill>
                <a:srgbClr val="9999FF"/>
              </a:solidFill>
              <a:ln w="12675">
                <a:solidFill>
                  <a:srgbClr val="000000"/>
                </a:solidFill>
                <a:prstDash val="solid"/>
              </a:ln>
            </c:spPr>
          </c:dPt>
          <c:dPt>
            <c:idx val="1"/>
            <c:bubble3D val="0"/>
            <c:spPr>
              <a:solidFill>
                <a:srgbClr val="993366"/>
              </a:solidFill>
              <a:ln w="12675">
                <a:solidFill>
                  <a:srgbClr val="000000"/>
                </a:solidFill>
                <a:prstDash val="solid"/>
              </a:ln>
            </c:spPr>
          </c:dPt>
          <c:dPt>
            <c:idx val="2"/>
            <c:bubble3D val="0"/>
            <c:spPr>
              <a:solidFill>
                <a:srgbClr val="FFFFCC"/>
              </a:solidFill>
              <a:ln w="12675">
                <a:solidFill>
                  <a:srgbClr val="000000"/>
                </a:solidFill>
                <a:prstDash val="solid"/>
              </a:ln>
            </c:spPr>
          </c:dPt>
          <c:dPt>
            <c:idx val="3"/>
            <c:bubble3D val="0"/>
            <c:spPr>
              <a:solidFill>
                <a:srgbClr val="CCFFFF"/>
              </a:solidFill>
              <a:ln w="12675">
                <a:solidFill>
                  <a:srgbClr val="000000"/>
                </a:solidFill>
                <a:prstDash val="solid"/>
              </a:ln>
            </c:spPr>
          </c:dPt>
          <c:dPt>
            <c:idx val="4"/>
            <c:bubble3D val="0"/>
            <c:spPr>
              <a:solidFill>
                <a:srgbClr val="660066"/>
              </a:solidFill>
              <a:ln w="12675">
                <a:solidFill>
                  <a:srgbClr val="000000"/>
                </a:solidFill>
                <a:prstDash val="solid"/>
              </a:ln>
            </c:spPr>
          </c:dPt>
          <c:dPt>
            <c:idx val="5"/>
            <c:bubble3D val="0"/>
            <c:spPr>
              <a:solidFill>
                <a:srgbClr val="FF8080"/>
              </a:solidFill>
              <a:ln w="12675">
                <a:solidFill>
                  <a:srgbClr val="000000"/>
                </a:solidFill>
                <a:prstDash val="solid"/>
              </a:ln>
            </c:spPr>
          </c:dPt>
          <c:dLbls>
            <c:delete val="1"/>
          </c:dLbls>
          <c:cat>
            <c:strRef>
              <c:f>Sheet1!$B$1:$F$1</c:f>
              <c:strCache>
                <c:ptCount val="5"/>
                <c:pt idx="0">
                  <c:v>一般公共预算财政拨款支出559.67万元</c:v>
                </c:pt>
                <c:pt idx="1">
                  <c:v>城乡社区支出480.09万元</c:v>
                </c:pt>
                <c:pt idx="2">
                  <c:v>社会保障和就业支出31.43万元</c:v>
                </c:pt>
                <c:pt idx="3">
                  <c:v>医疗卫生与计划生育支出18.15万元</c:v>
                </c:pt>
                <c:pt idx="4">
                  <c:v>住房保障支出30万元</c:v>
                </c:pt>
              </c:strCache>
            </c:strRef>
          </c:cat>
          <c:val>
            <c:numRef>
              <c:f>Sheet1!$B$3:$F$3</c:f>
              <c:numCache>
                <c:formatCode>General</c:formatCode>
                <c:ptCount val="5"/>
              </c:numCache>
            </c:numRef>
          </c:val>
        </c:ser>
        <c:ser>
          <c:idx val="2"/>
          <c:order val="2"/>
          <c:tx>
            <c:strRef>
              <c:f>Sheet1!$A$4</c:f>
              <c:strCache>
                <c:ptCount val="1"/>
                <c:pt idx="0">
                  <c:v/>
                </c:pt>
              </c:strCache>
            </c:strRef>
          </c:tx>
          <c:spPr>
            <a:solidFill>
              <a:srgbClr val="FFFFCC"/>
            </a:solidFill>
            <a:ln w="12675">
              <a:solidFill>
                <a:srgbClr val="000000"/>
              </a:solidFill>
              <a:prstDash val="solid"/>
            </a:ln>
          </c:spPr>
          <c:explosion val="0"/>
          <c:dPt>
            <c:idx val="0"/>
            <c:bubble3D val="0"/>
            <c:spPr>
              <a:solidFill>
                <a:srgbClr val="9999FF"/>
              </a:solidFill>
              <a:ln w="12675">
                <a:solidFill>
                  <a:srgbClr val="000000"/>
                </a:solidFill>
                <a:prstDash val="solid"/>
              </a:ln>
            </c:spPr>
          </c:dPt>
          <c:dPt>
            <c:idx val="1"/>
            <c:bubble3D val="0"/>
            <c:spPr>
              <a:solidFill>
                <a:srgbClr val="993366"/>
              </a:solidFill>
              <a:ln w="12675">
                <a:solidFill>
                  <a:srgbClr val="000000"/>
                </a:solidFill>
                <a:prstDash val="solid"/>
              </a:ln>
            </c:spPr>
          </c:dPt>
          <c:dPt>
            <c:idx val="2"/>
            <c:bubble3D val="0"/>
            <c:spPr>
              <a:solidFill>
                <a:srgbClr val="FFFFCC"/>
              </a:solidFill>
              <a:ln w="12675">
                <a:solidFill>
                  <a:srgbClr val="000000"/>
                </a:solidFill>
                <a:prstDash val="solid"/>
              </a:ln>
            </c:spPr>
          </c:dPt>
          <c:dPt>
            <c:idx val="3"/>
            <c:bubble3D val="0"/>
            <c:spPr>
              <a:solidFill>
                <a:srgbClr val="CCFFFF"/>
              </a:solidFill>
              <a:ln w="12675">
                <a:solidFill>
                  <a:srgbClr val="000000"/>
                </a:solidFill>
                <a:prstDash val="solid"/>
              </a:ln>
            </c:spPr>
          </c:dPt>
          <c:dPt>
            <c:idx val="4"/>
            <c:bubble3D val="0"/>
            <c:spPr>
              <a:solidFill>
                <a:srgbClr val="660066"/>
              </a:solidFill>
              <a:ln w="12675">
                <a:solidFill>
                  <a:srgbClr val="000000"/>
                </a:solidFill>
                <a:prstDash val="solid"/>
              </a:ln>
            </c:spPr>
          </c:dPt>
          <c:dPt>
            <c:idx val="5"/>
            <c:bubble3D val="0"/>
            <c:spPr>
              <a:solidFill>
                <a:srgbClr val="FF8080"/>
              </a:solidFill>
              <a:ln w="12675">
                <a:solidFill>
                  <a:srgbClr val="000000"/>
                </a:solidFill>
                <a:prstDash val="solid"/>
              </a:ln>
            </c:spPr>
          </c:dPt>
          <c:dLbls>
            <c:delete val="1"/>
          </c:dLbls>
          <c:cat>
            <c:strRef>
              <c:f>Sheet1!$B$1:$F$1</c:f>
              <c:strCache>
                <c:ptCount val="5"/>
                <c:pt idx="0">
                  <c:v>一般公共预算财政拨款支出559.67万元</c:v>
                </c:pt>
                <c:pt idx="1">
                  <c:v>城乡社区支出480.09万元</c:v>
                </c:pt>
                <c:pt idx="2">
                  <c:v>社会保障和就业支出31.43万元</c:v>
                </c:pt>
                <c:pt idx="3">
                  <c:v>医疗卫生与计划生育支出18.15万元</c:v>
                </c:pt>
                <c:pt idx="4">
                  <c:v>住房保障支出30万元</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gapWidth val="100"/>
        <c:secondPieSize val="75"/>
        <c:serLines>
          <c:spPr>
            <a:ln w="12675" cap="flat" cmpd="sng" algn="ctr">
              <a:solidFill>
                <a:srgbClr val="000000"/>
              </a:solidFill>
              <a:prstDash val="solid"/>
              <a:round/>
            </a:ln>
          </c:spPr>
        </c:serLines>
      </c:ofPieChart>
      <c:spPr>
        <a:solidFill>
          <a:srgbClr val="C0C0C0"/>
        </a:solidFill>
        <a:ln w="12675">
          <a:solidFill>
            <a:srgbClr val="808080"/>
          </a:solidFill>
          <a:prstDash val="solid"/>
        </a:ln>
      </c:spPr>
    </c:plotArea>
    <c:legend>
      <c:legendPos val="r"/>
      <c:layout>
        <c:manualLayout>
          <c:xMode val="edge"/>
          <c:yMode val="edge"/>
          <c:x val="0.679597070712554"/>
          <c:y val="0.127807184958317"/>
          <c:w val="0.296861647969135"/>
          <c:h val="0.712896051320515"/>
        </c:manualLayout>
      </c:layout>
      <c:overlay val="0"/>
      <c:spPr>
        <a:noFill/>
        <a:ln w="3169">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3604E-FEED-4C07-9B7E-296D9FAEE0C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10764</Words>
  <Characters>3303</Characters>
  <Lines>27</Lines>
  <Paragraphs>28</Paragraphs>
  <TotalTime>0</TotalTime>
  <ScaleCrop>false</ScaleCrop>
  <LinksUpToDate>false</LinksUpToDate>
  <CharactersWithSpaces>14039</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困倚危楼</cp:lastModifiedBy>
  <cp:lastPrinted>2020-07-23T02:58:00Z</cp:lastPrinted>
  <dcterms:modified xsi:type="dcterms:W3CDTF">2020-11-23T07:58:47Z</dcterms:modified>
  <dc:title>四川省***</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