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hint="eastAsia" w:ascii="黑体" w:hAnsi="黑体" w:eastAsia="黑体"/>
          <w:color w:val="000000"/>
          <w:sz w:val="72"/>
          <w:szCs w:val="72"/>
        </w:rPr>
      </w:pPr>
      <w:bookmarkStart w:id="1" w:name="_Toc15396597"/>
      <w:bookmarkStart w:id="2" w:name="_Toc15377425"/>
      <w:bookmarkStart w:id="3" w:name="_Toc15396475"/>
      <w:bookmarkStart w:id="4" w:name="_Toc15377193"/>
      <w:bookmarkStart w:id="5" w:name="_Toc15378441"/>
      <w:r>
        <w:rPr>
          <w:rFonts w:hint="eastAsia"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黑体" w:hAnsi="黑体" w:eastAsia="黑体"/>
          <w:color w:val="000000"/>
          <w:sz w:val="72"/>
          <w:szCs w:val="72"/>
        </w:rPr>
        <w:t>年度</w:t>
      </w:r>
      <w:bookmarkEnd w:id="1"/>
      <w:bookmarkEnd w:id="2"/>
      <w:bookmarkEnd w:id="3"/>
      <w:bookmarkEnd w:id="4"/>
      <w:bookmarkEnd w:id="5"/>
      <w:bookmarkStart w:id="6" w:name="_Toc15377426"/>
      <w:bookmarkStart w:id="7" w:name="_Toc15377194"/>
      <w:bookmarkStart w:id="8" w:name="_Toc15378442"/>
      <w:bookmarkStart w:id="9" w:name="_Toc15396476"/>
      <w:bookmarkStart w:id="10" w:name="_Toc15396598"/>
      <w:r>
        <w:rPr>
          <w:rFonts w:hint="eastAsia" w:ascii="黑体" w:hAnsi="黑体" w:eastAsia="黑体"/>
          <w:color w:val="000000"/>
          <w:sz w:val="72"/>
          <w:szCs w:val="72"/>
        </w:rPr>
        <w:t>四川省攀枝花市</w:t>
      </w:r>
      <w:bookmarkStart w:id="11" w:name="_Toc15306268"/>
    </w:p>
    <w:p>
      <w:pPr>
        <w:widowControl/>
        <w:jc w:val="center"/>
        <w:rPr>
          <w:rFonts w:ascii="黑体" w:hAnsi="黑体" w:eastAsia="黑体"/>
          <w:color w:val="000000"/>
          <w:sz w:val="48"/>
          <w:szCs w:val="48"/>
        </w:rPr>
      </w:pPr>
      <w:r>
        <w:rPr>
          <w:rFonts w:hint="eastAsia" w:ascii="黑体" w:hAnsi="黑体" w:eastAsia="黑体"/>
          <w:color w:val="000000"/>
          <w:sz w:val="72"/>
          <w:szCs w:val="72"/>
          <w:lang w:eastAsia="zh-CN"/>
        </w:rPr>
        <w:t>第三十六中小学校</w:t>
      </w:r>
      <w:r>
        <w:rPr>
          <w:rFonts w:hint="eastAsia" w:ascii="黑体" w:hAnsi="黑体" w:eastAsia="黑体"/>
          <w:color w:val="000000"/>
          <w:sz w:val="72"/>
          <w:szCs w:val="72"/>
        </w:rPr>
        <w:t>决算</w:t>
      </w:r>
      <w:bookmarkEnd w:id="6"/>
      <w:bookmarkEnd w:id="7"/>
      <w:bookmarkEnd w:id="8"/>
      <w:bookmarkEnd w:id="9"/>
      <w:bookmarkEnd w:id="10"/>
      <w:bookmarkEnd w:id="11"/>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11</w:t>
      </w:r>
      <w:r>
        <w:rPr>
          <w:rFonts w:hint="eastAsia"/>
        </w:rPr>
        <w:t>月</w:t>
      </w:r>
      <w:r>
        <w:rPr>
          <w:rFonts w:hint="eastAsia"/>
          <w:lang w:val="en-US" w:eastAsia="zh-CN"/>
        </w:rPr>
        <w:t>23</w:t>
      </w:r>
      <w:bookmarkStart w:id="73" w:name="_GoBack"/>
      <w:bookmarkEnd w:id="73"/>
      <w:r>
        <w:rPr>
          <w:rFonts w:hint="eastAsia"/>
        </w:rPr>
        <w:t>日</w:t>
      </w:r>
    </w:p>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tab/>
      </w:r>
      <w:r>
        <w:rPr>
          <w:rFonts w:hint="eastAsia"/>
          <w:lang w:val="en-US" w:eastAsia="zh-CN"/>
        </w:rPr>
        <w:t>4</w:t>
      </w:r>
    </w:p>
    <w:p>
      <w:pPr>
        <w:pStyle w:val="11"/>
        <w:adjustRightInd w:val="0"/>
        <w:snapToGrid w:val="0"/>
        <w:spacing w:line="440" w:lineRule="exact"/>
        <w:jc w:val="left"/>
        <w:rPr>
          <w:rFonts w:hint="eastAsia" w:ascii="仿宋" w:hAnsi="仿宋" w:eastAsia="宋体"/>
          <w:sz w:val="24"/>
          <w:lang w:val="en-US" w:eastAsia="zh-CN"/>
        </w:rPr>
      </w:pPr>
      <w:r>
        <w:rPr>
          <w:rFonts w:hint="eastAsia"/>
          <w:sz w:val="24"/>
        </w:rPr>
        <w:t>一、基本职能及主要工作</w:t>
      </w:r>
      <w:r>
        <w:tab/>
      </w:r>
      <w:r>
        <w:rPr>
          <w:rFonts w:hint="eastAsia"/>
          <w:lang w:val="en-US" w:eastAsia="zh-CN"/>
        </w:rPr>
        <w:t>4</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二、机构设置</w:t>
      </w:r>
      <w:r>
        <w:tab/>
      </w:r>
      <w:r>
        <w:rPr>
          <w:rFonts w:hint="eastAsia"/>
          <w:lang w:val="en-US" w:eastAsia="zh-CN"/>
        </w:rPr>
        <w:t>4</w:t>
      </w:r>
    </w:p>
    <w:p>
      <w:pPr>
        <w:pStyle w:val="10"/>
        <w:adjustRightInd w:val="0"/>
        <w:snapToGrid w:val="0"/>
        <w:spacing w:before="0" w:line="440" w:lineRule="exact"/>
        <w:jc w:val="left"/>
        <w:rPr>
          <w:rFonts w:hint="eastAsia" w:eastAsia="仿宋"/>
          <w:sz w:val="24"/>
          <w:szCs w:val="24"/>
          <w:lang w:val="en-US" w:eastAsia="zh-CN"/>
        </w:rPr>
      </w:pPr>
      <w:r>
        <w:rPr>
          <w:rFonts w:hint="eastAsia"/>
          <w:sz w:val="24"/>
        </w:rPr>
        <w:t>第二部分度部门决算情况说明</w:t>
      </w:r>
      <w:r>
        <w:tab/>
      </w:r>
      <w:r>
        <w:rPr>
          <w:rFonts w:hint="eastAsia"/>
          <w:lang w:val="en-US" w:eastAsia="zh-CN"/>
        </w:rPr>
        <w:t>5</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tab/>
      </w:r>
      <w:r>
        <w:rPr>
          <w:rFonts w:hint="eastAsia"/>
          <w:lang w:val="en-US" w:eastAsia="zh-CN"/>
        </w:rPr>
        <w:t>5</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tab/>
      </w:r>
      <w:r>
        <w:rPr>
          <w:rFonts w:hint="eastAsia"/>
          <w:lang w:val="en-US" w:eastAsia="zh-CN"/>
        </w:rPr>
        <w:t>5</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tab/>
      </w:r>
      <w:r>
        <w:rPr>
          <w:rFonts w:hint="eastAsia"/>
          <w:lang w:val="en-US" w:eastAsia="zh-CN"/>
        </w:rPr>
        <w:t>6</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tab/>
      </w:r>
      <w:r>
        <w:rPr>
          <w:rFonts w:hint="eastAsia"/>
          <w:lang w:val="en-US" w:eastAsia="zh-CN"/>
        </w:rPr>
        <w:t>7</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tab/>
      </w:r>
      <w:r>
        <w:rPr>
          <w:rFonts w:hint="eastAsia"/>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tab/>
      </w:r>
      <w:r>
        <w:rPr>
          <w:rFonts w:hint="eastAsia"/>
          <w:lang w:val="en-US" w:eastAsia="zh-CN"/>
        </w:rPr>
        <w:t>10</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tab/>
      </w:r>
      <w:r>
        <w:rPr>
          <w:rFonts w:hint="eastAsia"/>
          <w:lang w:val="en-US" w:eastAsia="zh-CN"/>
        </w:rPr>
        <w:t>10</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tab/>
      </w:r>
      <w:r>
        <w:rPr>
          <w:rFonts w:hint="eastAsia"/>
          <w:lang w:val="en-US" w:eastAsia="zh-CN"/>
        </w:rPr>
        <w:t>11</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tab/>
      </w:r>
      <w:r>
        <w:rPr>
          <w:rFonts w:hint="eastAsia"/>
          <w:lang w:val="en-US" w:eastAsia="zh-CN"/>
        </w:rPr>
        <w:t>12</w:t>
      </w:r>
    </w:p>
    <w:p>
      <w:pPr>
        <w:adjustRightInd w:val="0"/>
        <w:snapToGrid w:val="0"/>
        <w:spacing w:line="440" w:lineRule="exact"/>
        <w:ind w:firstLine="480" w:firstLineChars="200"/>
        <w:jc w:val="left"/>
        <w:rPr>
          <w:rFonts w:hint="default" w:ascii="仿宋" w:hAnsi="仿宋" w:eastAsia="仿宋" w:cstheme="minorBidi"/>
          <w:sz w:val="24"/>
          <w:lang w:val="en-US"/>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hint="eastAsia"/>
          <w:sz w:val="24"/>
          <w:lang w:val="en-US" w:eastAsia="zh-CN"/>
        </w:rPr>
        <w:t>...........................................................................12</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tab/>
      </w:r>
      <w:r>
        <w:rPr>
          <w:rFonts w:hint="eastAsia"/>
          <w:lang w:val="en-US" w:eastAsia="zh-CN"/>
        </w:rPr>
        <w:t>15</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tab/>
      </w:r>
      <w:r>
        <w:rPr>
          <w:rFonts w:hint="eastAsia"/>
          <w:lang w:val="en-US" w:eastAsia="zh-CN"/>
        </w:rPr>
        <w:t>19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tab/>
      </w:r>
      <w:r>
        <w:rPr>
          <w:rFonts w:hint="eastAsia"/>
          <w:lang w:val="en-US" w:eastAsia="zh-CN"/>
        </w:rPr>
        <w:t>19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tab/>
      </w:r>
      <w:r>
        <w:rPr>
          <w:rFonts w:hint="eastAsia"/>
          <w:lang w:val="en-US" w:eastAsia="zh-CN"/>
        </w:rPr>
        <w:t>21</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tab/>
      </w:r>
      <w:r>
        <w:rPr>
          <w:rFonts w:hint="eastAsia"/>
          <w:lang w:val="en-US" w:eastAsia="zh-CN"/>
        </w:rPr>
        <w:t>25</w:t>
      </w:r>
    </w:p>
    <w:p>
      <w:pPr>
        <w:pStyle w:val="11"/>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五、财政拨款支出决算明细表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tab/>
      </w:r>
      <w:r>
        <w:rPr>
          <w:rFonts w:hint="eastAsia"/>
          <w:lang w:val="en-US" w:eastAsia="zh-CN"/>
        </w:rPr>
        <w:t>25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tab/>
      </w:r>
      <w:r>
        <w:rPr>
          <w:rFonts w:hint="eastAsia"/>
          <w:lang w:val="en-US" w:eastAsia="zh-CN"/>
        </w:rPr>
        <w:t>25</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r>
        <w:tab/>
      </w:r>
      <w:r>
        <w:rPr>
          <w:rFonts w:hint="eastAsia"/>
          <w:lang w:val="en-US" w:eastAsia="zh-CN"/>
        </w:rPr>
        <w:t>25</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snapToGrid w:val="0"/>
        <w:spacing w:line="520" w:lineRule="exact"/>
        <w:ind w:firstLine="640" w:firstLineChars="200"/>
        <w:rPr>
          <w:rFonts w:hint="eastAsia" w:ascii="仿宋" w:hAnsi="仿宋" w:eastAsia="仿宋"/>
          <w:bCs/>
          <w:color w:val="000000"/>
          <w:sz w:val="32"/>
          <w:szCs w:val="32"/>
        </w:rPr>
      </w:pPr>
      <w:r>
        <w:rPr>
          <w:rFonts w:hint="eastAsia" w:ascii="仿宋_GB2312" w:hAnsi="仿宋" w:eastAsia="仿宋_GB2312"/>
          <w:sz w:val="32"/>
          <w:szCs w:val="32"/>
          <w:lang w:eastAsia="zh-CN"/>
        </w:rPr>
        <w:t>全面贯彻落实党和国家教育方针，制定学校一定时期内的发展目标和学年计划，组织实施、检查和总结。完成各项教育教学任务，评价学校工作，总结办学经验，提高办学效益。</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_GB2312" w:hAnsi="仿宋" w:eastAsia="仿宋_GB2312"/>
          <w:sz w:val="32"/>
          <w:szCs w:val="32"/>
          <w:lang w:eastAsia="zh-CN"/>
        </w:rPr>
        <w:t>2018年度，在上级领导的正确领导下，在社会各界的大力支持下，在全体教职工的共同努力下，我校教职员工积极大胆开展工作，认真履行职责，团结协作，廉洁奉公，模范遵守国家法律、法规和学校的各项规章制度，深入贯彻党的十九大精神，全面执行党的教育方针，努力推进素质教育，积极开展新课程改革，圆满地完成了各项工作任务。</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攀枝花市第三十六中小学校</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widowControl/>
        <w:jc w:val="left"/>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2633.44</w:t>
      </w:r>
      <w:r>
        <w:rPr>
          <w:rFonts w:hint="eastAsia" w:ascii="仿宋" w:hAnsi="仿宋" w:eastAsia="仿宋"/>
          <w:color w:val="000000"/>
          <w:sz w:val="32"/>
          <w:szCs w:val="32"/>
        </w:rPr>
        <w:t>万元。与2018年相比，收、支总计增加</w:t>
      </w:r>
      <w:r>
        <w:rPr>
          <w:rFonts w:hint="eastAsia" w:ascii="仿宋" w:hAnsi="仿宋" w:eastAsia="仿宋"/>
          <w:color w:val="000000"/>
          <w:sz w:val="32"/>
          <w:szCs w:val="32"/>
          <w:lang w:val="en-US" w:eastAsia="zh-CN"/>
        </w:rPr>
        <w:t>521.19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24.67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学生、教师人数增加，物价上涨等导致。</w:t>
      </w:r>
    </w:p>
    <w:p>
      <w:pPr>
        <w:spacing w:line="600" w:lineRule="exact"/>
        <w:ind w:firstLine="420" w:firstLineChars="200"/>
        <w:rPr>
          <w:rFonts w:hint="eastAsia" w:ascii="仿宋" w:hAnsi="仿宋" w:eastAsia="仿宋"/>
          <w:color w:val="000000"/>
          <w:sz w:val="32"/>
          <w:szCs w:val="32"/>
          <w:lang w:eastAsia="zh-CN"/>
        </w:rPr>
      </w:pPr>
      <w:r>
        <w:drawing>
          <wp:anchor distT="0" distB="0" distL="114300" distR="114300" simplePos="0" relativeHeight="251658240" behindDoc="0" locked="0" layoutInCell="1" allowOverlap="1">
            <wp:simplePos x="0" y="0"/>
            <wp:positionH relativeFrom="column">
              <wp:posOffset>172085</wp:posOffset>
            </wp:positionH>
            <wp:positionV relativeFrom="paragraph">
              <wp:posOffset>73025</wp:posOffset>
            </wp:positionV>
            <wp:extent cx="5036185" cy="3000375"/>
            <wp:effectExtent l="4445" t="4445" r="19050" b="12700"/>
            <wp:wrapNone/>
            <wp:docPr id="140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jc w:val="center"/>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2598.3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2598.15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99.99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outlineLvl w:val="1"/>
        <w:rPr>
          <w:rFonts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179705</wp:posOffset>
            </wp:positionH>
            <wp:positionV relativeFrom="paragraph">
              <wp:posOffset>316865</wp:posOffset>
            </wp:positionV>
            <wp:extent cx="4732655" cy="2032000"/>
            <wp:effectExtent l="4445" t="5080" r="17780" b="5080"/>
            <wp:wrapNone/>
            <wp:docPr id="14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outlineLvl w:val="1"/>
        <w:rPr>
          <w:rFonts w:ascii="仿宋" w:hAnsi="仿宋" w:eastAsia="仿宋"/>
          <w:color w:val="000000"/>
          <w:sz w:val="32"/>
          <w:szCs w:val="32"/>
        </w:rPr>
      </w:pPr>
    </w:p>
    <w:p>
      <w:pPr>
        <w:spacing w:line="600" w:lineRule="exact"/>
        <w:ind w:firstLine="640" w:firstLineChars="200"/>
        <w:jc w:val="center"/>
        <w:rPr>
          <w:rFonts w:ascii="仿宋" w:hAnsi="仿宋" w:eastAsia="仿宋"/>
          <w:color w:val="auto"/>
          <w:sz w:val="32"/>
          <w:szCs w:val="32"/>
        </w:rPr>
      </w:pPr>
      <w:r>
        <w:rPr>
          <w:rFonts w:hint="eastAsia" w:ascii="仿宋" w:hAnsi="仿宋" w:eastAsia="仿宋"/>
          <w:color w:val="auto"/>
          <w:sz w:val="32"/>
          <w:szCs w:val="32"/>
        </w:rPr>
        <w:t>（图2：收入决算结构图）（饼状图）</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2633.29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2618.29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99.43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0.57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133985</wp:posOffset>
            </wp:positionH>
            <wp:positionV relativeFrom="paragraph">
              <wp:posOffset>4445</wp:posOffset>
            </wp:positionV>
            <wp:extent cx="4572000" cy="2743200"/>
            <wp:effectExtent l="4445" t="4445" r="10795" b="1079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outlineLvl w:val="1"/>
        <w:rPr>
          <w:rFonts w:hint="eastAsia" w:ascii="仿宋" w:hAnsi="仿宋" w:eastAsia="仿宋"/>
          <w:color w:val="000000"/>
          <w:sz w:val="32"/>
          <w:szCs w:val="32"/>
        </w:rPr>
      </w:pPr>
    </w:p>
    <w:p>
      <w:pPr>
        <w:spacing w:line="600" w:lineRule="exact"/>
        <w:ind w:firstLine="640" w:firstLineChars="200"/>
        <w:jc w:val="center"/>
        <w:rPr>
          <w:rFonts w:ascii="仿宋" w:hAnsi="仿宋" w:eastAsia="仿宋"/>
          <w:color w:val="auto"/>
          <w:sz w:val="32"/>
          <w:szCs w:val="32"/>
        </w:rPr>
      </w:pPr>
      <w:r>
        <w:rPr>
          <w:rFonts w:hint="eastAsia" w:ascii="仿宋" w:hAnsi="仿宋" w:eastAsia="仿宋"/>
          <w:color w:val="auto"/>
          <w:sz w:val="32"/>
          <w:szCs w:val="32"/>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2633.29</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523.27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24.79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学生、教师人数增加，物价上涨等导致。</w:t>
      </w:r>
    </w:p>
    <w:p>
      <w:pPr>
        <w:spacing w:line="600" w:lineRule="exact"/>
        <w:rPr>
          <w:rFonts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12065</wp:posOffset>
            </wp:positionH>
            <wp:positionV relativeFrom="paragraph">
              <wp:posOffset>4445</wp:posOffset>
            </wp:positionV>
            <wp:extent cx="5271770" cy="2392045"/>
            <wp:effectExtent l="5080" t="4445" r="11430" b="11430"/>
            <wp:wrapNone/>
            <wp:docPr id="140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2633.29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523.27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24.79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学生、教师人数增加，物价上涨等导致。</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233045</wp:posOffset>
            </wp:positionH>
            <wp:positionV relativeFrom="paragraph">
              <wp:posOffset>29210</wp:posOffset>
            </wp:positionV>
            <wp:extent cx="4572000" cy="3001645"/>
            <wp:effectExtent l="4445" t="4445" r="10795" b="11430"/>
            <wp:wrapNone/>
            <wp:docPr id="140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auto"/>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2633.29</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2086.04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79.22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251.38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9.55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63.66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2.41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232.19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8.82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349885</wp:posOffset>
            </wp:positionH>
            <wp:positionV relativeFrom="paragraph">
              <wp:posOffset>67310</wp:posOffset>
            </wp:positionV>
            <wp:extent cx="4572000" cy="2567305"/>
            <wp:effectExtent l="4445" t="4445" r="10795" b="19050"/>
            <wp:wrapNone/>
            <wp:docPr id="140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2633.29</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w:t>
      </w:r>
      <w:r>
        <w:rPr>
          <w:rStyle w:val="14"/>
          <w:rFonts w:hint="eastAsia" w:ascii="仿宋" w:hAnsi="仿宋" w:eastAsia="仿宋"/>
          <w:bCs/>
          <w:color w:val="000000"/>
          <w:sz w:val="32"/>
          <w:szCs w:val="32"/>
          <w:lang w:val="en-US" w:eastAsia="zh-CN"/>
        </w:rPr>
        <w:t>205</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2086.04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251.38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210</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10</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63.66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
          <w:bCs w:val="0"/>
          <w:color w:val="000000"/>
          <w:sz w:val="32"/>
          <w:szCs w:val="32"/>
          <w:lang w:val="en-US" w:eastAsia="zh-CN"/>
        </w:rPr>
        <w:t>7.</w:t>
      </w:r>
      <w:r>
        <w:rPr>
          <w:rStyle w:val="14"/>
          <w:rFonts w:hint="eastAsia" w:ascii="仿宋" w:hAnsi="仿宋" w:eastAsia="仿宋"/>
          <w:bCs/>
          <w:color w:val="000000"/>
          <w:sz w:val="32"/>
          <w:szCs w:val="32"/>
          <w:lang w:eastAsia="zh-CN"/>
        </w:rPr>
        <w:t>住房和保障</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221</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232.19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2633.29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2438.32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194.97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0" w:firstLineChars="200"/>
        <w:rPr>
          <w:rFonts w:hint="eastAsia" w:ascii="仿宋_GB2312" w:eastAsia="仿宋_GB2312"/>
          <w:color w:val="000000"/>
          <w:sz w:val="32"/>
          <w:szCs w:val="32"/>
          <w:lang w:eastAsia="zh-CN"/>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攀枝花市第三十六中小学校</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解决后勤部分资金缺口</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r>
        <w:rPr>
          <w:rFonts w:hint="eastAsia" w:ascii="仿宋_GB2312" w:hAnsi="仿宋_GB2312" w:eastAsia="仿宋_GB2312" w:cs="仿宋_GB2312"/>
          <w:sz w:val="32"/>
          <w:szCs w:val="32"/>
          <w:lang w:eastAsia="zh-CN"/>
        </w:rPr>
        <w:t>。</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解决后勤部分资金缺口</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解决后勤部分资金缺口</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学校后勤工作的正常开展</w:t>
      </w:r>
      <w:r>
        <w:rPr>
          <w:rFonts w:hint="eastAsia" w:ascii="仿宋_GB2312" w:hAnsi="仿宋_GB2312" w:eastAsia="仿宋_GB2312" w:cs="仿宋_GB2312"/>
          <w:sz w:val="32"/>
          <w:szCs w:val="32"/>
        </w:rPr>
        <w:t>。</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解决后勤部分资金缺口项目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攀枝花市第三十六中小学校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394"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0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对学校内部分后勤经费缺口进行弥补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已按计划完成学校内部分后勤经费缺口弥补工作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27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完成经费缺口弥补项目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弥补缺口资金到位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预算的</w:t>
            </w:r>
            <w:r>
              <w:rPr>
                <w:rFonts w:hint="eastAsia" w:ascii="宋体" w:hAnsi="宋体" w:cs="宋体"/>
                <w:color w:val="000000"/>
                <w:sz w:val="24"/>
                <w:lang w:val="en-US" w:eastAsia="zh-CN"/>
              </w:rPr>
              <w:t>15万元弥补缺口资金全部到位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已良好弥补</w:t>
            </w:r>
            <w:r>
              <w:rPr>
                <w:rFonts w:hint="eastAsia" w:ascii="宋体" w:hAnsi="宋体" w:cs="宋体"/>
                <w:color w:val="000000"/>
                <w:sz w:val="24"/>
                <w:lang w:val="en-US" w:eastAsia="zh-CN"/>
              </w:rPr>
              <w:t>15万元资金缺口</w:t>
            </w:r>
          </w:p>
        </w:tc>
      </w:tr>
      <w:tr>
        <w:tblPrEx>
          <w:tblCellMar>
            <w:top w:w="0" w:type="dxa"/>
            <w:left w:w="0" w:type="dxa"/>
            <w:bottom w:w="0" w:type="dxa"/>
            <w:right w:w="0" w:type="dxa"/>
          </w:tblCellMar>
        </w:tblPrEx>
        <w:trPr>
          <w:trHeight w:val="73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将经费缺口弥补项目落实到位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完善人员分配共同完成项目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争取共同努力完成经费弥补工作目标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已良好弥补缺口工作目标</w:t>
            </w:r>
          </w:p>
        </w:tc>
      </w:tr>
      <w:tr>
        <w:tblPrEx>
          <w:tblCellMar>
            <w:top w:w="0" w:type="dxa"/>
            <w:left w:w="0" w:type="dxa"/>
            <w:bottom w:w="0" w:type="dxa"/>
            <w:right w:w="0" w:type="dxa"/>
          </w:tblCellMar>
        </w:tblPrEx>
        <w:trPr>
          <w:trHeight w:val="134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学校后勤工作及人员满意缺口弥补项目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针对学校后勤部门开展的资金缺口弥补工作获得广大师生满意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争取完成弥补资金缺口项目使全校师生满意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良好的完成了目标工作赢得了全校师生的满意</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攀枝花市第三十六中小学校</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解决后勤部分资金缺口</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解决后勤部分资金缺口</w:t>
      </w:r>
      <w:r>
        <w:rPr>
          <w:rFonts w:hint="eastAsia" w:ascii="仿宋_GB2312" w:hAnsi="仿宋_GB2312" w:eastAsia="仿宋_GB2312" w:cs="仿宋_GB2312"/>
          <w:sz w:val="32"/>
          <w:szCs w:val="32"/>
        </w:rPr>
        <w:t>项目2019年绩效评价报告》见附件（附件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9.</w:t>
      </w:r>
      <w:r>
        <w:rPr>
          <w:rFonts w:hint="eastAsia" w:ascii="仿宋_GB2312" w:eastAsia="仿宋_GB2312"/>
          <w:color w:val="000000"/>
          <w:sz w:val="32"/>
          <w:szCs w:val="32"/>
        </w:rPr>
        <w:t>一般公共服务（类）（款）（项）</w:t>
      </w:r>
      <w:r>
        <w:rPr>
          <w:rFonts w:hint="eastAsia" w:ascii="仿宋_GB2312" w:eastAsia="仿宋_GB2312"/>
          <w:color w:val="000000"/>
          <w:sz w:val="32"/>
          <w:szCs w:val="32"/>
          <w:lang w:eastAsia="zh-CN"/>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w:t>
      </w:r>
      <w:r>
        <w:rPr>
          <w:rFonts w:hint="eastAsia" w:ascii="仿宋_GB2312" w:eastAsia="仿宋_GB2312"/>
          <w:color w:val="000000"/>
          <w:sz w:val="32"/>
          <w:szCs w:val="32"/>
          <w:lang w:val="en-US" w:eastAsia="zh-CN"/>
        </w:rPr>
        <w:t>205</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反映各部门举办的小学教育支出。政府各部门对社会中介组织等举办的小学的资助，如各类捐赠、补贴等，也在本科目中反映</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教育（类）</w:t>
      </w:r>
      <w:r>
        <w:rPr>
          <w:rFonts w:hint="eastAsia" w:ascii="仿宋_GB2312" w:eastAsia="仿宋_GB2312"/>
          <w:color w:val="000000"/>
          <w:sz w:val="32"/>
          <w:szCs w:val="32"/>
          <w:lang w:val="en-US" w:eastAsia="zh-CN"/>
        </w:rPr>
        <w:t>205</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反映各部门举办的初中教育支出。政府各部门对社会中介组织等举办的初中教育的资助，如各类捐赠、补贴等，也在本科目中反映</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科学技术（类）（款）（项）。</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文化体育与传媒（类）（款）（项）。</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（款</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反映财政部门集中安排的事业单位基本医疗保险缴纳经费，未参加医疗保险的事业单位的公费医疗经费，按国家规定享受离休人员的医疗经费</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（款</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反映财政部门集中安排的公务员医疗补助经费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节能环保（类）（款）（项）。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eastAsia="仿宋_GB2312"/>
          <w:color w:val="000000"/>
          <w:sz w:val="32"/>
          <w:szCs w:val="32"/>
        </w:rPr>
        <w:t>城乡社区（类）（款）（项）。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22</w:t>
      </w:r>
      <w:r>
        <w:rPr>
          <w:rFonts w:ascii="仿宋_GB2312" w:eastAsia="仿宋_GB2312"/>
          <w:color w:val="000000"/>
          <w:sz w:val="32"/>
          <w:szCs w:val="32"/>
        </w:rPr>
        <w:t>.</w:t>
      </w:r>
      <w:r>
        <w:rPr>
          <w:rFonts w:hint="eastAsia" w:ascii="仿宋_GB2312" w:eastAsia="仿宋_GB2312"/>
          <w:color w:val="000000"/>
          <w:sz w:val="32"/>
          <w:szCs w:val="32"/>
        </w:rPr>
        <w:t>农林水（类）（款）（项）。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ascii="仿宋_GB2312" w:eastAsia="仿宋_GB2312"/>
          <w:color w:val="000000"/>
          <w:sz w:val="32"/>
          <w:szCs w:val="32"/>
        </w:rPr>
        <w:t>.</w:t>
      </w:r>
      <w:r>
        <w:rPr>
          <w:rFonts w:hint="eastAsia" w:ascii="仿宋_GB2312" w:eastAsia="仿宋_GB2312"/>
          <w:color w:val="000000"/>
          <w:sz w:val="32"/>
          <w:szCs w:val="32"/>
        </w:rPr>
        <w:t>交通运输（类）（款）（项）。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资源勘探信息等（类）（款）（项）。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商业服务业（类）（款）（项）。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金融（类）（款）（项）。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国土海洋气象等（类）（款）（项）。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221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粮油物资储备（类）（款）（项）。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攀枝花市第三十六中小学校</w:t>
      </w:r>
    </w:p>
    <w:p>
      <w:pPr>
        <w:spacing w:line="600" w:lineRule="exact"/>
        <w:jc w:val="center"/>
        <w:rPr>
          <w:rFonts w:ascii="仿宋_GB2312" w:hAnsi="宋体" w:eastAsia="仿宋_GB2312"/>
          <w:sz w:val="32"/>
          <w:szCs w:val="32"/>
          <w:shd w:val="clear" w:color="auto" w:fill="FFFFFF"/>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snapToGrid w:val="0"/>
        <w:spacing w:line="520" w:lineRule="exact"/>
        <w:ind w:firstLine="640" w:firstLineChars="200"/>
        <w:rPr>
          <w:rFonts w:ascii="仿宋" w:hAnsi="仿宋" w:eastAsia="仿宋" w:cs="仿宋_GB2312"/>
          <w:sz w:val="32"/>
          <w:szCs w:val="32"/>
        </w:rPr>
      </w:pPr>
      <w:r>
        <w:rPr>
          <w:rFonts w:hint="eastAsia" w:ascii="仿宋_GB2312" w:hAnsi="仿宋" w:eastAsia="仿宋_GB2312"/>
          <w:sz w:val="32"/>
          <w:szCs w:val="32"/>
          <w:lang w:eastAsia="zh-CN"/>
        </w:rPr>
        <w:t>为加强学校的精细化管理工作，我校设置部门机构情况是：教务处、教科室、德育处、总务处、办公室、电教技装中心、体卫艺处、工会、团队(团支部、少先队)、小学段年级主任、初一、初二、初三年级主任9个部门4个年级，全面负责学校教育教学及管理工作的贯彻落实。</w:t>
      </w:r>
    </w:p>
    <w:p>
      <w:pPr>
        <w:numPr>
          <w:ilvl w:val="0"/>
          <w:numId w:val="4"/>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pPr>
        <w:snapToGrid w:val="0"/>
        <w:spacing w:line="520" w:lineRule="exact"/>
        <w:ind w:firstLine="640" w:firstLineChars="200"/>
        <w:rPr>
          <w:rFonts w:ascii="仿宋" w:hAnsi="仿宋" w:eastAsia="仿宋" w:cs="仿宋_GB2312"/>
          <w:sz w:val="32"/>
          <w:szCs w:val="32"/>
        </w:rPr>
      </w:pPr>
      <w:r>
        <w:rPr>
          <w:rFonts w:hint="eastAsia" w:ascii="仿宋_GB2312" w:hAnsi="仿宋" w:eastAsia="仿宋_GB2312"/>
          <w:sz w:val="32"/>
          <w:szCs w:val="32"/>
          <w:lang w:eastAsia="zh-CN"/>
        </w:rPr>
        <w:t>全面贯彻落实党和国家教育方针，制定学校一定时期内的发展目标和学年计划，组织实施、检查和总结。完成各项教育教学任务，评价学校工作，总结办学经验，提高办学效益。</w:t>
      </w:r>
    </w:p>
    <w:p>
      <w:pPr>
        <w:numPr>
          <w:ilvl w:val="0"/>
          <w:numId w:val="4"/>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人员概况。</w:t>
      </w:r>
    </w:p>
    <w:p>
      <w:pPr>
        <w:snapToGrid w:val="0"/>
        <w:spacing w:line="520" w:lineRule="exact"/>
        <w:ind w:firstLine="640" w:firstLineChars="200"/>
        <w:rPr>
          <w:rFonts w:ascii="仿宋" w:hAnsi="仿宋" w:eastAsia="仿宋" w:cs="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018年12月，全校教职工</w:t>
      </w:r>
      <w:r>
        <w:rPr>
          <w:rFonts w:hint="eastAsia" w:ascii="仿宋_GB2312" w:hAnsi="仿宋" w:eastAsia="仿宋_GB2312"/>
          <w:sz w:val="32"/>
          <w:szCs w:val="32"/>
          <w:lang w:val="en-US" w:eastAsia="zh-CN"/>
        </w:rPr>
        <w:t>164</w:t>
      </w:r>
      <w:r>
        <w:rPr>
          <w:rFonts w:hint="eastAsia" w:ascii="仿宋_GB2312" w:hAnsi="仿宋" w:eastAsia="仿宋_GB2312"/>
          <w:sz w:val="32"/>
          <w:szCs w:val="32"/>
          <w:lang w:eastAsia="zh-CN"/>
        </w:rPr>
        <w:t>人，较201</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年</w:t>
      </w:r>
      <w:r>
        <w:rPr>
          <w:rFonts w:hint="eastAsia" w:ascii="仿宋_GB2312" w:hAnsi="仿宋" w:eastAsia="仿宋_GB2312"/>
          <w:sz w:val="32"/>
          <w:szCs w:val="32"/>
          <w:lang w:val="en-US" w:eastAsia="zh-CN"/>
        </w:rPr>
        <w:t>155</w:t>
      </w:r>
      <w:r>
        <w:rPr>
          <w:rFonts w:hint="eastAsia" w:ascii="仿宋_GB2312" w:hAnsi="仿宋" w:eastAsia="仿宋_GB2312"/>
          <w:sz w:val="32"/>
          <w:szCs w:val="32"/>
          <w:lang w:eastAsia="zh-CN"/>
        </w:rPr>
        <w:t>人，增加</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人，主要原因是班级及学生增加，办学规模扩大；部分教师分流到我校。</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hint="eastAsia"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2598.3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2598.15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99.99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0.01</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2633.29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2618.29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99.43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0.57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eastAsia="zh-CN"/>
        </w:rPr>
        <w:t>解决后勤部分资金缺口</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查看专项资金使用进度</w:t>
      </w:r>
    </w:p>
    <w:p>
      <w:pPr>
        <w:spacing w:line="600" w:lineRule="exact"/>
        <w:ind w:firstLine="640" w:firstLineChars="200"/>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查看攀枝花市第三十六中小学校</w:t>
      </w:r>
      <w:r>
        <w:rPr>
          <w:rFonts w:hint="eastAsia" w:ascii="仿宋" w:hAnsi="仿宋" w:eastAsia="仿宋" w:cs="仿宋_GB2312"/>
          <w:sz w:val="32"/>
          <w:szCs w:val="32"/>
          <w:lang w:val="zh-CN" w:eastAsia="zh-CN"/>
        </w:rPr>
        <w:t>解决后勤部分资金缺口项目</w:t>
      </w:r>
      <w:r>
        <w:rPr>
          <w:rFonts w:hint="eastAsia" w:ascii="仿宋" w:hAnsi="仿宋" w:eastAsia="仿宋" w:cs="仿宋_GB2312"/>
          <w:sz w:val="32"/>
          <w:szCs w:val="32"/>
          <w:lang w:eastAsia="zh-CN"/>
        </w:rPr>
        <w:t>资金使用进度</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评价指标：数量指标、质量指标评价方法：账目调查。</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及时支付</w:t>
      </w:r>
      <w:r>
        <w:rPr>
          <w:rFonts w:hint="eastAsia" w:ascii="仿宋" w:hAnsi="仿宋" w:eastAsia="仿宋" w:cs="仿宋_GB2312"/>
          <w:sz w:val="32"/>
          <w:szCs w:val="32"/>
          <w:lang w:val="zh-CN" w:eastAsia="zh-CN"/>
        </w:rPr>
        <w:t>解决后勤部分资金缺口</w:t>
      </w:r>
      <w:r>
        <w:rPr>
          <w:rFonts w:hint="eastAsia" w:ascii="仿宋_GB2312" w:hAnsi="仿宋_GB2312" w:eastAsia="仿宋_GB2312" w:cs="仿宋_GB2312"/>
          <w:sz w:val="32"/>
          <w:szCs w:val="32"/>
          <w:lang w:eastAsia="zh-CN"/>
        </w:rPr>
        <w:t>项目的资金</w:t>
      </w:r>
      <w:r>
        <w:rPr>
          <w:rFonts w:hint="eastAsia" w:ascii="仿宋_GB2312" w:hAnsi="仿宋_GB2312" w:eastAsia="仿宋_GB2312" w:cs="仿宋_GB2312"/>
          <w:sz w:val="32"/>
          <w:szCs w:val="32"/>
          <w:lang w:val="en-US" w:eastAsia="zh-CN"/>
        </w:rPr>
        <w:t>15万元，保障了学校日常后勤工作运转、按要求进行。</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为了后勤工作正常开展，为学生提供更好的学习环境，攀枝花市第三十六中小申报</w:t>
      </w:r>
      <w:r>
        <w:rPr>
          <w:rFonts w:hint="eastAsia" w:ascii="仿宋" w:hAnsi="仿宋" w:eastAsia="仿宋" w:cs="仿宋_GB2312"/>
          <w:sz w:val="32"/>
          <w:szCs w:val="32"/>
          <w:lang w:val="zh-CN" w:eastAsia="zh-CN"/>
        </w:rPr>
        <w:t>解决后勤部分资金缺口</w:t>
      </w:r>
      <w:r>
        <w:rPr>
          <w:rFonts w:hint="eastAsia" w:ascii="仿宋" w:hAnsi="仿宋" w:eastAsia="仿宋" w:cs="仿宋_GB2312"/>
          <w:sz w:val="32"/>
          <w:szCs w:val="32"/>
          <w:lang w:eastAsia="zh-CN"/>
        </w:rPr>
        <w:t>项目。</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 w:hAnsi="仿宋" w:eastAsia="仿宋" w:cs="仿宋_GB2312"/>
          <w:sz w:val="32"/>
          <w:szCs w:val="32"/>
          <w:lang w:val="en-US" w:eastAsia="zh-CN"/>
        </w:rPr>
        <w:t>绩效目标设置：</w:t>
      </w:r>
      <w:r>
        <w:rPr>
          <w:rFonts w:hint="eastAsia" w:ascii="仿宋_GB2312" w:hAnsi="仿宋_GB2312" w:eastAsia="仿宋_GB2312" w:cs="仿宋_GB2312"/>
          <w:sz w:val="32"/>
          <w:szCs w:val="32"/>
        </w:rPr>
        <w:t xml:space="preserve">数量指标 </w:t>
      </w:r>
      <w:r>
        <w:rPr>
          <w:rFonts w:hint="eastAsia" w:ascii="仿宋_GB2312" w:hAnsi="仿宋_GB2312" w:eastAsia="仿宋_GB2312" w:cs="仿宋_GB2312"/>
          <w:sz w:val="32"/>
          <w:szCs w:val="32"/>
          <w:lang w:eastAsia="zh-CN"/>
        </w:rPr>
        <w:t>：及时支付后勤资金。质量指标：保障后勤资金支付进度、按要求进行。</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全年资金支出共</w:t>
      </w:r>
      <w:r>
        <w:rPr>
          <w:rFonts w:hint="eastAsia" w:ascii="仿宋" w:hAnsi="仿宋" w:eastAsia="仿宋" w:cs="仿宋_GB2312"/>
          <w:sz w:val="32"/>
          <w:szCs w:val="32"/>
          <w:lang w:val="en-US" w:eastAsia="zh-CN"/>
        </w:rPr>
        <w:t>15万元，由区财政局按工程进度拨付，资金严格按照《攀枝花市西区教育和体育局财务工作手册》的要求使用。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hint="eastAsia" w:ascii="仿宋" w:hAnsi="仿宋" w:eastAsia="仿宋"/>
          <w:color w:val="000000"/>
          <w:sz w:val="32"/>
          <w:szCs w:val="32"/>
          <w:lang w:val="en-US" w:eastAsia="zh-CN"/>
        </w:rPr>
      </w:pPr>
      <w:r>
        <w:rPr>
          <w:rFonts w:hint="eastAsia" w:ascii="仿宋_GB2312" w:hAnsi="仿宋_GB2312" w:eastAsia="仿宋_GB2312" w:cs="仿宋_GB2312"/>
          <w:sz w:val="32"/>
          <w:szCs w:val="32"/>
        </w:rPr>
        <w:t xml:space="preserve">数量指标 </w:t>
      </w:r>
      <w:r>
        <w:rPr>
          <w:rFonts w:hint="eastAsia" w:ascii="仿宋_GB2312" w:hAnsi="仿宋_GB2312" w:eastAsia="仿宋_GB2312" w:cs="仿宋_GB2312"/>
          <w:sz w:val="32"/>
          <w:szCs w:val="32"/>
          <w:lang w:eastAsia="zh-CN"/>
        </w:rPr>
        <w:t>：</w:t>
      </w:r>
      <w:r>
        <w:rPr>
          <w:rFonts w:hint="eastAsia" w:ascii="仿宋" w:hAnsi="仿宋" w:eastAsia="仿宋" w:cs="仿宋_GB2312"/>
          <w:sz w:val="32"/>
          <w:szCs w:val="32"/>
          <w:lang w:eastAsia="zh-CN"/>
        </w:rPr>
        <w:t>全年资金支出共</w:t>
      </w:r>
      <w:r>
        <w:rPr>
          <w:rFonts w:hint="eastAsia" w:ascii="仿宋" w:hAnsi="仿宋" w:eastAsia="仿宋" w:cs="仿宋_GB2312"/>
          <w:sz w:val="32"/>
          <w:szCs w:val="32"/>
          <w:lang w:val="en-US" w:eastAsia="zh-CN"/>
        </w:rPr>
        <w:t>15万元</w:t>
      </w:r>
      <w:r>
        <w:rPr>
          <w:rFonts w:hint="eastAsia" w:ascii="仿宋_GB2312" w:hAnsi="仿宋_GB2312" w:eastAsia="仿宋_GB2312" w:cs="仿宋_GB2312"/>
          <w:sz w:val="32"/>
          <w:szCs w:val="32"/>
          <w:lang w:eastAsia="zh-CN"/>
        </w:rPr>
        <w:t>。质量指标：保证了资金进度、按要求进行。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10" w:usb3="00000000" w:csb0="00040000" w:csb1="00000000"/>
  </w:font>
  <w:font w:name="楷体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531F355"/>
    <w:multiLevelType w:val="singleLevel"/>
    <w:tmpl w:val="2531F355"/>
    <w:lvl w:ilvl="0" w:tentative="0">
      <w:start w:val="2"/>
      <w:numFmt w:val="chineseCounting"/>
      <w:suff w:val="nothing"/>
      <w:lvlText w:val="（%1）"/>
      <w:lvlJc w:val="left"/>
      <w:rPr>
        <w:rFonts w:hint="eastAsia"/>
      </w:rPr>
    </w:lvl>
  </w:abstractNum>
  <w:abstractNum w:abstractNumId="4">
    <w:nsid w:val="661184D9"/>
    <w:multiLevelType w:val="singleLevel"/>
    <w:tmpl w:val="661184D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9E4C5C"/>
    <w:rsid w:val="10C055FF"/>
    <w:rsid w:val="10E149BC"/>
    <w:rsid w:val="13032CD5"/>
    <w:rsid w:val="15872BE9"/>
    <w:rsid w:val="16BB723D"/>
    <w:rsid w:val="1CB33D09"/>
    <w:rsid w:val="240371BF"/>
    <w:rsid w:val="29FD04D3"/>
    <w:rsid w:val="319F7F4E"/>
    <w:rsid w:val="4ECE2238"/>
    <w:rsid w:val="54907400"/>
    <w:rsid w:val="68645A0E"/>
    <w:rsid w:val="6BDD1773"/>
    <w:rsid w:val="6CBB67B7"/>
    <w:rsid w:val="72734D90"/>
    <w:rsid w:val="73BB2F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15;&#31639;\2018&#20915;&#31639;\2018&#20915;&#31639;&#20844;&#24320;\&#22270;&#26631;&#27169;&#2925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915;&#31639;\2018&#20915;&#31639;\2018&#20915;&#31639;&#20844;&#24320;\&#22270;&#26631;&#27169;&#29256;.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19&#20915;&#31639;&#20844;&#24320;\&#22270;&#26631;&#27169;&#2925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915;&#31639;\2018&#20915;&#31639;\2018&#20915;&#31639;&#20844;&#24320;\&#22270;&#26631;&#27169;&#2925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915;&#31639;\2018&#20915;&#31639;\2018&#20915;&#31639;&#20844;&#24320;\&#22270;&#26631;&#27169;&#2925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915;&#31639;\2018&#20915;&#31639;\2018&#20915;&#31639;&#20844;&#24320;\&#22270;&#26631;&#27169;&#2925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777654252362424"/>
          <c:y val="0.197671957671958"/>
          <c:w val="0.882032768675368"/>
          <c:h val="0.649820105820106"/>
        </c:manualLayout>
      </c:layout>
      <c:barChart>
        <c:barDir val="col"/>
        <c:grouping val="clustered"/>
        <c:varyColors val="0"/>
        <c:ser>
          <c:idx val="0"/>
          <c:order val="0"/>
          <c:tx>
            <c:strRef>
              <c:f>[图标模版.xls]Sheet1!$A$8</c:f>
              <c:strCache>
                <c:ptCount val="1"/>
                <c:pt idx="0">
                  <c:v>2018年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[图标模版.xls]Sheet1!$B$7:$C$7</c:f>
              <c:strCache>
                <c:ptCount val="2"/>
                <c:pt idx="0">
                  <c:v>收入</c:v>
                </c:pt>
                <c:pt idx="1">
                  <c:v>支出</c:v>
                </c:pt>
              </c:strCache>
            </c:strRef>
          </c:cat>
          <c:val>
            <c:numRef>
              <c:f>[图标模版.xls]Sheet1!$B$8:$C$8</c:f>
              <c:numCache>
                <c:formatCode>General</c:formatCode>
                <c:ptCount val="2"/>
                <c:pt idx="0">
                  <c:v>2112.25</c:v>
                </c:pt>
                <c:pt idx="1">
                  <c:v>2112.25</c:v>
                </c:pt>
              </c:numCache>
            </c:numRef>
          </c:val>
        </c:ser>
        <c:ser>
          <c:idx val="1"/>
          <c:order val="1"/>
          <c:tx>
            <c:strRef>
              <c:f>[图标模版.xls]Sheet1!$A$9</c:f>
              <c:strCache>
                <c:ptCount val="1"/>
                <c:pt idx="0">
                  <c:v>2019年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[图标模版.xls]Sheet1!$B$7:$C$7</c:f>
              <c:strCache>
                <c:ptCount val="2"/>
                <c:pt idx="0">
                  <c:v>收入</c:v>
                </c:pt>
                <c:pt idx="1">
                  <c:v>支出</c:v>
                </c:pt>
              </c:strCache>
            </c:strRef>
          </c:cat>
          <c:val>
            <c:numRef>
              <c:f>[图标模版.xls]Sheet1!$B$9:$C$9</c:f>
              <c:numCache>
                <c:formatCode>General</c:formatCode>
                <c:ptCount val="2"/>
                <c:pt idx="0">
                  <c:v>2633.44</c:v>
                </c:pt>
                <c:pt idx="1">
                  <c:v>2633.44</c:v>
                </c:pt>
              </c:numCache>
            </c:numRef>
          </c:val>
        </c:ser>
        <c:dLbls>
          <c:showLegendKey val="0"/>
          <c:showVal val="0"/>
          <c:showCatName val="0"/>
          <c:showSerName val="0"/>
          <c:showPercent val="0"/>
          <c:showBubbleSize val="0"/>
        </c:dLbls>
        <c:gapWidth val="219"/>
        <c:overlap val="-27"/>
        <c:axId val="363079897"/>
        <c:axId val="843038874"/>
      </c:barChart>
      <c:catAx>
        <c:axId val="36307989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038874"/>
        <c:crosses val="autoZero"/>
        <c:auto val="1"/>
        <c:lblAlgn val="ctr"/>
        <c:lblOffset val="100"/>
        <c:noMultiLvlLbl val="0"/>
      </c:catAx>
      <c:valAx>
        <c:axId val="84303887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3079897"/>
        <c:crosses val="autoZero"/>
        <c:crossBetween val="between"/>
      </c:valAx>
      <c:spPr>
        <a:noFill/>
        <a:ln>
          <a:noFill/>
        </a:ln>
        <a:effectLst/>
      </c:spPr>
    </c:plotArea>
    <c:legend>
      <c:legendPos val="b"/>
      <c:layout>
        <c:manualLayout>
          <c:xMode val="edge"/>
          <c:yMode val="edge"/>
          <c:x val="0.3875"/>
          <c:y val="0.8945"/>
          <c:w val="0.2245"/>
          <c:h val="0.07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212049765258216"/>
          <c:y val="0.346235763017177"/>
          <c:w val="0.3476"/>
          <c:h val="0.489577464788732"/>
        </c:manualLayout>
      </c:layout>
      <c:pieChart>
        <c:varyColors val="1"/>
        <c:ser>
          <c:idx val="0"/>
          <c:order val="0"/>
          <c:tx>
            <c:strRef>
              <c:f>[图标模版.xls]Sheet1!$A$17</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Lbl>
              <c:idx val="1"/>
              <c:layout>
                <c:manualLayout>
                  <c:x val="0.138265777436172"/>
                  <c:y val="0.045034937964158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52108248031316"/>
                  <c:y val="-0.070868684327084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37118531189734"/>
                  <c:y val="-0.049735498512847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multiLvlStrRef>
              <c:f>[图标模版.xls]Sheet1!$B$15:$E$16</c:f>
              <c:multiLvlStrCache>
                <c:ptCount val="4"/>
                <c:lvl>
                  <c:pt idx="0">
                    <c:v>2598.15</c:v>
                  </c:pt>
                  <c:pt idx="1">
                    <c:v>0</c:v>
                  </c:pt>
                  <c:pt idx="2">
                    <c:v>0.14</c:v>
                  </c:pt>
                </c:lvl>
                <c:lvl>
                  <c:pt idx="0">
                    <c:v>一般公共预算财政拨款收入</c:v>
                  </c:pt>
                  <c:pt idx="1">
                    <c:v>事业收入</c:v>
                  </c:pt>
                  <c:pt idx="2">
                    <c:v>其他收入</c:v>
                  </c:pt>
                </c:lvl>
              </c:multiLvlStrCache>
            </c:multiLvlStrRef>
          </c:cat>
          <c:val>
            <c:numRef>
              <c:f>[图标模版.xls]Sheet1!$B$17:$E$17</c:f>
              <c:numCache>
                <c:formatCode>0.00%</c:formatCode>
                <c:ptCount val="4"/>
                <c:pt idx="0">
                  <c:v>0.9999</c:v>
                </c:pt>
                <c:pt idx="1">
                  <c:v>0</c:v>
                </c:pt>
                <c:pt idx="2">
                  <c:v>0.0001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3"/>
        <c:delete val="1"/>
      </c:legendEntry>
      <c:layout>
        <c:manualLayout>
          <c:xMode val="edge"/>
          <c:yMode val="edge"/>
          <c:x val="0.552641533224058"/>
          <c:y val="0.438997821350763"/>
          <c:w val="0.3945"/>
          <c:h val="0.31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[图标模版.xls]Sheet1!$A$21</c:f>
              <c:strCache>
                <c:ptCount val="1"/>
                <c:pt idx="0">
                  <c:v>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[图标模版.xls]Sheet1!$B$20:$C$20</c:f>
              <c:strCache>
                <c:ptCount val="2"/>
                <c:pt idx="0">
                  <c:v>基本支出</c:v>
                </c:pt>
                <c:pt idx="1">
                  <c:v>项目支出</c:v>
                </c:pt>
              </c:strCache>
            </c:strRef>
          </c:cat>
          <c:val>
            <c:numRef>
              <c:f>[图标模版.xls]Sheet1!$B$21:$C$21</c:f>
              <c:numCache>
                <c:formatCode>General</c:formatCode>
                <c:ptCount val="2"/>
                <c:pt idx="0">
                  <c:v>2618.29</c:v>
                </c:pt>
                <c:pt idx="1">
                  <c:v>15</c:v>
                </c:pt>
              </c:numCache>
            </c:numRef>
          </c:val>
        </c:ser>
        <c:ser>
          <c:idx val="1"/>
          <c:order val="1"/>
          <c:tx>
            <c:strRef>
              <c:f>[图标模版.xls]Sheet1!$A$22</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[图标模版.xls]Sheet1!$B$20:$C$20</c:f>
              <c:strCache>
                <c:ptCount val="2"/>
                <c:pt idx="0">
                  <c:v>基本支出</c:v>
                </c:pt>
                <c:pt idx="1">
                  <c:v>项目支出</c:v>
                </c:pt>
              </c:strCache>
            </c:strRef>
          </c:cat>
          <c:val>
            <c:numRef>
              <c:f>[图标模版.xls]Sheet1!$B$22:$C$22</c:f>
              <c:numCache>
                <c:formatCode>0.00%</c:formatCode>
                <c:ptCount val="2"/>
                <c:pt idx="0">
                  <c:v>0.9943</c:v>
                </c:pt>
                <c:pt idx="1">
                  <c:v>0.0057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财政拨款收、支决算总计变动情况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85334323723868"/>
          <c:y val="0.0102047990920344"/>
        </c:manualLayout>
      </c:layout>
      <c:overlay val="0"/>
      <c:spPr>
        <a:noFill/>
        <a:ln>
          <a:noFill/>
        </a:ln>
        <a:effectLst/>
      </c:spPr>
    </c:title>
    <c:autoTitleDeleted val="0"/>
    <c:plotArea>
      <c:layout>
        <c:manualLayout>
          <c:layoutTarget val="inner"/>
          <c:xMode val="edge"/>
          <c:yMode val="edge"/>
          <c:x val="0.0588557004627682"/>
          <c:y val="0.226666666666667"/>
          <c:w val="0.910643668489693"/>
          <c:h val="0.640507936507937"/>
        </c:manualLayout>
      </c:layout>
      <c:barChart>
        <c:barDir val="col"/>
        <c:grouping val="clustered"/>
        <c:varyColors val="0"/>
        <c:ser>
          <c:idx val="0"/>
          <c:order val="0"/>
          <c:tx>
            <c:strRef>
              <c:f>[图标模版.xls]Sheet1!$A$12</c:f>
              <c:strCache>
                <c:ptCount val="1"/>
                <c:pt idx="0">
                  <c:v>2018年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[图标模版.xls]Sheet1!$B$11:$C$11</c:f>
              <c:strCache>
                <c:ptCount val="2"/>
                <c:pt idx="0">
                  <c:v>财政拨款收入</c:v>
                </c:pt>
                <c:pt idx="1">
                  <c:v>财政拨款支出</c:v>
                </c:pt>
              </c:strCache>
            </c:strRef>
          </c:cat>
          <c:val>
            <c:numRef>
              <c:f>[图标模版.xls]Sheet1!$B$12:$C$12</c:f>
              <c:numCache>
                <c:formatCode>General</c:formatCode>
                <c:ptCount val="2"/>
                <c:pt idx="0">
                  <c:v>2110.02</c:v>
                </c:pt>
                <c:pt idx="1">
                  <c:v>2110.02</c:v>
                </c:pt>
              </c:numCache>
            </c:numRef>
          </c:val>
        </c:ser>
        <c:ser>
          <c:idx val="1"/>
          <c:order val="1"/>
          <c:tx>
            <c:strRef>
              <c:f>[图标模版.xls]Sheet1!$A$13</c:f>
              <c:strCache>
                <c:ptCount val="1"/>
                <c:pt idx="0">
                  <c:v>2019年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[图标模版.xls]Sheet1!$B$11:$C$11</c:f>
              <c:strCache>
                <c:ptCount val="2"/>
                <c:pt idx="0">
                  <c:v>财政拨款收入</c:v>
                </c:pt>
                <c:pt idx="1">
                  <c:v>财政拨款支出</c:v>
                </c:pt>
              </c:strCache>
            </c:strRef>
          </c:cat>
          <c:val>
            <c:numRef>
              <c:f>[图标模版.xls]Sheet1!$B$13:$C$13</c:f>
              <c:numCache>
                <c:formatCode>General</c:formatCode>
                <c:ptCount val="2"/>
                <c:pt idx="0">
                  <c:v>2633.29</c:v>
                </c:pt>
                <c:pt idx="1">
                  <c:v>2633.29</c:v>
                </c:pt>
              </c:numCache>
            </c:numRef>
          </c:val>
        </c:ser>
        <c:dLbls>
          <c:showLegendKey val="0"/>
          <c:showVal val="0"/>
          <c:showCatName val="0"/>
          <c:showSerName val="0"/>
          <c:showPercent val="0"/>
          <c:showBubbleSize val="0"/>
        </c:dLbls>
        <c:gapWidth val="219"/>
        <c:overlap val="-27"/>
        <c:axId val="669284751"/>
        <c:axId val="855818507"/>
      </c:barChart>
      <c:catAx>
        <c:axId val="66928475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818507"/>
        <c:crosses val="autoZero"/>
        <c:auto val="1"/>
        <c:lblAlgn val="ctr"/>
        <c:lblOffset val="100"/>
        <c:noMultiLvlLbl val="0"/>
      </c:catAx>
      <c:valAx>
        <c:axId val="85581850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284751"/>
        <c:crosses val="autoZero"/>
        <c:crossBetween val="between"/>
      </c:valAx>
      <c:spPr>
        <a:noFill/>
        <a:ln>
          <a:noFill/>
        </a:ln>
        <a:effectLst/>
      </c:spPr>
    </c:plotArea>
    <c:legend>
      <c:legendPos val="b"/>
      <c:layout>
        <c:manualLayout>
          <c:xMode val="edge"/>
          <c:yMode val="edge"/>
          <c:x val="0.3875"/>
          <c:y val="0.8945"/>
          <c:w val="0.2245"/>
          <c:h val="0.07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777222222222222"/>
          <c:y val="0.176065911416762"/>
          <c:w val="0.882"/>
          <c:h val="0.736436732966568"/>
        </c:manualLayout>
      </c:layout>
      <c:barChart>
        <c:barDir val="col"/>
        <c:grouping val="clustered"/>
        <c:varyColors val="0"/>
        <c:ser>
          <c:idx val="0"/>
          <c:order val="0"/>
          <c:tx>
            <c:strRef>
              <c:f>[图标模版.xls]Sheet1!$B$11</c:f>
              <c:strCache>
                <c:ptCount val="1"/>
                <c:pt idx="0">
                  <c:v>财政拨款收入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[图标模版.xls]Sheet1!$A$12:$A$13</c:f>
              <c:strCache>
                <c:ptCount val="2"/>
                <c:pt idx="0">
                  <c:v>2018年</c:v>
                </c:pt>
                <c:pt idx="1">
                  <c:v>2019年</c:v>
                </c:pt>
              </c:strCache>
            </c:strRef>
          </c:cat>
          <c:val>
            <c:numRef>
              <c:f>[图标模版.xls]Sheet1!$B$12:$B$13</c:f>
              <c:numCache>
                <c:formatCode>General</c:formatCode>
                <c:ptCount val="2"/>
                <c:pt idx="0">
                  <c:v>2110.02</c:v>
                </c:pt>
                <c:pt idx="1">
                  <c:v>2633.29</c:v>
                </c:pt>
              </c:numCache>
            </c:numRef>
          </c:val>
        </c:ser>
        <c:dLbls>
          <c:showLegendKey val="0"/>
          <c:showVal val="0"/>
          <c:showCatName val="0"/>
          <c:showSerName val="0"/>
          <c:showPercent val="0"/>
          <c:showBubbleSize val="0"/>
        </c:dLbls>
        <c:gapWidth val="219"/>
        <c:overlap val="-27"/>
        <c:axId val="607862276"/>
        <c:axId val="664584845"/>
      </c:barChart>
      <c:catAx>
        <c:axId val="6078622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4584845"/>
        <c:crosses val="autoZero"/>
        <c:auto val="1"/>
        <c:lblAlgn val="ctr"/>
        <c:lblOffset val="100"/>
        <c:noMultiLvlLbl val="0"/>
      </c:catAx>
      <c:valAx>
        <c:axId val="66458484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8622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[图标模版.xls]Sheet1!$A$4</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Lbl>
              <c:idx val="3"/>
              <c:layout>
                <c:manualLayout>
                  <c:x val="0.0245829606763512"/>
                  <c:y val="0.087650330689671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multiLvlStrRef>
              <c:f>[图标模版.xls]Sheet1!$B$2:$E$3</c:f>
              <c:multiLvlStrCache>
                <c:ptCount val="4"/>
                <c:lvl>
                  <c:pt idx="0">
                    <c:v>2086.04万元</c:v>
                  </c:pt>
                  <c:pt idx="1">
                    <c:v>251.38万元</c:v>
                  </c:pt>
                  <c:pt idx="2">
                    <c:v>63.66万元</c:v>
                  </c:pt>
                  <c:pt idx="3">
                    <c:v>232.19万元</c:v>
                  </c:pt>
                </c:lvl>
                <c:lvl>
                  <c:pt idx="0">
                    <c:v>教育支出</c:v>
                  </c:pt>
                  <c:pt idx="1">
                    <c:v>社会保障和就业</c:v>
                  </c:pt>
                  <c:pt idx="2">
                    <c:v>医疗卫生支出</c:v>
                  </c:pt>
                  <c:pt idx="3">
                    <c:v>住房保障支出</c:v>
                  </c:pt>
                </c:lvl>
              </c:multiLvlStrCache>
            </c:multiLvlStrRef>
          </c:cat>
          <c:val>
            <c:numRef>
              <c:f>[图标模版.xls]Sheet1!$B$4:$E$4</c:f>
              <c:numCache>
                <c:formatCode>0.00%</c:formatCode>
                <c:ptCount val="4"/>
                <c:pt idx="0">
                  <c:v>0.7922</c:v>
                </c:pt>
                <c:pt idx="1">
                  <c:v>0.0955</c:v>
                </c:pt>
                <c:pt idx="2">
                  <c:v>0.0241</c:v>
                </c:pt>
                <c:pt idx="3">
                  <c:v>0.0882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63"/>
          <c:y val="0.8305"/>
          <c:w val="0.67375"/>
          <c:h val="0.141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2020-11-23T02:52:42Z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