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黑体" w:hAnsi="黑体" w:eastAsia="黑体"/>
          <w:color w:val="000000"/>
          <w:sz w:val="72"/>
          <w:szCs w:val="72"/>
        </w:rPr>
      </w:pPr>
      <w:bookmarkStart w:id="1" w:name="_Toc15377193"/>
      <w:bookmarkStart w:id="2" w:name="_Toc15377425"/>
      <w:bookmarkStart w:id="3" w:name="_Toc15378441"/>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0"/>
      <w:bookmarkEnd w:id="1"/>
      <w:bookmarkEnd w:id="2"/>
      <w:bookmarkEnd w:id="3"/>
      <w:bookmarkEnd w:id="4"/>
      <w:bookmarkEnd w:id="5"/>
      <w:bookmarkStart w:id="6" w:name="_Toc15378442"/>
      <w:bookmarkStart w:id="7" w:name="_Toc15396476"/>
      <w:bookmarkStart w:id="8" w:name="_Toc15396598"/>
      <w:bookmarkStart w:id="9" w:name="_Toc15377194"/>
      <w:bookmarkStart w:id="10" w:name="_Toc15377426"/>
      <w:r>
        <w:rPr>
          <w:rFonts w:hint="eastAsia" w:ascii="黑体" w:hAnsi="黑体" w:eastAsia="黑体"/>
          <w:color w:val="000000"/>
          <w:sz w:val="72"/>
          <w:szCs w:val="72"/>
        </w:rPr>
        <w:t>四川省攀枝花市</w:t>
      </w:r>
      <w:bookmarkStart w:id="11" w:name="_Toc15306268"/>
    </w:p>
    <w:p>
      <w:pPr>
        <w:adjustRightInd w:val="0"/>
        <w:snapToGrid w:val="0"/>
        <w:spacing w:line="360" w:lineRule="auto"/>
        <w:jc w:val="center"/>
        <w:outlineLvl w:val="0"/>
        <w:rPr>
          <w:rFonts w:hint="eastAsia" w:ascii="黑体" w:hAnsi="黑体" w:eastAsia="黑体"/>
          <w:color w:val="000000"/>
          <w:sz w:val="72"/>
          <w:szCs w:val="72"/>
          <w:lang w:val="en-US" w:eastAsia="zh-CN"/>
        </w:rPr>
      </w:pPr>
      <w:r>
        <w:rPr>
          <w:rFonts w:hint="eastAsia" w:ascii="黑体" w:hAnsi="黑体" w:eastAsia="黑体"/>
          <w:color w:val="000000"/>
          <w:sz w:val="72"/>
          <w:szCs w:val="72"/>
          <w:lang w:eastAsia="zh-CN"/>
        </w:rPr>
        <w:t>第十八小学校</w:t>
      </w:r>
      <w:r>
        <w:rPr>
          <w:rFonts w:hint="eastAsia" w:ascii="黑体" w:hAnsi="黑体" w:eastAsia="黑体"/>
          <w:color w:val="000000"/>
          <w:sz w:val="72"/>
          <w:szCs w:val="7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23</w:t>
      </w:r>
      <w:bookmarkStart w:id="74" w:name="_GoBack"/>
      <w:bookmarkEnd w:id="74"/>
      <w:r>
        <w:rPr>
          <w:rFonts w:hint="eastAsia"/>
        </w:rPr>
        <w:t>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tab/>
      </w:r>
      <w:r>
        <w:rPr>
          <w:rFonts w:hint="eastAsia"/>
          <w:lang w:val="en-US" w:eastAsia="zh-CN"/>
        </w:rPr>
        <w:t>4</w:t>
      </w:r>
    </w:p>
    <w:p>
      <w:pPr>
        <w:pStyle w:val="11"/>
        <w:adjustRightInd w:val="0"/>
        <w:snapToGrid w:val="0"/>
        <w:spacing w:line="440" w:lineRule="exact"/>
        <w:jc w:val="left"/>
        <w:rPr>
          <w:rFonts w:hint="eastAsia" w:ascii="仿宋" w:hAnsi="仿宋" w:eastAsia="宋体"/>
          <w:sz w:val="24"/>
          <w:lang w:val="en-US" w:eastAsia="zh-CN"/>
        </w:rPr>
      </w:pPr>
      <w:r>
        <w:rPr>
          <w:rFonts w:hint="eastAsia"/>
          <w:sz w:val="24"/>
        </w:rPr>
        <w:t>一、基本职能及主要工作</w:t>
      </w:r>
      <w:r>
        <w:tab/>
      </w:r>
      <w:r>
        <w:rPr>
          <w:rFonts w:hint="eastAsia"/>
          <w:lang w:val="en-US" w:eastAsia="zh-CN"/>
        </w:rPr>
        <w:t>4</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tab/>
      </w:r>
      <w:r>
        <w:rPr>
          <w:rFonts w:hint="eastAsia"/>
          <w:lang w:val="en-US" w:eastAsia="zh-CN"/>
        </w:rPr>
        <w:t>4</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第二部分度部门决算情况说明</w:t>
      </w:r>
      <w:r>
        <w:tab/>
      </w:r>
      <w:r>
        <w:rPr>
          <w:rFonts w:hint="eastAsia"/>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tab/>
      </w:r>
      <w:r>
        <w:rPr>
          <w:rFonts w:hint="eastAsia"/>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tab/>
      </w:r>
      <w:r>
        <w:rPr>
          <w:rFonts w:hint="eastAsia"/>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tab/>
      </w:r>
      <w:r>
        <w:rPr>
          <w:rFonts w:hint="eastAsia"/>
          <w:lang w:val="en-US" w:eastAsia="zh-CN"/>
        </w:rPr>
        <w:t>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tab/>
      </w:r>
      <w:r>
        <w:rPr>
          <w:rFonts w:hint="eastAsia"/>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tab/>
      </w:r>
      <w:r>
        <w:rPr>
          <w:rFonts w:hint="eastAsia"/>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lang w:val="en-US" w:eastAsia="zh-CN"/>
        </w:rPr>
        <w:t>11</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tab/>
      </w:r>
      <w:r>
        <w:rPr>
          <w:rFonts w:hint="eastAsia"/>
          <w:lang w:val="en-US" w:eastAsia="zh-CN"/>
        </w:rPr>
        <w:t>11</w:t>
      </w:r>
    </w:p>
    <w:p>
      <w:pPr>
        <w:adjustRightInd w:val="0"/>
        <w:snapToGrid w:val="0"/>
        <w:spacing w:line="440" w:lineRule="exact"/>
        <w:ind w:firstLine="480" w:firstLineChars="200"/>
        <w:jc w:val="left"/>
        <w:rPr>
          <w:rFonts w:hint="default" w:ascii="仿宋" w:hAnsi="仿宋" w:eastAsia="仿宋" w:cstheme="minorBidi"/>
          <w:sz w:val="24"/>
          <w:lang w:val="en-US"/>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hint="eastAsia"/>
          <w:sz w:val="24"/>
          <w:lang w:val="en-US" w:eastAsia="zh-CN"/>
        </w:rPr>
        <w:t>...........................................................................12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lang w:val="en-US" w:eastAsia="zh-CN"/>
        </w:rPr>
        <w:t>16</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tab/>
      </w:r>
      <w:r>
        <w:rPr>
          <w:rFonts w:hint="eastAsia"/>
          <w:lang w:val="en-US" w:eastAsia="zh-CN"/>
        </w:rPr>
        <w:t>20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tab/>
      </w:r>
      <w:r>
        <w:rPr>
          <w:rFonts w:hint="eastAsia"/>
          <w:lang w:val="en-US" w:eastAsia="zh-CN"/>
        </w:rPr>
        <w:t>20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tab/>
      </w:r>
      <w:r>
        <w:rPr>
          <w:rFonts w:hint="eastAsia"/>
          <w:lang w:val="en-US" w:eastAsia="zh-CN"/>
        </w:rPr>
        <w:t>21</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四、</w:t>
      </w:r>
      <w:r>
        <w:rPr>
          <w:rFonts w:hint="eastAsia"/>
          <w:sz w:val="24"/>
        </w:rPr>
        <w:t>财政拨款收入支出决算总表</w:t>
      </w:r>
      <w:r>
        <w:tab/>
      </w:r>
      <w:r>
        <w:rPr>
          <w:rFonts w:hint="eastAsia"/>
          <w:lang w:val="en-US" w:eastAsia="zh-CN"/>
        </w:rPr>
        <w:t>25</w:t>
      </w:r>
    </w:p>
    <w:p>
      <w:pPr>
        <w:pStyle w:val="11"/>
        <w:adjustRightInd w:val="0"/>
        <w:snapToGrid w:val="0"/>
        <w:spacing w:line="440" w:lineRule="exact"/>
        <w:jc w:val="left"/>
        <w:rPr>
          <w:rFonts w:hint="default" w:ascii="仿宋" w:hAnsi="仿宋" w:eastAsia="宋体"/>
          <w:sz w:val="24"/>
          <w:lang w:val="en-US" w:eastAsia="zh-CN"/>
        </w:rPr>
      </w:pPr>
      <w:r>
        <w:rPr>
          <w:rFonts w:hint="eastAsia" w:ascii="仿宋" w:hAnsi="仿宋" w:eastAsia="仿宋"/>
          <w:sz w:val="24"/>
        </w:rPr>
        <w:t>五、财政拨款支出决算明细表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六、</w:t>
      </w:r>
      <w:r>
        <w:rPr>
          <w:rFonts w:hint="eastAsia"/>
          <w:sz w:val="24"/>
        </w:rPr>
        <w:t>一般公共预算财政拨款支出决算表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七、</w:t>
      </w:r>
      <w:r>
        <w:rPr>
          <w:rFonts w:hint="eastAsia"/>
          <w:sz w:val="24"/>
        </w:rPr>
        <w:t>一般公共预算财政拨款支出决算明细表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八、</w:t>
      </w:r>
      <w:r>
        <w:rPr>
          <w:rFonts w:hint="eastAsia"/>
          <w:sz w:val="24"/>
        </w:rPr>
        <w:t>一般公共预算财政拨款基本支出决算表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九、</w:t>
      </w:r>
      <w:r>
        <w:rPr>
          <w:rFonts w:hint="eastAsia"/>
          <w:sz w:val="24"/>
        </w:rPr>
        <w:t>一般公共预算财政拨款项目支出决算表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w:t>
      </w:r>
      <w:r>
        <w:rPr>
          <w:rFonts w:hint="eastAsia"/>
          <w:sz w:val="24"/>
        </w:rPr>
        <w:t>一般公共预算财政拨款“三公”经费支出决算表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十一、</w:t>
      </w:r>
      <w:r>
        <w:rPr>
          <w:rFonts w:hint="eastAsia"/>
          <w:sz w:val="24"/>
        </w:rPr>
        <w:t>政府性基金预算财政拨款收入支出决算表</w:t>
      </w:r>
      <w:r>
        <w:tab/>
      </w:r>
      <w:r>
        <w:rPr>
          <w:rFonts w:hint="eastAsia"/>
          <w:lang w:val="en-US" w:eastAsia="zh-CN"/>
        </w:rPr>
        <w:t>25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十二、</w:t>
      </w:r>
      <w:r>
        <w:rPr>
          <w:rFonts w:hint="eastAsia"/>
          <w:sz w:val="24"/>
        </w:rPr>
        <w:t>政府性基金预算财政拨款“三公”经费支出决算表</w:t>
      </w:r>
      <w:r>
        <w:tab/>
      </w:r>
      <w:r>
        <w:rPr>
          <w:rFonts w:hint="eastAsia"/>
          <w:lang w:val="en-US" w:eastAsia="zh-CN"/>
        </w:rPr>
        <w:t>25</w:t>
      </w:r>
    </w:p>
    <w:p>
      <w:pPr>
        <w:pStyle w:val="11"/>
        <w:adjustRightInd w:val="0"/>
        <w:snapToGrid w:val="0"/>
        <w:spacing w:line="440" w:lineRule="exact"/>
        <w:jc w:val="left"/>
        <w:rPr>
          <w:rFonts w:ascii="仿宋" w:hAnsi="仿宋" w:eastAsia="仿宋"/>
          <w:bCs/>
          <w:kern w:val="44"/>
          <w:sz w:val="24"/>
        </w:rPr>
      </w:pPr>
      <w:r>
        <w:rPr>
          <w:rFonts w:hint="eastAsia" w:ascii="仿宋" w:hAnsi="仿宋" w:eastAsia="仿宋"/>
          <w:sz w:val="24"/>
        </w:rPr>
        <w:t>十三、</w:t>
      </w:r>
      <w:r>
        <w:rPr>
          <w:rFonts w:hint="eastAsia"/>
          <w:sz w:val="24"/>
        </w:rPr>
        <w:t>国有资本经营预算支出决算表</w:t>
      </w:r>
      <w:r>
        <w:tab/>
      </w:r>
      <w:r>
        <w:rPr>
          <w:rFonts w:hint="eastAsia"/>
          <w:lang w:val="en-US" w:eastAsia="zh-CN"/>
        </w:rPr>
        <w:t>2</w:t>
      </w:r>
      <w:bookmarkStart w:id="12" w:name="_Toc15396599"/>
      <w:bookmarkStart w:id="13" w:name="_Toc15377196"/>
      <w:r>
        <w:rPr>
          <w:rFonts w:hint="eastAsia"/>
          <w:lang w:val="en-US" w:eastAsia="zh-CN"/>
        </w:rPr>
        <w:t>5</w:t>
      </w:r>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firstLineChars="200"/>
        <w:textAlignment w:val="auto"/>
        <w:rPr>
          <w:rFonts w:hint="eastAsia" w:ascii="仿宋" w:hAnsi="仿宋" w:eastAsia="仿宋"/>
          <w:bCs/>
          <w:color w:val="000000"/>
          <w:sz w:val="32"/>
          <w:szCs w:val="32"/>
        </w:rPr>
      </w:pPr>
      <w:r>
        <w:rPr>
          <w:rFonts w:hint="eastAsia" w:ascii="仿宋_GB2312" w:hAnsi="仿宋" w:eastAsia="仿宋_GB2312" w:cs="Times New Roman"/>
          <w:kern w:val="2"/>
          <w:sz w:val="32"/>
          <w:szCs w:val="32"/>
          <w:lang w:val="en-US" w:eastAsia="zh-CN" w:bidi="ar-SA"/>
        </w:rPr>
        <w:t>实施小学义务教育，促进基础教育发展。小学学历教育（相关社会服务）。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bCs/>
          <w:color w:val="000000"/>
          <w:sz w:val="32"/>
          <w:szCs w:val="32"/>
        </w:rPr>
      </w:pPr>
      <w:r>
        <w:rPr>
          <w:rFonts w:hint="eastAsia" w:ascii="仿宋_GB2312" w:hAnsi="仿宋" w:eastAsia="仿宋_GB2312" w:cs="Times New Roman"/>
          <w:kern w:val="2"/>
          <w:sz w:val="32"/>
          <w:szCs w:val="32"/>
          <w:lang w:val="en-US" w:eastAsia="zh-CN" w:bidi="ar-SA"/>
        </w:rPr>
        <w:t>我校重视抓好教育教学常规工作，同时对教师队伍建设常抓不松懈，坚持新课改，创新教育教学手段，进一步深化课堂教学改革，抓实“新教育”改革实验，将“新教育”实验改革与学校的“345”阳光课堂教学改革结合起来。学校尽量每个部门、每一个教师有课题，教学质量获得优异成绩，参加市区教学抽考成绩名列西区前茅。</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攀枝花市第18小学校下属二级单位0个，其中行政单位0个，参照公务员法管理的事业单位0个，其他事业单位0个。</w:t>
      </w:r>
    </w:p>
    <w:p>
      <w:pPr>
        <w:widowControl/>
        <w:jc w:val="left"/>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1185.34</w:t>
      </w:r>
      <w:r>
        <w:rPr>
          <w:rFonts w:hint="eastAsia" w:ascii="仿宋" w:hAnsi="仿宋" w:eastAsia="仿宋"/>
          <w:color w:val="000000"/>
          <w:sz w:val="32"/>
          <w:szCs w:val="32"/>
        </w:rPr>
        <w:t>万元。与2018年相比，收、支总计增加</w:t>
      </w:r>
      <w:r>
        <w:rPr>
          <w:rFonts w:hint="eastAsia" w:ascii="仿宋" w:hAnsi="仿宋" w:eastAsia="仿宋"/>
          <w:color w:val="000000"/>
          <w:sz w:val="32"/>
          <w:szCs w:val="32"/>
          <w:lang w:val="en-US" w:eastAsia="zh-CN"/>
        </w:rPr>
        <w:t>12.02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学生、教师人数增加，物价上涨等导致。</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420" w:firstLineChars="200"/>
        <w:rPr>
          <w:rFonts w:hint="eastAsia" w:ascii="仿宋" w:hAnsi="仿宋" w:eastAsia="仿宋"/>
          <w:color w:val="000000"/>
          <w:sz w:val="32"/>
          <w:szCs w:val="32"/>
          <w:lang w:eastAsia="zh-CN"/>
        </w:rPr>
      </w:pPr>
      <w:r>
        <w:drawing>
          <wp:anchor distT="0" distB="0" distL="114300" distR="114300" simplePos="0" relativeHeight="251658240" behindDoc="0" locked="0" layoutInCell="1" allowOverlap="1">
            <wp:simplePos x="0" y="0"/>
            <wp:positionH relativeFrom="column">
              <wp:posOffset>271145</wp:posOffset>
            </wp:positionH>
            <wp:positionV relativeFrom="paragraph">
              <wp:posOffset>-2144395</wp:posOffset>
            </wp:positionV>
            <wp:extent cx="4662805" cy="2595880"/>
            <wp:effectExtent l="4445" t="4445" r="11430" b="5715"/>
            <wp:wrapNone/>
            <wp:docPr id="140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pPr>
        <w:spacing w:line="600" w:lineRule="exact"/>
        <w:ind w:firstLine="640" w:firstLineChars="200"/>
        <w:rPr>
          <w:rFonts w:hint="eastAsia" w:ascii="仿宋" w:hAnsi="仿宋" w:eastAsia="仿宋"/>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1172.19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1172.01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59264" behindDoc="0" locked="0" layoutInCell="1" allowOverlap="1">
            <wp:simplePos x="0" y="0"/>
            <wp:positionH relativeFrom="column">
              <wp:posOffset>316230</wp:posOffset>
            </wp:positionH>
            <wp:positionV relativeFrom="paragraph">
              <wp:posOffset>271145</wp:posOffset>
            </wp:positionV>
            <wp:extent cx="4892675" cy="1971675"/>
            <wp:effectExtent l="4445" t="4445" r="10160" b="5080"/>
            <wp:wrapNone/>
            <wp:docPr id="14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spacing w:line="600" w:lineRule="exact"/>
        <w:ind w:firstLine="640" w:firstLineChars="200"/>
        <w:jc w:val="center"/>
        <w:rPr>
          <w:rFonts w:ascii="仿宋" w:hAnsi="仿宋" w:eastAsia="仿宋"/>
          <w:color w:val="FF0000"/>
          <w:sz w:val="32"/>
          <w:szCs w:val="32"/>
        </w:rPr>
      </w:pPr>
      <w:r>
        <w:rPr>
          <w:rFonts w:hint="eastAsia" w:ascii="仿宋" w:hAnsi="仿宋" w:eastAsia="仿宋"/>
          <w:color w:val="auto"/>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1184.2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1183.35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420" w:firstLineChars="200"/>
        <w:outlineLvl w:val="1"/>
        <w:rPr>
          <w:rFonts w:hint="eastAsia"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-2449195</wp:posOffset>
            </wp:positionV>
            <wp:extent cx="4998720" cy="2606040"/>
            <wp:effectExtent l="4445" t="4445" r="10795" b="1079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jc w:val="center"/>
        <w:rPr>
          <w:rFonts w:ascii="仿宋" w:hAnsi="仿宋" w:eastAsia="仿宋"/>
          <w:color w:val="auto"/>
          <w:sz w:val="32"/>
          <w:szCs w:val="32"/>
        </w:rPr>
      </w:pPr>
      <w:r>
        <w:rPr>
          <w:rFonts w:hint="eastAsia" w:ascii="仿宋" w:hAnsi="仿宋" w:eastAsia="仿宋"/>
          <w:color w:val="auto"/>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1185.15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11.98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学生、教师人数增加，物价上涨等导致。</w:t>
      </w:r>
    </w:p>
    <w:p>
      <w:pPr>
        <w:spacing w:line="600" w:lineRule="exact"/>
        <w:rPr>
          <w:rFonts w:ascii="仿宋" w:hAnsi="仿宋" w:eastAsia="仿宋"/>
          <w:color w:val="000000"/>
          <w:sz w:val="32"/>
          <w:szCs w:val="32"/>
        </w:rPr>
      </w:pPr>
      <w:r>
        <w:drawing>
          <wp:anchor distT="0" distB="0" distL="114300" distR="114300" simplePos="0" relativeHeight="251661312" behindDoc="0" locked="0" layoutInCell="1" allowOverlap="1">
            <wp:simplePos x="0" y="0"/>
            <wp:positionH relativeFrom="column">
              <wp:posOffset>-10795</wp:posOffset>
            </wp:positionH>
            <wp:positionV relativeFrom="paragraph">
              <wp:posOffset>248285</wp:posOffset>
            </wp:positionV>
            <wp:extent cx="5271770" cy="2475230"/>
            <wp:effectExtent l="4445" t="4445" r="12065" b="19685"/>
            <wp:wrapNone/>
            <wp:docPr id="140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jc w:val="center"/>
        <w:rPr>
          <w:rFonts w:ascii="仿宋" w:hAnsi="仿宋" w:eastAsia="仿宋"/>
          <w:color w:val="FF0000"/>
          <w:sz w:val="32"/>
          <w:szCs w:val="32"/>
        </w:rPr>
      </w:pPr>
      <w:r>
        <w:rPr>
          <w:rFonts w:hint="eastAsia" w:ascii="仿宋" w:hAnsi="仿宋" w:eastAsia="仿宋"/>
          <w:color w:val="auto"/>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1184.2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99.91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12.83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学生、教师人数增加，物价上涨等导致。</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415925</wp:posOffset>
            </wp:positionH>
            <wp:positionV relativeFrom="paragraph">
              <wp:posOffset>111125</wp:posOffset>
            </wp:positionV>
            <wp:extent cx="4283075" cy="2872740"/>
            <wp:effectExtent l="4445" t="4445" r="10160" b="18415"/>
            <wp:wrapNone/>
            <wp:docPr id="140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rPr>
          <w:rFonts w:hint="eastAsia" w:ascii="仿宋" w:hAnsi="仿宋" w:eastAsia="仿宋"/>
          <w:color w:val="FF0000"/>
          <w:sz w:val="32"/>
          <w:szCs w:val="32"/>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1184.2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val="en-US" w:eastAsia="zh-CN"/>
          <w14:textFill>
            <w14:solidFill>
              <w14:schemeClr w14:val="tx1"/>
            </w14:solidFill>
          </w14:textFill>
        </w:rPr>
        <w:t>908.93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76.75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130.92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11.06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bCs/>
          <w:color w:val="000000" w:themeColor="text1"/>
          <w:sz w:val="32"/>
          <w:szCs w:val="32"/>
          <w:lang w:val="en-US" w:eastAsia="zh-CN"/>
          <w14:textFill>
            <w14:solidFill>
              <w14:schemeClr w14:val="tx1"/>
            </w14:solidFill>
          </w14:textFill>
        </w:rPr>
        <w:t>55.13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4.66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89.19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7.53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410845</wp:posOffset>
            </wp:positionH>
            <wp:positionV relativeFrom="paragraph">
              <wp:posOffset>149225</wp:posOffset>
            </wp:positionV>
            <wp:extent cx="4572000" cy="3001010"/>
            <wp:effectExtent l="4445" t="4445" r="10795" b="12065"/>
            <wp:wrapNone/>
            <wp:docPr id="140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FF0000"/>
          <w:sz w:val="32"/>
          <w:szCs w:val="32"/>
        </w:rPr>
      </w:pPr>
      <w:r>
        <w:rPr>
          <w:rFonts w:hint="eastAsia" w:ascii="仿宋" w:hAnsi="仿宋" w:eastAsia="仿宋"/>
          <w:color w:val="auto"/>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1184.2万元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hint="eastAsia" w:ascii="仿宋" w:hAnsi="仿宋" w:eastAsia="仿宋"/>
          <w:bCs/>
          <w:color w:val="000000"/>
          <w:sz w:val="32"/>
          <w:szCs w:val="32"/>
          <w:lang w:val="en-US" w:eastAsia="zh-CN"/>
        </w:rPr>
        <w:t>205</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02</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908.93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文化旅游体育与传媒</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05</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130.92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210</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10</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55.13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default" w:ascii="仿宋" w:hAnsi="仿宋" w:eastAsia="仿宋"/>
          <w:b w:val="0"/>
          <w:bCs/>
          <w:color w:val="000000"/>
          <w:sz w:val="32"/>
          <w:szCs w:val="32"/>
          <w:lang w:val="en-US" w:eastAsia="zh-CN"/>
        </w:rPr>
      </w:pPr>
      <w:r>
        <w:rPr>
          <w:rStyle w:val="15"/>
          <w:rFonts w:hint="eastAsia" w:ascii="仿宋" w:hAnsi="仿宋" w:eastAsia="仿宋"/>
          <w:b/>
          <w:bCs w:val="0"/>
          <w:color w:val="000000"/>
          <w:sz w:val="32"/>
          <w:szCs w:val="32"/>
          <w:lang w:val="en-US" w:eastAsia="zh-CN"/>
        </w:rPr>
        <w:t>7.</w:t>
      </w:r>
      <w:r>
        <w:rPr>
          <w:rStyle w:val="15"/>
          <w:rFonts w:hint="eastAsia" w:ascii="仿宋" w:hAnsi="仿宋" w:eastAsia="仿宋"/>
          <w:bCs/>
          <w:color w:val="000000"/>
          <w:sz w:val="32"/>
          <w:szCs w:val="32"/>
          <w:lang w:eastAsia="zh-CN"/>
        </w:rPr>
        <w:t>住房和保障</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221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02</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89.19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1183.35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1112.39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70.96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0.68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学校已无公务车辆。</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rPr>
          <w:rStyle w:val="15"/>
          <w:rFonts w:hint="eastAsia" w:ascii="仿宋" w:hAnsi="仿宋" w:eastAsia="仿宋"/>
          <w:b w:val="0"/>
          <w:bCs/>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numPr>
          <w:ilvl w:val="0"/>
          <w:numId w:val="0"/>
        </w:num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Fonts w:ascii="黑体" w:eastAsia="黑体"/>
          <w:color w:val="000000"/>
          <w:sz w:val="32"/>
          <w:szCs w:val="32"/>
        </w:rPr>
      </w:pPr>
      <w:bookmarkStart w:id="46" w:name="_Toc15396610"/>
      <w:bookmarkStart w:id="47"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bookmarkStart w:id="53" w:name="_Toc15377223"/>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根据预算绩效管理要求，本部门（单位）在年初预算编制阶段，组织对2018年市级民族教育发展十年行动计划项目开展了预算事前绩效评估，对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本部门按要求对2019年部门整体支出开展绩效自评，从评价情况来看2018年市级民族教育发展十年行动计划项目</w:t>
      </w:r>
      <w:r>
        <w:rPr>
          <w:rFonts w:hint="eastAsia" w:ascii="仿宋_GB2312" w:hAnsi="仿宋_GB2312" w:eastAsia="仿宋_GB2312" w:cs="仿宋_GB2312"/>
          <w:sz w:val="32"/>
          <w:szCs w:val="32"/>
          <w:lang w:eastAsia="zh-CN"/>
        </w:rPr>
        <w:t>完成情况良好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个项目支出绩效评价，从评价情况来看2018年市级民族教育发展十年行动计划项目</w:t>
      </w:r>
      <w:r>
        <w:rPr>
          <w:rFonts w:hint="eastAsia" w:ascii="仿宋_GB2312" w:hAnsi="仿宋_GB2312" w:eastAsia="仿宋_GB2312" w:cs="仿宋_GB2312"/>
          <w:sz w:val="32"/>
          <w:szCs w:val="32"/>
          <w:lang w:eastAsia="zh-CN"/>
        </w:rPr>
        <w:t>完成情况良好</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本部门在2019年度部门决算中反映“2018年市级民族教育发展十年行动计划项目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2018年市级民族教育发展十年行动计划项目绩效目标完成情况综述。项目全年预算数</w:t>
      </w:r>
      <w:r>
        <w:rPr>
          <w:rFonts w:hint="eastAsia" w:ascii="仿宋_GB2312" w:hAnsi="仿宋_GB2312" w:eastAsia="仿宋_GB2312" w:cs="仿宋_GB2312"/>
          <w:sz w:val="32"/>
          <w:szCs w:val="32"/>
          <w:lang w:val="en-US" w:eastAsia="zh-CN"/>
        </w:rPr>
        <w:t>0.84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0.84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对口帮扶学校工作的正常开展</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2018年市级民族教育发展十年行动计划项目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攀枝花市第十八小学校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0.84万元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0.84万元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0.84万元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0.84万元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针对帮扶学校的各项工作正常开展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2019年对口帮扶学校工作完成良好</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完成帮扶项目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帮扶学校</w:t>
            </w:r>
            <w:r>
              <w:rPr>
                <w:rFonts w:hint="eastAsia" w:ascii="宋体" w:hAnsi="宋体" w:cs="宋体"/>
                <w:color w:val="000000"/>
                <w:sz w:val="24"/>
                <w:lang w:val="en-US" w:eastAsia="zh-CN"/>
              </w:rPr>
              <w:t>资金到位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预算的</w:t>
            </w:r>
            <w:r>
              <w:rPr>
                <w:rFonts w:hint="eastAsia" w:ascii="宋体" w:hAnsi="宋体" w:cs="宋体"/>
                <w:color w:val="000000"/>
                <w:sz w:val="24"/>
                <w:lang w:val="en-US" w:eastAsia="zh-CN"/>
              </w:rPr>
              <w:t>0.84万元帮扶资金全部到位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已良好完成</w:t>
            </w:r>
            <w:r>
              <w:rPr>
                <w:rFonts w:hint="eastAsia" w:ascii="宋体" w:hAnsi="宋体" w:cs="宋体"/>
                <w:color w:val="000000"/>
                <w:sz w:val="24"/>
                <w:lang w:val="en-US" w:eastAsia="zh-CN"/>
              </w:rPr>
              <w:t>0.84万元帮扶资金</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将帮扶项目落实到位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完善人员分配共同完成帮扶项目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争取共同努力完成帮扶目标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已良好完成帮扶目标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帮扶学校满意对口帮扶项目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针对帮扶学校开展的工作获得广大人民群众满意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争取完成帮扶项目使人民群众满意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良好的完成了部分目标赢得了广大群众的满意</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攀枝花市第十八小学校</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本部门自行组织对2018年市级民族教育发展十年行动计划项目开展了绩效评价，《2018年市级民族教育发展十年行动计划项目2019年绩效评价报告》。</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9.</w:t>
      </w:r>
      <w:r>
        <w:rPr>
          <w:rFonts w:hint="eastAsia" w:ascii="仿宋_GB2312" w:eastAsia="仿宋_GB2312"/>
          <w:color w:val="000000"/>
          <w:sz w:val="32"/>
          <w:szCs w:val="32"/>
        </w:rPr>
        <w:t>一般公共服务（类）（款）（项）</w:t>
      </w:r>
      <w:r>
        <w:rPr>
          <w:rFonts w:hint="eastAsia" w:ascii="仿宋_GB2312" w:eastAsia="仿宋_GB2312"/>
          <w:color w:val="000000"/>
          <w:sz w:val="32"/>
          <w:szCs w:val="32"/>
          <w:lang w:eastAsia="zh-CN"/>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反映各部门举办的小学教育支出。政府各部门对社会中介组织等举办的小学的资助，如各类捐赠、补贴等，也在本科目中反映</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反映各部门举办的初中教育支出。政府各部门对社会中介组织等举办的初中教育的资助，如各类捐赠、补贴等，也在本科目中反映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科学技术（类）（款）（项）。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文化体育与传媒（类）（款）（项）。</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06</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反映机关事业单位实施养老保险制度由单位实际缴纳的职业年金支出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（款</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反映财政部门集中安排的事业单位基本医疗保险缴纳经费，未参加医疗保险的事业单位的公费医疗经费，按国家规定享受离休人员的医疗经费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（款</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反映财政部门集中安排的公务员医疗补助经费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节能环保（类）（款）（项）。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城乡社区（类）（款）（项）。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22</w:t>
      </w:r>
      <w:r>
        <w:rPr>
          <w:rFonts w:ascii="仿宋_GB2312" w:eastAsia="仿宋_GB2312"/>
          <w:color w:val="000000"/>
          <w:sz w:val="32"/>
          <w:szCs w:val="32"/>
        </w:rPr>
        <w:t>.</w:t>
      </w:r>
      <w:r>
        <w:rPr>
          <w:rFonts w:hint="eastAsia" w:ascii="仿宋_GB2312" w:eastAsia="仿宋_GB2312"/>
          <w:color w:val="000000"/>
          <w:sz w:val="32"/>
          <w:szCs w:val="32"/>
        </w:rPr>
        <w:t>农林水（类）（款）（项）。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23</w:t>
      </w:r>
      <w:r>
        <w:rPr>
          <w:rFonts w:ascii="仿宋_GB2312" w:eastAsia="仿宋_GB2312"/>
          <w:color w:val="000000"/>
          <w:sz w:val="32"/>
          <w:szCs w:val="32"/>
        </w:rPr>
        <w:t>.</w:t>
      </w:r>
      <w:r>
        <w:rPr>
          <w:rFonts w:hint="eastAsia" w:ascii="仿宋_GB2312" w:eastAsia="仿宋_GB2312"/>
          <w:color w:val="000000"/>
          <w:sz w:val="32"/>
          <w:szCs w:val="32"/>
        </w:rPr>
        <w:t>交通运输（类）（款）（项）。</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资源勘探信息等（类）（款）（项）。</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商业服务业（类）（款）（项）。</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金融（类）（款）（项）。</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国土海洋气象等（类）（款）（项）。</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粮油物资储备（类）（款）（项）。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hint="eastAsia" w:ascii="黑体" w:hAnsi="黑体" w:eastAsia="黑体" w:cs="方正小标宋简体"/>
          <w:sz w:val="36"/>
          <w:szCs w:val="36"/>
          <w:lang w:eastAsia="zh-CN"/>
        </w:rPr>
      </w:pPr>
      <w:bookmarkStart w:id="59" w:name="_Toc15396616"/>
      <w:r>
        <w:rPr>
          <w:rFonts w:hint="eastAsia" w:ascii="黑体" w:hAnsi="黑体" w:eastAsia="黑体" w:cs="方正小标宋简体"/>
          <w:sz w:val="36"/>
          <w:szCs w:val="36"/>
          <w:lang w:eastAsia="zh-CN"/>
        </w:rPr>
        <w:t>攀枝花市第十八小学校</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firstLineChars="200"/>
        <w:textAlignment w:val="auto"/>
        <w:rPr>
          <w:rFonts w:ascii="仿宋" w:hAnsi="仿宋" w:eastAsia="仿宋" w:cs="仿宋_GB2312"/>
          <w:sz w:val="32"/>
          <w:szCs w:val="32"/>
        </w:rPr>
      </w:pPr>
      <w:r>
        <w:rPr>
          <w:rFonts w:hint="eastAsia" w:hAnsi="仿宋" w:cs="Times New Roman"/>
          <w:kern w:val="2"/>
          <w:sz w:val="32"/>
          <w:szCs w:val="32"/>
          <w:lang w:val="en-US" w:eastAsia="zh-CN" w:bidi="ar-SA"/>
        </w:rPr>
        <w:t>攀枝花市第十八小学校</w:t>
      </w:r>
      <w:r>
        <w:rPr>
          <w:rFonts w:hint="eastAsia" w:ascii="仿宋_GB2312" w:hAnsi="仿宋" w:eastAsia="仿宋_GB2312" w:cs="Times New Roman"/>
          <w:kern w:val="2"/>
          <w:sz w:val="32"/>
          <w:szCs w:val="32"/>
          <w:lang w:val="en-US" w:eastAsia="zh-CN" w:bidi="ar-SA"/>
        </w:rPr>
        <w:t>下属二级单位</w:t>
      </w:r>
      <w:r>
        <w:rPr>
          <w:rFonts w:hint="eastAsia" w:hAnsi="仿宋" w:cs="Times New Roman"/>
          <w:kern w:val="2"/>
          <w:sz w:val="32"/>
          <w:szCs w:val="32"/>
          <w:lang w:val="en-US" w:eastAsia="zh-CN" w:bidi="ar-SA"/>
        </w:rPr>
        <w:t>0</w:t>
      </w:r>
      <w:r>
        <w:rPr>
          <w:rFonts w:hint="eastAsia" w:ascii="仿宋_GB2312" w:hAnsi="仿宋" w:eastAsia="仿宋_GB2312" w:cs="Times New Roman"/>
          <w:kern w:val="2"/>
          <w:sz w:val="32"/>
          <w:szCs w:val="32"/>
          <w:lang w:val="en-US" w:eastAsia="zh-CN" w:bidi="ar-SA"/>
        </w:rPr>
        <w:t>个，其中行政单位0个，参照公务员法管理的事业单位</w:t>
      </w:r>
      <w:r>
        <w:rPr>
          <w:rFonts w:hint="eastAsia" w:hAnsi="仿宋" w:cs="Times New Roman"/>
          <w:kern w:val="2"/>
          <w:sz w:val="32"/>
          <w:szCs w:val="32"/>
          <w:lang w:val="en-US" w:eastAsia="zh-CN" w:bidi="ar-SA"/>
        </w:rPr>
        <w:t>0</w:t>
      </w:r>
      <w:r>
        <w:rPr>
          <w:rFonts w:hint="eastAsia" w:ascii="仿宋_GB2312" w:hAnsi="仿宋" w:eastAsia="仿宋_GB2312" w:cs="Times New Roman"/>
          <w:kern w:val="2"/>
          <w:sz w:val="32"/>
          <w:szCs w:val="32"/>
          <w:lang w:val="en-US" w:eastAsia="zh-CN" w:bidi="ar-SA"/>
        </w:rPr>
        <w:t>个，其他事业单位0个。</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firstLineChars="200"/>
        <w:textAlignment w:val="auto"/>
        <w:rPr>
          <w:rFonts w:hint="default" w:ascii="仿宋" w:hAnsi="仿宋" w:eastAsia="仿宋" w:cs="仿宋_GB2312"/>
          <w:sz w:val="32"/>
          <w:szCs w:val="32"/>
          <w:lang w:val="en-US" w:eastAsia="zh-CN"/>
        </w:rPr>
      </w:pPr>
      <w:r>
        <w:rPr>
          <w:rFonts w:hint="eastAsia" w:ascii="仿宋_GB2312" w:hAnsi="仿宋" w:eastAsia="仿宋_GB2312" w:cs="Times New Roman"/>
          <w:kern w:val="2"/>
          <w:sz w:val="32"/>
          <w:szCs w:val="32"/>
          <w:lang w:val="en-US" w:eastAsia="zh-CN" w:bidi="ar-SA"/>
        </w:rPr>
        <w:t>实施小学义务教育，促进基础教育发展。小学学历教育（相关社会服务）。</w:t>
      </w:r>
    </w:p>
    <w:p>
      <w:pPr>
        <w:numPr>
          <w:ilvl w:val="0"/>
          <w:numId w:val="5"/>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pStyle w:val="12"/>
        <w:keepNext w:val="0"/>
        <w:keepLines w:val="0"/>
        <w:pageBreakBefore w:val="0"/>
        <w:widowControl/>
        <w:kinsoku/>
        <w:wordWrap/>
        <w:overflowPunct/>
        <w:topLinePunct w:val="0"/>
        <w:autoSpaceDE/>
        <w:autoSpaceDN/>
        <w:bidi w:val="0"/>
        <w:spacing w:beforeAutospacing="0" w:afterAutospacing="0" w:line="520" w:lineRule="exact"/>
        <w:ind w:firstLine="640" w:firstLineChars="200"/>
        <w:jc w:val="both"/>
        <w:textAlignment w:val="auto"/>
        <w:rPr>
          <w:rFonts w:ascii="仿宋" w:hAnsi="仿宋" w:eastAsia="仿宋" w:cs="仿宋_GB2312"/>
          <w:sz w:val="32"/>
          <w:szCs w:val="32"/>
        </w:rPr>
      </w:pPr>
      <w:r>
        <w:rPr>
          <w:rFonts w:hint="eastAsia" w:ascii="仿宋_GB2312" w:hAnsi="仿宋" w:eastAsia="仿宋_GB2312" w:cs="Times New Roman"/>
          <w:kern w:val="2"/>
          <w:sz w:val="32"/>
          <w:szCs w:val="32"/>
          <w:lang w:val="en-US" w:eastAsia="zh-CN" w:bidi="ar-SA"/>
        </w:rPr>
        <w:t>上年末我校在职教职工78人，2018年调入8人、调出2人，退休人减少3人，增加公招2人，2019年末实际83人（包括编外临聘人员1人）。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1172.19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1172.01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0.02</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1184.2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1183.35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60"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3"/>
        <w:rPr>
          <w:rStyle w:val="26"/>
          <w:rFonts w:ascii="仿宋" w:hAnsi="仿宋" w:eastAsia="仿宋"/>
          <w:b w:val="0"/>
          <w:bCs w:val="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10" w:usb3="00000000" w:csb0="00040000"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ED997BC"/>
    <w:multiLevelType w:val="singleLevel"/>
    <w:tmpl w:val="1ED997BC"/>
    <w:lvl w:ilvl="0" w:tentative="0">
      <w:start w:val="2"/>
      <w:numFmt w:val="chineseCounting"/>
      <w:suff w:val="nothing"/>
      <w:lvlText w:val="（%1）"/>
      <w:lvlJc w:val="left"/>
      <w:rPr>
        <w:rFonts w:hint="eastAsia"/>
      </w:rPr>
    </w:lvl>
  </w:abstractNum>
  <w:abstractNum w:abstractNumId="4">
    <w:nsid w:val="4E214E93"/>
    <w:multiLevelType w:val="singleLevel"/>
    <w:tmpl w:val="4E214E93"/>
    <w:lvl w:ilvl="0" w:tentative="0">
      <w:start w:val="3"/>
      <w:numFmt w:val="decimal"/>
      <w:lvlText w:val="%1."/>
      <w:lvlJc w:val="left"/>
      <w:pPr>
        <w:tabs>
          <w:tab w:val="left" w:pos="312"/>
        </w:tabs>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9BE5A3C"/>
    <w:rsid w:val="10C055FF"/>
    <w:rsid w:val="11EF64F4"/>
    <w:rsid w:val="16BB723D"/>
    <w:rsid w:val="176F43EB"/>
    <w:rsid w:val="19D81BE7"/>
    <w:rsid w:val="205F0ADF"/>
    <w:rsid w:val="240371BF"/>
    <w:rsid w:val="29FD04D3"/>
    <w:rsid w:val="30D66A5B"/>
    <w:rsid w:val="319F7F4E"/>
    <w:rsid w:val="39EB7C40"/>
    <w:rsid w:val="3A725045"/>
    <w:rsid w:val="3AB65803"/>
    <w:rsid w:val="419C52C0"/>
    <w:rsid w:val="4BC94B7E"/>
    <w:rsid w:val="4ECE2238"/>
    <w:rsid w:val="54412ED6"/>
    <w:rsid w:val="590C382F"/>
    <w:rsid w:val="72734D90"/>
    <w:rsid w:val="7FB066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18&#20915;&#31639;\2018&#20915;&#31639;&#20844;&#24320;\&#22270;&#26631;&#27169;&#2925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018&#20915;&#31639;\2018&#20915;&#31639;&#20844;&#24320;\&#22270;&#26631;&#27169;&#29256;.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018&#20915;&#31639;\2018&#20915;&#31639;&#20844;&#24320;\&#22270;&#26631;&#27169;&#29256;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18&#20915;&#31639;\2018&#20915;&#31639;&#20844;&#24320;\&#22270;&#26631;&#27169;&#2925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18&#20915;&#31639;\2018&#20915;&#31639;&#20844;&#24320;\&#22270;&#26631;&#27169;&#2925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18&#20915;&#31639;\2018&#20915;&#31639;&#20844;&#24320;\&#22270;&#26631;&#27169;&#2925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777654252362424"/>
          <c:y val="0.197671957671958"/>
          <c:w val="0.882032768675368"/>
          <c:h val="0.649820105820106"/>
        </c:manualLayout>
      </c:layout>
      <c:barChart>
        <c:barDir val="col"/>
        <c:grouping val="clustered"/>
        <c:varyColors val="0"/>
        <c:ser>
          <c:idx val="0"/>
          <c:order val="0"/>
          <c:tx>
            <c:strRef>
              <c:f>[图标模版.xls]Sheet1!$A$8</c:f>
              <c:strCache>
                <c:ptCount val="1"/>
                <c:pt idx="0">
                  <c:v>2018年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[图标模版.xls]Sheet1!$B$7:$C$7</c:f>
              <c:strCache>
                <c:ptCount val="2"/>
                <c:pt idx="0">
                  <c:v>收入</c:v>
                </c:pt>
                <c:pt idx="1">
                  <c:v>支出</c:v>
                </c:pt>
              </c:strCache>
            </c:strRef>
          </c:cat>
          <c:val>
            <c:numRef>
              <c:f>[图标模版.xls]Sheet1!$B$8:$C$8</c:f>
              <c:numCache>
                <c:formatCode>General</c:formatCode>
                <c:ptCount val="2"/>
                <c:pt idx="0">
                  <c:v>1173.32</c:v>
                </c:pt>
                <c:pt idx="1">
                  <c:v>1173.32</c:v>
                </c:pt>
              </c:numCache>
            </c:numRef>
          </c:val>
        </c:ser>
        <c:ser>
          <c:idx val="1"/>
          <c:order val="1"/>
          <c:tx>
            <c:strRef>
              <c:f>[图标模版.xls]Sheet1!$A$9</c:f>
              <c:strCache>
                <c:ptCount val="1"/>
                <c:pt idx="0">
                  <c:v>2019年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[图标模版.xls]Sheet1!$B$7:$C$7</c:f>
              <c:strCache>
                <c:ptCount val="2"/>
                <c:pt idx="0">
                  <c:v>收入</c:v>
                </c:pt>
                <c:pt idx="1">
                  <c:v>支出</c:v>
                </c:pt>
              </c:strCache>
            </c:strRef>
          </c:cat>
          <c:val>
            <c:numRef>
              <c:f>[图标模版.xls]Sheet1!$B$9:$C$9</c:f>
              <c:numCache>
                <c:formatCode>General</c:formatCode>
                <c:ptCount val="2"/>
                <c:pt idx="0">
                  <c:v>1185.34</c:v>
                </c:pt>
                <c:pt idx="1">
                  <c:v>1185.34</c:v>
                </c:pt>
              </c:numCache>
            </c:numRef>
          </c:val>
        </c:ser>
        <c:dLbls>
          <c:showLegendKey val="0"/>
          <c:showVal val="0"/>
          <c:showCatName val="0"/>
          <c:showSerName val="0"/>
          <c:showPercent val="0"/>
          <c:showBubbleSize val="0"/>
        </c:dLbls>
        <c:gapWidth val="219"/>
        <c:overlap val="-27"/>
        <c:axId val="363079897"/>
        <c:axId val="843038874"/>
      </c:barChart>
      <c:catAx>
        <c:axId val="36307989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038874"/>
        <c:crosses val="autoZero"/>
        <c:auto val="1"/>
        <c:lblAlgn val="ctr"/>
        <c:lblOffset val="100"/>
        <c:noMultiLvlLbl val="0"/>
      </c:catAx>
      <c:valAx>
        <c:axId val="84303887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3079897"/>
        <c:crosses val="autoZero"/>
        <c:crossBetween val="between"/>
      </c:valAx>
      <c:spPr>
        <a:noFill/>
        <a:ln>
          <a:noFill/>
        </a:ln>
        <a:effectLst/>
      </c:spPr>
    </c:plotArea>
    <c:legend>
      <c:legendPos val="b"/>
      <c:layout>
        <c:manualLayout>
          <c:xMode val="edge"/>
          <c:yMode val="edge"/>
          <c:x val="0.3875"/>
          <c:y val="0.8945"/>
          <c:w val="0.2245"/>
          <c:h val="0.07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212049765258216"/>
          <c:y val="0.346235763017177"/>
          <c:w val="0.3476"/>
          <c:h val="0.489577464788732"/>
        </c:manualLayout>
      </c:layout>
      <c:pieChart>
        <c:varyColors val="1"/>
        <c:ser>
          <c:idx val="0"/>
          <c:order val="0"/>
          <c:tx>
            <c:strRef>
              <c:f>[图标模版.xls]Sheet1!$A$17</c:f>
              <c:strCache>
                <c:ptCount val="1"/>
                <c:pt idx="0">
                  <c:v>占比</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dLbl>
              <c:idx val="1"/>
              <c:layout>
                <c:manualLayout>
                  <c:x val="0.138265777436172"/>
                  <c:y val="0.045034937964158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52108248031316"/>
                  <c:y val="-0.070868684327084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7118531189734"/>
                  <c:y val="-0.04973549851284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multiLvlStrRef>
              <c:f>[图标模版.xls]Sheet1!$B$15:$E$16</c:f>
              <c:multiLvlStrCache>
                <c:ptCount val="4"/>
                <c:lvl>
                  <c:pt idx="0">
                    <c:v>1172.19</c:v>
                  </c:pt>
                  <c:pt idx="1">
                    <c:v>0</c:v>
                  </c:pt>
                  <c:pt idx="2">
                    <c:v>0.18</c:v>
                  </c:pt>
                </c:lvl>
                <c:lvl>
                  <c:pt idx="0">
                    <c:v>一般公共预算财政拨款收入</c:v>
                  </c:pt>
                  <c:pt idx="1">
                    <c:v>事业收入</c:v>
                  </c:pt>
                  <c:pt idx="2">
                    <c:v>其他收入</c:v>
                  </c:pt>
                </c:lvl>
              </c:multiLvlStrCache>
            </c:multiLvlStrRef>
          </c:cat>
          <c:val>
            <c:numRef>
              <c:f>[图标模版.xls]Sheet1!$B$17:$E$17</c:f>
              <c:numCache>
                <c:formatCode>0.00%</c:formatCode>
                <c:ptCount val="4"/>
                <c:pt idx="0">
                  <c:v>0.9998</c:v>
                </c:pt>
                <c:pt idx="1">
                  <c:v>0</c:v>
                </c:pt>
                <c:pt idx="2">
                  <c:v>0.0002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3"/>
        <c:delete val="1"/>
      </c:legendEntry>
      <c:layout>
        <c:manualLayout>
          <c:xMode val="edge"/>
          <c:yMode val="edge"/>
          <c:x val="0.552641533224058"/>
          <c:y val="0.438997821350763"/>
          <c:w val="0.3945"/>
          <c:h val="0.31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[图标模版2.xls]Sheet1!$A$20</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[图标模版2.xls]Sheet1!$B$18:$C$19</c:f>
              <c:multiLvlStrCache>
                <c:ptCount val="2"/>
                <c:lvl>
                  <c:pt idx="0">
                    <c:v>1183.35万元</c:v>
                  </c:pt>
                  <c:pt idx="1">
                    <c:v>0.84万元</c:v>
                  </c:pt>
                </c:lvl>
                <c:lvl>
                  <c:pt idx="0">
                    <c:v>基本支出</c:v>
                  </c:pt>
                  <c:pt idx="1">
                    <c:v>项目支出</c:v>
                  </c:pt>
                </c:lvl>
              </c:multiLvlStrCache>
            </c:multiLvlStrRef>
          </c:cat>
          <c:val>
            <c:numRef>
              <c:f>[图标模版2.xls]Sheet1!$B$20:$C$20</c:f>
              <c:numCache>
                <c:formatCode>0.00%</c:formatCode>
                <c:ptCount val="2"/>
                <c:pt idx="0">
                  <c:v>0.9992</c:v>
                </c:pt>
                <c:pt idx="1">
                  <c:v>0.0008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财政拨款收、支决算总计变动情况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82443454053909"/>
          <c:y val="0.0512958924804743"/>
        </c:manualLayout>
      </c:layout>
      <c:overlay val="0"/>
      <c:spPr>
        <a:noFill/>
        <a:ln>
          <a:noFill/>
        </a:ln>
        <a:effectLst/>
      </c:spPr>
    </c:title>
    <c:autoTitleDeleted val="0"/>
    <c:plotArea>
      <c:layout>
        <c:manualLayout>
          <c:layoutTarget val="inner"/>
          <c:xMode val="edge"/>
          <c:yMode val="edge"/>
          <c:x val="0.0588557004627682"/>
          <c:y val="0.226666666666667"/>
          <c:w val="0.910643668489693"/>
          <c:h val="0.640507936507937"/>
        </c:manualLayout>
      </c:layout>
      <c:barChart>
        <c:barDir val="col"/>
        <c:grouping val="clustered"/>
        <c:varyColors val="0"/>
        <c:ser>
          <c:idx val="0"/>
          <c:order val="0"/>
          <c:tx>
            <c:strRef>
              <c:f>[图标模版.xls]Sheet1!$A$12</c:f>
              <c:strCache>
                <c:ptCount val="1"/>
                <c:pt idx="0">
                  <c:v>2018年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[图标模版.xls]Sheet1!$B$11:$C$11</c:f>
              <c:strCache>
                <c:ptCount val="2"/>
                <c:pt idx="0">
                  <c:v>财政拨款收入</c:v>
                </c:pt>
                <c:pt idx="1">
                  <c:v>财政拨款支出</c:v>
                </c:pt>
              </c:strCache>
            </c:strRef>
          </c:cat>
          <c:val>
            <c:numRef>
              <c:f>[图标模版.xls]Sheet1!$B$12:$C$12</c:f>
              <c:numCache>
                <c:formatCode>General</c:formatCode>
                <c:ptCount val="2"/>
                <c:pt idx="0">
                  <c:v>1173.17</c:v>
                </c:pt>
                <c:pt idx="1">
                  <c:v>1173.17</c:v>
                </c:pt>
              </c:numCache>
            </c:numRef>
          </c:val>
        </c:ser>
        <c:ser>
          <c:idx val="1"/>
          <c:order val="1"/>
          <c:tx>
            <c:strRef>
              <c:f>[图标模版.xls]Sheet1!$A$13</c:f>
              <c:strCache>
                <c:ptCount val="1"/>
                <c:pt idx="0">
                  <c:v>2019年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[图标模版.xls]Sheet1!$B$11:$C$11</c:f>
              <c:strCache>
                <c:ptCount val="2"/>
                <c:pt idx="0">
                  <c:v>财政拨款收入</c:v>
                </c:pt>
                <c:pt idx="1">
                  <c:v>财政拨款支出</c:v>
                </c:pt>
              </c:strCache>
            </c:strRef>
          </c:cat>
          <c:val>
            <c:numRef>
              <c:f>[图标模版.xls]Sheet1!$B$13:$C$13</c:f>
              <c:numCache>
                <c:formatCode>General</c:formatCode>
                <c:ptCount val="2"/>
                <c:pt idx="0">
                  <c:v>1185.15</c:v>
                </c:pt>
                <c:pt idx="1">
                  <c:v>1185.15</c:v>
                </c:pt>
              </c:numCache>
            </c:numRef>
          </c:val>
        </c:ser>
        <c:dLbls>
          <c:showLegendKey val="0"/>
          <c:showVal val="0"/>
          <c:showCatName val="0"/>
          <c:showSerName val="0"/>
          <c:showPercent val="0"/>
          <c:showBubbleSize val="0"/>
        </c:dLbls>
        <c:gapWidth val="219"/>
        <c:overlap val="-27"/>
        <c:axId val="669284751"/>
        <c:axId val="855818507"/>
      </c:barChart>
      <c:catAx>
        <c:axId val="66928475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5818507"/>
        <c:crosses val="autoZero"/>
        <c:auto val="1"/>
        <c:lblAlgn val="ctr"/>
        <c:lblOffset val="100"/>
        <c:noMultiLvlLbl val="0"/>
      </c:catAx>
      <c:valAx>
        <c:axId val="85581850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284751"/>
        <c:crosses val="autoZero"/>
        <c:crossBetween val="between"/>
      </c:valAx>
      <c:spPr>
        <a:noFill/>
        <a:ln>
          <a:noFill/>
        </a:ln>
        <a:effectLst/>
      </c:spPr>
    </c:plotArea>
    <c:legend>
      <c:legendPos val="b"/>
      <c:layout>
        <c:manualLayout>
          <c:xMode val="edge"/>
          <c:yMode val="edge"/>
          <c:x val="0.3875"/>
          <c:y val="0.8945"/>
          <c:w val="0.2245"/>
          <c:h val="0.07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29651593773165"/>
          <c:y val="0.165006830547421"/>
          <c:w val="0.882"/>
          <c:h val="0.736436732966568"/>
        </c:manualLayout>
      </c:layout>
      <c:barChart>
        <c:barDir val="col"/>
        <c:grouping val="clustered"/>
        <c:varyColors val="0"/>
        <c:ser>
          <c:idx val="0"/>
          <c:order val="0"/>
          <c:tx>
            <c:strRef>
              <c:f>[图标模版.xls]Sheet1!$B$11</c:f>
              <c:strCache>
                <c:ptCount val="1"/>
                <c:pt idx="0">
                  <c:v>财政拨款收入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[图标模版.xls]Sheet1!$A$12:$A$13</c:f>
              <c:strCache>
                <c:ptCount val="2"/>
                <c:pt idx="0">
                  <c:v>2018年</c:v>
                </c:pt>
                <c:pt idx="1">
                  <c:v>2019年</c:v>
                </c:pt>
              </c:strCache>
            </c:strRef>
          </c:cat>
          <c:val>
            <c:numRef>
              <c:f>[图标模版.xls]Sheet1!$B$12:$B$13</c:f>
              <c:numCache>
                <c:formatCode>General</c:formatCode>
                <c:ptCount val="2"/>
                <c:pt idx="0">
                  <c:v>1171.37</c:v>
                </c:pt>
                <c:pt idx="1">
                  <c:v>1184.2</c:v>
                </c:pt>
              </c:numCache>
            </c:numRef>
          </c:val>
        </c:ser>
        <c:dLbls>
          <c:showLegendKey val="0"/>
          <c:showVal val="0"/>
          <c:showCatName val="0"/>
          <c:showSerName val="0"/>
          <c:showPercent val="0"/>
          <c:showBubbleSize val="0"/>
        </c:dLbls>
        <c:gapWidth val="219"/>
        <c:overlap val="-27"/>
        <c:axId val="607862276"/>
        <c:axId val="664584845"/>
      </c:barChart>
      <c:catAx>
        <c:axId val="6078622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4584845"/>
        <c:crosses val="autoZero"/>
        <c:auto val="1"/>
        <c:lblAlgn val="ctr"/>
        <c:lblOffset val="100"/>
        <c:noMultiLvlLbl val="0"/>
      </c:catAx>
      <c:valAx>
        <c:axId val="66458484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8622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[图标模版.xls]Sheet1!$A$4</c:f>
              <c:strCache>
                <c:ptCount val="1"/>
                <c:pt idx="0">
                  <c:v>占比</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dLbl>
              <c:idx val="3"/>
              <c:layout>
                <c:manualLayout>
                  <c:x val="0.0245829606763512"/>
                  <c:y val="0.087650330689671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multiLvlStrRef>
              <c:f>[图标模版.xls]Sheet1!$B$2:$E$3</c:f>
              <c:multiLvlStrCache>
                <c:ptCount val="4"/>
                <c:lvl>
                  <c:pt idx="0">
                    <c:v>908.93万元</c:v>
                  </c:pt>
                  <c:pt idx="1">
                    <c:v>130.92万元</c:v>
                  </c:pt>
                  <c:pt idx="2">
                    <c:v>55.13万元</c:v>
                  </c:pt>
                  <c:pt idx="3">
                    <c:v>89.19万元</c:v>
                  </c:pt>
                </c:lvl>
                <c:lvl>
                  <c:pt idx="0">
                    <c:v>教育支出</c:v>
                  </c:pt>
                  <c:pt idx="1">
                    <c:v>社会保障和就业</c:v>
                  </c:pt>
                  <c:pt idx="2">
                    <c:v>医疗卫生支出</c:v>
                  </c:pt>
                  <c:pt idx="3">
                    <c:v>住房保障支出</c:v>
                  </c:pt>
                </c:lvl>
              </c:multiLvlStrCache>
            </c:multiLvlStrRef>
          </c:cat>
          <c:val>
            <c:numRef>
              <c:f>[图标模版.xls]Sheet1!$B$4:$E$4</c:f>
              <c:numCache>
                <c:formatCode>0.00%</c:formatCode>
                <c:ptCount val="4"/>
                <c:pt idx="0">
                  <c:v>0.7675</c:v>
                </c:pt>
                <c:pt idx="1">
                  <c:v>0.1106</c:v>
                </c:pt>
                <c:pt idx="2">
                  <c:v>0.0466</c:v>
                </c:pt>
                <c:pt idx="3">
                  <c:v>0.0753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63"/>
          <c:y val="0.8305"/>
          <c:w val="0.67375"/>
          <c:h val="0.14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10</TotalTime>
  <ScaleCrop>false</ScaleCrop>
  <LinksUpToDate>false</LinksUpToDate>
  <CharactersWithSpaces>8536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2020-11-23T02:51:44Z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