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96475"/>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9647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攀枝花市西区格里坪镇中心学校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24</w:t>
      </w:r>
      <w:r>
        <w:rPr>
          <w:rFonts w:hint="eastAsia"/>
        </w:rPr>
        <w:t>日</w:t>
      </w:r>
    </w:p>
    <w:p/>
    <w:p>
      <w:pPr>
        <w:pStyle w:val="11"/>
        <w:adjustRightInd w:val="0"/>
        <w:snapToGrid w:val="0"/>
        <w:spacing w:line="440" w:lineRule="exact"/>
        <w:ind w:left="0" w:leftChars="0" w:firstLine="0" w:firstLineChars="0"/>
        <w:jc w:val="left"/>
        <w:rPr>
          <w:rFonts w:cstheme="minorBidi"/>
          <w:sz w:val="24"/>
          <w:szCs w:val="24"/>
        </w:rPr>
      </w:pPr>
      <w:bookmarkStart w:id="12" w:name="_Toc15377196"/>
      <w:bookmarkStart w:id="13" w:name="_Toc15396599"/>
      <w:r>
        <w:rPr>
          <w:rFonts w:hint="eastAsia" w:ascii="仿宋" w:hAnsi="仿宋" w:eastAsia="仿宋" w:cs="Times New Roman"/>
          <w:kern w:val="2"/>
          <w:sz w:val="24"/>
          <w:szCs w:val="28"/>
          <w:lang w:val="en-US" w:eastAsia="zh-CN" w:bidi="ar-SA"/>
        </w:rPr>
        <w:t>第一部分 部门概况</w:t>
      </w:r>
      <w:r>
        <w:tab/>
      </w:r>
      <w:r>
        <w:rPr>
          <w:rFonts w:hint="eastAsia"/>
        </w:rPr>
        <w:t>4</w:t>
      </w:r>
    </w:p>
    <w:p>
      <w:pPr>
        <w:pStyle w:val="11"/>
        <w:adjustRightInd w:val="0"/>
        <w:snapToGrid w:val="0"/>
        <w:spacing w:line="440" w:lineRule="exact"/>
        <w:jc w:val="left"/>
        <w:rPr>
          <w:rFonts w:ascii="仿宋" w:hAnsi="仿宋" w:eastAsia="仿宋"/>
          <w:sz w:val="24"/>
        </w:rPr>
      </w:pPr>
      <w:r>
        <w:rPr>
          <w:rFonts w:hint="eastAsia"/>
          <w:sz w:val="24"/>
        </w:rPr>
        <w:t>一、基本职能及主要工作</w:t>
      </w:r>
      <w:r>
        <w:tab/>
      </w:r>
      <w:r>
        <w:rPr>
          <w:rFonts w:hint="eastAsia"/>
        </w:rPr>
        <w:t>4</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tab/>
      </w:r>
      <w:r>
        <w:rPr>
          <w:rFonts w:hint="eastAsia"/>
          <w:lang w:val="en-US" w:eastAsia="zh-CN"/>
        </w:rPr>
        <w:t>5</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第二部分度部门决算情况说明</w:t>
      </w:r>
      <w:r>
        <w:tab/>
      </w:r>
      <w:r>
        <w:rPr>
          <w:rFonts w:hint="eastAsia"/>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tab/>
      </w:r>
      <w:r>
        <w:rPr>
          <w:rFonts w:hint="eastAsia"/>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8</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8</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11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tab/>
      </w:r>
      <w:r>
        <w:rPr>
          <w:rFonts w:hint="eastAsia"/>
          <w:lang w:val="en-US" w:eastAsia="zh-CN"/>
        </w:rPr>
        <w:t>11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12</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tab/>
      </w:r>
      <w:r>
        <w:rPr>
          <w:rFonts w:hint="eastAsia"/>
          <w:lang w:val="en-US" w:eastAsia="zh-CN"/>
        </w:rPr>
        <w:t>12</w:t>
      </w:r>
    </w:p>
    <w:p>
      <w:pPr>
        <w:adjustRightInd w:val="0"/>
        <w:snapToGrid w:val="0"/>
        <w:spacing w:line="440" w:lineRule="exact"/>
        <w:ind w:firstLine="480" w:firstLineChars="200"/>
        <w:jc w:val="left"/>
        <w:rPr>
          <w:rFonts w:hint="default" w:ascii="仿宋" w:hAnsi="仿宋" w:eastAsia="宋体" w:cstheme="minorBidi"/>
          <w:sz w:val="24"/>
          <w:lang w:val="en-US" w:eastAsia="zh-CN"/>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r>
        <w:tab/>
      </w:r>
      <w:r>
        <w:rPr>
          <w:rFonts w:hint="eastAsia"/>
          <w:lang w:val="en-US" w:eastAsia="zh-CN"/>
        </w:rPr>
        <w:t xml:space="preserve">                                     12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ascii="Times New Roman" w:hAnsi="Times New Roman" w:eastAsia="宋体" w:cs="Times New Roman"/>
          <w:kern w:val="2"/>
          <w:sz w:val="21"/>
          <w:szCs w:val="24"/>
          <w:lang w:val="en-US" w:eastAsia="zh-CN" w:bidi="ar-SA"/>
        </w:rPr>
        <w:t>17</w:t>
      </w:r>
    </w:p>
    <w:p>
      <w:pPr>
        <w:pStyle w:val="10"/>
        <w:adjustRightInd w:val="0"/>
        <w:snapToGrid w:val="0"/>
        <w:spacing w:before="0" w:line="440" w:lineRule="exact"/>
        <w:jc w:val="left"/>
        <w:rPr>
          <w:rFonts w:hint="default" w:ascii="Times New Roman" w:hAnsi="Times New Roman" w:eastAsia="仿宋" w:cs="Times New Roman"/>
          <w:kern w:val="2"/>
          <w:sz w:val="21"/>
          <w:szCs w:val="24"/>
          <w:lang w:val="en-US" w:eastAsia="zh-CN" w:bidi="ar-SA"/>
        </w:rPr>
      </w:pPr>
      <w:r>
        <w:rPr>
          <w:rFonts w:hint="eastAsia"/>
          <w:sz w:val="24"/>
        </w:rPr>
        <w:t>第四部分</w:t>
      </w:r>
      <w:r>
        <w:rPr>
          <w:sz w:val="24"/>
        </w:rPr>
        <w:t xml:space="preserve"> </w:t>
      </w:r>
      <w:r>
        <w:rPr>
          <w:rFonts w:hint="eastAsia"/>
          <w:sz w:val="24"/>
        </w:rPr>
        <w:t>附件</w:t>
      </w:r>
      <w:r>
        <w:tab/>
      </w:r>
      <w:r>
        <w:rPr>
          <w:rFonts w:hint="eastAsia" w:ascii="Times New Roman" w:hAnsi="Times New Roman" w:eastAsia="宋体" w:cs="Times New Roman"/>
          <w:kern w:val="2"/>
          <w:sz w:val="21"/>
          <w:szCs w:val="24"/>
          <w:lang w:val="en-US" w:eastAsia="zh-CN" w:bidi="ar-SA"/>
        </w:rPr>
        <w:t>20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tab/>
      </w:r>
      <w:r>
        <w:rPr>
          <w:rFonts w:hint="eastAsia"/>
          <w:lang w:val="en-US" w:eastAsia="zh-CN"/>
        </w:rPr>
        <w:t>20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tab/>
      </w:r>
      <w:r>
        <w:rPr>
          <w:rFonts w:hint="eastAsia"/>
          <w:lang w:val="en-US" w:eastAsia="zh-CN"/>
        </w:rPr>
        <w:t>21</w:t>
      </w:r>
    </w:p>
    <w:p>
      <w:pPr>
        <w:pStyle w:val="10"/>
        <w:adjustRightInd w:val="0"/>
        <w:snapToGrid w:val="0"/>
        <w:spacing w:before="0" w:line="440" w:lineRule="exact"/>
        <w:jc w:val="left"/>
        <w:rPr>
          <w:rFonts w:hint="default" w:ascii="Times New Roman" w:hAnsi="Times New Roman" w:eastAsia="宋体" w:cs="Times New Roman"/>
          <w:kern w:val="2"/>
          <w:sz w:val="21"/>
          <w:szCs w:val="24"/>
          <w:lang w:val="en-US" w:eastAsia="zh-CN" w:bidi="ar-SA"/>
        </w:rPr>
      </w:pPr>
      <w:r>
        <w:rPr>
          <w:rFonts w:hint="eastAsia"/>
          <w:sz w:val="24"/>
        </w:rPr>
        <w:t>第五部分</w:t>
      </w:r>
      <w:r>
        <w:rPr>
          <w:sz w:val="24"/>
        </w:rPr>
        <w:t xml:space="preserve"> </w:t>
      </w:r>
      <w:r>
        <w:rPr>
          <w:rFonts w:hint="eastAsia"/>
          <w:sz w:val="24"/>
        </w:rPr>
        <w:t>附表</w:t>
      </w:r>
      <w:r>
        <w:tab/>
      </w:r>
      <w:r>
        <w:rPr>
          <w:rFonts w:hint="eastAsia" w:ascii="Times New Roman" w:hAnsi="Times New Roman" w:eastAsia="宋体" w:cs="Times New Roman"/>
          <w:kern w:val="2"/>
          <w:sz w:val="21"/>
          <w:szCs w:val="24"/>
          <w:lang w:val="en-US" w:eastAsia="zh-CN" w:bidi="ar-SA"/>
        </w:rPr>
        <w:t>25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一、收入支出决算总表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二、收入决算表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三、支出决算表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四、财政拨款收入支出决算总表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五、财政拨款支出决算明细表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七、一般公共预算财政拨款支出决算明细表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八、一般公共预算财政拨款基本支出决算表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十、一般公共预算财政拨款“三公”经费支出决算表</w:t>
      </w:r>
      <w:r>
        <w:rPr>
          <w:rFonts w:hint="eastAsia"/>
          <w:sz w:val="24"/>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lang w:val="en-US" w:eastAsia="zh-CN"/>
        </w:rPr>
        <w:t>十一、政府性基金预算财政拨款收入支出决算表</w:t>
      </w:r>
      <w:r>
        <w:rPr>
          <w:rFonts w:hint="eastAsia"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w:t>
      </w:r>
      <w:r>
        <w:rPr>
          <w:rFonts w:hint="eastAsia" w:cs="Times New Roman"/>
          <w:kern w:val="2"/>
          <w:sz w:val="21"/>
          <w:szCs w:val="24"/>
          <w:lang w:val="en-US" w:eastAsia="zh-CN" w:bidi="ar-SA"/>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十二、政府性基金预算财政拨款“三公”经费支出决算表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十三、</w:t>
      </w:r>
      <w:r>
        <w:rPr>
          <w:rFonts w:hint="eastAsia"/>
          <w:sz w:val="24"/>
        </w:rPr>
        <w:t>国有资本经营预算支出决算表</w:t>
      </w:r>
      <w:r>
        <w:tab/>
      </w:r>
      <w:r>
        <w:rPr>
          <w:rFonts w:hint="eastAsia"/>
          <w:lang w:val="en-US" w:eastAsia="zh-CN"/>
        </w:rPr>
        <w:t>25</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ind w:firstLine="640" w:firstLineChars="200"/>
        <w:rPr>
          <w:rFonts w:hint="eastAsia" w:ascii="宋体" w:hAnsi="宋体"/>
          <w:sz w:val="28"/>
          <w:szCs w:val="28"/>
        </w:rPr>
      </w:pPr>
      <w:r>
        <w:rPr>
          <w:rFonts w:hint="eastAsia" w:ascii="仿宋" w:hAnsi="仿宋" w:eastAsia="仿宋"/>
          <w:bCs/>
          <w:color w:val="000000"/>
          <w:kern w:val="0"/>
          <w:sz w:val="32"/>
          <w:szCs w:val="32"/>
          <w:lang w:val="en-US" w:eastAsia="zh-CN" w:bidi="ar-SA"/>
        </w:rPr>
        <w:t>我校秉承“回归孩子天性，搭建成长平台”的办学理念，遵循“以爱为源、尊重个性、以人为本、师生共进”的办学思想，践行“围绕一个中心；做到两个依靠；坚持三个遵循；落实四个加强”的办学思路，让学生在全面发展的过程中快乐成长，让教师在教书育人的成功中实现自我发展，并努力成为攀枝花市一流的农村学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adjustRightInd w:val="0"/>
        <w:snapToGrid w:val="0"/>
        <w:spacing w:line="360" w:lineRule="auto"/>
        <w:ind w:firstLine="640" w:firstLineChars="200"/>
        <w:jc w:val="left"/>
        <w:rPr>
          <w:rFonts w:hint="eastAsia" w:ascii="仿宋" w:hAnsi="仿宋" w:eastAsia="仿宋"/>
          <w:bCs/>
          <w:color w:val="000000"/>
          <w:kern w:val="0"/>
          <w:sz w:val="32"/>
          <w:szCs w:val="32"/>
          <w:lang w:val="en-US" w:eastAsia="zh-CN" w:bidi="ar-SA"/>
        </w:rPr>
      </w:pPr>
      <w:r>
        <w:rPr>
          <w:rFonts w:hint="eastAsia" w:ascii="仿宋" w:hAnsi="仿宋" w:eastAsia="仿宋"/>
          <w:bCs/>
          <w:color w:val="000000"/>
          <w:kern w:val="0"/>
          <w:sz w:val="32"/>
          <w:szCs w:val="32"/>
          <w:lang w:val="en-US" w:eastAsia="zh-CN" w:bidi="ar-SA"/>
        </w:rPr>
        <w:t>1、常规管理</w:t>
      </w:r>
    </w:p>
    <w:p>
      <w:pPr>
        <w:adjustRightInd w:val="0"/>
        <w:snapToGrid w:val="0"/>
        <w:spacing w:line="360" w:lineRule="auto"/>
        <w:ind w:firstLine="640" w:firstLineChars="200"/>
        <w:jc w:val="left"/>
        <w:rPr>
          <w:rFonts w:hint="eastAsia" w:ascii="仿宋" w:hAnsi="仿宋" w:eastAsia="仿宋"/>
          <w:bCs/>
          <w:color w:val="000000"/>
          <w:kern w:val="0"/>
          <w:sz w:val="32"/>
          <w:szCs w:val="32"/>
          <w:lang w:val="en-US" w:eastAsia="zh-CN" w:bidi="ar-SA"/>
        </w:rPr>
      </w:pPr>
      <w:r>
        <w:rPr>
          <w:rFonts w:hint="eastAsia" w:ascii="仿宋" w:hAnsi="仿宋" w:eastAsia="仿宋"/>
          <w:bCs/>
          <w:color w:val="000000"/>
          <w:kern w:val="0"/>
          <w:sz w:val="32"/>
          <w:szCs w:val="32"/>
          <w:lang w:val="en-US" w:eastAsia="zh-CN" w:bidi="ar-SA"/>
        </w:rPr>
        <w:t>学校严格按照课程计划开齐课程，开足课时。进一步完善备课、上课、听课、评课，课堂巡查、作业管理、监测评价等教学常规管理制度体系。成立教学常规督查小组，从备、教、辅、批、评等环节入手，严把教学“六认真”工作。以提高教学效率和质量，切实实现减负增效。加强对教学常规检查、督促和指导，做到经常性，每次检查时，做到有记录、有数据、有评价，并将整改情况纳入教师工作考评之中，使教学常规管理规范化。</w:t>
      </w:r>
    </w:p>
    <w:p>
      <w:pPr>
        <w:adjustRightInd w:val="0"/>
        <w:snapToGrid w:val="0"/>
        <w:spacing w:line="360" w:lineRule="auto"/>
        <w:ind w:firstLine="640" w:firstLineChars="200"/>
        <w:jc w:val="left"/>
        <w:rPr>
          <w:rFonts w:hint="eastAsia" w:ascii="仿宋" w:hAnsi="仿宋" w:eastAsia="仿宋"/>
          <w:bCs/>
          <w:color w:val="000000"/>
          <w:kern w:val="0"/>
          <w:sz w:val="32"/>
          <w:szCs w:val="32"/>
          <w:lang w:val="en-US" w:eastAsia="zh-CN" w:bidi="ar-SA"/>
        </w:rPr>
      </w:pPr>
      <w:r>
        <w:rPr>
          <w:rFonts w:hint="eastAsia" w:ascii="仿宋" w:hAnsi="仿宋" w:eastAsia="仿宋"/>
          <w:bCs/>
          <w:color w:val="000000"/>
          <w:kern w:val="0"/>
          <w:sz w:val="32"/>
          <w:szCs w:val="32"/>
          <w:lang w:val="en-US" w:eastAsia="zh-CN" w:bidi="ar-SA"/>
        </w:rPr>
        <w:t>2、备课管理</w:t>
      </w:r>
    </w:p>
    <w:p>
      <w:pPr>
        <w:adjustRightInd w:val="0"/>
        <w:snapToGrid w:val="0"/>
        <w:spacing w:line="360" w:lineRule="auto"/>
        <w:ind w:firstLine="640" w:firstLineChars="200"/>
        <w:jc w:val="left"/>
        <w:rPr>
          <w:rFonts w:hint="eastAsia" w:ascii="仿宋" w:hAnsi="仿宋" w:eastAsia="仿宋"/>
          <w:bCs/>
          <w:color w:val="000000"/>
          <w:kern w:val="0"/>
          <w:sz w:val="32"/>
          <w:szCs w:val="32"/>
          <w:lang w:val="en-US" w:eastAsia="zh-CN" w:bidi="ar-SA"/>
        </w:rPr>
      </w:pPr>
      <w:r>
        <w:rPr>
          <w:rFonts w:hint="eastAsia" w:ascii="仿宋" w:hAnsi="仿宋" w:eastAsia="仿宋"/>
          <w:bCs/>
          <w:color w:val="000000"/>
          <w:kern w:val="0"/>
          <w:sz w:val="32"/>
          <w:szCs w:val="32"/>
          <w:lang w:val="en-US" w:eastAsia="zh-CN" w:bidi="ar-SA"/>
        </w:rPr>
        <w:t>备课是提高教学质量的关键，学校强化了备课过程管理。一是强化集体备课，在学科教研组的组织下分年级实施，做到了定时间、定内容、定主备人，共开展了集体备课38次。二是重视个人备课，在集体备课成果的基础上，教师个人从教学资源的开发和利用、教学过程的设计、学习活动的组织、教学效果的把握等方面对集体备课内容做适合本班学生的个性化调整。三是强调备教的灵活处理，注重课前精心预设与课堂上灵活生成的统一。形成了《三学三互》教学设计4册，《学案》修改稿4册；通过集体备课，提高了备课的质量和实用性。</w:t>
      </w:r>
    </w:p>
    <w:p>
      <w:pPr>
        <w:adjustRightInd w:val="0"/>
        <w:snapToGrid w:val="0"/>
        <w:spacing w:line="360" w:lineRule="auto"/>
        <w:ind w:firstLine="640" w:firstLineChars="200"/>
        <w:jc w:val="left"/>
        <w:rPr>
          <w:rFonts w:hint="eastAsia" w:ascii="仿宋" w:hAnsi="仿宋" w:eastAsia="仿宋"/>
          <w:bCs/>
          <w:color w:val="000000"/>
          <w:kern w:val="0"/>
          <w:sz w:val="32"/>
          <w:szCs w:val="32"/>
          <w:lang w:val="en-US" w:eastAsia="zh-CN" w:bidi="ar-SA"/>
        </w:rPr>
      </w:pPr>
      <w:r>
        <w:rPr>
          <w:rFonts w:hint="eastAsia" w:ascii="仿宋" w:hAnsi="仿宋" w:eastAsia="仿宋"/>
          <w:bCs/>
          <w:color w:val="000000"/>
          <w:kern w:val="0"/>
          <w:sz w:val="32"/>
          <w:szCs w:val="32"/>
          <w:lang w:val="en-US" w:eastAsia="zh-CN" w:bidi="ar-SA"/>
        </w:rPr>
        <w:t>3、深化“262”教学模式研究</w:t>
      </w:r>
    </w:p>
    <w:p>
      <w:pPr>
        <w:ind w:firstLine="640" w:firstLineChars="200"/>
        <w:rPr>
          <w:rFonts w:hint="eastAsia" w:ascii="仿宋" w:hAnsi="仿宋" w:eastAsia="仿宋"/>
          <w:bCs/>
          <w:color w:val="000000"/>
          <w:kern w:val="0"/>
          <w:sz w:val="32"/>
          <w:szCs w:val="32"/>
          <w:lang w:val="en-US" w:eastAsia="zh-CN" w:bidi="ar-SA"/>
        </w:rPr>
      </w:pPr>
      <w:r>
        <w:rPr>
          <w:rFonts w:hint="eastAsia" w:ascii="仿宋" w:hAnsi="仿宋" w:eastAsia="仿宋"/>
          <w:bCs/>
          <w:color w:val="000000"/>
          <w:kern w:val="0"/>
          <w:sz w:val="32"/>
          <w:szCs w:val="32"/>
          <w:lang w:val="en-US" w:eastAsia="zh-CN" w:bidi="ar-SA"/>
        </w:rPr>
        <w:t>学校教学工作坚持以“262”教学模式改革为中心；打造高效课堂；强化作业管理；落实评价激励；加强青年教师培养；促进教育教学质量在原基础上稳步提升</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攀枝花市西区</w:t>
      </w:r>
      <w:r>
        <w:rPr>
          <w:rFonts w:hint="eastAsia" w:ascii="仿宋" w:hAnsi="仿宋" w:eastAsia="仿宋"/>
          <w:sz w:val="32"/>
          <w:szCs w:val="32"/>
          <w:lang w:val="en-US" w:eastAsia="zh-CN"/>
        </w:rPr>
        <w:t>格里坪镇中心学校</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5"/>
        <w:adjustRightInd w:val="0"/>
        <w:snapToGrid w:val="0"/>
        <w:spacing w:before="93" w:line="600" w:lineRule="exact"/>
        <w:ind w:firstLine="672" w:firstLineChars="210"/>
        <w:rPr>
          <w:rFonts w:hint="default" w:ascii="仿宋" w:hAnsi="仿宋" w:eastAsia="仿宋"/>
          <w:color w:val="000000"/>
          <w:sz w:val="32"/>
          <w:szCs w:val="32"/>
          <w:lang w:val="en-US" w:eastAsia="zh-CN"/>
        </w:rPr>
      </w:pPr>
      <w:r>
        <w:rPr>
          <w:rFonts w:hint="eastAsia" w:ascii="仿宋" w:hAnsi="仿宋" w:eastAsia="仿宋"/>
          <w:color w:val="000000"/>
          <w:sz w:val="32"/>
          <w:szCs w:val="32"/>
        </w:rPr>
        <w:t>纳入</w:t>
      </w:r>
      <w:r>
        <w:rPr>
          <w:rFonts w:hint="eastAsia" w:ascii="仿宋" w:hAnsi="仿宋" w:eastAsia="仿宋"/>
          <w:sz w:val="32"/>
          <w:szCs w:val="32"/>
        </w:rPr>
        <w:t>攀枝花市西区</w:t>
      </w:r>
      <w:r>
        <w:rPr>
          <w:rFonts w:hint="eastAsia" w:ascii="仿宋" w:hAnsi="仿宋" w:eastAsia="仿宋"/>
          <w:sz w:val="32"/>
          <w:szCs w:val="32"/>
          <w:lang w:val="en-US" w:eastAsia="zh-CN"/>
        </w:rPr>
        <w:t>格里坪镇中心学校</w:t>
      </w:r>
      <w:r>
        <w:rPr>
          <w:rFonts w:hint="eastAsia" w:ascii="仿宋" w:hAnsi="仿宋" w:eastAsia="仿宋"/>
          <w:color w:val="000000"/>
          <w:sz w:val="32"/>
          <w:szCs w:val="32"/>
        </w:rPr>
        <w:t>2019年度部门决算编制范围的二级预算单位包括</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无。</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2019年度收、支总计1216.02万元。与2018年相比，收、支总计各减少</w:t>
      </w:r>
      <w:r>
        <w:rPr>
          <w:rFonts w:hint="eastAsia" w:ascii="仿宋" w:hAnsi="仿宋" w:eastAsia="仿宋"/>
          <w:color w:val="000000"/>
          <w:sz w:val="32"/>
          <w:szCs w:val="32"/>
          <w:lang w:val="en-US" w:eastAsia="zh-CN"/>
        </w:rPr>
        <w:t>6.85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0.56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学生人数减少，经费减少。</w:t>
      </w: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420" w:firstLineChars="200"/>
        <w:rPr>
          <w:rFonts w:ascii="仿宋" w:hAnsi="仿宋" w:eastAsia="仿宋"/>
          <w:color w:val="000000" w:themeColor="text1"/>
          <w:sz w:val="32"/>
          <w:szCs w:val="32"/>
        </w:rPr>
      </w:pPr>
      <w:r>
        <w:drawing>
          <wp:anchor distT="0" distB="0" distL="114300" distR="114300" simplePos="0" relativeHeight="251658240" behindDoc="0" locked="0" layoutInCell="1" allowOverlap="1">
            <wp:simplePos x="0" y="0"/>
            <wp:positionH relativeFrom="column">
              <wp:posOffset>271145</wp:posOffset>
            </wp:positionH>
            <wp:positionV relativeFrom="paragraph">
              <wp:posOffset>-1862455</wp:posOffset>
            </wp:positionV>
            <wp:extent cx="4001770" cy="2145030"/>
            <wp:effectExtent l="4445" t="4445" r="13335" b="2222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lang w:val="en-US" w:eastAsia="zh-CN"/>
        </w:rPr>
        <w:t xml:space="preserve">    </w:t>
      </w: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单位：万元</w:t>
      </w:r>
      <w:r>
        <w:rPr>
          <w:rFonts w:hint="eastAsia" w:ascii="仿宋" w:hAnsi="仿宋" w:eastAsia="仿宋"/>
          <w:color w:val="000000" w:themeColor="text1"/>
          <w:sz w:val="32"/>
          <w:szCs w:val="32"/>
          <w:lang w:eastAsia="zh-CN"/>
        </w:rPr>
        <w:t>）</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9年本年收入合计1184.32万元，其中：一般公共预算财政拨款收入1181.26万元，占</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；其他收入0.06万元，占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-1976755</wp:posOffset>
            </wp:positionV>
            <wp:extent cx="4394835" cy="2267585"/>
            <wp:effectExtent l="4445" t="4445" r="20320" b="1397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单位：万元</w:t>
      </w:r>
      <w:r>
        <w:rPr>
          <w:rFonts w:hint="eastAsia" w:ascii="仿宋" w:hAnsi="仿宋" w:eastAsia="仿宋"/>
          <w:color w:val="000000" w:themeColor="text1"/>
          <w:sz w:val="32"/>
          <w:szCs w:val="32"/>
          <w:lang w:eastAsia="zh-CN"/>
        </w:rPr>
        <w:t>）</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9年本年支出合计1214.74万元，其中：基本支出1192.94万元，占</w:t>
      </w:r>
      <w:r>
        <w:rPr>
          <w:rFonts w:hint="eastAsia" w:ascii="仿宋" w:hAnsi="仿宋" w:eastAsia="仿宋"/>
          <w:color w:val="000000"/>
          <w:sz w:val="32"/>
          <w:szCs w:val="32"/>
          <w:lang w:val="en-US" w:eastAsia="zh-CN"/>
        </w:rPr>
        <w:t>98.21</w:t>
      </w:r>
      <w:r>
        <w:rPr>
          <w:rFonts w:ascii="仿宋" w:hAnsi="仿宋" w:eastAsia="仿宋"/>
          <w:color w:val="000000"/>
          <w:sz w:val="32"/>
          <w:szCs w:val="32"/>
        </w:rPr>
        <w:t>%</w:t>
      </w:r>
      <w:r>
        <w:rPr>
          <w:rFonts w:hint="eastAsia" w:ascii="仿宋" w:hAnsi="仿宋" w:eastAsia="仿宋"/>
          <w:color w:val="000000"/>
          <w:sz w:val="32"/>
          <w:szCs w:val="32"/>
        </w:rPr>
        <w:t>；项目支出21.8万元，占</w:t>
      </w:r>
      <w:r>
        <w:rPr>
          <w:rFonts w:hint="eastAsia" w:ascii="仿宋" w:hAnsi="仿宋" w:eastAsia="仿宋"/>
          <w:color w:val="000000"/>
          <w:sz w:val="32"/>
          <w:szCs w:val="32"/>
          <w:lang w:val="en-US" w:eastAsia="zh-CN"/>
        </w:rPr>
        <w:t>1.79</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420" w:firstLineChars="200"/>
        <w:rPr>
          <w:rFonts w:hint="eastAsia" w:ascii="仿宋" w:hAnsi="仿宋" w:eastAsia="仿宋"/>
          <w:color w:val="000000" w:themeColor="text1"/>
          <w:sz w:val="32"/>
          <w:szCs w:val="32"/>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rPr>
        <w:t>（图3：支出决算结构图）（饼状图）</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单位：万元</w:t>
      </w:r>
      <w:r>
        <w:rPr>
          <w:rFonts w:hint="eastAsia" w:ascii="仿宋" w:hAnsi="仿宋" w:eastAsia="仿宋"/>
          <w:color w:val="000000" w:themeColor="text1"/>
          <w:sz w:val="32"/>
          <w:szCs w:val="32"/>
          <w:lang w:eastAsia="zh-CN"/>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1215.95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6.92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0.57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学生人数减少，经费减少。</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pPr>
    </w:p>
    <w:p>
      <w:pPr>
        <w:spacing w:line="600" w:lineRule="exact"/>
      </w:pPr>
    </w:p>
    <w:p>
      <w:pPr>
        <w:spacing w:line="600" w:lineRule="exact"/>
      </w:pPr>
      <w:r>
        <w:drawing>
          <wp:anchor distT="0" distB="0" distL="114300" distR="114300" simplePos="0" relativeHeight="251661312" behindDoc="0" locked="0" layoutInCell="1" allowOverlap="1">
            <wp:simplePos x="0" y="0"/>
            <wp:positionH relativeFrom="column">
              <wp:posOffset>4445</wp:posOffset>
            </wp:positionH>
            <wp:positionV relativeFrom="paragraph">
              <wp:posOffset>-2453005</wp:posOffset>
            </wp:positionV>
            <wp:extent cx="4572000" cy="2743200"/>
            <wp:effectExtent l="4445" t="4445" r="14605" b="1460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rPr>
        <w:t>（图4：财政拨款收、支决算总计变动情况）（柱状图）</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单位：万元</w:t>
      </w:r>
      <w:r>
        <w:rPr>
          <w:rFonts w:hint="eastAsia" w:ascii="仿宋" w:hAnsi="仿宋" w:eastAsia="仿宋"/>
          <w:color w:val="000000" w:themeColor="text1"/>
          <w:sz w:val="32"/>
          <w:szCs w:val="32"/>
          <w:lang w:eastAsia="zh-CN"/>
        </w:rPr>
        <w:t>）</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1212.48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99.81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10.39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0.85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学生人数减少，经费减少。</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pPr>
    </w:p>
    <w:p>
      <w:pPr>
        <w:spacing w:line="600" w:lineRule="exact"/>
        <w:ind w:firstLine="420" w:firstLineChars="200"/>
      </w:pPr>
    </w:p>
    <w:p>
      <w:pPr>
        <w:spacing w:line="600" w:lineRule="exact"/>
        <w:ind w:firstLine="420" w:firstLineChars="200"/>
      </w:pPr>
      <w:r>
        <w:drawing>
          <wp:anchor distT="0" distB="0" distL="114300" distR="114300" simplePos="0" relativeHeight="251662336"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rPr>
        <w:t>（图5：一般公共预算财政拨款支出决算变动情况）（柱状图）</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单位：万元</w:t>
      </w:r>
      <w:r>
        <w:rPr>
          <w:rFonts w:hint="eastAsia" w:ascii="仿宋" w:hAnsi="仿宋" w:eastAsia="仿宋"/>
          <w:color w:val="000000" w:themeColor="text1"/>
          <w:sz w:val="32"/>
          <w:szCs w:val="32"/>
          <w:lang w:eastAsia="zh-CN"/>
        </w:rPr>
        <w:t>）</w:t>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政拨款支出1212.48万元，主要用于以下方面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支出19.54万元，占</w:t>
      </w:r>
      <w:r>
        <w:rPr>
          <w:rFonts w:hint="eastAsia" w:ascii="仿宋" w:hAnsi="仿宋" w:eastAsia="仿宋"/>
          <w:color w:val="000000" w:themeColor="text1"/>
          <w:sz w:val="32"/>
          <w:szCs w:val="32"/>
          <w:lang w:val="en-US" w:eastAsia="zh-CN"/>
        </w:rPr>
        <w:t>1.61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897.73万元，占</w:t>
      </w:r>
      <w:r>
        <w:rPr>
          <w:rFonts w:hint="eastAsia" w:ascii="仿宋" w:hAnsi="仿宋" w:eastAsia="仿宋"/>
          <w:color w:val="000000" w:themeColor="text1"/>
          <w:sz w:val="32"/>
          <w:szCs w:val="32"/>
          <w:lang w:val="en-US" w:eastAsia="zh-CN"/>
        </w:rPr>
        <w:t>74.04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支出106.13万元，占</w:t>
      </w:r>
      <w:r>
        <w:rPr>
          <w:rFonts w:hint="eastAsia" w:ascii="仿宋" w:hAnsi="仿宋" w:eastAsia="仿宋"/>
          <w:color w:val="000000" w:themeColor="text1"/>
          <w:sz w:val="32"/>
          <w:szCs w:val="32"/>
          <w:lang w:val="en-US" w:eastAsia="zh-CN"/>
        </w:rPr>
        <w:t>8.75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63.33万元，占</w:t>
      </w:r>
      <w:r>
        <w:rPr>
          <w:rFonts w:hint="eastAsia" w:ascii="仿宋" w:hAnsi="仿宋" w:eastAsia="仿宋"/>
          <w:color w:val="000000" w:themeColor="text1"/>
          <w:sz w:val="32"/>
          <w:szCs w:val="32"/>
          <w:lang w:val="en-US" w:eastAsia="zh-CN"/>
        </w:rPr>
        <w:t>5.22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住房保障支出</w:t>
      </w:r>
      <w:r>
        <w:rPr>
          <w:rFonts w:hint="eastAsia" w:ascii="仿宋" w:hAnsi="仿宋" w:eastAsia="仿宋"/>
          <w:color w:val="000000" w:themeColor="text1"/>
          <w:sz w:val="32"/>
          <w:szCs w:val="32"/>
        </w:rPr>
        <w:t>125.75万元，占</w:t>
      </w:r>
      <w:r>
        <w:rPr>
          <w:rFonts w:hint="eastAsia" w:ascii="仿宋" w:hAnsi="仿宋" w:eastAsia="仿宋"/>
          <w:color w:val="000000" w:themeColor="text1"/>
          <w:sz w:val="32"/>
          <w:szCs w:val="32"/>
          <w:lang w:val="en-US" w:eastAsia="zh-CN"/>
        </w:rPr>
        <w:t>10.38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pPr>
    </w:p>
    <w:p>
      <w:pPr>
        <w:spacing w:line="600" w:lineRule="exact"/>
        <w:ind w:firstLine="640"/>
      </w:pPr>
    </w:p>
    <w:p>
      <w:pPr>
        <w:spacing w:line="600" w:lineRule="exact"/>
        <w:ind w:firstLine="640"/>
        <w:rPr>
          <w:rFonts w:hint="eastAsia"/>
        </w:rPr>
      </w:pPr>
      <w:r>
        <w:drawing>
          <wp:anchor distT="0" distB="0" distL="114300" distR="114300" simplePos="0" relativeHeight="251663360" behindDoc="0" locked="0" layoutInCell="1" allowOverlap="1">
            <wp:simplePos x="0" y="0"/>
            <wp:positionH relativeFrom="column">
              <wp:posOffset>410845</wp:posOffset>
            </wp:positionH>
            <wp:positionV relativeFrom="paragraph">
              <wp:posOffset>-2453005</wp:posOffset>
            </wp:positionV>
            <wp:extent cx="4572000" cy="2743200"/>
            <wp:effectExtent l="4445" t="4445" r="14605" b="1460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（图6：一般公共预算财政拨款支出决算结构）（饼状图）</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单位：万元</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Style w:val="14"/>
          <w:rFonts w:hint="eastAsia" w:ascii="仿宋" w:hAnsi="仿宋" w:eastAsia="仿宋"/>
          <w:bCs/>
          <w:color w:val="00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val="en-US"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1212.48</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Fonts w:hint="eastAsia" w:ascii="仿宋" w:hAnsi="仿宋" w:eastAsia="仿宋"/>
          <w:b/>
          <w:color w:val="000000"/>
          <w:sz w:val="32"/>
          <w:szCs w:val="32"/>
        </w:rPr>
        <w:t>一般公共服务（类</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23（</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val="en-US" w:eastAsia="zh-CN"/>
        </w:rPr>
        <w:t>04</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19.54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val="en-US" w:eastAsia="zh-CN"/>
        </w:rPr>
        <w:t>03</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897.73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106.13</w:t>
      </w:r>
      <w:r>
        <w:rPr>
          <w:rStyle w:val="14"/>
          <w:rFonts w:hint="eastAsia" w:ascii="仿宋" w:hAnsi="仿宋" w:eastAsia="仿宋"/>
          <w:b w:val="0"/>
          <w:bCs/>
          <w:color w:val="000000"/>
          <w:sz w:val="32"/>
          <w:szCs w:val="32"/>
        </w:rPr>
        <w:t>万元，完成预算</w:t>
      </w:r>
      <w:r>
        <w:rPr>
          <w:rStyle w:val="14"/>
          <w:rFonts w:hint="default"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63.33</w:t>
      </w:r>
      <w:r>
        <w:rPr>
          <w:rStyle w:val="14"/>
          <w:rFonts w:hint="eastAsia" w:ascii="仿宋" w:hAnsi="仿宋" w:eastAsia="仿宋"/>
          <w:b w:val="0"/>
          <w:bCs/>
          <w:color w:val="000000"/>
          <w:sz w:val="32"/>
          <w:szCs w:val="32"/>
        </w:rPr>
        <w:t>万元，完成预算</w:t>
      </w:r>
      <w:r>
        <w:rPr>
          <w:rStyle w:val="14"/>
          <w:rFonts w:hint="default" w:ascii="仿宋" w:hAnsi="仿宋" w:eastAsia="仿宋"/>
          <w:b w:val="0"/>
          <w:bCs/>
          <w:color w:val="000000"/>
          <w:sz w:val="32"/>
          <w:szCs w:val="32"/>
          <w:lang w:val="en-US"/>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val="en-US" w:eastAsia="zh-CN"/>
        </w:rPr>
        <w:t>住房保障支出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221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125.75</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9年一般公共预算财政拨款基本支出1192.9</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1102.39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日常公用经费90.</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outlineLvl w:val="2"/>
        <w:rPr>
          <w:rFonts w:hint="eastAsia" w:ascii="仿宋" w:hAnsi="仿宋" w:eastAsia="仿宋"/>
          <w:color w:val="000000"/>
          <w:sz w:val="32"/>
          <w:szCs w:val="32"/>
          <w:lang w:val="en-US" w:eastAsia="zh-CN"/>
        </w:rPr>
      </w:pPr>
      <w:bookmarkStart w:id="45" w:name="_Toc15377217"/>
      <w:r>
        <w:rPr>
          <w:rFonts w:hint="eastAsia" w:ascii="仿宋" w:hAnsi="仿宋" w:eastAsia="仿宋"/>
          <w:color w:val="000000"/>
          <w:sz w:val="32"/>
          <w:szCs w:val="32"/>
          <w:lang w:val="en-US" w:eastAsia="zh-CN"/>
        </w:rPr>
        <w:t>无。</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5"/>
    </w:p>
    <w:p>
      <w:pPr>
        <w:spacing w:line="600" w:lineRule="exact"/>
        <w:ind w:firstLine="640"/>
        <w:outlineLvl w:val="1"/>
        <w:rPr>
          <w:rFonts w:hint="eastAsia" w:ascii="黑体" w:eastAsia="黑体"/>
          <w:color w:val="000000"/>
          <w:sz w:val="32"/>
          <w:szCs w:val="32"/>
          <w:lang w:eastAsia="zh-CN"/>
        </w:rPr>
      </w:pPr>
      <w:bookmarkStart w:id="46" w:name="_Toc15377218"/>
      <w:bookmarkStart w:id="47" w:name="_Toc15396610"/>
      <w:r>
        <w:rPr>
          <w:rFonts w:hint="eastAsia" w:ascii="仿宋" w:hAnsi="仿宋" w:eastAsia="仿宋"/>
          <w:color w:val="000000"/>
          <w:sz w:val="32"/>
          <w:szCs w:val="32"/>
          <w:lang w:val="en-US" w:eastAsia="zh-CN"/>
        </w:rPr>
        <w:t>无。</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2.25</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val="en-US" w:eastAsia="zh-CN"/>
        </w:rPr>
      </w:pPr>
      <w:bookmarkStart w:id="53" w:name="_Toc15377223"/>
      <w:r>
        <w:rPr>
          <w:rFonts w:hint="eastAsia" w:ascii="仿宋_GB2312" w:eastAsia="仿宋_GB2312"/>
          <w:color w:val="000000"/>
          <w:sz w:val="32"/>
          <w:szCs w:val="32"/>
          <w:lang w:val="en-US"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val="en-US" w:eastAsia="zh-CN"/>
        </w:rPr>
      </w:pPr>
      <w:bookmarkStart w:id="54" w:name="_Toc15377224"/>
      <w:r>
        <w:rPr>
          <w:rFonts w:hint="eastAsia" w:ascii="仿宋_GB2312" w:eastAsia="仿宋_GB2312"/>
          <w:color w:val="000000"/>
          <w:sz w:val="32"/>
          <w:szCs w:val="32"/>
          <w:lang w:val="en-US"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下达2016年中央彩票公益金支持乡村学校少年宫”</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资金和“</w:t>
      </w:r>
      <w:r>
        <w:rPr>
          <w:rFonts w:hint="eastAsia" w:ascii="仿宋" w:hAnsi="仿宋" w:eastAsia="仿宋"/>
          <w:color w:val="000000"/>
          <w:sz w:val="32"/>
          <w:szCs w:val="32"/>
        </w:rPr>
        <w:t>下达2017年市级少数民族发展资金（第一批用于西区格里坪镇中小学食堂设备购置</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项目资金</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本部门按要求对201</w:t>
      </w:r>
      <w:r>
        <w:rPr>
          <w:rFonts w:hint="eastAsia" w:ascii="仿宋" w:hAnsi="仿宋" w:eastAsia="仿宋"/>
          <w:sz w:val="32"/>
          <w:szCs w:val="32"/>
          <w:lang w:val="en-US" w:eastAsia="zh-CN"/>
        </w:rPr>
        <w:t>9</w:t>
      </w:r>
      <w:r>
        <w:rPr>
          <w:rFonts w:hint="eastAsia" w:ascii="仿宋" w:hAnsi="仿宋" w:eastAsia="仿宋"/>
          <w:sz w:val="32"/>
          <w:szCs w:val="32"/>
        </w:rPr>
        <w:t>年部门整体支出开展绩效自评，从评价情况来</w:t>
      </w:r>
      <w:r>
        <w:rPr>
          <w:rFonts w:hint="eastAsia" w:ascii="仿宋" w:hAnsi="仿宋" w:eastAsia="仿宋"/>
          <w:sz w:val="32"/>
          <w:szCs w:val="32"/>
          <w:lang w:val="en-US" w:eastAsia="zh-CN"/>
        </w:rPr>
        <w:t>看少年宫项目和食堂项目</w:t>
      </w:r>
      <w:r>
        <w:rPr>
          <w:rFonts w:hint="eastAsia" w:ascii="仿宋" w:hAnsi="仿宋" w:eastAsia="仿宋"/>
          <w:bCs/>
          <w:color w:val="000000"/>
          <w:sz w:val="32"/>
          <w:szCs w:val="32"/>
        </w:rPr>
        <w:t>保障教育教学基础设施不断更新</w:t>
      </w:r>
      <w:r>
        <w:rPr>
          <w:rFonts w:hint="eastAsia" w:ascii="仿宋" w:hAnsi="仿宋" w:eastAsia="仿宋"/>
          <w:bCs/>
          <w:color w:val="000000"/>
          <w:sz w:val="32"/>
          <w:szCs w:val="32"/>
          <w:lang w:eastAsia="zh-CN"/>
        </w:rPr>
        <w:t>，</w:t>
      </w:r>
      <w:r>
        <w:rPr>
          <w:rFonts w:hint="eastAsia" w:ascii="仿宋" w:hAnsi="仿宋" w:eastAsia="仿宋"/>
          <w:sz w:val="32"/>
          <w:szCs w:val="32"/>
          <w:lang w:val="en-US" w:eastAsia="zh-CN"/>
        </w:rPr>
        <w:t>丰富了学生的校园生活，促进了学生的多元化学习，提高了学生的学习热情，</w:t>
      </w:r>
      <w:r>
        <w:rPr>
          <w:rFonts w:hint="eastAsia" w:ascii="仿宋" w:hAnsi="仿宋" w:eastAsia="仿宋"/>
          <w:bCs/>
          <w:sz w:val="32"/>
          <w:szCs w:val="32"/>
        </w:rPr>
        <w:t>进一步</w:t>
      </w:r>
      <w:r>
        <w:rPr>
          <w:rFonts w:hint="eastAsia" w:ascii="仿宋" w:hAnsi="仿宋" w:eastAsia="仿宋"/>
          <w:bCs/>
          <w:sz w:val="32"/>
          <w:szCs w:val="32"/>
          <w:lang w:val="en-US" w:eastAsia="zh-CN"/>
        </w:rPr>
        <w:t>改善了办学条件</w:t>
      </w:r>
      <w:r>
        <w:rPr>
          <w:rFonts w:hint="eastAsia" w:ascii="仿宋" w:hAnsi="仿宋" w:eastAsia="仿宋"/>
          <w:sz w:val="32"/>
          <w:szCs w:val="32"/>
        </w:rPr>
        <w:t>。</w:t>
      </w:r>
    </w:p>
    <w:p>
      <w:pPr>
        <w:numPr>
          <w:ilvl w:val="0"/>
          <w:numId w:val="0"/>
        </w:numPr>
        <w:spacing w:line="580" w:lineRule="exact"/>
        <w:ind w:firstLine="960" w:firstLineChars="300"/>
        <w:rPr>
          <w:rFonts w:hint="eastAsia" w:ascii="仿宋" w:hAnsi="仿宋" w:eastAsia="仿宋"/>
          <w:color w:val="000000"/>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 xml:space="preserve">  本部门在201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年度部门决算中反映“</w:t>
      </w:r>
      <w:r>
        <w:rPr>
          <w:rFonts w:hint="eastAsia" w:ascii="仿宋" w:hAnsi="仿宋" w:eastAsia="仿宋"/>
          <w:color w:val="000000"/>
          <w:sz w:val="32"/>
          <w:szCs w:val="32"/>
          <w:lang w:val="en-US" w:eastAsia="zh-CN"/>
        </w:rPr>
        <w:t xml:space="preserve">  用于教育事业的彩票公益金支出</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下达2017年市级少数民族发展资金（第一批用于西区格里坪镇中小学食堂设备购置）</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个项目绩效目标实际完成情况。</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lang w:val="en-US" w:eastAsia="zh-CN"/>
        </w:rPr>
        <w:t xml:space="preserve">  用于教育事业的彩票公益金支出</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资金</w:t>
      </w:r>
      <w:r>
        <w:rPr>
          <w:rFonts w:hint="eastAsia" w:ascii="仿宋" w:hAnsi="仿宋" w:eastAsia="仿宋"/>
          <w:bCs/>
          <w:color w:val="000000"/>
          <w:sz w:val="32"/>
          <w:szCs w:val="32"/>
        </w:rPr>
        <w:t>绩效目标完成情况综述。</w:t>
      </w:r>
      <w:r>
        <w:rPr>
          <w:rFonts w:hint="eastAsia" w:ascii="仿宋_GB2312" w:hAnsi="仿宋_GB2312" w:eastAsia="仿宋_GB2312" w:cs="仿宋_GB2312"/>
          <w:sz w:val="32"/>
          <w:szCs w:val="32"/>
          <w:lang w:val="en-US" w:eastAsia="zh-CN"/>
        </w:rPr>
        <w:t>用于教育事业的彩票公益金支出</w:t>
      </w:r>
      <w:r>
        <w:rPr>
          <w:rFonts w:hint="eastAsia" w:ascii="仿宋" w:hAnsi="仿宋" w:eastAsia="仿宋"/>
          <w:bCs/>
          <w:color w:val="000000"/>
          <w:sz w:val="32"/>
          <w:szCs w:val="32"/>
        </w:rPr>
        <w:t>项目全年预算数</w:t>
      </w: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rPr>
        <w:t>万元，执行数为</w:t>
      </w:r>
      <w:r>
        <w:rPr>
          <w:rFonts w:hint="eastAsia" w:ascii="仿宋" w:hAnsi="仿宋" w:eastAsia="仿宋"/>
          <w:bCs/>
          <w:color w:val="000000"/>
          <w:sz w:val="32"/>
          <w:szCs w:val="32"/>
          <w:lang w:val="en-US" w:eastAsia="zh-CN"/>
        </w:rPr>
        <w:t>2.25</w:t>
      </w:r>
      <w:r>
        <w:rPr>
          <w:rFonts w:hint="eastAsia" w:ascii="仿宋" w:hAnsi="仿宋" w:eastAsia="仿宋"/>
          <w:bCs/>
          <w:color w:val="000000"/>
          <w:sz w:val="32"/>
          <w:szCs w:val="32"/>
        </w:rPr>
        <w:t>万元，完成预算的</w:t>
      </w:r>
      <w:r>
        <w:rPr>
          <w:rFonts w:hint="eastAsia" w:ascii="仿宋" w:hAnsi="仿宋" w:eastAsia="仿宋"/>
          <w:bCs/>
          <w:color w:val="000000"/>
          <w:sz w:val="32"/>
          <w:szCs w:val="32"/>
          <w:lang w:val="en-US" w:eastAsia="zh-CN"/>
        </w:rPr>
        <w:t>75</w:t>
      </w:r>
      <w:r>
        <w:rPr>
          <w:rFonts w:hint="eastAsia" w:ascii="仿宋" w:hAnsi="仿宋" w:eastAsia="仿宋"/>
          <w:bCs/>
          <w:color w:val="000000"/>
          <w:sz w:val="32"/>
          <w:szCs w:val="32"/>
        </w:rPr>
        <w:t>%</w:t>
      </w:r>
      <w:r>
        <w:rPr>
          <w:rFonts w:hint="eastAsia" w:ascii="仿宋" w:hAnsi="仿宋" w:eastAsia="仿宋"/>
          <w:bCs/>
          <w:color w:val="000000"/>
          <w:sz w:val="32"/>
          <w:szCs w:val="32"/>
          <w:lang w:eastAsia="zh-CN"/>
        </w:rPr>
        <w:t>；</w:t>
      </w:r>
      <w:r>
        <w:rPr>
          <w:rFonts w:hint="eastAsia" w:ascii="仿宋" w:hAnsi="仿宋" w:eastAsia="仿宋"/>
          <w:color w:val="000000"/>
          <w:sz w:val="32"/>
          <w:szCs w:val="32"/>
        </w:rPr>
        <w:t>下达2017年市级少数民族发展资金（第一批用于西区格里坪镇中小学食堂设备购置）</w:t>
      </w:r>
      <w:r>
        <w:rPr>
          <w:rFonts w:hint="eastAsia" w:ascii="仿宋" w:hAnsi="仿宋" w:eastAsia="仿宋"/>
          <w:bCs/>
          <w:color w:val="000000"/>
          <w:sz w:val="32"/>
          <w:szCs w:val="32"/>
        </w:rPr>
        <w:t>项目全年预算数</w:t>
      </w:r>
      <w:r>
        <w:rPr>
          <w:rFonts w:hint="eastAsia" w:ascii="仿宋" w:hAnsi="仿宋" w:eastAsia="仿宋"/>
          <w:bCs/>
          <w:color w:val="000000"/>
          <w:sz w:val="32"/>
          <w:szCs w:val="32"/>
          <w:lang w:val="en-US" w:eastAsia="zh-CN"/>
        </w:rPr>
        <w:t>19.54</w:t>
      </w:r>
      <w:r>
        <w:rPr>
          <w:rFonts w:hint="eastAsia" w:ascii="仿宋" w:hAnsi="仿宋" w:eastAsia="仿宋"/>
          <w:bCs/>
          <w:color w:val="000000"/>
          <w:sz w:val="32"/>
          <w:szCs w:val="32"/>
        </w:rPr>
        <w:t>万元，执行数为</w:t>
      </w:r>
      <w:r>
        <w:rPr>
          <w:rFonts w:hint="eastAsia" w:ascii="仿宋" w:hAnsi="仿宋" w:eastAsia="仿宋"/>
          <w:bCs/>
          <w:color w:val="000000"/>
          <w:sz w:val="32"/>
          <w:szCs w:val="32"/>
          <w:lang w:val="en-US" w:eastAsia="zh-CN"/>
        </w:rPr>
        <w:t>19.54</w:t>
      </w:r>
      <w:r>
        <w:rPr>
          <w:rFonts w:hint="eastAsia" w:ascii="仿宋" w:hAnsi="仿宋" w:eastAsia="仿宋"/>
          <w:bCs/>
          <w:color w:val="000000"/>
          <w:sz w:val="32"/>
          <w:szCs w:val="32"/>
        </w:rPr>
        <w:t>万元，完成预算的</w:t>
      </w:r>
      <w:r>
        <w:rPr>
          <w:rFonts w:hint="eastAsia" w:ascii="仿宋" w:hAnsi="仿宋" w:eastAsia="仿宋"/>
          <w:bCs/>
          <w:color w:val="000000"/>
          <w:sz w:val="32"/>
          <w:szCs w:val="32"/>
          <w:lang w:val="en-US" w:eastAsia="zh-CN"/>
        </w:rPr>
        <w:t>100</w:t>
      </w:r>
      <w:r>
        <w:rPr>
          <w:rFonts w:hint="eastAsia" w:ascii="仿宋" w:hAnsi="仿宋" w:eastAsia="仿宋"/>
          <w:bCs/>
          <w:color w:val="000000"/>
          <w:sz w:val="32"/>
          <w:szCs w:val="32"/>
        </w:rPr>
        <w:t>%</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通过项目实施，保障教育教学基础设施不断更新</w:t>
      </w:r>
      <w:r>
        <w:rPr>
          <w:rFonts w:hint="eastAsia" w:ascii="仿宋" w:hAnsi="仿宋" w:eastAsia="仿宋"/>
          <w:bCs/>
          <w:color w:val="000000"/>
          <w:sz w:val="32"/>
          <w:szCs w:val="32"/>
          <w:lang w:eastAsia="zh-CN"/>
        </w:rPr>
        <w:t>，</w:t>
      </w:r>
      <w:r>
        <w:rPr>
          <w:rFonts w:hint="eastAsia" w:ascii="仿宋" w:hAnsi="仿宋" w:eastAsia="仿宋"/>
          <w:sz w:val="32"/>
          <w:szCs w:val="32"/>
          <w:lang w:val="en-US" w:eastAsia="zh-CN"/>
        </w:rPr>
        <w:t>丰富了学生的校园生活，促进了学生的多元化学习，提高了学生的学习热情，</w:t>
      </w:r>
      <w:r>
        <w:rPr>
          <w:rFonts w:hint="eastAsia" w:ascii="仿宋" w:hAnsi="仿宋" w:eastAsia="仿宋"/>
          <w:bCs/>
          <w:sz w:val="32"/>
          <w:szCs w:val="32"/>
        </w:rPr>
        <w:t>进一步</w:t>
      </w:r>
      <w:r>
        <w:rPr>
          <w:rFonts w:hint="eastAsia" w:ascii="仿宋" w:hAnsi="仿宋" w:eastAsia="仿宋"/>
          <w:bCs/>
          <w:sz w:val="32"/>
          <w:szCs w:val="32"/>
          <w:lang w:val="en-US" w:eastAsia="zh-CN"/>
        </w:rPr>
        <w:t>改善了办学条件</w:t>
      </w:r>
      <w:r>
        <w:rPr>
          <w:rFonts w:hint="eastAsia" w:ascii="仿宋" w:hAnsi="仿宋" w:eastAsia="仿宋"/>
          <w:sz w:val="32"/>
          <w:szCs w:val="32"/>
        </w:rPr>
        <w:t>。</w:t>
      </w: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用于教育事业的彩票公益金支出</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w:t>
            </w:r>
            <w:r>
              <w:rPr>
                <w:rFonts w:hint="eastAsia" w:ascii="宋体" w:hAnsi="宋体" w:cs="宋体"/>
                <w:color w:val="000000"/>
                <w:sz w:val="24"/>
                <w:lang w:val="en-US" w:eastAsia="zh-CN"/>
              </w:rPr>
              <w:t>格里坪镇中心学校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bCs/>
                <w:color w:val="000000"/>
                <w:sz w:val="32"/>
                <w:szCs w:val="32"/>
              </w:rPr>
              <w:t>保障教育教学基础设施不断更新</w:t>
            </w:r>
            <w:r>
              <w:rPr>
                <w:rFonts w:hint="eastAsia" w:ascii="仿宋" w:hAnsi="仿宋" w:eastAsia="仿宋"/>
                <w:bCs/>
                <w:color w:val="000000"/>
                <w:sz w:val="32"/>
                <w:szCs w:val="32"/>
                <w:lang w:eastAsia="zh-CN"/>
              </w:rPr>
              <w:t>，</w:t>
            </w:r>
            <w:r>
              <w:rPr>
                <w:rFonts w:hint="eastAsia" w:ascii="仿宋" w:hAnsi="仿宋" w:eastAsia="仿宋"/>
                <w:sz w:val="32"/>
                <w:szCs w:val="32"/>
                <w:lang w:val="en-US" w:eastAsia="zh-CN"/>
              </w:rPr>
              <w:t>丰富了学生的校园生活，促进了学生的多元化学习，提高了学生的学习热情，</w:t>
            </w:r>
            <w:r>
              <w:rPr>
                <w:rFonts w:hint="eastAsia" w:ascii="仿宋" w:hAnsi="仿宋" w:eastAsia="仿宋"/>
                <w:bCs/>
                <w:sz w:val="32"/>
                <w:szCs w:val="32"/>
              </w:rPr>
              <w:t>进一步</w:t>
            </w:r>
            <w:r>
              <w:rPr>
                <w:rFonts w:hint="eastAsia" w:ascii="仿宋" w:hAnsi="仿宋" w:eastAsia="仿宋"/>
                <w:bCs/>
                <w:sz w:val="32"/>
                <w:szCs w:val="32"/>
                <w:lang w:val="en-US" w:eastAsia="zh-CN"/>
              </w:rPr>
              <w:t>改善了办学条件</w:t>
            </w:r>
            <w:r>
              <w:rPr>
                <w:rFonts w:hint="eastAsia" w:ascii="仿宋" w:hAnsi="仿宋" w:eastAsia="仿宋"/>
                <w:sz w:val="32"/>
                <w:szCs w:val="32"/>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bCs/>
                <w:color w:val="000000"/>
                <w:sz w:val="32"/>
                <w:szCs w:val="32"/>
              </w:rPr>
              <w:t>保障教育教学基础设施不断更新</w:t>
            </w:r>
            <w:r>
              <w:rPr>
                <w:rFonts w:hint="eastAsia" w:ascii="仿宋" w:hAnsi="仿宋" w:eastAsia="仿宋"/>
                <w:bCs/>
                <w:color w:val="000000"/>
                <w:sz w:val="32"/>
                <w:szCs w:val="32"/>
                <w:lang w:eastAsia="zh-CN"/>
              </w:rPr>
              <w:t>，</w:t>
            </w:r>
            <w:r>
              <w:rPr>
                <w:rFonts w:hint="eastAsia" w:ascii="仿宋" w:hAnsi="仿宋" w:eastAsia="仿宋"/>
                <w:sz w:val="32"/>
                <w:szCs w:val="32"/>
                <w:lang w:val="en-US" w:eastAsia="zh-CN"/>
              </w:rPr>
              <w:t>丰富了学生的校园生活，促进了学生的多元化学习，提高了学生的学习热情，</w:t>
            </w:r>
            <w:r>
              <w:rPr>
                <w:rFonts w:hint="eastAsia" w:ascii="仿宋" w:hAnsi="仿宋" w:eastAsia="仿宋"/>
                <w:bCs/>
                <w:sz w:val="32"/>
                <w:szCs w:val="32"/>
              </w:rPr>
              <w:t>进一步</w:t>
            </w:r>
            <w:r>
              <w:rPr>
                <w:rFonts w:hint="eastAsia" w:ascii="仿宋" w:hAnsi="仿宋" w:eastAsia="仿宋"/>
                <w:bCs/>
                <w:sz w:val="32"/>
                <w:szCs w:val="32"/>
                <w:lang w:val="en-US" w:eastAsia="zh-CN"/>
              </w:rPr>
              <w:t>改善了办学条件</w:t>
            </w:r>
            <w:r>
              <w:rPr>
                <w:rFonts w:hint="eastAsia" w:ascii="仿宋" w:hAnsi="仿宋" w:eastAsia="仿宋"/>
                <w:sz w:val="32"/>
                <w:szCs w:val="32"/>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2392"/>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下达2017年市级少数民族发展资金（第一批用于西区格里坪镇中小学食堂设备购置）</w:t>
            </w:r>
          </w:p>
        </w:tc>
      </w:tr>
      <w:tr>
        <w:tblPrEx>
          <w:tblCellMar>
            <w:top w:w="0" w:type="dxa"/>
            <w:left w:w="0" w:type="dxa"/>
            <w:bottom w:w="0" w:type="dxa"/>
            <w:right w:w="0" w:type="dxa"/>
          </w:tblCellMar>
        </w:tblPrEx>
        <w:trPr>
          <w:trHeight w:val="276"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w:t>
            </w:r>
            <w:r>
              <w:rPr>
                <w:rFonts w:hint="eastAsia" w:ascii="宋体" w:hAnsi="宋体" w:cs="宋体"/>
                <w:color w:val="000000"/>
                <w:sz w:val="24"/>
                <w:lang w:val="en-US" w:eastAsia="zh-CN"/>
              </w:rPr>
              <w:t>格里坪镇中心学校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19.54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19.54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19.54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19.54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bCs/>
                <w:color w:val="000000"/>
                <w:sz w:val="32"/>
                <w:szCs w:val="32"/>
              </w:rPr>
              <w:t>保障教育教学基础设施不断更新</w:t>
            </w:r>
            <w:r>
              <w:rPr>
                <w:rFonts w:hint="eastAsia" w:ascii="仿宋" w:hAnsi="仿宋" w:eastAsia="仿宋"/>
                <w:bCs/>
                <w:color w:val="000000"/>
                <w:sz w:val="32"/>
                <w:szCs w:val="32"/>
                <w:lang w:eastAsia="zh-CN"/>
              </w:rPr>
              <w:t>，</w:t>
            </w:r>
            <w:r>
              <w:rPr>
                <w:rFonts w:hint="eastAsia" w:ascii="仿宋" w:hAnsi="仿宋" w:eastAsia="仿宋"/>
                <w:sz w:val="32"/>
                <w:szCs w:val="32"/>
                <w:lang w:val="en-US" w:eastAsia="zh-CN"/>
              </w:rPr>
              <w:t>丰富了学生的校园生活，促进了学生的多元化学习，提高了学生的学习热情，</w:t>
            </w:r>
            <w:r>
              <w:rPr>
                <w:rFonts w:hint="eastAsia" w:ascii="仿宋" w:hAnsi="仿宋" w:eastAsia="仿宋"/>
                <w:bCs/>
                <w:sz w:val="32"/>
                <w:szCs w:val="32"/>
              </w:rPr>
              <w:t>进一步</w:t>
            </w:r>
            <w:r>
              <w:rPr>
                <w:rFonts w:hint="eastAsia" w:ascii="仿宋" w:hAnsi="仿宋" w:eastAsia="仿宋"/>
                <w:bCs/>
                <w:sz w:val="32"/>
                <w:szCs w:val="32"/>
                <w:lang w:val="en-US" w:eastAsia="zh-CN"/>
              </w:rPr>
              <w:t>改善了办学条件</w:t>
            </w:r>
            <w:r>
              <w:rPr>
                <w:rFonts w:hint="eastAsia" w:ascii="仿宋" w:hAnsi="仿宋" w:eastAsia="仿宋"/>
                <w:sz w:val="32"/>
                <w:szCs w:val="32"/>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bCs/>
                <w:color w:val="000000"/>
                <w:sz w:val="32"/>
                <w:szCs w:val="32"/>
              </w:rPr>
              <w:t>保障教育教学基础设施不断更新</w:t>
            </w:r>
            <w:r>
              <w:rPr>
                <w:rFonts w:hint="eastAsia" w:ascii="仿宋" w:hAnsi="仿宋" w:eastAsia="仿宋"/>
                <w:bCs/>
                <w:color w:val="000000"/>
                <w:sz w:val="32"/>
                <w:szCs w:val="32"/>
                <w:lang w:eastAsia="zh-CN"/>
              </w:rPr>
              <w:t>，</w:t>
            </w:r>
            <w:r>
              <w:rPr>
                <w:rFonts w:hint="eastAsia" w:ascii="仿宋" w:hAnsi="仿宋" w:eastAsia="仿宋"/>
                <w:sz w:val="32"/>
                <w:szCs w:val="32"/>
                <w:lang w:val="en-US" w:eastAsia="zh-CN"/>
              </w:rPr>
              <w:t>丰富了学生的校园生活，促进了学生的多元化学习，提高了学生的学习热情，</w:t>
            </w:r>
            <w:r>
              <w:rPr>
                <w:rFonts w:hint="eastAsia" w:ascii="仿宋" w:hAnsi="仿宋" w:eastAsia="仿宋"/>
                <w:bCs/>
                <w:sz w:val="32"/>
                <w:szCs w:val="32"/>
              </w:rPr>
              <w:t>进一步</w:t>
            </w:r>
            <w:r>
              <w:rPr>
                <w:rFonts w:hint="eastAsia" w:ascii="仿宋" w:hAnsi="仿宋" w:eastAsia="仿宋"/>
                <w:bCs/>
                <w:sz w:val="32"/>
                <w:szCs w:val="32"/>
                <w:lang w:val="en-US" w:eastAsia="zh-CN"/>
              </w:rPr>
              <w:t>改善了办学条件</w:t>
            </w:r>
            <w:r>
              <w:rPr>
                <w:rFonts w:hint="eastAsia" w:ascii="仿宋" w:hAnsi="仿宋" w:eastAsia="仿宋"/>
                <w:sz w:val="32"/>
                <w:szCs w:val="32"/>
              </w:rPr>
              <w:t>。</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年部门整体支出绩效评价情况开展自评，《</w:t>
      </w:r>
      <w:r>
        <w:rPr>
          <w:rFonts w:hint="eastAsia" w:ascii="仿宋" w:hAnsi="仿宋" w:eastAsia="仿宋"/>
          <w:sz w:val="32"/>
          <w:szCs w:val="32"/>
        </w:rPr>
        <w:t>攀枝花市西区</w:t>
      </w:r>
      <w:r>
        <w:rPr>
          <w:rFonts w:hint="eastAsia" w:ascii="仿宋" w:hAnsi="仿宋" w:eastAsia="仿宋"/>
          <w:sz w:val="32"/>
          <w:szCs w:val="32"/>
          <w:lang w:val="en-US" w:eastAsia="zh-CN"/>
        </w:rPr>
        <w:t>格里坪镇中心学校</w:t>
      </w:r>
      <w:r>
        <w:rPr>
          <w:rFonts w:hint="eastAsia" w:ascii="仿宋" w:hAnsi="仿宋" w:eastAsia="仿宋"/>
          <w:color w:val="000000"/>
          <w:sz w:val="32"/>
          <w:szCs w:val="32"/>
        </w:rPr>
        <w:t>部门201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年部门整体支出绩效评价报告》见附件。</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本部门自行组</w:t>
      </w:r>
      <w:r>
        <w:rPr>
          <w:rFonts w:hint="eastAsia" w:ascii="仿宋_GB2312" w:hAnsi="仿宋_GB2312" w:eastAsia="仿宋_GB2312" w:cs="仿宋_GB2312"/>
          <w:sz w:val="32"/>
          <w:szCs w:val="32"/>
          <w:lang w:val="en-US" w:eastAsia="zh-CN"/>
        </w:rPr>
        <w:t>织对用于教育事业的彩票公益金支出项</w:t>
      </w: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资金</w:t>
      </w:r>
      <w:r>
        <w:rPr>
          <w:rFonts w:hint="eastAsia" w:ascii="仿宋" w:hAnsi="仿宋" w:eastAsia="仿宋"/>
          <w:color w:val="000000"/>
          <w:sz w:val="32"/>
          <w:szCs w:val="32"/>
        </w:rPr>
        <w:t>开展了绩效评价，《用于教育事业的彩票公益金支出项目</w:t>
      </w:r>
      <w:r>
        <w:rPr>
          <w:rFonts w:hint="eastAsia" w:ascii="仿宋" w:hAnsi="仿宋" w:eastAsia="仿宋"/>
          <w:color w:val="000000"/>
          <w:sz w:val="32"/>
          <w:szCs w:val="32"/>
          <w:lang w:val="en-US" w:eastAsia="zh-CN"/>
        </w:rPr>
        <w:t>资金</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年绩效评价报告》见附件。（非涉密部门均需公开部门整体支出评价报告，部门自行组织的绩效评价情况根据部门实际公开）</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反映各部门举办的小学教育支出。政府各部门对社会中介组织等举办的小学的资助，如各类捐赠、补贴等，也在本科目中反映</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反映各部门举办的初中教育支出。政府各部门对社会中介组织等举办的初中教育的资助，如各类捐赠、补贴等，也在本科目中反映</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06</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反映机关事业单位实施养老保险制度由单位实际缴纳的职业年金支出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反映财政部门集中安排的事业单位基本医疗保险缴纳经费，未参加医疗保险的事业单位的公费医疗经费，按国家规定享受离休人员的医疗经费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反映财政部门集中安排的公务员医疗补助经费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黑体" w:hAnsi="黑体" w:eastAsia="黑体" w:cs="方正小标宋简体"/>
          <w:sz w:val="36"/>
          <w:szCs w:val="36"/>
        </w:rPr>
        <w:t>攀枝花市西区</w:t>
      </w:r>
      <w:r>
        <w:rPr>
          <w:rFonts w:hint="eastAsia" w:ascii="黑体" w:hAnsi="黑体" w:eastAsia="黑体" w:cs="方正小标宋简体"/>
          <w:sz w:val="36"/>
          <w:szCs w:val="36"/>
          <w:lang w:val="en-US" w:eastAsia="zh-CN"/>
        </w:rPr>
        <w:t>格里坪镇中心学校</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我校为校长负责制，下设2个年级组，语文和数学组。4个行政办公室，分别为德育，教育，后勤，党刊办公室。</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我校秉承“回归孩子天性，搭建成长平台”的办学理念，遵循“以爱为源、尊重个性、以人为本、师生共进”的办学思想，践行“围绕一个中心；做到两个依靠；坚持三个遵循；落实四个加强”的办学思路，让学生在全面发展的过程中快乐成长，让教师在教书育人的成功中实现自我发展，并努力成为攀枝花市一流的农村学校。</w:t>
      </w:r>
    </w:p>
    <w:p>
      <w:pPr>
        <w:numPr>
          <w:ilvl w:val="0"/>
          <w:numId w:val="4"/>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我校截止201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年底，人员编制</w:t>
      </w:r>
      <w:r>
        <w:rPr>
          <w:rFonts w:hint="eastAsia" w:ascii="仿宋" w:hAnsi="仿宋" w:eastAsia="仿宋" w:cs="仿宋_GB2312"/>
          <w:sz w:val="32"/>
          <w:szCs w:val="32"/>
          <w:lang w:val="en-US" w:eastAsia="zh-CN"/>
        </w:rPr>
        <w:t>70</w:t>
      </w:r>
      <w:r>
        <w:rPr>
          <w:rFonts w:hint="eastAsia" w:ascii="仿宋" w:hAnsi="仿宋" w:eastAsia="仿宋" w:cs="仿宋_GB2312"/>
          <w:sz w:val="32"/>
          <w:szCs w:val="32"/>
        </w:rPr>
        <w:t>人，实际在职</w:t>
      </w:r>
      <w:r>
        <w:rPr>
          <w:rFonts w:hint="eastAsia" w:ascii="仿宋" w:hAnsi="仿宋" w:eastAsia="仿宋" w:cs="仿宋_GB2312"/>
          <w:sz w:val="32"/>
          <w:szCs w:val="32"/>
          <w:lang w:val="en-US" w:eastAsia="zh-CN"/>
        </w:rPr>
        <w:t>69</w:t>
      </w:r>
      <w:r>
        <w:rPr>
          <w:rFonts w:hint="eastAsia" w:ascii="仿宋" w:hAnsi="仿宋" w:eastAsia="仿宋" w:cs="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年收入</w:t>
      </w:r>
      <w:r>
        <w:rPr>
          <w:rFonts w:hint="eastAsia" w:ascii="仿宋" w:hAnsi="仿宋" w:eastAsia="仿宋"/>
          <w:color w:val="000000"/>
          <w:sz w:val="32"/>
          <w:szCs w:val="32"/>
          <w:lang w:val="en-US" w:eastAsia="zh-CN"/>
        </w:rPr>
        <w:t>1184.32</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年支出</w:t>
      </w:r>
      <w:r>
        <w:rPr>
          <w:rFonts w:hint="eastAsia" w:ascii="仿宋" w:hAnsi="仿宋" w:eastAsia="仿宋" w:cs="仿宋_GB2312"/>
          <w:sz w:val="32"/>
          <w:szCs w:val="32"/>
          <w:lang w:val="en-US" w:eastAsia="zh-CN"/>
        </w:rPr>
        <w:t>1214.74</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1192.94</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21.8</w:t>
      </w:r>
      <w:r>
        <w:rPr>
          <w:rFonts w:hint="eastAsia" w:ascii="仿宋" w:hAnsi="仿宋" w:eastAsia="仿宋" w:cs="仿宋_GB2312"/>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下</w:t>
      </w:r>
      <w:r>
        <w:rPr>
          <w:rFonts w:hint="eastAsia" w:ascii="方正小标宋简体" w:hAnsi="宋体" w:eastAsia="方正小标宋简体"/>
          <w:color w:val="000000"/>
          <w:kern w:val="0"/>
          <w:sz w:val="44"/>
          <w:szCs w:val="44"/>
          <w:lang w:val="zh-CN"/>
        </w:rPr>
        <w:t>达2017年市级少数民族发展资金（第一批用于西区格里坪镇中小学食堂设备购置）项目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bookmarkStart w:id="73" w:name="_GoBack"/>
      <w:bookmarkEnd w:id="73"/>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8454166"/>
    <w:multiLevelType w:val="singleLevel"/>
    <w:tmpl w:val="08454166"/>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16BC9"/>
    <w:rsid w:val="0B572CF8"/>
    <w:rsid w:val="10C055FF"/>
    <w:rsid w:val="16A1362E"/>
    <w:rsid w:val="16BB723D"/>
    <w:rsid w:val="240371BF"/>
    <w:rsid w:val="29FD04D3"/>
    <w:rsid w:val="2BFF1484"/>
    <w:rsid w:val="319F7F4E"/>
    <w:rsid w:val="344231AF"/>
    <w:rsid w:val="40873425"/>
    <w:rsid w:val="4ECE2238"/>
    <w:rsid w:val="507441A2"/>
    <w:rsid w:val="5FC378A1"/>
    <w:rsid w:val="6D907929"/>
    <w:rsid w:val="72734D90"/>
    <w:rsid w:val="76873369"/>
    <w:rsid w:val="78772F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工作表.xls]Sheet1'!$B$16:$B$17</c:f>
              <c:strCache>
                <c:ptCount val="2"/>
                <c:pt idx="0">
                  <c:v>本年收、支总计</c:v>
                </c:pt>
                <c:pt idx="1">
                  <c:v>上年收、支总计</c:v>
                </c:pt>
              </c:strCache>
            </c:strRef>
          </c:cat>
          <c:val>
            <c:numRef>
              <c:f>'[新建 XLS 工作表.xls]Sheet1'!$C$16:$C$17</c:f>
              <c:numCache>
                <c:formatCode>General</c:formatCode>
                <c:ptCount val="2"/>
                <c:pt idx="0">
                  <c:v>1216.02</c:v>
                </c:pt>
                <c:pt idx="1">
                  <c:v>1222.87</c:v>
                </c:pt>
              </c:numCache>
            </c:numRef>
          </c:val>
        </c:ser>
        <c:dLbls>
          <c:showLegendKey val="0"/>
          <c:showVal val="1"/>
          <c:showCatName val="0"/>
          <c:showSerName val="0"/>
          <c:showPercent val="0"/>
          <c:showBubbleSize val="0"/>
        </c:dLbls>
        <c:gapWidth val="219"/>
        <c:overlap val="-27"/>
        <c:axId val="265757272"/>
        <c:axId val="517056166"/>
      </c:barChart>
      <c:catAx>
        <c:axId val="265757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056166"/>
        <c:crosses val="autoZero"/>
        <c:auto val="1"/>
        <c:lblAlgn val="ctr"/>
        <c:lblOffset val="100"/>
        <c:noMultiLvlLbl val="0"/>
      </c:catAx>
      <c:valAx>
        <c:axId val="5170561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57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工作表.xls]Sheet1'!$P$18:$P$19</c:f>
              <c:strCache>
                <c:ptCount val="2"/>
                <c:pt idx="0">
                  <c:v>一般财政拨款收入</c:v>
                </c:pt>
                <c:pt idx="1">
                  <c:v>其他收入</c:v>
                </c:pt>
              </c:strCache>
            </c:strRef>
          </c:cat>
          <c:val>
            <c:numRef>
              <c:f>'[新建 XLS 工作表.xls]Sheet1'!$Q$18:$Q$19</c:f>
              <c:numCache>
                <c:formatCode>General</c:formatCode>
                <c:ptCount val="2"/>
                <c:pt idx="0">
                  <c:v>1181.26</c:v>
                </c:pt>
                <c:pt idx="1">
                  <c:v>0.06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工作表.xls]Sheet1'!$P$13:$P$14</c:f>
              <c:strCache>
                <c:ptCount val="2"/>
                <c:pt idx="0">
                  <c:v>基本支出</c:v>
                </c:pt>
                <c:pt idx="1">
                  <c:v>项目支出</c:v>
                </c:pt>
              </c:strCache>
            </c:strRef>
          </c:cat>
          <c:val>
            <c:numRef>
              <c:f>'[新建 XLS 工作表.xls]Sheet1'!$Q$13:$Q$14</c:f>
              <c:numCache>
                <c:formatCode>General</c:formatCode>
                <c:ptCount val="2"/>
                <c:pt idx="0">
                  <c:v>1192.94</c:v>
                </c:pt>
                <c:pt idx="1">
                  <c:v>21.8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工作表.xls]Sheet1'!$P$6:$P$7</c:f>
              <c:strCache>
                <c:ptCount val="2"/>
                <c:pt idx="0">
                  <c:v>2019财政拨款收、支总计</c:v>
                </c:pt>
                <c:pt idx="1">
                  <c:v>2018财政拨款收、支总计</c:v>
                </c:pt>
              </c:strCache>
            </c:strRef>
          </c:cat>
          <c:val>
            <c:numRef>
              <c:f>'[新建 XLS 工作表.xls]Sheet1'!$Q$6:$Q$7</c:f>
              <c:numCache>
                <c:formatCode>General</c:formatCode>
                <c:ptCount val="2"/>
                <c:pt idx="0">
                  <c:v>1215.95</c:v>
                </c:pt>
                <c:pt idx="1">
                  <c:v>1222.87</c:v>
                </c:pt>
              </c:numCache>
            </c:numRef>
          </c:val>
        </c:ser>
        <c:dLbls>
          <c:showLegendKey val="0"/>
          <c:showVal val="1"/>
          <c:showCatName val="0"/>
          <c:showSerName val="0"/>
          <c:showPercent val="0"/>
          <c:showBubbleSize val="0"/>
        </c:dLbls>
        <c:gapWidth val="219"/>
        <c:overlap val="-27"/>
        <c:axId val="171503900"/>
        <c:axId val="716022952"/>
      </c:barChart>
      <c:catAx>
        <c:axId val="1715039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6022952"/>
        <c:crosses val="autoZero"/>
        <c:auto val="1"/>
        <c:lblAlgn val="ctr"/>
        <c:lblOffset val="100"/>
        <c:noMultiLvlLbl val="0"/>
      </c:catAx>
      <c:valAx>
        <c:axId val="716022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5039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工作表.xls]Sheet1'!$P$6:$P$7</c:f>
              <c:strCache>
                <c:ptCount val="2"/>
                <c:pt idx="0">
                  <c:v>2019财政拨款收、支总计</c:v>
                </c:pt>
                <c:pt idx="1">
                  <c:v>2018财政拨款收、支总计</c:v>
                </c:pt>
              </c:strCache>
            </c:strRef>
          </c:cat>
          <c:val>
            <c:numRef>
              <c:f>'[新建 XLS 工作表.xls]Sheet1'!$Q$6:$Q$7</c:f>
              <c:numCache>
                <c:formatCode>General</c:formatCode>
                <c:ptCount val="2"/>
                <c:pt idx="0">
                  <c:v>1212.48</c:v>
                </c:pt>
                <c:pt idx="1">
                  <c:v>1222.87</c:v>
                </c:pt>
              </c:numCache>
            </c:numRef>
          </c:val>
        </c:ser>
        <c:dLbls>
          <c:showLegendKey val="0"/>
          <c:showVal val="1"/>
          <c:showCatName val="0"/>
          <c:showSerName val="0"/>
          <c:showPercent val="0"/>
          <c:showBubbleSize val="0"/>
        </c:dLbls>
        <c:gapWidth val="219"/>
        <c:overlap val="-27"/>
        <c:axId val="874279868"/>
        <c:axId val="433545313"/>
      </c:barChart>
      <c:catAx>
        <c:axId val="8742798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3545313"/>
        <c:crosses val="autoZero"/>
        <c:auto val="1"/>
        <c:lblAlgn val="ctr"/>
        <c:lblOffset val="100"/>
        <c:noMultiLvlLbl val="0"/>
      </c:catAx>
      <c:valAx>
        <c:axId val="4335453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2798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工作表.xls]Sheet1'!$B$24:$B$28</c:f>
              <c:strCache>
                <c:ptCount val="5"/>
                <c:pt idx="0">
                  <c:v>一般公共服务</c:v>
                </c:pt>
                <c:pt idx="1">
                  <c:v>教育支出</c:v>
                </c:pt>
                <c:pt idx="2">
                  <c:v>社会保障和就业</c:v>
                </c:pt>
                <c:pt idx="3">
                  <c:v>卫生健康支出</c:v>
                </c:pt>
                <c:pt idx="4">
                  <c:v>住房保障支出</c:v>
                </c:pt>
              </c:strCache>
            </c:strRef>
          </c:cat>
          <c:val>
            <c:numRef>
              <c:f>'[新建 XLS 工作表.xls]Sheet1'!$C$24:$C$28</c:f>
              <c:numCache>
                <c:formatCode>General</c:formatCode>
                <c:ptCount val="5"/>
                <c:pt idx="0">
                  <c:v>19.54</c:v>
                </c:pt>
                <c:pt idx="1">
                  <c:v>897.73</c:v>
                </c:pt>
                <c:pt idx="2">
                  <c:v>106.13</c:v>
                </c:pt>
                <c:pt idx="3">
                  <c:v>63.33</c:v>
                </c:pt>
                <c:pt idx="4">
                  <c:v>125.75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8</TotalTime>
  <ScaleCrop>false</ScaleCrop>
  <LinksUpToDate>false</LinksUpToDate>
  <CharactersWithSpaces>8536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2020-11-23T02:40:04Z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