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5396475"/>
      <w:bookmarkStart w:id="3" w:name="_Toc15377193"/>
      <w:bookmarkStart w:id="4" w:name="_Toc15377425"/>
      <w:bookmarkStart w:id="5" w:name="_Toc15396597"/>
      <w:r>
        <w:rPr>
          <w:rFonts w:ascii="黑体" w:hAnsi="黑体" w:eastAsia="黑体" w:cs="黑体"/>
          <w:color w:val="000000"/>
          <w:sz w:val="52"/>
          <w:szCs w:val="52"/>
        </w:rPr>
        <w:t>2019</w:t>
      </w:r>
      <w:r>
        <w:rPr>
          <w:rFonts w:hint="eastAsia" w:ascii="方正小标宋简体" w:hAnsi="宋体" w:eastAsia="方正小标宋简体" w:cs="方正小标宋简体"/>
          <w:color w:val="000000"/>
          <w:sz w:val="52"/>
          <w:szCs w:val="52"/>
        </w:rPr>
        <w:t>年度</w:t>
      </w:r>
      <w:bookmarkEnd w:id="1"/>
      <w:bookmarkEnd w:id="2"/>
      <w:bookmarkEnd w:id="3"/>
      <w:bookmarkEnd w:id="4"/>
      <w:bookmarkEnd w:id="5"/>
      <w:bookmarkStart w:id="6" w:name="_Toc15377194"/>
      <w:bookmarkStart w:id="7" w:name="_Toc15378442"/>
      <w:bookmarkStart w:id="8" w:name="_Toc15396476"/>
      <w:bookmarkStart w:id="9" w:name="_Toc15377426"/>
      <w:bookmarkStart w:id="10" w:name="_Toc15396598"/>
      <w:r>
        <w:rPr>
          <w:rFonts w:hint="eastAsia" w:ascii="方正小标宋简体" w:hAnsi="宋体" w:eastAsia="方正小标宋简体" w:cs="方正小标宋简体"/>
          <w:color w:val="000000"/>
          <w:sz w:val="52"/>
          <w:szCs w:val="52"/>
        </w:rPr>
        <w:t>四川省</w:t>
      </w:r>
      <w:bookmarkEnd w:id="0"/>
      <w:bookmarkStart w:id="11" w:name="_Toc15306268"/>
      <w:r>
        <w:rPr>
          <w:rFonts w:hint="eastAsia" w:ascii="方正小标宋简体" w:hAnsi="宋体" w:eastAsia="方正小标宋简体" w:cs="方正小标宋简体"/>
          <w:color w:val="000000"/>
          <w:sz w:val="52"/>
          <w:szCs w:val="52"/>
        </w:rPr>
        <w:t>攀枝花市</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s="方正小标宋简体"/>
          <w:color w:val="000000"/>
          <w:sz w:val="52"/>
          <w:szCs w:val="52"/>
        </w:rPr>
        <w:t>西区财政监督检查局</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s="方正小标宋简体"/>
          <w:color w:val="000000"/>
          <w:sz w:val="52"/>
          <w:szCs w:val="5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p>
    <w:p>
      <w:pPr>
        <w:pStyle w:val="11"/>
        <w:rPr>
          <w:rFonts w:cs="Times New Roman"/>
        </w:rPr>
      </w:pPr>
      <w:r>
        <w:rPr>
          <w:rFonts w:hint="eastAsia"/>
        </w:rPr>
        <w:t>公开时间：</w:t>
      </w:r>
      <w:r>
        <w:t>2020</w:t>
      </w:r>
      <w:r>
        <w:rPr>
          <w:rFonts w:hint="eastAsia"/>
        </w:rPr>
        <w:t>年</w:t>
      </w:r>
      <w:r>
        <w:t>11</w:t>
      </w:r>
      <w:r>
        <w:rPr>
          <w:rFonts w:hint="eastAsia"/>
        </w:rPr>
        <w:t>月</w:t>
      </w:r>
      <w:r>
        <w:t xml:space="preserve"> 23 </w:t>
      </w:r>
      <w:r>
        <w:rPr>
          <w:rFonts w:hint="eastAsia"/>
        </w:rPr>
        <w:t>日</w:t>
      </w:r>
    </w:p>
    <w:p/>
    <w:p>
      <w:pPr>
        <w:pStyle w:val="11"/>
        <w:adjustRightInd w:val="0"/>
        <w:snapToGrid w:val="0"/>
        <w:spacing w:before="0" w:line="440" w:lineRule="exact"/>
        <w:jc w:val="left"/>
        <w:rPr>
          <w:rFonts w:ascii="仿宋_GB2312" w:eastAsia="仿宋_GB2312" w:cs="Times New Roman"/>
          <w:sz w:val="24"/>
          <w:szCs w:val="24"/>
        </w:rPr>
      </w:pPr>
      <w:r>
        <w:rPr>
          <w:rFonts w:hint="eastAsia" w:ascii="仿宋_GB2312" w:eastAsia="仿宋_GB2312" w:cs="仿宋_GB2312"/>
          <w:sz w:val="24"/>
          <w:szCs w:val="24"/>
        </w:rPr>
        <w:t>第一部分</w:t>
      </w:r>
      <w:r>
        <w:rPr>
          <w:rFonts w:ascii="仿宋_GB2312" w:eastAsia="仿宋_GB2312" w:cs="仿宋_GB2312"/>
          <w:sz w:val="24"/>
          <w:szCs w:val="24"/>
        </w:rPr>
        <w:t xml:space="preserve"> </w:t>
      </w:r>
      <w:r>
        <w:rPr>
          <w:rFonts w:hint="eastAsia" w:ascii="仿宋_GB2312" w:eastAsia="仿宋_GB2312" w:cs="仿宋_GB2312"/>
          <w:sz w:val="24"/>
          <w:szCs w:val="24"/>
        </w:rPr>
        <w:t>部门概况</w:t>
      </w:r>
      <w:r>
        <w:rPr>
          <w:rFonts w:ascii="仿宋_GB2312" w:eastAsia="仿宋_GB2312" w:cs="Times New Roman"/>
        </w:rPr>
        <w:tab/>
      </w:r>
      <w:r>
        <w:rPr>
          <w:rFonts w:ascii="仿宋_GB2312" w:hAnsi="Times New Roman" w:eastAsia="仿宋_GB2312" w:cs="仿宋_GB2312"/>
          <w:sz w:val="21"/>
          <w:szCs w:val="21"/>
        </w:rPr>
        <w:t>4</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一、基本职能及主要工作</w:t>
      </w:r>
      <w:r>
        <w:rPr>
          <w:rFonts w:ascii="仿宋_GB2312" w:eastAsia="仿宋_GB2312"/>
        </w:rPr>
        <w:tab/>
      </w:r>
      <w:r>
        <w:rPr>
          <w:rFonts w:ascii="仿宋_GB2312" w:eastAsia="仿宋_GB2312" w:cs="仿宋_GB2312"/>
        </w:rPr>
        <w:t>4</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二、机构设置</w:t>
      </w:r>
      <w:r>
        <w:rPr>
          <w:rFonts w:ascii="仿宋_GB2312" w:eastAsia="仿宋_GB2312"/>
        </w:rPr>
        <w:tab/>
      </w:r>
      <w:r>
        <w:rPr>
          <w:rFonts w:ascii="仿宋_GB2312" w:eastAsia="仿宋_GB2312" w:cs="仿宋_GB2312"/>
        </w:rPr>
        <w:t>10</w:t>
      </w:r>
    </w:p>
    <w:p>
      <w:pPr>
        <w:pStyle w:val="11"/>
        <w:adjustRightInd w:val="0"/>
        <w:snapToGrid w:val="0"/>
        <w:spacing w:before="0" w:line="440" w:lineRule="exact"/>
        <w:jc w:val="left"/>
        <w:rPr>
          <w:rFonts w:ascii="仿宋_GB2312" w:hAnsi="Times New Roman" w:eastAsia="仿宋_GB2312" w:cs="仿宋_GB2312"/>
          <w:sz w:val="21"/>
          <w:szCs w:val="21"/>
        </w:rPr>
      </w:pPr>
      <w:r>
        <w:rPr>
          <w:rFonts w:hint="eastAsia" w:ascii="仿宋_GB2312" w:eastAsia="仿宋_GB2312" w:cs="仿宋_GB2312"/>
          <w:sz w:val="24"/>
          <w:szCs w:val="24"/>
        </w:rPr>
        <w:t>第二部分</w:t>
      </w:r>
      <w:r>
        <w:rPr>
          <w:rFonts w:ascii="仿宋_GB2312" w:eastAsia="仿宋_GB2312" w:cs="仿宋_GB2312"/>
          <w:sz w:val="24"/>
          <w:szCs w:val="24"/>
        </w:rPr>
        <w:t xml:space="preserve"> 2019</w:t>
      </w:r>
      <w:r>
        <w:rPr>
          <w:rFonts w:hint="eastAsia" w:ascii="仿宋_GB2312" w:eastAsia="仿宋_GB2312" w:cs="仿宋_GB2312"/>
          <w:sz w:val="24"/>
          <w:szCs w:val="24"/>
        </w:rPr>
        <w:t>年度部门决算情况说明</w:t>
      </w:r>
      <w:r>
        <w:rPr>
          <w:rFonts w:ascii="仿宋_GB2312" w:eastAsia="仿宋_GB2312" w:cs="Times New Roman"/>
        </w:rPr>
        <w:tab/>
      </w:r>
      <w:r>
        <w:rPr>
          <w:rFonts w:ascii="仿宋_GB2312" w:hAnsi="Times New Roman" w:eastAsia="仿宋_GB2312" w:cs="仿宋_GB2312"/>
          <w:sz w:val="21"/>
          <w:szCs w:val="21"/>
        </w:rPr>
        <w:t>10</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一、收入支出决算总体情况说明</w:t>
      </w:r>
      <w:r>
        <w:rPr>
          <w:rFonts w:ascii="仿宋_GB2312" w:eastAsia="仿宋_GB2312"/>
        </w:rPr>
        <w:tab/>
      </w:r>
      <w:r>
        <w:rPr>
          <w:rFonts w:ascii="仿宋_GB2312" w:eastAsia="仿宋_GB2312" w:cs="仿宋_GB2312"/>
        </w:rPr>
        <w:t>10</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二、收入决算情况说明</w:t>
      </w:r>
      <w:r>
        <w:rPr>
          <w:rFonts w:ascii="仿宋_GB2312" w:eastAsia="仿宋_GB2312"/>
        </w:rPr>
        <w:tab/>
      </w:r>
      <w:r>
        <w:rPr>
          <w:rFonts w:ascii="仿宋_GB2312" w:eastAsia="仿宋_GB2312" w:cs="仿宋_GB2312"/>
        </w:rPr>
        <w:t>10</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三、支出决算情况说明</w:t>
      </w:r>
      <w:r>
        <w:rPr>
          <w:rFonts w:ascii="仿宋_GB2312" w:eastAsia="仿宋_GB2312"/>
        </w:rPr>
        <w:tab/>
      </w:r>
      <w:r>
        <w:rPr>
          <w:rFonts w:ascii="仿宋_GB2312" w:eastAsia="仿宋_GB2312" w:cs="仿宋_GB2312"/>
        </w:rPr>
        <w:t>11</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四、财政拨款收入支出决算总体情况说明</w:t>
      </w:r>
      <w:r>
        <w:rPr>
          <w:rFonts w:ascii="仿宋_GB2312" w:eastAsia="仿宋_GB2312"/>
        </w:rPr>
        <w:tab/>
      </w:r>
      <w:r>
        <w:rPr>
          <w:rFonts w:ascii="仿宋_GB2312" w:eastAsia="仿宋_GB2312" w:cs="仿宋_GB2312"/>
        </w:rPr>
        <w:t>11</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五、一般公共预算财政拨款支出决算情况说明</w:t>
      </w:r>
      <w:r>
        <w:rPr>
          <w:rFonts w:ascii="仿宋_GB2312" w:eastAsia="仿宋_GB2312"/>
        </w:rPr>
        <w:tab/>
      </w:r>
      <w:r>
        <w:rPr>
          <w:rFonts w:ascii="仿宋_GB2312" w:eastAsia="仿宋_GB2312" w:cs="仿宋_GB2312"/>
        </w:rPr>
        <w:t>12</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六、一般公共预算财政拨款基本支出决算情况说明</w:t>
      </w:r>
      <w:r>
        <w:rPr>
          <w:rFonts w:ascii="仿宋_GB2312" w:eastAsia="仿宋_GB2312"/>
        </w:rPr>
        <w:tab/>
      </w:r>
      <w:r>
        <w:rPr>
          <w:rFonts w:ascii="仿宋_GB2312" w:eastAsia="仿宋_GB2312" w:cs="仿宋_GB2312"/>
        </w:rPr>
        <w:t>14</w:t>
      </w:r>
    </w:p>
    <w:p>
      <w:pPr>
        <w:pStyle w:val="12"/>
        <w:adjustRightInd w:val="0"/>
        <w:snapToGrid w:val="0"/>
        <w:spacing w:line="440" w:lineRule="exact"/>
        <w:ind w:left="31680"/>
        <w:jc w:val="left"/>
        <w:rPr>
          <w:rFonts w:ascii="仿宋_GB2312" w:eastAsia="仿宋_GB2312"/>
          <w:sz w:val="24"/>
          <w:szCs w:val="24"/>
        </w:rPr>
      </w:pPr>
      <w:r>
        <w:rPr>
          <w:rFonts w:hint="eastAsia" w:ascii="仿宋_GB2312" w:eastAsia="仿宋_GB2312" w:cs="仿宋_GB2312"/>
          <w:sz w:val="24"/>
          <w:szCs w:val="24"/>
        </w:rPr>
        <w:t>七、“三公”经费财政拨款支出决算情况说明</w:t>
      </w:r>
      <w:r>
        <w:rPr>
          <w:rFonts w:ascii="仿宋_GB2312" w:eastAsia="仿宋_GB2312"/>
        </w:rPr>
        <w:tab/>
      </w:r>
      <w:r>
        <w:rPr>
          <w:rFonts w:ascii="仿宋_GB2312" w:eastAsia="仿宋_GB2312" w:cs="仿宋_GB2312"/>
        </w:rPr>
        <w:t>14</w:t>
      </w:r>
    </w:p>
    <w:p>
      <w:pPr>
        <w:pStyle w:val="12"/>
        <w:adjustRightInd w:val="0"/>
        <w:snapToGrid w:val="0"/>
        <w:spacing w:line="440" w:lineRule="exact"/>
        <w:ind w:left="31680"/>
        <w:jc w:val="left"/>
        <w:rPr>
          <w:rFonts w:hint="eastAsia" w:ascii="仿宋_GB2312" w:eastAsia="仿宋_GB2312"/>
          <w:sz w:val="24"/>
          <w:szCs w:val="24"/>
          <w:lang w:val="en-US" w:eastAsia="zh-CN"/>
        </w:rPr>
      </w:pPr>
      <w:r>
        <w:rPr>
          <w:rFonts w:hint="eastAsia" w:ascii="仿宋_GB2312" w:eastAsia="仿宋_GB2312" w:cs="仿宋_GB2312"/>
          <w:sz w:val="24"/>
          <w:szCs w:val="24"/>
        </w:rPr>
        <w:t>八、政府性基金预算支出决算情况说明</w:t>
      </w:r>
      <w:r>
        <w:rPr>
          <w:rFonts w:ascii="仿宋_GB2312" w:eastAsia="仿宋_GB2312"/>
        </w:rPr>
        <w:tab/>
      </w:r>
      <w:r>
        <w:rPr>
          <w:rFonts w:ascii="仿宋_GB2312" w:eastAsia="仿宋_GB2312" w:cs="仿宋_GB2312"/>
        </w:rPr>
        <w:t>1</w:t>
      </w:r>
      <w:r>
        <w:rPr>
          <w:rFonts w:hint="eastAsia" w:ascii="仿宋_GB2312" w:eastAsia="仿宋_GB2312" w:cs="仿宋_GB2312"/>
          <w:lang w:val="en-US" w:eastAsia="zh-CN"/>
        </w:rPr>
        <w:t>6</w:t>
      </w:r>
    </w:p>
    <w:p>
      <w:pPr>
        <w:pStyle w:val="12"/>
        <w:adjustRightInd w:val="0"/>
        <w:snapToGrid w:val="0"/>
        <w:spacing w:line="440" w:lineRule="exact"/>
        <w:ind w:leftChars="0"/>
        <w:jc w:val="left"/>
        <w:rPr>
          <w:rFonts w:hint="eastAsia" w:ascii="仿宋_GB2312" w:eastAsia="仿宋_GB2312"/>
          <w:sz w:val="24"/>
          <w:szCs w:val="24"/>
          <w:lang w:val="en-US" w:eastAsia="zh-CN"/>
        </w:rPr>
      </w:pPr>
      <w:r>
        <w:rPr>
          <w:rFonts w:hint="eastAsia" w:ascii="仿宋_GB2312" w:hAnsi="仿宋" w:eastAsia="仿宋_GB2312" w:cs="仿宋_GB2312"/>
          <w:sz w:val="24"/>
          <w:szCs w:val="24"/>
        </w:rPr>
        <w:t>九、</w:t>
      </w:r>
      <w:r>
        <w:rPr>
          <w:rFonts w:ascii="仿宋_GB2312" w:eastAsia="仿宋_GB2312" w:cs="仿宋_GB2312"/>
          <w:sz w:val="24"/>
          <w:szCs w:val="24"/>
        </w:rPr>
        <w:t xml:space="preserve"> </w:t>
      </w:r>
      <w:r>
        <w:rPr>
          <w:rFonts w:hint="eastAsia" w:ascii="仿宋_GB2312" w:eastAsia="仿宋_GB2312" w:cs="仿宋_GB2312"/>
          <w:sz w:val="24"/>
          <w:szCs w:val="24"/>
        </w:rPr>
        <w:t>国有资本经营预算支出决算情况说明</w:t>
      </w:r>
      <w:r>
        <w:rPr>
          <w:rFonts w:ascii="仿宋_GB2312" w:eastAsia="仿宋_GB2312"/>
        </w:rPr>
        <w:tab/>
      </w:r>
      <w:bookmarkStart w:id="73" w:name="_GoBack"/>
      <w:bookmarkEnd w:id="73"/>
      <w:r>
        <w:rPr>
          <w:rFonts w:ascii="仿宋_GB2312" w:eastAsia="仿宋_GB2312" w:cs="仿宋_GB2312"/>
        </w:rPr>
        <w:t>1</w:t>
      </w:r>
      <w:r>
        <w:rPr>
          <w:rFonts w:hint="eastAsia" w:ascii="仿宋_GB2312" w:eastAsia="仿宋_GB2312" w:cs="仿宋_GB2312"/>
          <w:lang w:val="en-US" w:eastAsia="zh-CN"/>
        </w:rPr>
        <w:t>6</w:t>
      </w:r>
    </w:p>
    <w:p>
      <w:pPr>
        <w:adjustRightInd w:val="0"/>
        <w:snapToGrid w:val="0"/>
        <w:spacing w:line="440" w:lineRule="exact"/>
        <w:ind w:firstLine="480" w:firstLineChars="200"/>
        <w:jc w:val="left"/>
        <w:rPr>
          <w:rFonts w:ascii="仿宋_GB2312" w:hAnsi="仿宋" w:eastAsia="仿宋_GB2312"/>
          <w:sz w:val="24"/>
          <w:szCs w:val="24"/>
        </w:rPr>
      </w:pPr>
      <w:r>
        <w:rPr>
          <w:rStyle w:val="17"/>
          <w:rFonts w:hint="eastAsia" w:ascii="仿宋_GB2312" w:hAnsi="仿宋" w:eastAsia="仿宋_GB2312" w:cs="仿宋_GB2312"/>
          <w:color w:val="000000"/>
          <w:sz w:val="24"/>
          <w:szCs w:val="24"/>
          <w:u w:val="none"/>
        </w:rPr>
        <w:t>十、</w:t>
      </w:r>
      <w:r>
        <w:rPr>
          <w:rFonts w:hint="eastAsia" w:ascii="仿宋_GB2312" w:eastAsia="仿宋_GB2312" w:cs="仿宋_GB2312"/>
          <w:sz w:val="24"/>
          <w:szCs w:val="24"/>
        </w:rPr>
        <w:t>其他重要事项的情况说明</w:t>
      </w:r>
      <w:r>
        <w:rPr>
          <w:rFonts w:ascii="仿宋_GB2312" w:eastAsia="仿宋_GB2312" w:cs="仿宋_GB2312"/>
          <w:sz w:val="24"/>
          <w:szCs w:val="24"/>
        </w:rPr>
        <w:t>............................................................................</w:t>
      </w:r>
      <w:r>
        <w:rPr>
          <w:rFonts w:ascii="仿宋_GB2312" w:eastAsia="仿宋_GB2312" w:cs="仿宋_GB2312"/>
        </w:rPr>
        <w:t>16</w:t>
      </w:r>
    </w:p>
    <w:p>
      <w:pPr>
        <w:pStyle w:val="11"/>
        <w:adjustRightInd w:val="0"/>
        <w:snapToGrid w:val="0"/>
        <w:spacing w:before="0" w:line="440" w:lineRule="exact"/>
        <w:jc w:val="left"/>
        <w:rPr>
          <w:rFonts w:ascii="仿宋_GB2312" w:eastAsia="仿宋_GB2312" w:cs="Times New Roman"/>
          <w:sz w:val="24"/>
          <w:szCs w:val="24"/>
        </w:rPr>
      </w:pPr>
      <w:r>
        <w:rPr>
          <w:rFonts w:hint="eastAsia" w:ascii="仿宋_GB2312" w:eastAsia="仿宋_GB2312" w:cs="仿宋_GB2312"/>
          <w:sz w:val="24"/>
          <w:szCs w:val="24"/>
        </w:rPr>
        <w:t>第三部分</w:t>
      </w:r>
      <w:r>
        <w:rPr>
          <w:rFonts w:ascii="仿宋_GB2312" w:eastAsia="仿宋_GB2312" w:cs="仿宋_GB2312"/>
          <w:sz w:val="24"/>
          <w:szCs w:val="24"/>
        </w:rPr>
        <w:t xml:space="preserve"> </w:t>
      </w:r>
      <w:r>
        <w:rPr>
          <w:rFonts w:hint="eastAsia" w:ascii="仿宋_GB2312" w:eastAsia="仿宋_GB2312" w:cs="仿宋_GB2312"/>
          <w:sz w:val="24"/>
          <w:szCs w:val="24"/>
        </w:rPr>
        <w:t>名词解释</w:t>
      </w:r>
      <w:r>
        <w:rPr>
          <w:rFonts w:ascii="仿宋_GB2312" w:eastAsia="仿宋_GB2312" w:cs="Times New Roman"/>
        </w:rPr>
        <w:tab/>
      </w:r>
      <w:r>
        <w:rPr>
          <w:rFonts w:ascii="仿宋_GB2312" w:hAnsi="Times New Roman" w:eastAsia="仿宋_GB2312" w:cs="仿宋_GB2312"/>
          <w:sz w:val="21"/>
          <w:szCs w:val="21"/>
        </w:rPr>
        <w:t>20</w:t>
      </w:r>
    </w:p>
    <w:p>
      <w:pPr>
        <w:pStyle w:val="11"/>
        <w:adjustRightInd w:val="0"/>
        <w:snapToGrid w:val="0"/>
        <w:spacing w:before="0" w:line="440" w:lineRule="exact"/>
        <w:jc w:val="left"/>
        <w:rPr>
          <w:rFonts w:ascii="仿宋_GB2312" w:eastAsia="仿宋_GB2312" w:cs="Times New Roman"/>
          <w:sz w:val="24"/>
          <w:szCs w:val="24"/>
        </w:rPr>
      </w:pPr>
      <w:r>
        <w:rPr>
          <w:rFonts w:hint="eastAsia" w:ascii="仿宋_GB2312" w:eastAsia="仿宋_GB2312" w:cs="仿宋_GB2312"/>
          <w:sz w:val="24"/>
          <w:szCs w:val="24"/>
        </w:rPr>
        <w:t>第四部分</w:t>
      </w:r>
      <w:r>
        <w:rPr>
          <w:rFonts w:ascii="仿宋_GB2312" w:eastAsia="仿宋_GB2312" w:cs="仿宋_GB2312"/>
          <w:sz w:val="24"/>
          <w:szCs w:val="24"/>
        </w:rPr>
        <w:t xml:space="preserve"> </w:t>
      </w:r>
      <w:r>
        <w:rPr>
          <w:rFonts w:hint="eastAsia" w:ascii="仿宋_GB2312" w:eastAsia="仿宋_GB2312" w:cs="仿宋_GB2312"/>
          <w:sz w:val="24"/>
          <w:szCs w:val="24"/>
        </w:rPr>
        <w:t>附件</w:t>
      </w:r>
      <w:r>
        <w:rPr>
          <w:rFonts w:ascii="仿宋_GB2312" w:eastAsia="仿宋_GB2312" w:cs="Times New Roman"/>
        </w:rPr>
        <w:tab/>
      </w:r>
      <w:r>
        <w:rPr>
          <w:rFonts w:ascii="仿宋_GB2312" w:hAnsi="Times New Roman" w:eastAsia="仿宋_GB2312" w:cs="仿宋_GB2312"/>
          <w:sz w:val="21"/>
          <w:szCs w:val="21"/>
        </w:rPr>
        <w:t>23</w:t>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eastAsia="仿宋_GB2312" w:cs="仿宋_GB2312"/>
          <w:sz w:val="24"/>
          <w:szCs w:val="24"/>
        </w:rPr>
        <w:t>附件</w:t>
      </w:r>
      <w:r>
        <w:rPr>
          <w:rFonts w:ascii="仿宋_GB2312" w:eastAsia="仿宋_GB2312" w:cs="仿宋_GB2312"/>
          <w:sz w:val="24"/>
          <w:szCs w:val="24"/>
        </w:rPr>
        <w:t>1</w:t>
      </w:r>
      <w:r>
        <w:rPr>
          <w:rFonts w:ascii="仿宋_GB2312" w:eastAsia="仿宋_GB2312"/>
        </w:rPr>
        <w:tab/>
      </w:r>
      <w:r>
        <w:rPr>
          <w:rFonts w:ascii="仿宋_GB2312" w:eastAsia="仿宋_GB2312" w:cs="仿宋_GB2312"/>
        </w:rPr>
        <w:t>23</w:t>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eastAsia="仿宋_GB2312" w:cs="仿宋_GB2312"/>
          <w:sz w:val="24"/>
          <w:szCs w:val="24"/>
        </w:rPr>
        <w:t>附件</w:t>
      </w:r>
      <w:r>
        <w:rPr>
          <w:rFonts w:ascii="仿宋_GB2312" w:eastAsia="仿宋_GB2312" w:cs="仿宋_GB2312"/>
          <w:sz w:val="24"/>
          <w:szCs w:val="24"/>
        </w:rPr>
        <w:t>2</w:t>
      </w:r>
      <w:r>
        <w:rPr>
          <w:rFonts w:ascii="仿宋_GB2312" w:eastAsia="仿宋_GB2312"/>
        </w:rPr>
        <w:tab/>
      </w:r>
      <w:r>
        <w:rPr>
          <w:rFonts w:ascii="仿宋_GB2312" w:eastAsia="仿宋_GB2312" w:cs="仿宋_GB2312"/>
        </w:rPr>
        <w:t>26</w:t>
      </w:r>
    </w:p>
    <w:p>
      <w:pPr>
        <w:pStyle w:val="11"/>
        <w:adjustRightInd w:val="0"/>
        <w:snapToGrid w:val="0"/>
        <w:spacing w:before="0" w:line="440" w:lineRule="exact"/>
        <w:jc w:val="left"/>
        <w:rPr>
          <w:rFonts w:ascii="仿宋_GB2312" w:eastAsia="仿宋_GB2312" w:cs="Times New Roman"/>
          <w:sz w:val="24"/>
          <w:szCs w:val="24"/>
        </w:rPr>
      </w:pPr>
      <w:r>
        <w:rPr>
          <w:rFonts w:hint="eastAsia" w:ascii="仿宋_GB2312" w:eastAsia="仿宋_GB2312" w:cs="仿宋_GB2312"/>
          <w:sz w:val="24"/>
          <w:szCs w:val="24"/>
        </w:rPr>
        <w:t>第五部分</w:t>
      </w:r>
      <w:r>
        <w:rPr>
          <w:rFonts w:ascii="仿宋_GB2312" w:eastAsia="仿宋_GB2312" w:cs="仿宋_GB2312"/>
          <w:sz w:val="24"/>
          <w:szCs w:val="24"/>
        </w:rPr>
        <w:t xml:space="preserve"> </w:t>
      </w:r>
      <w:r>
        <w:rPr>
          <w:rFonts w:hint="eastAsia" w:ascii="仿宋_GB2312" w:eastAsia="仿宋_GB2312" w:cs="仿宋_GB2312"/>
          <w:sz w:val="24"/>
          <w:szCs w:val="24"/>
        </w:rPr>
        <w:t>附表</w:t>
      </w:r>
      <w:r>
        <w:rPr>
          <w:rFonts w:ascii="仿宋_GB2312" w:eastAsia="仿宋_GB2312" w:cs="Times New Roman"/>
        </w:rPr>
        <w:tab/>
      </w:r>
      <w:r>
        <w:rPr>
          <w:rFonts w:ascii="仿宋_GB2312" w:hAnsi="Times New Roman" w:eastAsia="仿宋_GB2312" w:cs="仿宋_GB2312"/>
          <w:sz w:val="21"/>
          <w:szCs w:val="21"/>
        </w:rPr>
        <w:t>30</w:t>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一、</w:t>
      </w:r>
      <w:r>
        <w:rPr>
          <w:rFonts w:hint="eastAsia" w:ascii="仿宋_GB2312" w:eastAsia="仿宋_GB2312" w:cs="仿宋_GB2312"/>
          <w:sz w:val="24"/>
          <w:szCs w:val="24"/>
        </w:rPr>
        <w:t>收入支出决算总表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二、</w:t>
      </w:r>
      <w:r>
        <w:rPr>
          <w:rFonts w:hint="eastAsia" w:ascii="仿宋_GB2312" w:eastAsia="仿宋_GB2312" w:cs="仿宋_GB2312"/>
          <w:sz w:val="24"/>
          <w:szCs w:val="24"/>
        </w:rPr>
        <w:t>收入</w:t>
      </w:r>
      <w:r>
        <w:rPr>
          <w:rFonts w:hint="eastAsia" w:ascii="仿宋_GB2312" w:hAnsi="仿宋" w:eastAsia="仿宋_GB2312" w:cs="仿宋_GB2312"/>
          <w:sz w:val="24"/>
          <w:szCs w:val="24"/>
        </w:rPr>
        <w:t>决算</w:t>
      </w:r>
      <w:r>
        <w:rPr>
          <w:rFonts w:hint="eastAsia" w:ascii="仿宋_GB2312" w:eastAsia="仿宋_GB2312" w:cs="仿宋_GB2312"/>
          <w:sz w:val="24"/>
          <w:szCs w:val="24"/>
        </w:rPr>
        <w:t>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三、</w:t>
      </w:r>
      <w:r>
        <w:rPr>
          <w:rFonts w:hint="eastAsia" w:ascii="仿宋_GB2312" w:eastAsia="仿宋_GB2312" w:cs="仿宋_GB2312"/>
          <w:sz w:val="24"/>
          <w:szCs w:val="24"/>
        </w:rPr>
        <w:t>支出</w:t>
      </w:r>
      <w:r>
        <w:rPr>
          <w:rFonts w:hint="eastAsia" w:ascii="仿宋_GB2312" w:hAnsi="仿宋" w:eastAsia="仿宋_GB2312" w:cs="仿宋_GB2312"/>
          <w:sz w:val="24"/>
          <w:szCs w:val="24"/>
        </w:rPr>
        <w:t>决算</w:t>
      </w:r>
      <w:r>
        <w:rPr>
          <w:rFonts w:hint="eastAsia" w:ascii="仿宋_GB2312" w:eastAsia="仿宋_GB2312" w:cs="仿宋_GB2312"/>
          <w:sz w:val="24"/>
          <w:szCs w:val="24"/>
        </w:rPr>
        <w:t>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四、</w:t>
      </w:r>
      <w:r>
        <w:rPr>
          <w:rFonts w:hint="eastAsia" w:ascii="仿宋_GB2312" w:eastAsia="仿宋_GB2312" w:cs="仿宋_GB2312"/>
          <w:sz w:val="24"/>
          <w:szCs w:val="24"/>
        </w:rPr>
        <w:t>财政拨款收入支出决算总表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五、财政拨款支出决算明细表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六、</w:t>
      </w:r>
      <w:r>
        <w:rPr>
          <w:rFonts w:hint="eastAsia" w:ascii="仿宋_GB2312" w:eastAsia="仿宋_GB2312" w:cs="仿宋_GB2312"/>
          <w:sz w:val="24"/>
          <w:szCs w:val="24"/>
        </w:rPr>
        <w:t>一般公共预算财政拨款支出决算表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七、</w:t>
      </w:r>
      <w:r>
        <w:rPr>
          <w:rFonts w:hint="eastAsia" w:ascii="仿宋_GB2312" w:eastAsia="仿宋_GB2312" w:cs="仿宋_GB2312"/>
          <w:sz w:val="24"/>
          <w:szCs w:val="24"/>
        </w:rPr>
        <w:t>一般公共预算财政拨款支出决算明细表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八、</w:t>
      </w:r>
      <w:r>
        <w:rPr>
          <w:rFonts w:hint="eastAsia" w:ascii="仿宋_GB2312" w:eastAsia="仿宋_GB2312" w:cs="仿宋_GB2312"/>
          <w:sz w:val="24"/>
          <w:szCs w:val="24"/>
        </w:rPr>
        <w:t>一般公共预算财政拨款基本支出决算表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九、</w:t>
      </w:r>
      <w:r>
        <w:rPr>
          <w:rFonts w:hint="eastAsia" w:ascii="仿宋_GB2312" w:eastAsia="仿宋_GB2312" w:cs="仿宋_GB2312"/>
          <w:sz w:val="24"/>
          <w:szCs w:val="24"/>
        </w:rPr>
        <w:t>一般公共预算财政拨款项目支出决算表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十、</w:t>
      </w:r>
      <w:r>
        <w:rPr>
          <w:rFonts w:hint="eastAsia" w:ascii="仿宋_GB2312" w:eastAsia="仿宋_GB2312" w:cs="仿宋_GB2312"/>
          <w:sz w:val="24"/>
          <w:szCs w:val="24"/>
        </w:rPr>
        <w:t>一般公共预算财政拨款“三公”经费支出决算表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十一、</w:t>
      </w:r>
      <w:r>
        <w:rPr>
          <w:rFonts w:hint="eastAsia" w:ascii="仿宋_GB2312" w:eastAsia="仿宋_GB2312" w:cs="仿宋_GB2312"/>
          <w:sz w:val="24"/>
          <w:szCs w:val="24"/>
        </w:rPr>
        <w:t>政府性基金预算财政拨款收入支出决算表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十二、</w:t>
      </w:r>
      <w:r>
        <w:rPr>
          <w:rFonts w:hint="eastAsia" w:ascii="仿宋_GB2312" w:eastAsia="仿宋_GB2312" w:cs="仿宋_GB2312"/>
          <w:sz w:val="24"/>
          <w:szCs w:val="24"/>
        </w:rPr>
        <w:t>政府性基金预算财政拨款“三公”经费支出决算表</w:t>
      </w:r>
      <w:r>
        <w:rPr>
          <w:rFonts w:ascii="仿宋_GB2312" w:eastAsia="仿宋_GB2312"/>
        </w:rPr>
        <w:tab/>
      </w:r>
    </w:p>
    <w:p>
      <w:pPr>
        <w:pStyle w:val="12"/>
        <w:adjustRightInd w:val="0"/>
        <w:snapToGrid w:val="0"/>
        <w:spacing w:line="440" w:lineRule="exact"/>
        <w:ind w:left="31680"/>
        <w:jc w:val="left"/>
        <w:rPr>
          <w:rFonts w:ascii="仿宋_GB2312" w:hAnsi="仿宋" w:eastAsia="仿宋_GB2312"/>
          <w:sz w:val="24"/>
          <w:szCs w:val="24"/>
        </w:rPr>
      </w:pPr>
      <w:r>
        <w:rPr>
          <w:rFonts w:hint="eastAsia" w:ascii="仿宋_GB2312" w:hAnsi="仿宋" w:eastAsia="仿宋_GB2312" w:cs="仿宋_GB2312"/>
          <w:sz w:val="24"/>
          <w:szCs w:val="24"/>
        </w:rPr>
        <w:t>十三、</w:t>
      </w:r>
      <w:r>
        <w:rPr>
          <w:rFonts w:hint="eastAsia" w:ascii="仿宋_GB2312" w:eastAsia="仿宋_GB2312" w:cs="仿宋_GB2312"/>
          <w:sz w:val="24"/>
          <w:szCs w:val="24"/>
        </w:rPr>
        <w:t>国有资本经营预算支出决算表</w:t>
      </w:r>
      <w:r>
        <w:rPr>
          <w:rFonts w:ascii="仿宋_GB2312" w:eastAsia="仿宋_GB2312"/>
        </w:rPr>
        <w:tab/>
      </w:r>
    </w:p>
    <w:p>
      <w:pPr>
        <w:widowControl/>
        <w:spacing w:line="240" w:lineRule="atLeast"/>
        <w:jc w:val="center"/>
        <w:rPr>
          <w:rStyle w:val="18"/>
          <w:rFonts w:ascii="黑体" w:hAnsi="黑体" w:eastAsia="黑体"/>
          <w:b w:val="0"/>
          <w:bCs w:val="0"/>
        </w:rPr>
      </w:pPr>
      <w:bookmarkStart w:id="12" w:name="_Toc15396599"/>
      <w:bookmarkStart w:id="13" w:name="_Toc15377196"/>
      <w:r>
        <w:rPr>
          <w:rFonts w:ascii="仿宋_GB2312" w:hAnsi="仿宋" w:eastAsia="仿宋_GB2312"/>
          <w:b/>
          <w:bCs/>
          <w:sz w:val="24"/>
          <w:szCs w:val="24"/>
        </w:rPr>
        <w:br w:type="page"/>
      </w:r>
      <w:r>
        <w:rPr>
          <w:rStyle w:val="18"/>
          <w:rFonts w:hint="eastAsia" w:ascii="黑体" w:hAnsi="黑体" w:cs="宋体"/>
        </w:rPr>
        <w:t>第一部分</w:t>
      </w:r>
      <w:r>
        <w:rPr>
          <w:rStyle w:val="18"/>
          <w:rFonts w:ascii="黑体" w:hAnsi="黑体" w:cs="黑体"/>
        </w:rPr>
        <w:t xml:space="preserve"> </w:t>
      </w:r>
      <w:r>
        <w:rPr>
          <w:rStyle w:val="18"/>
          <w:rFonts w:hint="eastAsia" w:ascii="黑体" w:hAnsi="黑体" w:eastAsia="黑体" w:cs="黑体"/>
        </w:rPr>
        <w:t>部门概况</w:t>
      </w:r>
      <w:bookmarkEnd w:id="12"/>
      <w:bookmarkEnd w:id="13"/>
    </w:p>
    <w:p>
      <w:pPr>
        <w:pStyle w:val="3"/>
        <w:spacing w:before="0" w:after="0" w:line="240" w:lineRule="atLeast"/>
        <w:rPr>
          <w:rFonts w:ascii="黑体" w:hAnsi="Times New Roman" w:eastAsia="黑体" w:cs="Times New Roman"/>
          <w:b w:val="0"/>
          <w:bCs w:val="0"/>
          <w:color w:val="000000"/>
        </w:rPr>
      </w:pPr>
      <w:bookmarkStart w:id="14" w:name="_Toc15377197"/>
      <w:bookmarkStart w:id="15" w:name="_Toc15396600"/>
    </w:p>
    <w:p>
      <w:pPr>
        <w:pStyle w:val="3"/>
        <w:spacing w:before="0" w:after="0" w:line="600" w:lineRule="exact"/>
        <w:ind w:firstLine="707" w:firstLineChars="221"/>
        <w:rPr>
          <w:rStyle w:val="19"/>
          <w:rFonts w:ascii="仿宋" w:hAnsi="仿宋" w:eastAsia="仿宋" w:cs="Times New Roman"/>
          <w:b w:val="0"/>
          <w:bCs w:val="0"/>
        </w:rPr>
      </w:pPr>
      <w:r>
        <w:rPr>
          <w:rFonts w:hint="eastAsia" w:ascii="黑体" w:hAnsi="黑体" w:eastAsia="黑体" w:cs="黑体"/>
          <w:b w:val="0"/>
          <w:bCs w:val="0"/>
          <w:color w:val="000000"/>
        </w:rPr>
        <w:t>一、基</w:t>
      </w:r>
      <w:r>
        <w:rPr>
          <w:rStyle w:val="19"/>
          <w:rFonts w:hint="eastAsia" w:ascii="黑体" w:hAnsi="黑体" w:eastAsia="黑体" w:cs="黑体"/>
          <w:b w:val="0"/>
          <w:bCs w:val="0"/>
        </w:rPr>
        <w:t>本职能及主要工作</w:t>
      </w:r>
      <w:bookmarkEnd w:id="14"/>
      <w:bookmarkEnd w:id="15"/>
    </w:p>
    <w:p>
      <w:pPr>
        <w:pStyle w:val="5"/>
        <w:adjustRightInd w:val="0"/>
        <w:snapToGrid w:val="0"/>
        <w:spacing w:beforeLines="0" w:line="600" w:lineRule="exact"/>
        <w:ind w:firstLine="672" w:firstLineChars="210"/>
        <w:outlineLvl w:val="2"/>
        <w:rPr>
          <w:rFonts w:ascii="楷体_GB2312" w:hAnsi="仿宋" w:eastAsia="楷体_GB2312" w:cs="Times New Roman"/>
          <w:color w:val="000000"/>
          <w:sz w:val="32"/>
          <w:szCs w:val="32"/>
        </w:rPr>
      </w:pPr>
      <w:bookmarkStart w:id="16" w:name="_Toc15378445"/>
      <w:bookmarkStart w:id="17" w:name="_Toc15377198"/>
      <w:r>
        <w:rPr>
          <w:rFonts w:hint="eastAsia" w:ascii="楷体_GB2312" w:hAnsi="仿宋" w:eastAsia="楷体_GB2312" w:cs="楷体_GB2312"/>
          <w:color w:val="000000"/>
          <w:sz w:val="32"/>
          <w:szCs w:val="32"/>
        </w:rPr>
        <w:t>（一）主要职能。</w:t>
      </w:r>
      <w:bookmarkEnd w:id="16"/>
      <w:bookmarkEnd w:id="17"/>
    </w:p>
    <w:p>
      <w:pPr>
        <w:pStyle w:val="5"/>
        <w:adjustRightInd w:val="0"/>
        <w:snapToGrid w:val="0"/>
        <w:spacing w:beforeLines="0" w:line="600" w:lineRule="exact"/>
        <w:ind w:firstLine="672" w:firstLineChars="210"/>
        <w:outlineLvl w:val="2"/>
        <w:rPr>
          <w:rFonts w:ascii="仿宋_GB2312" w:hAnsi="仿宋" w:eastAsia="仿宋_GB2312" w:cs="Times New Roman"/>
          <w:color w:val="000000"/>
          <w:sz w:val="32"/>
          <w:szCs w:val="32"/>
        </w:rPr>
      </w:pPr>
      <w:r>
        <w:rPr>
          <w:rFonts w:hint="eastAsia" w:ascii="仿宋_GB2312" w:hAnsi="新宋体" w:eastAsia="仿宋_GB2312" w:cs="仿宋_GB2312"/>
          <w:sz w:val="32"/>
          <w:szCs w:val="32"/>
        </w:rPr>
        <w:t>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pPr>
        <w:pStyle w:val="5"/>
        <w:adjustRightInd w:val="0"/>
        <w:snapToGrid w:val="0"/>
        <w:spacing w:beforeLines="0" w:line="600" w:lineRule="exact"/>
        <w:ind w:firstLine="672" w:firstLineChars="210"/>
        <w:outlineLvl w:val="2"/>
        <w:rPr>
          <w:rFonts w:ascii="楷体_GB2312" w:hAnsi="仿宋" w:eastAsia="楷体_GB2312" w:cs="Times New Roman"/>
          <w:color w:val="000000"/>
          <w:sz w:val="32"/>
          <w:szCs w:val="32"/>
        </w:rPr>
      </w:pPr>
      <w:bookmarkStart w:id="18" w:name="_Toc15378446"/>
      <w:bookmarkStart w:id="19" w:name="_Toc15377199"/>
      <w:r>
        <w:rPr>
          <w:rFonts w:hint="eastAsia" w:ascii="楷体_GB2312" w:hAnsi="仿宋" w:eastAsia="楷体_GB2312" w:cs="楷体_GB2312"/>
          <w:color w:val="000000"/>
          <w:sz w:val="32"/>
          <w:szCs w:val="32"/>
        </w:rPr>
        <w:t>（二）</w:t>
      </w:r>
      <w:r>
        <w:rPr>
          <w:rFonts w:ascii="楷体_GB2312" w:hAnsi="仿宋" w:eastAsia="楷体_GB2312" w:cs="楷体_GB2312"/>
          <w:color w:val="000000"/>
          <w:sz w:val="32"/>
          <w:szCs w:val="32"/>
        </w:rPr>
        <w:t>2019</w:t>
      </w:r>
      <w:r>
        <w:rPr>
          <w:rFonts w:hint="eastAsia" w:ascii="楷体_GB2312" w:hAnsi="仿宋" w:eastAsia="楷体_GB2312" w:cs="楷体_GB2312"/>
          <w:color w:val="000000"/>
          <w:sz w:val="32"/>
          <w:szCs w:val="32"/>
        </w:rPr>
        <w:t>年重点工作完成情况。</w:t>
      </w:r>
      <w:bookmarkEnd w:id="18"/>
      <w:bookmarkEnd w:id="19"/>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西区财政监督检查工作在市财政局的关心指导下，在区委、区政府的领导下，紧密围绕本地经济社会发展和财政工作重点，关注事关人民群众切身利益的重大支出使用情况，突出有效性监督，全面提升财政监督能力和成效，及时反映财政管理方面的问题，有力维护财经秩序，保障财政资金安全高效运行。</w:t>
      </w:r>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年，区财监局牵头组织开展监督检查</w:t>
      </w:r>
      <w:r>
        <w:rPr>
          <w:rFonts w:ascii="仿宋_GB2312" w:hAnsi="新宋体" w:eastAsia="仿宋_GB2312" w:cs="仿宋_GB2312"/>
          <w:kern w:val="0"/>
          <w:sz w:val="32"/>
          <w:szCs w:val="32"/>
        </w:rPr>
        <w:t>7</w:t>
      </w:r>
      <w:r>
        <w:rPr>
          <w:rFonts w:hint="eastAsia" w:ascii="仿宋_GB2312" w:hAnsi="新宋体" w:eastAsia="仿宋_GB2312" w:cs="仿宋_GB2312"/>
          <w:kern w:val="0"/>
          <w:sz w:val="32"/>
          <w:szCs w:val="32"/>
        </w:rPr>
        <w:t>项；配合区委巡察办、市级相关部门及局属相关股室开展监督检查</w:t>
      </w:r>
      <w:r>
        <w:rPr>
          <w:rFonts w:ascii="仿宋_GB2312" w:hAnsi="新宋体" w:eastAsia="仿宋_GB2312" w:cs="仿宋_GB2312"/>
          <w:kern w:val="0"/>
          <w:sz w:val="32"/>
          <w:szCs w:val="32"/>
        </w:rPr>
        <w:t>4</w:t>
      </w:r>
      <w:r>
        <w:rPr>
          <w:rFonts w:hint="eastAsia" w:ascii="仿宋_GB2312" w:hAnsi="新宋体" w:eastAsia="仿宋_GB2312" w:cs="仿宋_GB2312"/>
          <w:kern w:val="0"/>
          <w:sz w:val="32"/>
          <w:szCs w:val="32"/>
        </w:rPr>
        <w:t>项；开展了内控内审建设等其他工作。</w:t>
      </w:r>
    </w:p>
    <w:p>
      <w:pPr>
        <w:spacing w:line="600" w:lineRule="exact"/>
        <w:ind w:firstLine="643" w:firstLineChars="200"/>
        <w:jc w:val="left"/>
        <w:rPr>
          <w:rFonts w:ascii="仿宋_GB2312" w:hAnsi="新宋体" w:eastAsia="仿宋_GB2312"/>
          <w:b/>
          <w:bCs/>
          <w:kern w:val="0"/>
          <w:sz w:val="32"/>
          <w:szCs w:val="32"/>
        </w:rPr>
      </w:pPr>
      <w:r>
        <w:rPr>
          <w:rFonts w:ascii="仿宋_GB2312" w:hAnsi="新宋体" w:eastAsia="仿宋_GB2312" w:cs="仿宋_GB2312"/>
          <w:b/>
          <w:bCs/>
          <w:kern w:val="0"/>
          <w:sz w:val="32"/>
          <w:szCs w:val="32"/>
        </w:rPr>
        <w:t>1</w:t>
      </w:r>
      <w:r>
        <w:rPr>
          <w:rFonts w:hint="eastAsia" w:ascii="仿宋_GB2312" w:hAnsi="新宋体" w:eastAsia="仿宋_GB2312" w:cs="仿宋_GB2312"/>
          <w:b/>
          <w:bCs/>
          <w:kern w:val="0"/>
          <w:sz w:val="32"/>
          <w:szCs w:val="32"/>
        </w:rPr>
        <w:t>．牵头组织开展的监督检查。</w:t>
      </w:r>
    </w:p>
    <w:p>
      <w:pPr>
        <w:spacing w:line="600" w:lineRule="exact"/>
        <w:ind w:firstLine="643" w:firstLineChars="200"/>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1</w:t>
      </w:r>
      <w:r>
        <w:rPr>
          <w:rFonts w:hint="eastAsia" w:ascii="仿宋_GB2312" w:hAnsi="新宋体" w:eastAsia="仿宋_GB2312" w:cs="仿宋_GB2312"/>
          <w:b/>
          <w:bCs/>
          <w:kern w:val="0"/>
          <w:sz w:val="32"/>
          <w:szCs w:val="32"/>
        </w:rPr>
        <w:t>）开展预决算公开检查。</w:t>
      </w:r>
    </w:p>
    <w:p>
      <w:pPr>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按照《四川省财政厅关于报送</w:t>
      </w:r>
      <w:r>
        <w:rPr>
          <w:rFonts w:ascii="仿宋_GB2312" w:hAnsi="新宋体" w:eastAsia="仿宋_GB2312" w:cs="仿宋_GB2312"/>
          <w:kern w:val="0"/>
          <w:sz w:val="32"/>
          <w:szCs w:val="32"/>
        </w:rPr>
        <w:t>2018</w:t>
      </w:r>
      <w:r>
        <w:rPr>
          <w:rFonts w:hint="eastAsia" w:ascii="仿宋_GB2312" w:hAnsi="新宋体" w:eastAsia="仿宋_GB2312" w:cs="仿宋_GB2312"/>
          <w:kern w:val="0"/>
          <w:sz w:val="32"/>
          <w:szCs w:val="32"/>
        </w:rPr>
        <w:t>年度地方预决算公开有关数据的通知》（川财监督〔</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号）文件和市财政局工作要求，西区财政局组织相关股室召开会议，对预决算公开情况数据报送工作进行了详细安排。各股室通过西区公众信息网，对西区政府和全区</w:t>
      </w:r>
      <w:r>
        <w:rPr>
          <w:rFonts w:ascii="仿宋_GB2312" w:hAnsi="新宋体" w:eastAsia="仿宋_GB2312" w:cs="仿宋_GB2312"/>
          <w:kern w:val="0"/>
          <w:sz w:val="32"/>
          <w:szCs w:val="32"/>
        </w:rPr>
        <w:t>54</w:t>
      </w:r>
      <w:r>
        <w:rPr>
          <w:rFonts w:hint="eastAsia" w:ascii="仿宋_GB2312" w:hAnsi="新宋体" w:eastAsia="仿宋_GB2312" w:cs="仿宋_GB2312"/>
          <w:kern w:val="0"/>
          <w:sz w:val="32"/>
          <w:szCs w:val="32"/>
        </w:rPr>
        <w:t>个一级预算单位逐一查看</w:t>
      </w:r>
      <w:r>
        <w:rPr>
          <w:rFonts w:ascii="仿宋_GB2312" w:hAnsi="新宋体" w:eastAsia="仿宋_GB2312" w:cs="仿宋_GB2312"/>
          <w:kern w:val="0"/>
          <w:sz w:val="32"/>
          <w:szCs w:val="32"/>
        </w:rPr>
        <w:t>2018</w:t>
      </w:r>
      <w:r>
        <w:rPr>
          <w:rFonts w:hint="eastAsia" w:ascii="仿宋_GB2312" w:hAnsi="新宋体" w:eastAsia="仿宋_GB2312" w:cs="仿宋_GB2312"/>
          <w:kern w:val="0"/>
          <w:sz w:val="32"/>
          <w:szCs w:val="32"/>
        </w:rPr>
        <w:t>年预算和</w:t>
      </w:r>
      <w:r>
        <w:rPr>
          <w:rFonts w:ascii="仿宋_GB2312" w:hAnsi="新宋体" w:eastAsia="仿宋_GB2312" w:cs="仿宋_GB2312"/>
          <w:kern w:val="0"/>
          <w:sz w:val="32"/>
          <w:szCs w:val="32"/>
        </w:rPr>
        <w:t>2017</w:t>
      </w:r>
      <w:r>
        <w:rPr>
          <w:rFonts w:hint="eastAsia" w:ascii="仿宋_GB2312" w:hAnsi="新宋体" w:eastAsia="仿宋_GB2312" w:cs="仿宋_GB2312"/>
          <w:kern w:val="0"/>
          <w:sz w:val="32"/>
          <w:szCs w:val="32"/>
        </w:rPr>
        <w:t>年决算公开情况。</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月</w:t>
      </w:r>
      <w:r>
        <w:rPr>
          <w:rFonts w:ascii="仿宋_GB2312" w:hAnsi="新宋体" w:eastAsia="仿宋_GB2312" w:cs="仿宋_GB2312"/>
          <w:kern w:val="0"/>
          <w:sz w:val="32"/>
          <w:szCs w:val="32"/>
        </w:rPr>
        <w:t>28</w:t>
      </w:r>
      <w:r>
        <w:rPr>
          <w:rFonts w:hint="eastAsia" w:ascii="仿宋_GB2312" w:hAnsi="新宋体" w:eastAsia="仿宋_GB2312" w:cs="仿宋_GB2312"/>
          <w:kern w:val="0"/>
          <w:sz w:val="32"/>
          <w:szCs w:val="32"/>
        </w:rPr>
        <w:t>日</w:t>
      </w:r>
      <w:r>
        <w:rPr>
          <w:rFonts w:ascii="仿宋_GB2312" w:hAnsi="新宋体" w:eastAsia="仿宋_GB2312" w:cs="仿宋_GB2312"/>
          <w:kern w:val="0"/>
          <w:sz w:val="32"/>
          <w:szCs w:val="32"/>
        </w:rPr>
        <w:t>—2</w:t>
      </w:r>
      <w:r>
        <w:rPr>
          <w:rFonts w:hint="eastAsia" w:ascii="仿宋_GB2312" w:hAnsi="新宋体" w:eastAsia="仿宋_GB2312" w:cs="仿宋_GB2312"/>
          <w:kern w:val="0"/>
          <w:sz w:val="32"/>
          <w:szCs w:val="32"/>
        </w:rPr>
        <w:t>月</w:t>
      </w:r>
      <w:r>
        <w:rPr>
          <w:rFonts w:ascii="仿宋_GB2312" w:hAnsi="新宋体" w:eastAsia="仿宋_GB2312" w:cs="仿宋_GB2312"/>
          <w:kern w:val="0"/>
          <w:sz w:val="32"/>
          <w:szCs w:val="32"/>
        </w:rPr>
        <w:t>15</w:t>
      </w:r>
      <w:r>
        <w:rPr>
          <w:rFonts w:hint="eastAsia" w:ascii="仿宋_GB2312" w:hAnsi="新宋体" w:eastAsia="仿宋_GB2312" w:cs="仿宋_GB2312"/>
          <w:kern w:val="0"/>
          <w:sz w:val="32"/>
          <w:szCs w:val="32"/>
        </w:rPr>
        <w:t>日，根据各股室核查结果，区财监局按照西区人大常委会对政府预决算的决议、区财政局对部门预决算的批复等资料，对区政府和各部门预决算公开信息的及时性、完整性、细化程度等内容逐项进行了核实。未发现各单位在及时性、完整性、细化程度、公开方式、真实性方面存在问题。</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2</w:t>
      </w:r>
      <w:r>
        <w:rPr>
          <w:rFonts w:hint="eastAsia" w:ascii="仿宋_GB2312" w:hAnsi="新宋体" w:eastAsia="仿宋_GB2312" w:cs="仿宋_GB2312"/>
          <w:b/>
          <w:bCs/>
          <w:kern w:val="0"/>
          <w:sz w:val="32"/>
          <w:szCs w:val="32"/>
        </w:rPr>
        <w:t>）开展减税降费政策措施实施效果监督检查工作。</w:t>
      </w:r>
    </w:p>
    <w:p>
      <w:pPr>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按照《财政部关于做好减税降费政策措施实施效果监督检查工作的意见》（财监〔</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14</w:t>
      </w:r>
      <w:r>
        <w:rPr>
          <w:rFonts w:hint="eastAsia" w:ascii="仿宋_GB2312" w:hAnsi="新宋体" w:eastAsia="仿宋_GB2312" w:cs="仿宋_GB2312"/>
          <w:kern w:val="0"/>
          <w:sz w:val="32"/>
          <w:szCs w:val="32"/>
        </w:rPr>
        <w:t>号）和《四川省财政厅关于做好减税降费政策措施实施效果监督检查工作的通知》（川财监督〔</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8</w:t>
      </w:r>
      <w:r>
        <w:rPr>
          <w:rFonts w:hint="eastAsia" w:ascii="仿宋_GB2312" w:hAnsi="新宋体" w:eastAsia="仿宋_GB2312" w:cs="仿宋_GB2312"/>
          <w:kern w:val="0"/>
          <w:sz w:val="32"/>
          <w:szCs w:val="32"/>
        </w:rPr>
        <w:t>号）、补充通知等文件精神及市财政局工作要求</w:t>
      </w:r>
      <w:r>
        <w:rPr>
          <w:rFonts w:ascii="仿宋_GB2312" w:hAnsi="新宋体" w:eastAsia="仿宋_GB2312" w:cs="仿宋_GB2312"/>
          <w:kern w:val="0"/>
          <w:sz w:val="32"/>
          <w:szCs w:val="32"/>
        </w:rPr>
        <w:t xml:space="preserve">, </w:t>
      </w:r>
      <w:r>
        <w:rPr>
          <w:rFonts w:hint="eastAsia" w:ascii="仿宋_GB2312" w:hAnsi="新宋体" w:eastAsia="仿宋_GB2312" w:cs="仿宋_GB2312"/>
          <w:kern w:val="0"/>
          <w:sz w:val="32"/>
          <w:szCs w:val="32"/>
        </w:rPr>
        <w:t>区财政局积极组织开展减税降费政策措施实施效果自查工作</w:t>
      </w:r>
      <w:r>
        <w:rPr>
          <w:rFonts w:ascii="仿宋_GB2312" w:hAnsi="新宋体" w:eastAsia="仿宋_GB2312" w:cs="仿宋_GB2312"/>
          <w:kern w:val="0"/>
          <w:sz w:val="32"/>
          <w:szCs w:val="32"/>
        </w:rPr>
        <w:t xml:space="preserve">, </w:t>
      </w:r>
      <w:r>
        <w:rPr>
          <w:rFonts w:hint="eastAsia" w:ascii="仿宋_GB2312" w:hAnsi="新宋体" w:eastAsia="仿宋_GB2312" w:cs="仿宋_GB2312"/>
          <w:kern w:val="0"/>
          <w:sz w:val="32"/>
          <w:szCs w:val="32"/>
        </w:rPr>
        <w:t>由财监局、预算股、综合股等相关人员组成检查组，有效推进自查自纠，主动与税务、社保等部门沟通联系，建起统筹协调、信息共享的工作机制，主要检查了</w:t>
      </w:r>
      <w:r>
        <w:rPr>
          <w:rFonts w:ascii="仿宋_GB2312" w:hAnsi="新宋体" w:eastAsia="仿宋_GB2312" w:cs="仿宋_GB2312"/>
          <w:kern w:val="0"/>
          <w:sz w:val="32"/>
          <w:szCs w:val="32"/>
        </w:rPr>
        <w:t>2018</w:t>
      </w:r>
      <w:r>
        <w:rPr>
          <w:rFonts w:hint="eastAsia" w:ascii="仿宋_GB2312" w:hAnsi="新宋体" w:eastAsia="仿宋_GB2312" w:cs="仿宋_GB2312"/>
          <w:kern w:val="0"/>
          <w:sz w:val="32"/>
          <w:szCs w:val="32"/>
        </w:rPr>
        <w:t>年以来中央、省出台</w:t>
      </w:r>
      <w:r>
        <w:rPr>
          <w:rFonts w:ascii="仿宋_GB2312" w:hAnsi="新宋体" w:eastAsia="仿宋_GB2312" w:cs="仿宋_GB2312"/>
          <w:kern w:val="0"/>
          <w:sz w:val="32"/>
          <w:szCs w:val="32"/>
        </w:rPr>
        <w:t>(</w:t>
      </w:r>
      <w:r>
        <w:rPr>
          <w:rFonts w:hint="eastAsia" w:ascii="仿宋_GB2312" w:hAnsi="新宋体" w:eastAsia="仿宋_GB2312" w:cs="仿宋_GB2312"/>
          <w:kern w:val="0"/>
          <w:sz w:val="32"/>
          <w:szCs w:val="32"/>
        </w:rPr>
        <w:t>含省授权各地出台</w:t>
      </w:r>
      <w:r>
        <w:rPr>
          <w:rFonts w:ascii="仿宋_GB2312" w:hAnsi="新宋体" w:eastAsia="仿宋_GB2312" w:cs="仿宋_GB2312"/>
          <w:kern w:val="0"/>
          <w:sz w:val="32"/>
          <w:szCs w:val="32"/>
        </w:rPr>
        <w:t>)</w:t>
      </w:r>
      <w:r>
        <w:rPr>
          <w:rFonts w:hint="eastAsia" w:ascii="仿宋_GB2312" w:hAnsi="新宋体" w:eastAsia="仿宋_GB2312" w:cs="仿宋_GB2312"/>
          <w:kern w:val="0"/>
          <w:sz w:val="32"/>
          <w:szCs w:val="32"/>
        </w:rPr>
        <w:t>的各项减税降费政策措施的实施情况，以及各部门落实政府过紧日子要求的情况。</w:t>
      </w:r>
    </w:p>
    <w:p>
      <w:pPr>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未发现相关单位减税降费工作在组织保障、减税降费政策措施落实、依法组织收入、压减财政支出、改进作风、提升企业和人民群众满意度等方面存在问题。</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3</w:t>
      </w:r>
      <w:r>
        <w:rPr>
          <w:rFonts w:hint="eastAsia" w:ascii="仿宋_GB2312" w:hAnsi="新宋体" w:eastAsia="仿宋_GB2312" w:cs="仿宋_GB2312"/>
          <w:b/>
          <w:bCs/>
          <w:kern w:val="0"/>
          <w:sz w:val="32"/>
          <w:szCs w:val="32"/>
        </w:rPr>
        <w:t>）开展巩固深化惠民惠农财政补贴资金“一卡通”专项治理工作。</w:t>
      </w:r>
    </w:p>
    <w:p>
      <w:pPr>
        <w:spacing w:line="600" w:lineRule="exact"/>
        <w:ind w:firstLine="640" w:firstLineChars="200"/>
        <w:rPr>
          <w:rFonts w:ascii="仿宋_GB2312" w:hAnsi="新宋体" w:eastAsia="仿宋_GB2312"/>
          <w:kern w:val="0"/>
          <w:sz w:val="32"/>
          <w:szCs w:val="32"/>
        </w:rPr>
      </w:pPr>
      <w:r>
        <w:rPr>
          <w:rFonts w:ascii="仿宋_GB2312" w:hAnsi="新宋体" w:eastAsia="仿宋_GB2312" w:cs="仿宋_GB2312"/>
          <w:kern w:val="0"/>
          <w:sz w:val="32"/>
          <w:szCs w:val="32"/>
        </w:rPr>
        <w:t>5—6</w:t>
      </w:r>
      <w:r>
        <w:rPr>
          <w:rFonts w:hint="eastAsia" w:ascii="仿宋_GB2312" w:hAnsi="新宋体" w:eastAsia="仿宋_GB2312" w:cs="仿宋_GB2312"/>
          <w:kern w:val="0"/>
          <w:sz w:val="32"/>
          <w:szCs w:val="32"/>
        </w:rPr>
        <w:t>月，按照《四川省财政厅关于巩固深化惠民惠农财政补贴资金“一卡通”专项治理的通知》（川财监督〔</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7</w:t>
      </w:r>
      <w:r>
        <w:rPr>
          <w:rFonts w:hint="eastAsia" w:ascii="仿宋_GB2312" w:hAnsi="新宋体" w:eastAsia="仿宋_GB2312" w:cs="仿宋_GB2312"/>
          <w:kern w:val="0"/>
          <w:sz w:val="32"/>
          <w:szCs w:val="32"/>
        </w:rPr>
        <w:t>号）文件精神及市财政局工作安排，西区财政局积极安排部署，开展“一卡通”专项治理。区财政局组织各主管部门进行自查，汇总并核对各单位项目资金管理发放情况，存在的问题及整改情况。</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4</w:t>
      </w:r>
      <w:r>
        <w:rPr>
          <w:rFonts w:hint="eastAsia" w:ascii="仿宋_GB2312" w:hAnsi="新宋体" w:eastAsia="仿宋_GB2312" w:cs="仿宋_GB2312"/>
          <w:b/>
          <w:bCs/>
          <w:kern w:val="0"/>
          <w:sz w:val="32"/>
          <w:szCs w:val="32"/>
        </w:rPr>
        <w:t>）开展“扶贫解困纪律作风保障年”活动牵头工作。</w:t>
      </w:r>
    </w:p>
    <w:p>
      <w:pPr>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根据中共攀枝花市西区区委办公室《关于印发</w:t>
      </w:r>
      <w:r>
        <w:rPr>
          <w:rFonts w:ascii="仿宋_GB2312" w:hAnsi="新宋体" w:eastAsia="仿宋_GB2312" w:cs="仿宋_GB2312"/>
          <w:kern w:val="0"/>
          <w:sz w:val="32"/>
          <w:szCs w:val="32"/>
        </w:rPr>
        <w:t>&lt;</w:t>
      </w:r>
      <w:r>
        <w:rPr>
          <w:rFonts w:hint="eastAsia" w:ascii="仿宋_GB2312" w:hAnsi="新宋体" w:eastAsia="仿宋_GB2312" w:cs="仿宋_GB2312"/>
          <w:kern w:val="0"/>
          <w:sz w:val="32"/>
          <w:szCs w:val="32"/>
        </w:rPr>
        <w:t>攀枝花市西区开展“扶贫解困纪律作风保障年”活动工作措施</w:t>
      </w:r>
      <w:r>
        <w:rPr>
          <w:rFonts w:ascii="仿宋_GB2312" w:hAnsi="新宋体" w:eastAsia="仿宋_GB2312" w:cs="仿宋_GB2312"/>
          <w:kern w:val="0"/>
          <w:sz w:val="32"/>
          <w:szCs w:val="32"/>
        </w:rPr>
        <w:t>&gt;</w:t>
      </w:r>
      <w:r>
        <w:rPr>
          <w:rFonts w:hint="eastAsia" w:ascii="仿宋_GB2312" w:hAnsi="新宋体" w:eastAsia="仿宋_GB2312" w:cs="仿宋_GB2312"/>
          <w:kern w:val="0"/>
          <w:sz w:val="32"/>
          <w:szCs w:val="32"/>
        </w:rPr>
        <w:t>的通知》（攀西委办〔</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42</w:t>
      </w:r>
      <w:r>
        <w:rPr>
          <w:rFonts w:hint="eastAsia" w:ascii="仿宋_GB2312" w:hAnsi="新宋体" w:eastAsia="仿宋_GB2312" w:cs="仿宋_GB2312"/>
          <w:kern w:val="0"/>
          <w:sz w:val="32"/>
          <w:szCs w:val="32"/>
        </w:rPr>
        <w:t>号）文件精神，区财政局结合巩固深化惠民惠农财政补贴资金“一卡通”管理问题专项治理工作，对此项工作进行了报告。</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5</w:t>
      </w:r>
      <w:r>
        <w:rPr>
          <w:rFonts w:hint="eastAsia" w:ascii="仿宋_GB2312" w:hAnsi="新宋体" w:eastAsia="仿宋_GB2312" w:cs="仿宋_GB2312"/>
          <w:b/>
          <w:bCs/>
          <w:kern w:val="0"/>
          <w:sz w:val="32"/>
          <w:szCs w:val="32"/>
        </w:rPr>
        <w:t>）开展会计信息质量检查。</w:t>
      </w:r>
    </w:p>
    <w:p>
      <w:pPr>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根据省、市文件精神和市财政局工作安排，于</w:t>
      </w:r>
      <w:r>
        <w:rPr>
          <w:rFonts w:ascii="仿宋_GB2312" w:hAnsi="新宋体" w:eastAsia="仿宋_GB2312" w:cs="仿宋_GB2312"/>
          <w:kern w:val="0"/>
          <w:sz w:val="32"/>
          <w:szCs w:val="32"/>
        </w:rPr>
        <w:t>7—9</w:t>
      </w:r>
      <w:r>
        <w:rPr>
          <w:rFonts w:hint="eastAsia" w:ascii="仿宋_GB2312" w:hAnsi="新宋体" w:eastAsia="仿宋_GB2312" w:cs="仿宋_GB2312"/>
          <w:kern w:val="0"/>
          <w:sz w:val="32"/>
          <w:szCs w:val="32"/>
        </w:rPr>
        <w:t>月，对西区河门口街道办事处、西区教育和体育局、西区信访局的会计信息质量检查开展了会计信息质量检查。</w:t>
      </w:r>
    </w:p>
    <w:p>
      <w:pPr>
        <w:autoSpaceDE w:val="0"/>
        <w:autoSpaceDN w:val="0"/>
        <w:adjustRightInd w:val="0"/>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经检查，被查单位严格执行相关政策及法律法规，未发现违法违规行为，但存在内部控制不规范</w:t>
      </w:r>
      <w:r>
        <w:rPr>
          <w:rFonts w:ascii="仿宋_GB2312" w:hAnsi="新宋体" w:eastAsia="仿宋_GB2312" w:cs="仿宋_GB2312"/>
          <w:kern w:val="0"/>
          <w:sz w:val="32"/>
          <w:szCs w:val="32"/>
        </w:rPr>
        <w:t>4.38</w:t>
      </w:r>
      <w:r>
        <w:rPr>
          <w:rFonts w:hint="eastAsia" w:ascii="仿宋_GB2312" w:hAnsi="新宋体" w:eastAsia="仿宋_GB2312" w:cs="仿宋_GB2312"/>
          <w:kern w:val="0"/>
          <w:sz w:val="32"/>
          <w:szCs w:val="32"/>
        </w:rPr>
        <w:t>万元、会计核算不规范</w:t>
      </w:r>
      <w:r>
        <w:rPr>
          <w:rFonts w:ascii="仿宋_GB2312" w:hAnsi="新宋体" w:eastAsia="仿宋_GB2312" w:cs="仿宋_GB2312"/>
          <w:kern w:val="0"/>
          <w:sz w:val="32"/>
          <w:szCs w:val="32"/>
        </w:rPr>
        <w:t>4.78</w:t>
      </w:r>
      <w:r>
        <w:rPr>
          <w:rFonts w:hint="eastAsia" w:ascii="仿宋_GB2312" w:hAnsi="新宋体" w:eastAsia="仿宋_GB2312" w:cs="仿宋_GB2312"/>
          <w:kern w:val="0"/>
          <w:sz w:val="32"/>
          <w:szCs w:val="32"/>
        </w:rPr>
        <w:t>万元、会计基础工作不规范</w:t>
      </w:r>
      <w:r>
        <w:rPr>
          <w:rFonts w:ascii="仿宋_GB2312" w:hAnsi="新宋体" w:eastAsia="仿宋_GB2312" w:cs="仿宋_GB2312"/>
          <w:kern w:val="0"/>
          <w:sz w:val="32"/>
          <w:szCs w:val="32"/>
        </w:rPr>
        <w:t>119.03</w:t>
      </w:r>
      <w:r>
        <w:rPr>
          <w:rFonts w:hint="eastAsia" w:ascii="仿宋_GB2312" w:hAnsi="新宋体" w:eastAsia="仿宋_GB2312" w:cs="仿宋_GB2312"/>
          <w:kern w:val="0"/>
          <w:sz w:val="32"/>
          <w:szCs w:val="32"/>
        </w:rPr>
        <w:t>万元，其他不规范方面</w:t>
      </w:r>
      <w:r>
        <w:rPr>
          <w:rFonts w:ascii="仿宋_GB2312" w:hAnsi="新宋体" w:eastAsia="仿宋_GB2312" w:cs="仿宋_GB2312"/>
          <w:kern w:val="0"/>
          <w:sz w:val="32"/>
          <w:szCs w:val="32"/>
        </w:rPr>
        <w:t>2.9</w:t>
      </w:r>
      <w:r>
        <w:rPr>
          <w:rFonts w:hint="eastAsia" w:ascii="仿宋_GB2312" w:hAnsi="新宋体" w:eastAsia="仿宋_GB2312" w:cs="仿宋_GB2312"/>
          <w:kern w:val="0"/>
          <w:sz w:val="32"/>
          <w:szCs w:val="32"/>
        </w:rPr>
        <w:t>万元，检查组提出了整改意见，相关单位对不规范问题进行了整改，出差未按规定报销和结算已退回</w:t>
      </w:r>
      <w:r>
        <w:rPr>
          <w:rFonts w:ascii="仿宋_GB2312" w:hAnsi="新宋体" w:eastAsia="仿宋_GB2312" w:cs="仿宋_GB2312"/>
          <w:kern w:val="0"/>
          <w:sz w:val="32"/>
          <w:szCs w:val="32"/>
        </w:rPr>
        <w:t>0.03</w:t>
      </w:r>
      <w:r>
        <w:rPr>
          <w:rFonts w:hint="eastAsia" w:ascii="仿宋_GB2312" w:hAnsi="新宋体" w:eastAsia="仿宋_GB2312" w:cs="仿宋_GB2312"/>
          <w:kern w:val="0"/>
          <w:sz w:val="32"/>
          <w:szCs w:val="32"/>
        </w:rPr>
        <w:t>万元。</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6</w:t>
      </w:r>
      <w:r>
        <w:rPr>
          <w:rFonts w:hint="eastAsia" w:ascii="仿宋_GB2312" w:hAnsi="新宋体" w:eastAsia="仿宋_GB2312" w:cs="仿宋_GB2312"/>
          <w:b/>
          <w:bCs/>
          <w:kern w:val="0"/>
          <w:sz w:val="32"/>
          <w:szCs w:val="32"/>
        </w:rPr>
        <w:t>）开展严肃财经纪律和私设“小金库”专项检查。</w:t>
      </w:r>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结合会计信息质量检查，重点关注了区河门口街道办事处、西区教育和体育局、西区信访局在财经纪律执行、是否私设“小金库”方面的情况。未发现被查部门存在违规违纪问题，但存在一些不规范问题，已进行了整改。</w:t>
      </w:r>
    </w:p>
    <w:p>
      <w:pPr>
        <w:spacing w:line="600" w:lineRule="exact"/>
        <w:ind w:firstLine="643" w:firstLineChars="200"/>
        <w:jc w:val="left"/>
        <w:rPr>
          <w:rFonts w:ascii="仿宋_GB2312" w:hAnsi="新宋体" w:eastAsia="仿宋_GB2312"/>
          <w:b/>
          <w:bCs/>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7</w:t>
      </w:r>
      <w:r>
        <w:rPr>
          <w:rFonts w:hint="eastAsia" w:ascii="仿宋_GB2312" w:hAnsi="新宋体" w:eastAsia="仿宋_GB2312" w:cs="仿宋_GB2312"/>
          <w:b/>
          <w:bCs/>
          <w:kern w:val="0"/>
          <w:sz w:val="32"/>
          <w:szCs w:val="32"/>
        </w:rPr>
        <w:t>）开展巩固深化惠民惠农财政补贴资金“一卡通”管理问题专项治理。</w:t>
      </w:r>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ascii="仿宋_GB2312" w:hAnsi="新宋体" w:eastAsia="仿宋_GB2312" w:cs="仿宋_GB2312"/>
          <w:kern w:val="0"/>
          <w:sz w:val="32"/>
          <w:szCs w:val="32"/>
        </w:rPr>
        <w:t>10—12</w:t>
      </w:r>
      <w:r>
        <w:rPr>
          <w:rFonts w:hint="eastAsia" w:ascii="仿宋_GB2312" w:hAnsi="新宋体" w:eastAsia="仿宋_GB2312" w:cs="仿宋_GB2312"/>
          <w:kern w:val="0"/>
          <w:sz w:val="32"/>
          <w:szCs w:val="32"/>
        </w:rPr>
        <w:t>月，为切实解决漠视和侵害群众利益问题，堵塞监管漏洞，确保各项惠民惠农政策落到实处，按照区委“不忘初心、牢记使命”主题教育工作要求，区财政局组织开展巩固深化惠民惠农财政补贴资金“一卡通”管理问题专项治理。</w:t>
      </w:r>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前期，根据市、区工作要求，结合工作方案内容，组织各主管部门、街道（镇）开展自查，各部门按要求在规定时间内完成了自查，梳理出“一卡通”工作进展情况及存在的问题。</w:t>
      </w:r>
    </w:p>
    <w:p>
      <w:pPr>
        <w:autoSpaceDE w:val="0"/>
        <w:autoSpaceDN w:val="0"/>
        <w:adjustRightInd w:val="0"/>
        <w:spacing w:line="600" w:lineRule="exact"/>
        <w:ind w:firstLine="640" w:firstLineChars="200"/>
        <w:jc w:val="left"/>
        <w:rPr>
          <w:rFonts w:ascii="仿宋_GB2312" w:hAnsi="新宋体" w:eastAsia="仿宋_GB2312"/>
          <w:kern w:val="0"/>
          <w:sz w:val="32"/>
          <w:szCs w:val="32"/>
        </w:rPr>
      </w:pPr>
      <w:r>
        <w:rPr>
          <w:rFonts w:ascii="仿宋_GB2312" w:hAnsi="新宋体" w:eastAsia="仿宋_GB2312" w:cs="仿宋_GB2312"/>
          <w:kern w:val="0"/>
          <w:sz w:val="32"/>
          <w:szCs w:val="32"/>
        </w:rPr>
        <w:t>11</w:t>
      </w:r>
      <w:r>
        <w:rPr>
          <w:rFonts w:hint="eastAsia" w:ascii="仿宋_GB2312" w:hAnsi="新宋体" w:eastAsia="仿宋_GB2312" w:cs="仿宋_GB2312"/>
          <w:kern w:val="0"/>
          <w:sz w:val="32"/>
          <w:szCs w:val="32"/>
        </w:rPr>
        <w:t>月</w:t>
      </w:r>
      <w:r>
        <w:rPr>
          <w:rFonts w:ascii="仿宋_GB2312" w:hAnsi="新宋体" w:eastAsia="仿宋_GB2312" w:cs="仿宋_GB2312"/>
          <w:kern w:val="0"/>
          <w:sz w:val="32"/>
          <w:szCs w:val="32"/>
        </w:rPr>
        <w:t>12—14</w:t>
      </w:r>
      <w:r>
        <w:rPr>
          <w:rFonts w:hint="eastAsia" w:ascii="仿宋_GB2312" w:hAnsi="新宋体" w:eastAsia="仿宋_GB2312" w:cs="仿宋_GB2312"/>
          <w:kern w:val="0"/>
          <w:sz w:val="32"/>
          <w:szCs w:val="32"/>
        </w:rPr>
        <w:t>日，区财政局与区纪委监委、区审计局、区人社局组成检查组，通过听取汇报、查看审核审批资料、公示资料、合同协议、财务资料及平台发放流程，重点督查了民政和扶贫工作局、农业农村和交通运输局、就业局、残疾人联合会</w:t>
      </w:r>
      <w:r>
        <w:rPr>
          <w:rFonts w:ascii="仿宋_GB2312" w:hAnsi="新宋体" w:eastAsia="仿宋_GB2312" w:cs="仿宋_GB2312"/>
          <w:kern w:val="0"/>
          <w:sz w:val="32"/>
          <w:szCs w:val="32"/>
        </w:rPr>
        <w:t>4</w:t>
      </w:r>
      <w:r>
        <w:rPr>
          <w:rFonts w:hint="eastAsia" w:ascii="仿宋_GB2312" w:hAnsi="新宋体" w:eastAsia="仿宋_GB2312" w:cs="仿宋_GB2312"/>
          <w:kern w:val="0"/>
          <w:sz w:val="32"/>
          <w:szCs w:val="32"/>
        </w:rPr>
        <w:t>个主管部门，河门口街道、玉泉街道、陶家渡街道、格里坪镇</w:t>
      </w:r>
      <w:r>
        <w:rPr>
          <w:rFonts w:ascii="仿宋_GB2312" w:hAnsi="新宋体" w:eastAsia="仿宋_GB2312" w:cs="仿宋_GB2312"/>
          <w:kern w:val="0"/>
          <w:sz w:val="32"/>
          <w:szCs w:val="32"/>
        </w:rPr>
        <w:t>4</w:t>
      </w:r>
      <w:r>
        <w:rPr>
          <w:rFonts w:hint="eastAsia" w:ascii="仿宋_GB2312" w:hAnsi="新宋体" w:eastAsia="仿宋_GB2312" w:cs="仿宋_GB2312"/>
          <w:kern w:val="0"/>
          <w:sz w:val="32"/>
          <w:szCs w:val="32"/>
        </w:rPr>
        <w:t>个街道（镇）“一卡通”工作开展情况。截止</w:t>
      </w:r>
      <w:r>
        <w:rPr>
          <w:rFonts w:ascii="仿宋_GB2312" w:hAnsi="新宋体" w:eastAsia="仿宋_GB2312" w:cs="仿宋_GB2312"/>
          <w:kern w:val="0"/>
          <w:sz w:val="32"/>
          <w:szCs w:val="32"/>
        </w:rPr>
        <w:t>11</w:t>
      </w:r>
      <w:r>
        <w:rPr>
          <w:rFonts w:hint="eastAsia" w:ascii="仿宋_GB2312" w:hAnsi="新宋体" w:eastAsia="仿宋_GB2312" w:cs="仿宋_GB2312"/>
          <w:kern w:val="0"/>
          <w:sz w:val="32"/>
          <w:szCs w:val="32"/>
        </w:rPr>
        <w:t>月</w:t>
      </w:r>
      <w:r>
        <w:rPr>
          <w:rFonts w:ascii="仿宋_GB2312" w:hAnsi="新宋体" w:eastAsia="仿宋_GB2312" w:cs="仿宋_GB2312"/>
          <w:kern w:val="0"/>
          <w:sz w:val="32"/>
          <w:szCs w:val="32"/>
        </w:rPr>
        <w:t>28</w:t>
      </w:r>
      <w:r>
        <w:rPr>
          <w:rFonts w:hint="eastAsia" w:ascii="仿宋_GB2312" w:hAnsi="新宋体" w:eastAsia="仿宋_GB2312" w:cs="仿宋_GB2312"/>
          <w:kern w:val="0"/>
          <w:sz w:val="32"/>
          <w:szCs w:val="32"/>
        </w:rPr>
        <w:t>日，通过“一卡通”平台共发放</w:t>
      </w:r>
      <w:r>
        <w:rPr>
          <w:rFonts w:ascii="仿宋_GB2312" w:hAnsi="新宋体" w:eastAsia="仿宋_GB2312" w:cs="仿宋_GB2312"/>
          <w:kern w:val="0"/>
          <w:sz w:val="32"/>
          <w:szCs w:val="32"/>
        </w:rPr>
        <w:t>18</w:t>
      </w:r>
      <w:r>
        <w:rPr>
          <w:rFonts w:hint="eastAsia" w:ascii="仿宋_GB2312" w:hAnsi="新宋体" w:eastAsia="仿宋_GB2312" w:cs="仿宋_GB2312"/>
          <w:kern w:val="0"/>
          <w:sz w:val="32"/>
          <w:szCs w:val="32"/>
        </w:rPr>
        <w:t>个项目，发放成功金额</w:t>
      </w:r>
      <w:r>
        <w:rPr>
          <w:rFonts w:ascii="仿宋_GB2312" w:hAnsi="新宋体" w:eastAsia="仿宋_GB2312" w:cs="仿宋_GB2312"/>
          <w:kern w:val="0"/>
          <w:sz w:val="32"/>
          <w:szCs w:val="32"/>
        </w:rPr>
        <w:t>1483</w:t>
      </w:r>
      <w:r>
        <w:rPr>
          <w:rFonts w:hint="eastAsia" w:ascii="仿宋_GB2312" w:hAnsi="新宋体" w:eastAsia="仿宋_GB2312" w:cs="仿宋_GB2312"/>
          <w:kern w:val="0"/>
          <w:sz w:val="32"/>
          <w:szCs w:val="32"/>
        </w:rPr>
        <w:t>万元，成功</w:t>
      </w:r>
      <w:r>
        <w:rPr>
          <w:rFonts w:ascii="仿宋_GB2312" w:hAnsi="新宋体" w:eastAsia="仿宋_GB2312" w:cs="仿宋_GB2312"/>
          <w:kern w:val="0"/>
          <w:sz w:val="32"/>
          <w:szCs w:val="32"/>
        </w:rPr>
        <w:t>47119</w:t>
      </w:r>
      <w:r>
        <w:rPr>
          <w:rFonts w:hint="eastAsia" w:ascii="仿宋_GB2312" w:hAnsi="新宋体" w:eastAsia="仿宋_GB2312" w:cs="仿宋_GB2312"/>
          <w:kern w:val="0"/>
          <w:sz w:val="32"/>
          <w:szCs w:val="32"/>
        </w:rPr>
        <w:t>人次。检查中发现存在发放失败情况，涉及主管部门、街道（镇）与享受人员、相关银行、市人社局信息中心等部门沟通对接，查找原因，及时更新社保卡。</w:t>
      </w:r>
    </w:p>
    <w:p>
      <w:pPr>
        <w:spacing w:line="600" w:lineRule="exact"/>
        <w:ind w:firstLine="643" w:firstLineChars="200"/>
        <w:jc w:val="left"/>
        <w:rPr>
          <w:rFonts w:ascii="仿宋_GB2312" w:hAnsi="新宋体" w:eastAsia="仿宋_GB2312"/>
          <w:b/>
          <w:bCs/>
          <w:kern w:val="0"/>
          <w:sz w:val="32"/>
          <w:szCs w:val="32"/>
        </w:rPr>
      </w:pPr>
      <w:r>
        <w:rPr>
          <w:rFonts w:ascii="仿宋_GB2312" w:hAnsi="新宋体" w:eastAsia="仿宋_GB2312" w:cs="仿宋_GB2312"/>
          <w:b/>
          <w:bCs/>
          <w:kern w:val="0"/>
          <w:sz w:val="32"/>
          <w:szCs w:val="32"/>
        </w:rPr>
        <w:t>2</w:t>
      </w:r>
      <w:r>
        <w:rPr>
          <w:rFonts w:hint="eastAsia" w:ascii="仿宋_GB2312" w:hAnsi="新宋体" w:eastAsia="仿宋_GB2312" w:cs="仿宋_GB2312"/>
          <w:b/>
          <w:bCs/>
          <w:kern w:val="0"/>
          <w:sz w:val="32"/>
          <w:szCs w:val="32"/>
        </w:rPr>
        <w:t>．配合开展的监督检查。</w:t>
      </w:r>
    </w:p>
    <w:p>
      <w:pPr>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）配合区纪委开展土特产、票据检查。</w:t>
      </w:r>
    </w:p>
    <w:p>
      <w:pPr>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2</w:t>
      </w:r>
      <w:r>
        <w:rPr>
          <w:rFonts w:hint="eastAsia" w:ascii="仿宋_GB2312" w:hAnsi="新宋体" w:eastAsia="仿宋_GB2312" w:cs="仿宋_GB2312"/>
          <w:kern w:val="0"/>
          <w:sz w:val="32"/>
          <w:szCs w:val="32"/>
        </w:rPr>
        <w:t>）配合区财政局预算股开展违规发放工资奖金津贴补贴专项整治。</w:t>
      </w:r>
    </w:p>
    <w:p>
      <w:pPr>
        <w:spacing w:line="600" w:lineRule="exact"/>
        <w:ind w:firstLine="640" w:firstLineChars="200"/>
        <w:rPr>
          <w:rFonts w:ascii="仿宋_GB2312" w:hAnsi="新宋体" w:eastAsia="仿宋_GB2312"/>
          <w:kern w:val="0"/>
          <w:sz w:val="32"/>
          <w:szCs w:val="32"/>
        </w:rPr>
      </w:pP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3</w:t>
      </w:r>
      <w:r>
        <w:rPr>
          <w:rFonts w:hint="eastAsia" w:ascii="仿宋_GB2312" w:hAnsi="新宋体" w:eastAsia="仿宋_GB2312" w:cs="仿宋_GB2312"/>
          <w:kern w:val="0"/>
          <w:sz w:val="32"/>
          <w:szCs w:val="32"/>
        </w:rPr>
        <w:t>）配合市级相关部门及局属相关股室开展监督检查。配合市财政局、市林业局、区财政局农业股到格里坪镇及相关村社，开展涉农保险检查。</w:t>
      </w:r>
    </w:p>
    <w:p>
      <w:pPr>
        <w:spacing w:line="600" w:lineRule="exact"/>
        <w:ind w:firstLine="640" w:firstLineChars="200"/>
        <w:jc w:val="left"/>
        <w:rPr>
          <w:rFonts w:ascii="仿宋_GB2312" w:hAnsi="新宋体" w:eastAsia="仿宋_GB2312"/>
          <w:kern w:val="0"/>
          <w:sz w:val="32"/>
          <w:szCs w:val="32"/>
        </w:rPr>
      </w:pPr>
      <w:r>
        <w:rPr>
          <w:rFonts w:hint="eastAsia" w:ascii="仿宋_GB2312" w:hAnsi="新宋体" w:eastAsia="仿宋_GB2312" w:cs="仿宋_GB2312"/>
          <w:kern w:val="0"/>
          <w:sz w:val="32"/>
          <w:szCs w:val="32"/>
        </w:rPr>
        <w:t>（</w:t>
      </w:r>
      <w:r>
        <w:rPr>
          <w:rFonts w:ascii="仿宋_GB2312" w:hAnsi="新宋体" w:eastAsia="仿宋_GB2312" w:cs="仿宋_GB2312"/>
          <w:kern w:val="0"/>
          <w:sz w:val="32"/>
          <w:szCs w:val="32"/>
        </w:rPr>
        <w:t>4</w:t>
      </w:r>
      <w:r>
        <w:rPr>
          <w:rFonts w:hint="eastAsia" w:ascii="仿宋_GB2312" w:hAnsi="新宋体" w:eastAsia="仿宋_GB2312" w:cs="仿宋_GB2312"/>
          <w:kern w:val="0"/>
          <w:sz w:val="32"/>
          <w:szCs w:val="32"/>
        </w:rPr>
        <w:t>）配合区委巡察办开展巡察。</w:t>
      </w:r>
      <w:r>
        <w:rPr>
          <w:rFonts w:ascii="仿宋_GB2312" w:hAnsi="新宋体" w:eastAsia="仿宋_GB2312" w:cs="仿宋_GB2312"/>
          <w:kern w:val="0"/>
          <w:sz w:val="32"/>
          <w:szCs w:val="32"/>
        </w:rPr>
        <w:t>11</w:t>
      </w:r>
      <w:r>
        <w:rPr>
          <w:rFonts w:hint="eastAsia" w:ascii="仿宋_GB2312" w:hAnsi="新宋体" w:eastAsia="仿宋_GB2312" w:cs="仿宋_GB2312"/>
          <w:kern w:val="0"/>
          <w:sz w:val="32"/>
          <w:szCs w:val="32"/>
        </w:rPr>
        <w:t>月</w:t>
      </w:r>
      <w:r>
        <w:rPr>
          <w:rFonts w:ascii="仿宋_GB2312" w:hAnsi="新宋体" w:eastAsia="仿宋_GB2312" w:cs="仿宋_GB2312"/>
          <w:kern w:val="0"/>
          <w:sz w:val="32"/>
          <w:szCs w:val="32"/>
        </w:rPr>
        <w:t>-12</w:t>
      </w:r>
      <w:r>
        <w:rPr>
          <w:rFonts w:hint="eastAsia" w:ascii="仿宋_GB2312" w:hAnsi="新宋体" w:eastAsia="仿宋_GB2312" w:cs="仿宋_GB2312"/>
          <w:kern w:val="0"/>
          <w:sz w:val="32"/>
          <w:szCs w:val="32"/>
        </w:rPr>
        <w:t>月，根据区委巡察办工作要求，抽调工作人员参加巡察，检查了被巡察单位财务、党建等方面资料。</w:t>
      </w:r>
    </w:p>
    <w:p>
      <w:pPr>
        <w:spacing w:line="600" w:lineRule="exact"/>
        <w:ind w:firstLine="643" w:firstLineChars="200"/>
        <w:jc w:val="left"/>
        <w:rPr>
          <w:rFonts w:ascii="仿宋_GB2312" w:hAnsi="新宋体" w:eastAsia="仿宋_GB2312"/>
          <w:b/>
          <w:bCs/>
          <w:kern w:val="0"/>
          <w:sz w:val="32"/>
          <w:szCs w:val="32"/>
        </w:rPr>
      </w:pPr>
      <w:r>
        <w:rPr>
          <w:rFonts w:ascii="仿宋_GB2312" w:hAnsi="新宋体" w:eastAsia="仿宋_GB2312" w:cs="仿宋_GB2312"/>
          <w:b/>
          <w:bCs/>
          <w:kern w:val="0"/>
          <w:sz w:val="32"/>
          <w:szCs w:val="32"/>
        </w:rPr>
        <w:t>3</w:t>
      </w:r>
      <w:r>
        <w:rPr>
          <w:rFonts w:hint="eastAsia" w:ascii="仿宋_GB2312" w:hAnsi="新宋体" w:eastAsia="仿宋_GB2312" w:cs="仿宋_GB2312"/>
          <w:b/>
          <w:bCs/>
          <w:kern w:val="0"/>
          <w:sz w:val="32"/>
          <w:szCs w:val="32"/>
        </w:rPr>
        <w:t>．内控内审制度建设、执行情况。</w:t>
      </w:r>
    </w:p>
    <w:p>
      <w:pPr>
        <w:spacing w:line="600" w:lineRule="exact"/>
        <w:ind w:firstLine="643" w:firstLineChars="200"/>
        <w:rPr>
          <w:rFonts w:ascii="仿宋_GB2312" w:hAnsi="新宋体" w:eastAsia="仿宋_GB2312"/>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1</w:t>
      </w:r>
      <w:r>
        <w:rPr>
          <w:rFonts w:hint="eastAsia" w:ascii="仿宋_GB2312" w:hAnsi="新宋体" w:eastAsia="仿宋_GB2312" w:cs="仿宋_GB2312"/>
          <w:b/>
          <w:bCs/>
          <w:kern w:val="0"/>
          <w:sz w:val="32"/>
          <w:szCs w:val="32"/>
        </w:rPr>
        <w:t>）内控制度建设方面。</w:t>
      </w:r>
      <w:r>
        <w:rPr>
          <w:rFonts w:hint="eastAsia" w:ascii="仿宋_GB2312" w:hAnsi="新宋体" w:eastAsia="仿宋_GB2312" w:cs="仿宋_GB2312"/>
          <w:kern w:val="0"/>
          <w:sz w:val="32"/>
          <w:szCs w:val="32"/>
        </w:rPr>
        <w:t>已制定了</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个基本制度及</w:t>
      </w:r>
      <w:r>
        <w:rPr>
          <w:rFonts w:ascii="仿宋_GB2312" w:hAnsi="新宋体" w:eastAsia="仿宋_GB2312" w:cs="仿宋_GB2312"/>
          <w:kern w:val="0"/>
          <w:sz w:val="32"/>
          <w:szCs w:val="32"/>
        </w:rPr>
        <w:t>8</w:t>
      </w:r>
      <w:r>
        <w:rPr>
          <w:rFonts w:hint="eastAsia" w:ascii="仿宋_GB2312" w:hAnsi="新宋体" w:eastAsia="仿宋_GB2312" w:cs="仿宋_GB2312"/>
          <w:kern w:val="0"/>
          <w:sz w:val="32"/>
          <w:szCs w:val="32"/>
        </w:rPr>
        <w:t>个专项风险管理办法、股室（单位）操作规程。即内部控制基本制度，法律风险内部控制办法、岗位利益冲突风险内部控制办法、公共关系风险内部控制办法、机关运转风险内部控制办法、信息系统管理风险防控管理办法、预算编制风险内部控制办法、预算执行风险内部控制办法、政策制定风险内部控制办法，</w:t>
      </w:r>
      <w:r>
        <w:rPr>
          <w:rFonts w:ascii="仿宋_GB2312" w:hAnsi="新宋体" w:eastAsia="仿宋_GB2312" w:cs="仿宋_GB2312"/>
          <w:kern w:val="0"/>
          <w:sz w:val="32"/>
          <w:szCs w:val="32"/>
        </w:rPr>
        <w:t>11</w:t>
      </w:r>
      <w:r>
        <w:rPr>
          <w:rFonts w:hint="eastAsia" w:ascii="仿宋_GB2312" w:hAnsi="新宋体" w:eastAsia="仿宋_GB2312" w:cs="仿宋_GB2312"/>
          <w:kern w:val="0"/>
          <w:sz w:val="32"/>
          <w:szCs w:val="32"/>
        </w:rPr>
        <w:t>个股室（单位）内部控制操作规程。</w:t>
      </w:r>
    </w:p>
    <w:p>
      <w:pPr>
        <w:spacing w:line="600" w:lineRule="exact"/>
        <w:ind w:firstLine="643" w:firstLineChars="200"/>
        <w:rPr>
          <w:rFonts w:ascii="仿宋_GB2312" w:hAnsi="新宋体" w:eastAsia="仿宋_GB2312"/>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2</w:t>
      </w:r>
      <w:r>
        <w:rPr>
          <w:rFonts w:hint="eastAsia" w:ascii="仿宋_GB2312" w:hAnsi="新宋体" w:eastAsia="仿宋_GB2312" w:cs="仿宋_GB2312"/>
          <w:b/>
          <w:bCs/>
          <w:kern w:val="0"/>
          <w:sz w:val="32"/>
          <w:szCs w:val="32"/>
        </w:rPr>
        <w:t>）内控信息化方面。</w:t>
      </w:r>
      <w:r>
        <w:rPr>
          <w:rFonts w:hint="eastAsia" w:ascii="仿宋_GB2312" w:hAnsi="新宋体" w:eastAsia="仿宋_GB2312" w:cs="仿宋_GB2312"/>
          <w:kern w:val="0"/>
          <w:sz w:val="32"/>
          <w:szCs w:val="32"/>
        </w:rPr>
        <w:t>现有内控融入信息系统</w:t>
      </w:r>
      <w:r>
        <w:rPr>
          <w:rFonts w:ascii="仿宋_GB2312" w:hAnsi="新宋体" w:eastAsia="仿宋_GB2312" w:cs="仿宋_GB2312"/>
          <w:kern w:val="0"/>
          <w:sz w:val="32"/>
          <w:szCs w:val="32"/>
        </w:rPr>
        <w:t>2</w:t>
      </w:r>
      <w:r>
        <w:rPr>
          <w:rFonts w:hint="eastAsia" w:ascii="仿宋_GB2312" w:hAnsi="新宋体" w:eastAsia="仿宋_GB2312" w:cs="仿宋_GB2312"/>
          <w:kern w:val="0"/>
          <w:sz w:val="32"/>
          <w:szCs w:val="32"/>
        </w:rPr>
        <w:t>个，分别为部门预算信息系统和财政信息管理系统。部门预算信息系统应用于部门预算填报，财政信息管理系统应用于财政收支、报账。</w:t>
      </w:r>
    </w:p>
    <w:p>
      <w:pPr>
        <w:spacing w:line="600" w:lineRule="exact"/>
        <w:ind w:firstLine="643" w:firstLineChars="200"/>
        <w:rPr>
          <w:rFonts w:ascii="仿宋_GB2312" w:hAnsi="新宋体" w:eastAsia="仿宋_GB2312"/>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3</w:t>
      </w:r>
      <w:r>
        <w:rPr>
          <w:rFonts w:hint="eastAsia" w:ascii="仿宋_GB2312" w:hAnsi="新宋体" w:eastAsia="仿宋_GB2312" w:cs="仿宋_GB2312"/>
          <w:b/>
          <w:bCs/>
          <w:kern w:val="0"/>
          <w:sz w:val="32"/>
          <w:szCs w:val="32"/>
        </w:rPr>
        <w:t>）内控检查方面。</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月至</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w:t>
      </w:r>
      <w:r>
        <w:rPr>
          <w:rFonts w:ascii="仿宋_GB2312" w:hAnsi="新宋体" w:eastAsia="仿宋_GB2312" w:cs="仿宋_GB2312"/>
          <w:kern w:val="0"/>
          <w:sz w:val="32"/>
          <w:szCs w:val="32"/>
        </w:rPr>
        <w:t>12</w:t>
      </w:r>
      <w:r>
        <w:rPr>
          <w:rFonts w:hint="eastAsia" w:ascii="仿宋_GB2312" w:hAnsi="新宋体" w:eastAsia="仿宋_GB2312" w:cs="仿宋_GB2312"/>
          <w:kern w:val="0"/>
          <w:sz w:val="32"/>
          <w:szCs w:val="32"/>
        </w:rPr>
        <w:t>月，对内设</w:t>
      </w:r>
      <w:r>
        <w:rPr>
          <w:rFonts w:ascii="仿宋_GB2312" w:hAnsi="新宋体" w:eastAsia="仿宋_GB2312" w:cs="仿宋_GB2312"/>
          <w:kern w:val="0"/>
          <w:sz w:val="32"/>
          <w:szCs w:val="32"/>
        </w:rPr>
        <w:t>8</w:t>
      </w:r>
      <w:r>
        <w:rPr>
          <w:rFonts w:hint="eastAsia" w:ascii="仿宋_GB2312" w:hAnsi="新宋体" w:eastAsia="仿宋_GB2312" w:cs="仿宋_GB2312"/>
          <w:kern w:val="0"/>
          <w:sz w:val="32"/>
          <w:szCs w:val="32"/>
        </w:rPr>
        <w:t>个业务股室和</w:t>
      </w:r>
      <w:r>
        <w:rPr>
          <w:rFonts w:ascii="仿宋_GB2312" w:hAnsi="新宋体" w:eastAsia="仿宋_GB2312" w:cs="仿宋_GB2312"/>
          <w:kern w:val="0"/>
          <w:sz w:val="32"/>
          <w:szCs w:val="32"/>
        </w:rPr>
        <w:t>3</w:t>
      </w:r>
      <w:r>
        <w:rPr>
          <w:rFonts w:hint="eastAsia" w:ascii="仿宋_GB2312" w:hAnsi="新宋体" w:eastAsia="仿宋_GB2312" w:cs="仿宋_GB2312"/>
          <w:kern w:val="0"/>
          <w:sz w:val="32"/>
          <w:szCs w:val="32"/>
        </w:rPr>
        <w:t>个直属单位进行了内控检查，根据内部控制操作规程查看业务流程，查找风险点，未发现内控方面存在问题。结合会计信息质量检查，延伸检查了河门口街道办事处、区教育和体育局、区信访局</w:t>
      </w:r>
      <w:r>
        <w:rPr>
          <w:rFonts w:ascii="仿宋_GB2312" w:hAnsi="新宋体" w:eastAsia="仿宋_GB2312" w:cs="仿宋_GB2312"/>
          <w:kern w:val="0"/>
          <w:sz w:val="32"/>
          <w:szCs w:val="32"/>
        </w:rPr>
        <w:t>3</w:t>
      </w:r>
      <w:r>
        <w:rPr>
          <w:rFonts w:hint="eastAsia" w:ascii="仿宋_GB2312" w:hAnsi="新宋体" w:eastAsia="仿宋_GB2312" w:cs="仿宋_GB2312"/>
          <w:kern w:val="0"/>
          <w:sz w:val="32"/>
          <w:szCs w:val="32"/>
        </w:rPr>
        <w:t>个单位的内控情况。完善了财务管理制度、“三重一大”事项决策实施办法、意识形态阵地建设制度</w:t>
      </w:r>
      <w:r>
        <w:rPr>
          <w:rFonts w:ascii="仿宋_GB2312" w:hAnsi="新宋体" w:eastAsia="仿宋_GB2312" w:cs="仿宋_GB2312"/>
          <w:kern w:val="0"/>
          <w:sz w:val="32"/>
          <w:szCs w:val="32"/>
        </w:rPr>
        <w:t>3</w:t>
      </w:r>
      <w:r>
        <w:rPr>
          <w:rFonts w:hint="eastAsia" w:ascii="仿宋_GB2312" w:hAnsi="新宋体" w:eastAsia="仿宋_GB2312" w:cs="仿宋_GB2312"/>
          <w:kern w:val="0"/>
          <w:sz w:val="32"/>
          <w:szCs w:val="32"/>
        </w:rPr>
        <w:t>个制度。</w:t>
      </w:r>
    </w:p>
    <w:p>
      <w:pPr>
        <w:snapToGrid w:val="0"/>
        <w:spacing w:line="600" w:lineRule="exact"/>
        <w:ind w:firstLine="643" w:firstLineChars="200"/>
        <w:rPr>
          <w:rFonts w:ascii="仿宋_GB2312" w:hAnsi="新宋体" w:eastAsia="仿宋_GB2312"/>
          <w:kern w:val="0"/>
          <w:sz w:val="32"/>
          <w:szCs w:val="32"/>
        </w:rPr>
      </w:pPr>
      <w:r>
        <w:rPr>
          <w:rFonts w:hint="eastAsia" w:ascii="仿宋_GB2312" w:hAnsi="新宋体" w:eastAsia="仿宋_GB2312" w:cs="仿宋_GB2312"/>
          <w:b/>
          <w:bCs/>
          <w:kern w:val="0"/>
          <w:sz w:val="32"/>
          <w:szCs w:val="32"/>
        </w:rPr>
        <w:t>（</w:t>
      </w:r>
      <w:r>
        <w:rPr>
          <w:rFonts w:ascii="仿宋_GB2312" w:hAnsi="新宋体" w:eastAsia="仿宋_GB2312" w:cs="仿宋_GB2312"/>
          <w:b/>
          <w:bCs/>
          <w:kern w:val="0"/>
          <w:sz w:val="32"/>
          <w:szCs w:val="32"/>
        </w:rPr>
        <w:t>4</w:t>
      </w:r>
      <w:r>
        <w:rPr>
          <w:rFonts w:hint="eastAsia" w:ascii="仿宋_GB2312" w:hAnsi="新宋体" w:eastAsia="仿宋_GB2312" w:cs="仿宋_GB2312"/>
          <w:b/>
          <w:bCs/>
          <w:kern w:val="0"/>
          <w:sz w:val="32"/>
          <w:szCs w:val="32"/>
        </w:rPr>
        <w:t>）内控培训方面。</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w:t>
      </w:r>
      <w:r>
        <w:rPr>
          <w:rFonts w:ascii="仿宋_GB2312" w:hAnsi="新宋体" w:eastAsia="仿宋_GB2312" w:cs="仿宋_GB2312"/>
          <w:kern w:val="0"/>
          <w:sz w:val="32"/>
          <w:szCs w:val="32"/>
        </w:rPr>
        <w:t>1</w:t>
      </w:r>
      <w:r>
        <w:rPr>
          <w:rFonts w:hint="eastAsia" w:ascii="仿宋_GB2312" w:hAnsi="新宋体" w:eastAsia="仿宋_GB2312" w:cs="仿宋_GB2312"/>
          <w:kern w:val="0"/>
          <w:sz w:val="32"/>
          <w:szCs w:val="32"/>
        </w:rPr>
        <w:t>月至</w:t>
      </w:r>
      <w:r>
        <w:rPr>
          <w:rFonts w:ascii="仿宋_GB2312" w:hAnsi="新宋体" w:eastAsia="仿宋_GB2312" w:cs="仿宋_GB2312"/>
          <w:kern w:val="0"/>
          <w:sz w:val="32"/>
          <w:szCs w:val="32"/>
        </w:rPr>
        <w:t>2019</w:t>
      </w:r>
      <w:r>
        <w:rPr>
          <w:rFonts w:hint="eastAsia" w:ascii="仿宋_GB2312" w:hAnsi="新宋体" w:eastAsia="仿宋_GB2312" w:cs="仿宋_GB2312"/>
          <w:kern w:val="0"/>
          <w:sz w:val="32"/>
          <w:szCs w:val="32"/>
        </w:rPr>
        <w:t>年</w:t>
      </w:r>
      <w:r>
        <w:rPr>
          <w:rFonts w:ascii="仿宋_GB2312" w:hAnsi="新宋体" w:eastAsia="仿宋_GB2312" w:cs="仿宋_GB2312"/>
          <w:kern w:val="0"/>
          <w:sz w:val="32"/>
          <w:szCs w:val="32"/>
        </w:rPr>
        <w:t>12</w:t>
      </w:r>
      <w:r>
        <w:rPr>
          <w:rFonts w:hint="eastAsia" w:ascii="仿宋_GB2312" w:hAnsi="新宋体" w:eastAsia="仿宋_GB2312" w:cs="仿宋_GB2312"/>
          <w:kern w:val="0"/>
          <w:sz w:val="32"/>
          <w:szCs w:val="32"/>
        </w:rPr>
        <w:t>月，举办了</w:t>
      </w:r>
      <w:r>
        <w:rPr>
          <w:rFonts w:ascii="仿宋_GB2312" w:hAnsi="新宋体" w:eastAsia="仿宋_GB2312" w:cs="仿宋_GB2312"/>
          <w:kern w:val="0"/>
          <w:sz w:val="32"/>
          <w:szCs w:val="32"/>
        </w:rPr>
        <w:t>3</w:t>
      </w:r>
      <w:r>
        <w:rPr>
          <w:rFonts w:hint="eastAsia" w:ascii="仿宋_GB2312" w:hAnsi="新宋体" w:eastAsia="仿宋_GB2312" w:cs="仿宋_GB2312"/>
          <w:kern w:val="0"/>
          <w:sz w:val="32"/>
          <w:szCs w:val="32"/>
        </w:rPr>
        <w:t>次涉及内控相关内容的培训，共计培训</w:t>
      </w:r>
      <w:r>
        <w:rPr>
          <w:rFonts w:ascii="仿宋_GB2312" w:hAnsi="新宋体" w:eastAsia="仿宋_GB2312" w:cs="仿宋_GB2312"/>
          <w:kern w:val="0"/>
          <w:sz w:val="32"/>
          <w:szCs w:val="32"/>
        </w:rPr>
        <w:t>250</w:t>
      </w:r>
      <w:r>
        <w:rPr>
          <w:rFonts w:hint="eastAsia" w:ascii="仿宋_GB2312" w:hAnsi="新宋体" w:eastAsia="仿宋_GB2312" w:cs="仿宋_GB2312"/>
          <w:kern w:val="0"/>
          <w:sz w:val="32"/>
          <w:szCs w:val="32"/>
        </w:rPr>
        <w:t>人次，参训人员对内控制度建设和实施工作有了更深入认识，加强了实际业务工作风险防范和管理水平，取得了良好的效果。</w:t>
      </w:r>
    </w:p>
    <w:p>
      <w:pPr>
        <w:pStyle w:val="3"/>
        <w:spacing w:before="0" w:after="0" w:line="600" w:lineRule="exact"/>
        <w:ind w:firstLine="640" w:firstLineChars="200"/>
        <w:rPr>
          <w:rStyle w:val="19"/>
          <w:rFonts w:cs="Times New Roman"/>
          <w:b w:val="0"/>
          <w:bCs w:val="0"/>
        </w:rPr>
      </w:pPr>
      <w:bookmarkStart w:id="20" w:name="_Toc15396601"/>
      <w:bookmarkStart w:id="21" w:name="_Toc15377200"/>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9"/>
          <w:rFonts w:hint="eastAsia" w:ascii="黑体" w:hAnsi="黑体" w:eastAsia="黑体" w:cs="黑体"/>
          <w:b w:val="0"/>
          <w:bCs w:val="0"/>
        </w:rPr>
        <w:t>构设置</w:t>
      </w:r>
      <w:bookmarkEnd w:id="20"/>
      <w:bookmarkEnd w:id="21"/>
    </w:p>
    <w:p>
      <w:pPr>
        <w:spacing w:line="600" w:lineRule="exact"/>
        <w:ind w:firstLine="640" w:firstLineChars="200"/>
        <w:rPr>
          <w:rFonts w:ascii="仿宋_GB2312" w:hAnsi="仿宋" w:eastAsia="仿宋_GB2312"/>
          <w:color w:val="000000"/>
          <w:kern w:val="0"/>
          <w:sz w:val="32"/>
          <w:szCs w:val="32"/>
        </w:rPr>
      </w:pPr>
      <w:bookmarkStart w:id="22" w:name="_Toc15396602"/>
      <w:bookmarkStart w:id="23" w:name="_Toc15377204"/>
      <w:r>
        <w:rPr>
          <w:rFonts w:hint="eastAsia" w:ascii="仿宋_GB2312" w:hAnsi="仿宋" w:eastAsia="仿宋_GB2312" w:cs="仿宋_GB2312"/>
          <w:color w:val="000000"/>
          <w:kern w:val="0"/>
          <w:sz w:val="32"/>
          <w:szCs w:val="32"/>
        </w:rPr>
        <w:t>攀枝花市西区财政监督检查局隶属于攀枝花市西区财政局，没有下属二级单位。</w:t>
      </w:r>
    </w:p>
    <w:p>
      <w:pPr>
        <w:pStyle w:val="2"/>
        <w:spacing w:before="0" w:after="0" w:line="600" w:lineRule="exact"/>
        <w:ind w:right="440"/>
        <w:jc w:val="right"/>
        <w:rPr>
          <w:rFonts w:ascii="黑体" w:hAnsi="黑体" w:eastAsia="黑体"/>
          <w:b w:val="0"/>
          <w:bCs w:val="0"/>
          <w:color w:val="000000"/>
        </w:rPr>
      </w:pPr>
    </w:p>
    <w:p>
      <w:pPr>
        <w:pStyle w:val="2"/>
        <w:spacing w:before="0" w:after="0" w:line="600" w:lineRule="exact"/>
        <w:ind w:right="440"/>
        <w:jc w:val="right"/>
        <w:rPr>
          <w:rStyle w:val="18"/>
          <w:rFonts w:ascii="黑体" w:hAnsi="黑体" w:eastAsia="黑体"/>
          <w:b w:val="0"/>
          <w:bCs w:val="0"/>
        </w:rPr>
      </w:pPr>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8"/>
          <w:rFonts w:ascii="黑体" w:hAnsi="黑体" w:eastAsia="黑体" w:cs="黑体"/>
          <w:b w:val="0"/>
          <w:bCs w:val="0"/>
        </w:rPr>
        <w:t>2019</w:t>
      </w:r>
      <w:r>
        <w:rPr>
          <w:rStyle w:val="18"/>
          <w:rFonts w:hint="eastAsia" w:ascii="黑体" w:hAnsi="黑体" w:eastAsia="黑体" w:cs="黑体"/>
          <w:b w:val="0"/>
          <w:bCs w:val="0"/>
        </w:rPr>
        <w:t>年度部门决算情况说明</w:t>
      </w:r>
      <w:bookmarkEnd w:id="22"/>
      <w:bookmarkEnd w:id="23"/>
    </w:p>
    <w:p>
      <w:pPr>
        <w:spacing w:line="600" w:lineRule="exact"/>
      </w:pPr>
    </w:p>
    <w:p>
      <w:pPr>
        <w:pStyle w:val="29"/>
        <w:spacing w:line="600" w:lineRule="exact"/>
        <w:ind w:firstLine="707" w:firstLineChars="221"/>
        <w:outlineLvl w:val="1"/>
        <w:rPr>
          <w:rStyle w:val="19"/>
          <w:rFonts w:ascii="黑体" w:hAnsi="黑体" w:eastAsia="黑体" w:cs="Times New Roman"/>
          <w:b w:val="0"/>
          <w:bCs w:val="0"/>
        </w:rPr>
      </w:pPr>
      <w:bookmarkStart w:id="24" w:name="_Toc15396603"/>
      <w:bookmarkStart w:id="25" w:name="_Toc15377205"/>
      <w:r>
        <w:rPr>
          <w:rFonts w:hint="eastAsia" w:ascii="黑体" w:hAnsi="黑体" w:eastAsia="黑体" w:cs="黑体"/>
          <w:color w:val="000000"/>
          <w:sz w:val="32"/>
          <w:szCs w:val="32"/>
        </w:rPr>
        <w:t>一、收</w:t>
      </w:r>
      <w:r>
        <w:rPr>
          <w:rStyle w:val="19"/>
          <w:rFonts w:hint="eastAsia" w:ascii="黑体" w:hAnsi="黑体" w:eastAsia="黑体" w:cs="黑体"/>
          <w:b w:val="0"/>
          <w:bCs w:val="0"/>
        </w:rPr>
        <w:t>入支出决算总体情况说明</w:t>
      </w:r>
      <w:bookmarkEnd w:id="24"/>
      <w:bookmarkEnd w:id="25"/>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年度收、支总计</w:t>
      </w:r>
      <w:r>
        <w:rPr>
          <w:rFonts w:ascii="仿宋_GB2312" w:hAnsi="仿宋" w:eastAsia="仿宋_GB2312" w:cs="仿宋_GB2312"/>
          <w:color w:val="000000"/>
          <w:sz w:val="32"/>
          <w:szCs w:val="32"/>
        </w:rPr>
        <w:t>102.06</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年相比，收、支总计各增加</w:t>
      </w:r>
      <w:r>
        <w:rPr>
          <w:rFonts w:ascii="仿宋_GB2312" w:hAnsi="仿宋" w:eastAsia="仿宋_GB2312" w:cs="仿宋_GB2312"/>
          <w:color w:val="000000"/>
          <w:sz w:val="32"/>
          <w:szCs w:val="32"/>
        </w:rPr>
        <w:t>19.20</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23%</w:t>
      </w:r>
      <w:r>
        <w:rPr>
          <w:rFonts w:hint="eastAsia" w:ascii="仿宋_GB2312" w:hAnsi="仿宋" w:eastAsia="仿宋_GB2312" w:cs="仿宋_GB2312"/>
          <w:color w:val="000000"/>
          <w:sz w:val="32"/>
          <w:szCs w:val="32"/>
        </w:rPr>
        <w:t>。主要变动原因是基本支出人员经费增加。</w:t>
      </w:r>
    </w:p>
    <w:p>
      <w:pPr>
        <w:spacing w:line="600" w:lineRule="exact"/>
        <w:ind w:firstLine="420" w:firstLineChars="200"/>
        <w:rPr>
          <w:rFonts w:ascii="仿宋" w:hAnsi="仿宋" w:eastAsia="仿宋"/>
          <w:color w:val="000000"/>
          <w:sz w:val="32"/>
          <w:szCs w:val="32"/>
        </w:rPr>
      </w:pPr>
      <w:r>
        <w:pict>
          <v:shape id="图片 1" o:spid="_x0000_s1026" o:spt="75" type="#_x0000_t75" style="position:absolute;left:0pt;margin-left:35.4pt;margin-top:28.8pt;height:174.75pt;width:356.9pt;mso-wrap-distance-left:9.05pt;mso-wrap-distance-right:9.05pt;z-index:-251661312;mso-width-relative:page;mso-height-relative:page;" filled="f" o:preferrelative="t" stroked="f" coordsize="21600,21600" wrapcoords="-45 93 -45 21415 21600 21415 21600 93 -45 93">
            <v:path/>
            <v:fill on="f" focussize="0,0"/>
            <v:stroke on="f" joinstyle="miter"/>
            <v:imagedata r:id="rId6" o:title=""/>
            <o:lock v:ext="edit" aspectratio="t"/>
            <w10:wrap type="tight"/>
          </v:shape>
        </w:pict>
      </w: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bookmarkStart w:id="26" w:name="_Toc15377206"/>
      <w:bookmarkStart w:id="27" w:name="_Toc15396604"/>
    </w:p>
    <w:p>
      <w:pPr>
        <w:spacing w:line="600" w:lineRule="exact"/>
        <w:ind w:firstLine="640" w:firstLineChars="200"/>
        <w:rPr>
          <w:rStyle w:val="19"/>
          <w:rFonts w:ascii="仿宋" w:hAnsi="仿宋" w:eastAsia="仿宋" w:cs="Times New Roman"/>
          <w:b w:val="0"/>
          <w:bCs w:val="0"/>
          <w:color w:val="000000"/>
        </w:rPr>
      </w:pPr>
      <w:r>
        <w:rPr>
          <w:rFonts w:hint="eastAsia" w:ascii="仿宋" w:hAnsi="仿宋" w:eastAsia="仿宋" w:cs="仿宋"/>
          <w:color w:val="000000"/>
          <w:sz w:val="32"/>
          <w:szCs w:val="32"/>
        </w:rPr>
        <w:t>二、</w:t>
      </w:r>
      <w:r>
        <w:rPr>
          <w:rFonts w:hint="eastAsia" w:ascii="黑体" w:hAnsi="黑体" w:eastAsia="黑体" w:cs="黑体"/>
          <w:color w:val="000000"/>
          <w:sz w:val="32"/>
          <w:szCs w:val="32"/>
        </w:rPr>
        <w:t>收</w:t>
      </w:r>
      <w:r>
        <w:rPr>
          <w:rStyle w:val="19"/>
          <w:rFonts w:hint="eastAsia" w:ascii="黑体" w:hAnsi="黑体" w:eastAsia="黑体" w:cs="黑体"/>
          <w:b w:val="0"/>
          <w:bCs w:val="0"/>
        </w:rPr>
        <w:t>入决算情况说明</w:t>
      </w:r>
      <w:bookmarkEnd w:id="26"/>
      <w:bookmarkEnd w:id="27"/>
    </w:p>
    <w:p>
      <w:pPr>
        <w:spacing w:line="600" w:lineRule="exact"/>
        <w:ind w:firstLine="640" w:firstLineChars="200"/>
        <w:outlineLvl w:val="1"/>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年本年收入合计</w:t>
      </w:r>
      <w:r>
        <w:rPr>
          <w:rFonts w:ascii="仿宋_GB2312" w:hAnsi="仿宋" w:eastAsia="仿宋_GB2312" w:cs="仿宋_GB2312"/>
          <w:color w:val="000000"/>
          <w:sz w:val="32"/>
          <w:szCs w:val="32"/>
        </w:rPr>
        <w:t>91.80</w:t>
      </w:r>
      <w:r>
        <w:rPr>
          <w:rFonts w:hint="eastAsia" w:ascii="仿宋_GB2312" w:hAnsi="仿宋" w:eastAsia="仿宋_GB2312" w:cs="仿宋_GB2312"/>
          <w:color w:val="000000"/>
          <w:sz w:val="32"/>
          <w:szCs w:val="32"/>
        </w:rPr>
        <w:t>万元，其中：一般公共预算财政拨款收入</w:t>
      </w:r>
      <w:r>
        <w:rPr>
          <w:rFonts w:ascii="仿宋_GB2312" w:hAnsi="仿宋" w:eastAsia="仿宋_GB2312" w:cs="仿宋_GB2312"/>
          <w:color w:val="000000"/>
          <w:sz w:val="32"/>
          <w:szCs w:val="32"/>
        </w:rPr>
        <w:t>83.88</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91%</w:t>
      </w:r>
      <w:r>
        <w:rPr>
          <w:rFonts w:hint="eastAsia" w:ascii="仿宋_GB2312" w:hAnsi="仿宋" w:eastAsia="仿宋_GB2312" w:cs="仿宋_GB2312"/>
          <w:color w:val="000000"/>
          <w:sz w:val="32"/>
          <w:szCs w:val="32"/>
        </w:rPr>
        <w:t>；政府性基金预算财政拨款收入</w:t>
      </w:r>
      <w:r>
        <w:rPr>
          <w:rFonts w:ascii="仿宋_GB2312" w:hAnsi="仿宋" w:eastAsia="仿宋_GB2312" w:cs="仿宋_GB2312"/>
          <w:color w:val="000000"/>
          <w:sz w:val="32"/>
          <w:szCs w:val="32"/>
        </w:rPr>
        <w:t>7.92</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：收入决算结构图）</w:t>
      </w:r>
    </w:p>
    <w:p>
      <w:pPr>
        <w:spacing w:line="600" w:lineRule="exact"/>
        <w:ind w:firstLine="420" w:firstLineChars="200"/>
        <w:rPr>
          <w:rFonts w:ascii="仿宋" w:hAnsi="仿宋" w:eastAsia="仿宋"/>
          <w:color w:val="000000"/>
          <w:sz w:val="32"/>
          <w:szCs w:val="32"/>
        </w:rPr>
      </w:pPr>
      <w:r>
        <w:pict>
          <v:shape id="_x0000_s1027" o:spid="_x0000_s1027" o:spt="75" type="#_x0000_t75" style="position:absolute;left:0pt;margin-left:35.4pt;margin-top:15.6pt;height:187.95pt;width:355.25pt;mso-wrap-distance-left:9.05pt;mso-wrap-distance-right:9.05pt;z-index:-251660288;mso-width-relative:page;mso-height-relative:page;" filled="f" o:preferrelative="t" stroked="f" coordsize="21600,21600" wrapcoords="-46 86 -46 21428 21600 21428 21600 86 -46 86">
            <v:path/>
            <v:fill on="f" focussize="0,0"/>
            <v:stroke on="f" joinstyle="miter"/>
            <v:imagedata r:id="rId7"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9"/>
        <w:spacing w:line="600" w:lineRule="exact"/>
        <w:ind w:firstLine="0" w:firstLineChars="0"/>
        <w:outlineLvl w:val="1"/>
        <w:rPr>
          <w:rFonts w:ascii="仿宋" w:hAnsi="仿宋" w:eastAsia="仿宋"/>
          <w:color w:val="000000"/>
          <w:sz w:val="32"/>
          <w:szCs w:val="32"/>
        </w:rPr>
      </w:pPr>
      <w:bookmarkStart w:id="28" w:name="_Toc15396605"/>
      <w:bookmarkStart w:id="29" w:name="_Toc15377207"/>
    </w:p>
    <w:p>
      <w:pPr>
        <w:pStyle w:val="29"/>
        <w:numPr>
          <w:ilvl w:val="0"/>
          <w:numId w:val="1"/>
        </w:numPr>
        <w:spacing w:line="600" w:lineRule="exact"/>
        <w:ind w:firstLineChars="0"/>
        <w:outlineLvl w:val="1"/>
        <w:rPr>
          <w:rStyle w:val="19"/>
          <w:rFonts w:ascii="黑体" w:hAnsi="黑体" w:eastAsia="黑体" w:cs="Times New Roman"/>
          <w:b w:val="0"/>
          <w:bCs w:val="0"/>
        </w:rPr>
      </w:pPr>
      <w:r>
        <w:rPr>
          <w:rFonts w:hint="eastAsia" w:ascii="黑体" w:hAnsi="黑体" w:eastAsia="黑体" w:cs="黑体"/>
          <w:color w:val="000000"/>
          <w:sz w:val="32"/>
          <w:szCs w:val="32"/>
        </w:rPr>
        <w:t>支</w:t>
      </w:r>
      <w:r>
        <w:rPr>
          <w:rStyle w:val="19"/>
          <w:rFonts w:hint="eastAsia" w:ascii="黑体" w:hAnsi="黑体" w:eastAsia="黑体" w:cs="黑体"/>
          <w:b w:val="0"/>
          <w:bCs w:val="0"/>
        </w:rPr>
        <w:t>出决算情况说明</w:t>
      </w:r>
      <w:bookmarkEnd w:id="28"/>
      <w:bookmarkEnd w:id="29"/>
    </w:p>
    <w:p>
      <w:pPr>
        <w:spacing w:line="600" w:lineRule="exact"/>
        <w:ind w:firstLine="640" w:firstLineChars="200"/>
        <w:outlineLvl w:val="1"/>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年本年支出合计</w:t>
      </w:r>
      <w:r>
        <w:rPr>
          <w:rFonts w:ascii="仿宋_GB2312" w:hAnsi="仿宋" w:eastAsia="仿宋_GB2312" w:cs="仿宋_GB2312"/>
          <w:color w:val="000000"/>
          <w:sz w:val="32"/>
          <w:szCs w:val="32"/>
        </w:rPr>
        <w:t>99.63</w:t>
      </w:r>
      <w:r>
        <w:rPr>
          <w:rFonts w:hint="eastAsia" w:ascii="仿宋_GB2312" w:hAnsi="仿宋" w:eastAsia="仿宋_GB2312" w:cs="仿宋_GB2312"/>
          <w:color w:val="000000"/>
          <w:sz w:val="32"/>
          <w:szCs w:val="32"/>
        </w:rPr>
        <w:t>万元，其中：基本支出</w:t>
      </w:r>
      <w:r>
        <w:rPr>
          <w:rFonts w:ascii="仿宋_GB2312" w:hAnsi="仿宋" w:eastAsia="仿宋_GB2312" w:cs="仿宋_GB2312"/>
          <w:color w:val="000000"/>
          <w:sz w:val="32"/>
          <w:szCs w:val="32"/>
        </w:rPr>
        <w:t>90.28</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91%</w:t>
      </w:r>
      <w:r>
        <w:rPr>
          <w:rFonts w:hint="eastAsia" w:ascii="仿宋_GB2312" w:hAnsi="仿宋" w:eastAsia="仿宋_GB2312" w:cs="仿宋_GB2312"/>
          <w:color w:val="000000"/>
          <w:sz w:val="32"/>
          <w:szCs w:val="32"/>
        </w:rPr>
        <w:t>；项目支出</w:t>
      </w:r>
      <w:r>
        <w:rPr>
          <w:rFonts w:ascii="仿宋_GB2312" w:hAnsi="仿宋" w:eastAsia="仿宋_GB2312" w:cs="仿宋_GB2312"/>
          <w:color w:val="000000"/>
          <w:sz w:val="32"/>
          <w:szCs w:val="32"/>
        </w:rPr>
        <w:t>9.35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：支出决算结构图）</w:t>
      </w:r>
    </w:p>
    <w:p>
      <w:pPr>
        <w:spacing w:line="600" w:lineRule="exact"/>
        <w:ind w:firstLine="420" w:firstLineChars="200"/>
        <w:rPr>
          <w:rFonts w:ascii="??_GB2312" w:eastAsia="Times New Roman"/>
          <w:color w:val="FF0000"/>
          <w:sz w:val="32"/>
          <w:szCs w:val="32"/>
        </w:rPr>
      </w:pPr>
      <w:r>
        <w:pict>
          <v:shape id="_x0000_s1028" o:spid="_x0000_s1028" o:spt="75" type="#_x0000_t75" style="position:absolute;left:0pt;margin-left:36.65pt;margin-top:1.2pt;height:172.8pt;width:353.75pt;mso-wrap-distance-left:9.05pt;mso-wrap-distance-right:9.05pt;z-index:-251659264;mso-width-relative:page;mso-height-relative:page;" filled="f" o:preferrelative="t" stroked="f" coordsize="21600,21600" wrapcoords="-46 94 -46 21412 21600 21412 21600 94 -46 94">
            <v:path/>
            <v:fill on="f" focussize="0,0"/>
            <v:stroke on="f" joinstyle="miter"/>
            <v:imagedata r:id="rId8" o:title=""/>
            <o:lock v:ext="edit" aspectratio="t"/>
            <w10:wrap type="tight"/>
          </v:shape>
        </w:pict>
      </w:r>
    </w:p>
    <w:p>
      <w:pPr>
        <w:spacing w:line="600" w:lineRule="exact"/>
        <w:ind w:firstLine="640" w:firstLineChars="200"/>
        <w:rPr>
          <w:rFonts w:ascii="??_GB2312" w:eastAsia="Times New Roman"/>
          <w:color w:val="FF0000"/>
          <w:sz w:val="32"/>
          <w:szCs w:val="32"/>
        </w:rPr>
      </w:pPr>
    </w:p>
    <w:p>
      <w:pPr>
        <w:spacing w:line="600" w:lineRule="exact"/>
        <w:ind w:firstLine="640" w:firstLineChars="200"/>
        <w:rPr>
          <w:rFonts w:ascii="??_GB2312" w:eastAsia="Times New Roman"/>
          <w:color w:val="FF0000"/>
          <w:sz w:val="32"/>
          <w:szCs w:val="32"/>
        </w:rPr>
      </w:pPr>
    </w:p>
    <w:p>
      <w:pPr>
        <w:spacing w:line="600" w:lineRule="exact"/>
        <w:ind w:firstLine="640" w:firstLineChars="200"/>
        <w:rPr>
          <w:rFonts w:ascii="??_GB2312" w:eastAsia="Times New Roman"/>
          <w:color w:val="FF0000"/>
          <w:sz w:val="32"/>
          <w:szCs w:val="32"/>
        </w:rPr>
      </w:pPr>
    </w:p>
    <w:p>
      <w:pPr>
        <w:spacing w:line="600" w:lineRule="exact"/>
        <w:ind w:firstLine="640" w:firstLineChars="200"/>
        <w:rPr>
          <w:rFonts w:ascii="??_GB2312" w:eastAsia="Times New Roman"/>
          <w:color w:val="FF0000"/>
          <w:sz w:val="32"/>
          <w:szCs w:val="32"/>
        </w:rPr>
      </w:pPr>
    </w:p>
    <w:p>
      <w:pPr>
        <w:spacing w:line="600" w:lineRule="exact"/>
        <w:ind w:firstLine="640" w:firstLineChars="200"/>
        <w:rPr>
          <w:rFonts w:ascii="??_GB2312" w:eastAsia="Times New Roman"/>
          <w:color w:val="FF0000"/>
          <w:sz w:val="32"/>
          <w:szCs w:val="32"/>
        </w:rPr>
      </w:pPr>
    </w:p>
    <w:p>
      <w:pPr>
        <w:spacing w:line="600" w:lineRule="exact"/>
        <w:ind w:firstLine="640" w:firstLineChars="200"/>
        <w:outlineLvl w:val="1"/>
        <w:rPr>
          <w:rStyle w:val="19"/>
          <w:rFonts w:ascii="黑体" w:hAnsi="黑体" w:eastAsia="黑体" w:cs="Times New Roman"/>
          <w:b w:val="0"/>
          <w:bCs w:val="0"/>
        </w:rPr>
      </w:pPr>
      <w:bookmarkStart w:id="30" w:name="_Toc15377208"/>
      <w:bookmarkStart w:id="31" w:name="_Toc15396606"/>
      <w:r>
        <w:rPr>
          <w:rFonts w:hint="eastAsia" w:ascii="黑体" w:hAnsi="黑体" w:eastAsia="黑体" w:cs="黑体"/>
          <w:color w:val="000000"/>
          <w:sz w:val="32"/>
          <w:szCs w:val="32"/>
        </w:rPr>
        <w:t>四、财</w:t>
      </w:r>
      <w:r>
        <w:rPr>
          <w:rStyle w:val="19"/>
          <w:rFonts w:hint="eastAsia" w:ascii="黑体" w:hAnsi="黑体" w:eastAsia="黑体" w:cs="黑体"/>
          <w:b w:val="0"/>
          <w:bCs w:val="0"/>
        </w:rPr>
        <w:t>政拨款收入支出决算总体情况说明</w:t>
      </w:r>
      <w:bookmarkEnd w:id="30"/>
      <w:bookmarkEnd w:id="31"/>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年财政拨款收、支总计</w:t>
      </w:r>
      <w:r>
        <w:rPr>
          <w:rFonts w:ascii="仿宋_GB2312" w:hAnsi="仿宋" w:eastAsia="仿宋_GB2312" w:cs="仿宋_GB2312"/>
          <w:color w:val="000000"/>
          <w:sz w:val="32"/>
          <w:szCs w:val="32"/>
        </w:rPr>
        <w:t>102.05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年相比，财政拨款收、支总计各增加</w:t>
      </w:r>
      <w:r>
        <w:rPr>
          <w:rFonts w:ascii="仿宋_GB2312" w:hAnsi="仿宋" w:eastAsia="仿宋_GB2312" w:cs="仿宋_GB2312"/>
          <w:color w:val="000000"/>
          <w:sz w:val="32"/>
          <w:szCs w:val="32"/>
        </w:rPr>
        <w:t>19.19</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23%</w:t>
      </w:r>
      <w:r>
        <w:rPr>
          <w:rFonts w:hint="eastAsia" w:ascii="仿宋_GB2312" w:hAnsi="仿宋" w:eastAsia="仿宋_GB2312" w:cs="仿宋_GB2312"/>
          <w:color w:val="000000"/>
          <w:sz w:val="32"/>
          <w:szCs w:val="32"/>
        </w:rPr>
        <w:t>。主要变动原因是基本支出人员经费增加。</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：财政拨款收、支决算总计变动情况）</w:t>
      </w:r>
    </w:p>
    <w:p>
      <w:pPr>
        <w:spacing w:line="600" w:lineRule="exact"/>
        <w:ind w:firstLine="420" w:firstLineChars="200"/>
        <w:rPr>
          <w:rFonts w:ascii="仿宋" w:hAnsi="仿宋" w:eastAsia="仿宋"/>
          <w:color w:val="000000"/>
          <w:sz w:val="32"/>
          <w:szCs w:val="32"/>
        </w:rPr>
      </w:pPr>
      <w:r>
        <w:pict>
          <v:shape id="_x0000_s1029" o:spid="_x0000_s1029" o:spt="75" type="#_x0000_t75" style="position:absolute;left:0pt;margin-left:35.35pt;margin-top:3.6pt;height:177.8pt;width:350.85pt;mso-wrap-distance-left:9.05pt;mso-wrap-distance-right:9.05pt;z-index:-251658240;mso-width-relative:page;mso-height-relative:page;" filled="f" o:preferrelative="t" stroked="f" coordsize="21600,21600" wrapcoords="-46 91 -46 21418 21600 21418 21600 91 -46 91">
            <v:path/>
            <v:fill on="f" focussize="0,0"/>
            <v:stroke on="f" joinstyle="miter"/>
            <v:imagedata r:id="rId9"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1"/>
        <w:rPr>
          <w:rStyle w:val="19"/>
          <w:rFonts w:ascii="黑体" w:hAnsi="黑体" w:eastAsia="黑体" w:cs="Times New Roman"/>
          <w:b w:val="0"/>
          <w:bCs w:val="0"/>
        </w:rPr>
      </w:pPr>
      <w:bookmarkStart w:id="32" w:name="_Toc15377209"/>
      <w:bookmarkStart w:id="33"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9"/>
          <w:rFonts w:hint="eastAsia" w:ascii="黑体" w:hAnsi="黑体" w:eastAsia="黑体" w:cs="黑体"/>
          <w:b w:val="0"/>
          <w:bCs w:val="0"/>
        </w:rPr>
        <w:t>般公共预算财政拨款支出决算情况说明</w:t>
      </w:r>
      <w:bookmarkEnd w:id="32"/>
      <w:bookmarkEnd w:id="33"/>
    </w:p>
    <w:p>
      <w:pPr>
        <w:spacing w:line="600" w:lineRule="exact"/>
        <w:ind w:firstLine="640" w:firstLineChars="200"/>
        <w:outlineLvl w:val="2"/>
        <w:rPr>
          <w:rFonts w:ascii="楷体_GB2312" w:hAnsi="仿宋" w:eastAsia="楷体_GB2312"/>
          <w:color w:val="000000"/>
          <w:sz w:val="32"/>
          <w:szCs w:val="32"/>
        </w:rPr>
      </w:pPr>
      <w:bookmarkStart w:id="34" w:name="_Toc15377210"/>
      <w:r>
        <w:rPr>
          <w:rFonts w:hint="eastAsia" w:ascii="楷体_GB2312" w:hAnsi="仿宋" w:eastAsia="楷体_GB2312" w:cs="楷体_GB2312"/>
          <w:color w:val="000000"/>
          <w:sz w:val="32"/>
          <w:szCs w:val="32"/>
        </w:rPr>
        <w:t>（一）一般公共预算财政拨款支出决算总体情况</w:t>
      </w:r>
      <w:bookmarkEnd w:id="34"/>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91.70</w:t>
      </w:r>
      <w:r>
        <w:rPr>
          <w:rFonts w:hint="eastAsia" w:ascii="仿宋_GB2312" w:hAnsi="仿宋" w:eastAsia="仿宋_GB2312" w:cs="仿宋_GB2312"/>
          <w:color w:val="000000"/>
          <w:sz w:val="32"/>
          <w:szCs w:val="32"/>
        </w:rPr>
        <w:t>万元，占本年支出合计的</w:t>
      </w:r>
      <w:r>
        <w:rPr>
          <w:rFonts w:ascii="仿宋_GB2312" w:hAnsi="仿宋" w:eastAsia="仿宋_GB2312" w:cs="仿宋_GB2312"/>
          <w:color w:val="000000"/>
          <w:sz w:val="32"/>
          <w:szCs w:val="32"/>
        </w:rPr>
        <w:t>92%</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年相比，一般公共预算财政拨款增加</w:t>
      </w:r>
      <w:r>
        <w:rPr>
          <w:rFonts w:ascii="仿宋_GB2312" w:hAnsi="仿宋" w:eastAsia="仿宋_GB2312" w:cs="仿宋_GB2312"/>
          <w:color w:val="000000"/>
          <w:sz w:val="32"/>
          <w:szCs w:val="32"/>
        </w:rPr>
        <w:t>10.50</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13%</w:t>
      </w:r>
      <w:r>
        <w:rPr>
          <w:rFonts w:hint="eastAsia" w:ascii="仿宋_GB2312" w:hAnsi="仿宋" w:eastAsia="仿宋_GB2312" w:cs="仿宋_GB2312"/>
          <w:color w:val="000000"/>
          <w:sz w:val="32"/>
          <w:szCs w:val="32"/>
        </w:rPr>
        <w:t>。主要变动原因是基本支出人员经费增加。</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：一般公共预算财政拨款支出决算变动情况）（柱状图）</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31.8pt;margin-top:4.75pt;height:175.8pt;width:350.65pt;mso-wrap-distance-left:9pt;mso-wrap-distance-right:9pt;z-index:-251656192;mso-width-relative:page;mso-height-relative:page;" filled="f" o:preferrelative="t" stroked="f" coordsize="21600,21600" wrapcoords="-46 92 -46 21415 21600 21415 21600 92 -46 92">
            <v:path/>
            <v:fill on="f" focussize="0,0"/>
            <v:stroke on="f" joinstyle="miter"/>
            <v:imagedata r:id="rId10"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楷体_GB2312" w:hAnsi="仿宋" w:eastAsia="楷体_GB2312"/>
          <w:color w:val="000000"/>
          <w:sz w:val="32"/>
          <w:szCs w:val="32"/>
        </w:rPr>
      </w:pPr>
      <w:bookmarkStart w:id="35" w:name="_Toc15377211"/>
      <w:r>
        <w:rPr>
          <w:rFonts w:hint="eastAsia" w:ascii="楷体_GB2312" w:hAnsi="仿宋" w:eastAsia="楷体_GB2312" w:cs="楷体_GB2312"/>
          <w:color w:val="000000"/>
          <w:sz w:val="32"/>
          <w:szCs w:val="32"/>
        </w:rPr>
        <w:t>（二）一般公共预算财政拨款支出决算结构情况</w:t>
      </w:r>
      <w:bookmarkEnd w:id="35"/>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91.70</w:t>
      </w:r>
      <w:r>
        <w:rPr>
          <w:rFonts w:hint="eastAsia" w:ascii="仿宋_GB2312" w:hAnsi="仿宋" w:eastAsia="仿宋_GB2312" w:cs="仿宋_GB2312"/>
          <w:color w:val="000000"/>
          <w:sz w:val="32"/>
          <w:szCs w:val="32"/>
        </w:rPr>
        <w:t>万元，主要用于以下方面</w:t>
      </w:r>
      <w:r>
        <w:rPr>
          <w:rFonts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一般公共服务（类）</w:t>
      </w:r>
      <w:r>
        <w:rPr>
          <w:rFonts w:hint="eastAsia" w:ascii="仿宋_GB2312" w:hAnsi="仿宋" w:eastAsia="仿宋_GB2312" w:cs="仿宋_GB2312"/>
          <w:color w:val="000000"/>
          <w:sz w:val="32"/>
          <w:szCs w:val="32"/>
        </w:rPr>
        <w:t>支出</w:t>
      </w:r>
      <w:r>
        <w:rPr>
          <w:rFonts w:ascii="仿宋_GB2312" w:hAnsi="仿宋" w:eastAsia="仿宋_GB2312" w:cs="仿宋_GB2312"/>
          <w:color w:val="000000"/>
          <w:sz w:val="32"/>
          <w:szCs w:val="32"/>
        </w:rPr>
        <w:t>72.26</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79%</w:t>
      </w:r>
      <w:r>
        <w:rPr>
          <w:rFonts w:hint="eastAsia"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社会保障和就业（类）</w:t>
      </w:r>
      <w:r>
        <w:rPr>
          <w:rFonts w:hint="eastAsia" w:ascii="仿宋_GB2312" w:hAnsi="仿宋" w:eastAsia="仿宋_GB2312" w:cs="仿宋_GB2312"/>
          <w:color w:val="000000"/>
          <w:sz w:val="32"/>
          <w:szCs w:val="32"/>
        </w:rPr>
        <w:t>支出</w:t>
      </w:r>
      <w:r>
        <w:rPr>
          <w:rFonts w:ascii="仿宋_GB2312" w:hAnsi="仿宋" w:eastAsia="仿宋_GB2312" w:cs="仿宋_GB2312"/>
          <w:color w:val="000000"/>
          <w:sz w:val="32"/>
          <w:szCs w:val="32"/>
        </w:rPr>
        <w:t>7.17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卫生健康支出</w:t>
      </w:r>
      <w:r>
        <w:rPr>
          <w:rFonts w:ascii="仿宋_GB2312" w:hAnsi="仿宋" w:eastAsia="仿宋_GB2312" w:cs="仿宋_GB2312"/>
          <w:color w:val="000000"/>
          <w:sz w:val="32"/>
          <w:szCs w:val="32"/>
        </w:rPr>
        <w:t>5.32</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住房保障支出</w:t>
      </w:r>
      <w:r>
        <w:rPr>
          <w:rFonts w:ascii="仿宋_GB2312" w:hAnsi="仿宋" w:eastAsia="仿宋_GB2312" w:cs="仿宋_GB2312"/>
          <w:color w:val="000000"/>
          <w:sz w:val="32"/>
          <w:szCs w:val="32"/>
        </w:rPr>
        <w:t>6.95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：一般公共预算财政拨款支出决算结构）</w:t>
      </w:r>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36.6pt;margin-top:5.95pt;height:173.55pt;width:355.45pt;mso-wrap-distance-left:9.05pt;mso-wrap-distance-right:9.05pt;z-index:-251657216;mso-width-relative:page;mso-height-relative:page;" filled="f" o:preferrelative="t" stroked="f" coordsize="21600,21600" wrapcoords="-46 94 -46 21413 21600 21413 21600 94 -46 94">
            <v:path/>
            <v:fill on="f" focussize="0,0"/>
            <v:stroke on="f" joinstyle="miter"/>
            <v:imagedata r:id="rId11"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楷体_GB2312" w:hAnsi="仿宋" w:eastAsia="楷体_GB2312"/>
          <w:color w:val="000000"/>
          <w:sz w:val="32"/>
          <w:szCs w:val="32"/>
        </w:rPr>
      </w:pPr>
      <w:bookmarkStart w:id="36" w:name="_Toc15377212"/>
      <w:r>
        <w:rPr>
          <w:rFonts w:hint="eastAsia" w:ascii="楷体_GB2312" w:hAnsi="仿宋" w:eastAsia="楷体_GB2312" w:cs="楷体_GB2312"/>
          <w:color w:val="000000"/>
          <w:sz w:val="32"/>
          <w:szCs w:val="32"/>
        </w:rPr>
        <w:t>（三）一般公共预算财政拨款支出决算具体情况</w:t>
      </w:r>
      <w:bookmarkEnd w:id="36"/>
    </w:p>
    <w:p>
      <w:pPr>
        <w:spacing w:line="600" w:lineRule="exact"/>
        <w:ind w:firstLine="643" w:firstLineChars="200"/>
        <w:outlineLvl w:val="2"/>
        <w:rPr>
          <w:rFonts w:ascii="仿宋_GB2312" w:hAnsi="仿宋" w:eastAsia="仿宋_GB2312"/>
          <w:color w:val="FF0000"/>
          <w:sz w:val="32"/>
          <w:szCs w:val="32"/>
        </w:rPr>
      </w:pPr>
      <w:bookmarkStart w:id="37" w:name="_Toc15377213"/>
      <w:bookmarkStart w:id="38" w:name="_Toc15378460"/>
      <w:bookmarkStart w:id="39" w:name="_Toc15377444"/>
      <w:r>
        <w:rPr>
          <w:rFonts w:ascii="仿宋_GB2312" w:hAnsi="仿宋" w:eastAsia="仿宋_GB2312" w:cs="仿宋_GB2312"/>
          <w:b/>
          <w:bCs/>
          <w:color w:val="000000"/>
          <w:sz w:val="32"/>
          <w:szCs w:val="32"/>
        </w:rPr>
        <w:t>2019</w:t>
      </w:r>
      <w:r>
        <w:rPr>
          <w:rFonts w:hint="eastAsia" w:ascii="仿宋_GB2312" w:hAnsi="仿宋" w:eastAsia="仿宋_GB2312" w:cs="仿宋_GB2312"/>
          <w:b/>
          <w:bCs/>
          <w:color w:val="000000"/>
          <w:sz w:val="32"/>
          <w:szCs w:val="32"/>
        </w:rPr>
        <w:t>年一般公共预算支出决算数为</w:t>
      </w:r>
      <w:r>
        <w:rPr>
          <w:rFonts w:ascii="仿宋_GB2312" w:hAnsi="仿宋" w:eastAsia="仿宋_GB2312" w:cs="仿宋_GB2312"/>
          <w:color w:val="000000"/>
          <w:sz w:val="32"/>
          <w:szCs w:val="32"/>
        </w:rPr>
        <w:t>91.70</w:t>
      </w:r>
      <w:r>
        <w:rPr>
          <w:rFonts w:hint="eastAsia" w:ascii="仿宋_GB2312" w:hAnsi="仿宋" w:eastAsia="仿宋_GB2312" w:cs="仿宋_GB2312"/>
          <w:color w:val="000000"/>
          <w:sz w:val="32"/>
          <w:szCs w:val="32"/>
        </w:rPr>
        <w:t>万元，</w:t>
      </w:r>
      <w:r>
        <w:rPr>
          <w:rStyle w:val="16"/>
          <w:rFonts w:hint="eastAsia" w:ascii="仿宋_GB2312" w:hAnsi="仿宋" w:eastAsia="仿宋_GB2312" w:cs="仿宋_GB2312"/>
          <w:color w:val="000000"/>
          <w:sz w:val="32"/>
          <w:szCs w:val="32"/>
        </w:rPr>
        <w:t>完成预算</w:t>
      </w:r>
      <w:r>
        <w:rPr>
          <w:rStyle w:val="16"/>
          <w:rFonts w:ascii="仿宋_GB2312" w:hAnsi="仿宋" w:eastAsia="仿宋_GB2312" w:cs="仿宋_GB2312"/>
          <w:color w:val="000000"/>
          <w:sz w:val="32"/>
          <w:szCs w:val="32"/>
        </w:rPr>
        <w:t>109%</w:t>
      </w:r>
      <w:r>
        <w:rPr>
          <w:rStyle w:val="16"/>
          <w:rFonts w:hint="eastAsia" w:ascii="仿宋_GB2312" w:hAnsi="仿宋" w:eastAsia="仿宋_GB2312" w:cs="仿宋_GB2312"/>
          <w:color w:val="000000"/>
          <w:sz w:val="32"/>
          <w:szCs w:val="32"/>
        </w:rPr>
        <w:t>。其中：</w:t>
      </w:r>
      <w:bookmarkEnd w:id="37"/>
      <w:bookmarkEnd w:id="38"/>
      <w:bookmarkEnd w:id="39"/>
    </w:p>
    <w:p>
      <w:pPr>
        <w:spacing w:line="600" w:lineRule="exact"/>
        <w:ind w:firstLine="643" w:firstLineChars="200"/>
        <w:rPr>
          <w:rFonts w:ascii="仿宋_GB2312" w:hAnsi="仿宋" w:eastAsia="仿宋_GB2312"/>
          <w:b/>
          <w:bCs/>
          <w:color w:val="000000"/>
          <w:sz w:val="32"/>
          <w:szCs w:val="32"/>
        </w:rPr>
      </w:pPr>
      <w:r>
        <w:rPr>
          <w:rStyle w:val="16"/>
          <w:rFonts w:ascii="仿宋_GB2312" w:hAnsi="仿宋" w:eastAsia="仿宋_GB2312" w:cs="仿宋_GB2312"/>
          <w:color w:val="000000"/>
          <w:sz w:val="32"/>
          <w:szCs w:val="32"/>
        </w:rPr>
        <w:t>1.</w:t>
      </w:r>
      <w:r>
        <w:rPr>
          <w:rStyle w:val="16"/>
          <w:rFonts w:hint="eastAsia" w:ascii="仿宋_GB2312" w:hAnsi="仿宋" w:eastAsia="仿宋_GB2312" w:cs="仿宋_GB2312"/>
          <w:color w:val="000000"/>
          <w:sz w:val="32"/>
          <w:szCs w:val="32"/>
        </w:rPr>
        <w:t>一般公共服务（类）财政事务（款）行政运行（项）</w:t>
      </w:r>
      <w:r>
        <w:rPr>
          <w:rStyle w:val="16"/>
          <w:rFonts w:ascii="仿宋_GB2312" w:hAnsi="仿宋" w:eastAsia="仿宋_GB2312" w:cs="仿宋_GB2312"/>
          <w:color w:val="000000"/>
          <w:sz w:val="32"/>
          <w:szCs w:val="32"/>
        </w:rPr>
        <w:t>:</w:t>
      </w:r>
      <w:r>
        <w:rPr>
          <w:rStyle w:val="16"/>
          <w:rFonts w:ascii="仿宋_GB2312" w:hAnsi="仿宋" w:eastAsia="仿宋_GB2312" w:cs="仿宋_GB2312"/>
          <w:b w:val="0"/>
          <w:bCs w:val="0"/>
          <w:color w:val="000000"/>
          <w:sz w:val="32"/>
          <w:szCs w:val="32"/>
        </w:rPr>
        <w:t xml:space="preserve"> </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70.83</w:t>
      </w:r>
      <w:r>
        <w:rPr>
          <w:rStyle w:val="16"/>
          <w:rFonts w:hint="eastAsia" w:ascii="仿宋_GB2312" w:hAnsi="仿宋" w:eastAsia="仿宋_GB2312" w:cs="仿宋_GB2312"/>
          <w:b w:val="0"/>
          <w:bCs w:val="0"/>
          <w:color w:val="000000"/>
          <w:sz w:val="32"/>
          <w:szCs w:val="32"/>
        </w:rPr>
        <w:t>万元，完成预算</w:t>
      </w:r>
      <w:r>
        <w:rPr>
          <w:rStyle w:val="16"/>
          <w:rFonts w:ascii="仿宋_GB2312" w:hAnsi="仿宋" w:eastAsia="仿宋_GB2312" w:cs="仿宋_GB2312"/>
          <w:b w:val="0"/>
          <w:bCs w:val="0"/>
          <w:color w:val="000000"/>
          <w:sz w:val="32"/>
          <w:szCs w:val="32"/>
        </w:rPr>
        <w:t>110%</w:t>
      </w:r>
      <w:r>
        <w:rPr>
          <w:rStyle w:val="16"/>
          <w:rFonts w:hint="eastAsia" w:ascii="仿宋_GB2312" w:hAnsi="仿宋" w:eastAsia="仿宋_GB2312" w:cs="仿宋_GB2312"/>
          <w:b w:val="0"/>
          <w:bCs w:val="0"/>
          <w:color w:val="000000"/>
          <w:sz w:val="32"/>
          <w:szCs w:val="32"/>
        </w:rPr>
        <w:t>，决算数大于预算数的主要原因是今年部分预算收入调整为存量资金安排的上年结转资金形成的支出。</w:t>
      </w:r>
      <w:r>
        <w:rPr>
          <w:rStyle w:val="16"/>
          <w:rFonts w:hint="eastAsia" w:ascii="仿宋_GB2312" w:hAnsi="仿宋" w:eastAsia="仿宋_GB2312" w:cs="仿宋_GB2312"/>
          <w:color w:val="000000"/>
          <w:sz w:val="32"/>
          <w:szCs w:val="32"/>
        </w:rPr>
        <w:t>一般行政管理事务（项）</w:t>
      </w:r>
      <w:r>
        <w:rPr>
          <w:rStyle w:val="16"/>
          <w:rFonts w:ascii="仿宋_GB2312" w:hAnsi="仿宋" w:eastAsia="仿宋_GB2312" w:cs="仿宋_GB2312"/>
          <w:color w:val="000000"/>
          <w:sz w:val="32"/>
          <w:szCs w:val="32"/>
        </w:rPr>
        <w:t>:</w:t>
      </w:r>
      <w:r>
        <w:rPr>
          <w:rStyle w:val="16"/>
          <w:rFonts w:ascii="仿宋_GB2312" w:hAnsi="仿宋" w:eastAsia="仿宋_GB2312" w:cs="仿宋_GB2312"/>
          <w:b w:val="0"/>
          <w:bCs w:val="0"/>
          <w:color w:val="000000"/>
          <w:sz w:val="32"/>
          <w:szCs w:val="32"/>
        </w:rPr>
        <w:t xml:space="preserve"> </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1.43</w:t>
      </w:r>
      <w:r>
        <w:rPr>
          <w:rStyle w:val="16"/>
          <w:rFonts w:hint="eastAsia" w:ascii="仿宋_GB2312" w:hAnsi="仿宋" w:eastAsia="仿宋_GB2312" w:cs="仿宋_GB2312"/>
          <w:b w:val="0"/>
          <w:bCs w:val="0"/>
          <w:color w:val="000000"/>
          <w:sz w:val="32"/>
          <w:szCs w:val="32"/>
        </w:rPr>
        <w:t>万元，全部为使用上年结转资金形成的支出。</w:t>
      </w:r>
    </w:p>
    <w:p>
      <w:pPr>
        <w:spacing w:line="600" w:lineRule="exact"/>
        <w:ind w:firstLine="643" w:firstLineChars="200"/>
        <w:rPr>
          <w:rFonts w:ascii="仿宋_GB2312" w:hAnsi="仿宋" w:eastAsia="仿宋_GB2312"/>
          <w:b/>
          <w:bCs/>
          <w:color w:val="000000"/>
          <w:sz w:val="32"/>
          <w:szCs w:val="32"/>
        </w:rPr>
      </w:pPr>
      <w:r>
        <w:rPr>
          <w:rStyle w:val="16"/>
          <w:rFonts w:ascii="仿宋_GB2312" w:hAnsi="仿宋" w:eastAsia="仿宋_GB2312" w:cs="仿宋_GB2312"/>
          <w:color w:val="000000"/>
          <w:sz w:val="32"/>
          <w:szCs w:val="32"/>
        </w:rPr>
        <w:t>2.</w:t>
      </w:r>
      <w:r>
        <w:rPr>
          <w:rStyle w:val="16"/>
          <w:rFonts w:hint="eastAsia" w:ascii="仿宋_GB2312" w:hAnsi="仿宋" w:eastAsia="仿宋_GB2312" w:cs="仿宋_GB2312"/>
          <w:color w:val="000000"/>
          <w:sz w:val="32"/>
          <w:szCs w:val="32"/>
        </w:rPr>
        <w:t>社会保障和就业（类）行政事业单位离退休（款）机关事业单位基本养老保险缴费支出（项）</w:t>
      </w:r>
      <w:r>
        <w:rPr>
          <w:rStyle w:val="16"/>
          <w:rFonts w:ascii="仿宋_GB2312" w:hAnsi="仿宋" w:eastAsia="仿宋_GB2312" w:cs="仿宋_GB2312"/>
          <w:color w:val="000000"/>
          <w:sz w:val="32"/>
          <w:szCs w:val="32"/>
        </w:rPr>
        <w:t>:</w:t>
      </w:r>
      <w:r>
        <w:rPr>
          <w:rStyle w:val="16"/>
          <w:rFonts w:ascii="仿宋_GB2312" w:hAnsi="仿宋" w:eastAsia="仿宋_GB2312" w:cs="仿宋_GB2312"/>
          <w:b w:val="0"/>
          <w:bCs w:val="0"/>
          <w:color w:val="000000"/>
          <w:sz w:val="32"/>
          <w:szCs w:val="32"/>
        </w:rPr>
        <w:t xml:space="preserve"> </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7.17</w:t>
      </w:r>
      <w:r>
        <w:rPr>
          <w:rStyle w:val="16"/>
          <w:rFonts w:hint="eastAsia" w:ascii="仿宋_GB2312" w:hAnsi="仿宋" w:eastAsia="仿宋_GB2312" w:cs="仿宋_GB2312"/>
          <w:b w:val="0"/>
          <w:bCs w:val="0"/>
          <w:color w:val="000000"/>
          <w:sz w:val="32"/>
          <w:szCs w:val="32"/>
        </w:rPr>
        <w:t>万元，完成预算</w:t>
      </w:r>
      <w:r>
        <w:rPr>
          <w:rStyle w:val="16"/>
          <w:rFonts w:ascii="仿宋_GB2312" w:hAnsi="仿宋" w:eastAsia="仿宋_GB2312" w:cs="仿宋_GB2312"/>
          <w:b w:val="0"/>
          <w:bCs w:val="0"/>
          <w:color w:val="000000"/>
          <w:sz w:val="32"/>
          <w:szCs w:val="32"/>
        </w:rPr>
        <w:t>100%</w:t>
      </w:r>
      <w:r>
        <w:rPr>
          <w:rStyle w:val="16"/>
          <w:rFonts w:hint="eastAsia" w:ascii="仿宋_GB2312" w:hAnsi="仿宋" w:eastAsia="仿宋_GB2312" w:cs="仿宋_GB2312"/>
          <w:b w:val="0"/>
          <w:bCs w:val="0"/>
          <w:color w:val="000000"/>
          <w:sz w:val="32"/>
          <w:szCs w:val="32"/>
        </w:rPr>
        <w:t>。</w:t>
      </w:r>
    </w:p>
    <w:p>
      <w:pPr>
        <w:spacing w:line="600" w:lineRule="exact"/>
        <w:ind w:firstLine="643" w:firstLineChars="200"/>
        <w:rPr>
          <w:rStyle w:val="16"/>
          <w:rFonts w:ascii="仿宋_GB2312" w:hAnsi="仿宋" w:eastAsia="仿宋_GB2312"/>
          <w:b w:val="0"/>
          <w:bCs w:val="0"/>
          <w:color w:val="000000"/>
          <w:sz w:val="32"/>
          <w:szCs w:val="32"/>
        </w:rPr>
      </w:pPr>
      <w:r>
        <w:rPr>
          <w:rStyle w:val="16"/>
          <w:rFonts w:ascii="仿宋_GB2312" w:hAnsi="仿宋" w:eastAsia="仿宋_GB2312" w:cs="仿宋_GB2312"/>
          <w:color w:val="000000"/>
          <w:sz w:val="32"/>
          <w:szCs w:val="32"/>
        </w:rPr>
        <w:t>3.</w:t>
      </w:r>
      <w:r>
        <w:rPr>
          <w:rFonts w:hint="eastAsia" w:ascii="仿宋_GB2312" w:hAnsi="仿宋" w:eastAsia="仿宋_GB2312" w:cs="仿宋_GB2312"/>
          <w:b/>
          <w:bCs/>
          <w:color w:val="000000"/>
          <w:sz w:val="32"/>
          <w:szCs w:val="32"/>
        </w:rPr>
        <w:t>卫生健康</w:t>
      </w:r>
      <w:r>
        <w:rPr>
          <w:rStyle w:val="16"/>
          <w:rFonts w:hint="eastAsia" w:ascii="仿宋_GB2312" w:hAnsi="仿宋" w:eastAsia="仿宋_GB2312" w:cs="仿宋_GB2312"/>
          <w:color w:val="000000"/>
          <w:sz w:val="32"/>
          <w:szCs w:val="32"/>
        </w:rPr>
        <w:t>（类）行政事业单位医疗（款）行政单位医疗（项）</w:t>
      </w:r>
      <w:r>
        <w:rPr>
          <w:rStyle w:val="16"/>
          <w:rFonts w:ascii="仿宋_GB2312" w:hAnsi="仿宋" w:eastAsia="仿宋_GB2312" w:cs="仿宋_GB2312"/>
          <w:color w:val="000000"/>
          <w:sz w:val="32"/>
          <w:szCs w:val="32"/>
        </w:rPr>
        <w:t>:</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4.84</w:t>
      </w:r>
      <w:r>
        <w:rPr>
          <w:rStyle w:val="16"/>
          <w:rFonts w:hint="eastAsia" w:ascii="仿宋_GB2312" w:hAnsi="仿宋" w:eastAsia="仿宋_GB2312" w:cs="仿宋_GB2312"/>
          <w:b w:val="0"/>
          <w:bCs w:val="0"/>
          <w:color w:val="000000"/>
          <w:sz w:val="32"/>
          <w:szCs w:val="32"/>
        </w:rPr>
        <w:t>万元，完成预算</w:t>
      </w:r>
      <w:r>
        <w:rPr>
          <w:rStyle w:val="16"/>
          <w:rFonts w:ascii="仿宋_GB2312" w:hAnsi="仿宋" w:eastAsia="仿宋_GB2312" w:cs="仿宋_GB2312"/>
          <w:b w:val="0"/>
          <w:bCs w:val="0"/>
          <w:color w:val="000000"/>
          <w:sz w:val="32"/>
          <w:szCs w:val="32"/>
        </w:rPr>
        <w:t>100%</w:t>
      </w:r>
      <w:r>
        <w:rPr>
          <w:rStyle w:val="16"/>
          <w:rFonts w:hint="eastAsia" w:ascii="仿宋_GB2312" w:hAnsi="仿宋" w:eastAsia="仿宋_GB2312" w:cs="仿宋_GB2312"/>
          <w:b w:val="0"/>
          <w:bCs w:val="0"/>
          <w:color w:val="000000"/>
          <w:sz w:val="32"/>
          <w:szCs w:val="32"/>
        </w:rPr>
        <w:t>；</w:t>
      </w:r>
      <w:r>
        <w:rPr>
          <w:rStyle w:val="16"/>
          <w:rFonts w:hint="eastAsia" w:ascii="仿宋_GB2312" w:hAnsi="仿宋" w:eastAsia="仿宋_GB2312" w:cs="仿宋_GB2312"/>
          <w:color w:val="000000"/>
          <w:sz w:val="32"/>
          <w:szCs w:val="32"/>
        </w:rPr>
        <w:t>公务员医疗补助（项）</w:t>
      </w:r>
      <w:r>
        <w:rPr>
          <w:rStyle w:val="16"/>
          <w:rFonts w:ascii="仿宋_GB2312" w:hAnsi="仿宋" w:eastAsia="仿宋_GB2312" w:cs="仿宋_GB2312"/>
          <w:color w:val="000000"/>
          <w:sz w:val="32"/>
          <w:szCs w:val="32"/>
        </w:rPr>
        <w:t>:</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0.48</w:t>
      </w:r>
      <w:r>
        <w:rPr>
          <w:rStyle w:val="16"/>
          <w:rFonts w:hint="eastAsia" w:ascii="仿宋_GB2312" w:hAnsi="仿宋" w:eastAsia="仿宋_GB2312" w:cs="仿宋_GB2312"/>
          <w:b w:val="0"/>
          <w:bCs w:val="0"/>
          <w:color w:val="000000"/>
          <w:sz w:val="32"/>
          <w:szCs w:val="32"/>
        </w:rPr>
        <w:t>万元，完成预算</w:t>
      </w:r>
      <w:r>
        <w:rPr>
          <w:rStyle w:val="16"/>
          <w:rFonts w:ascii="仿宋_GB2312" w:hAnsi="仿宋" w:eastAsia="仿宋_GB2312" w:cs="仿宋_GB2312"/>
          <w:b w:val="0"/>
          <w:bCs w:val="0"/>
          <w:color w:val="000000"/>
          <w:sz w:val="32"/>
          <w:szCs w:val="32"/>
        </w:rPr>
        <w:t>100%</w:t>
      </w:r>
      <w:r>
        <w:rPr>
          <w:rStyle w:val="16"/>
          <w:rFonts w:hint="eastAsia" w:ascii="仿宋_GB2312" w:hAnsi="仿宋" w:eastAsia="仿宋_GB2312" w:cs="仿宋_GB2312"/>
          <w:b w:val="0"/>
          <w:bCs w:val="0"/>
          <w:color w:val="000000"/>
          <w:sz w:val="32"/>
          <w:szCs w:val="32"/>
        </w:rPr>
        <w:t>。</w:t>
      </w:r>
    </w:p>
    <w:p>
      <w:pPr>
        <w:spacing w:line="600" w:lineRule="exact"/>
        <w:ind w:firstLine="643" w:firstLineChars="200"/>
        <w:rPr>
          <w:rFonts w:ascii="仿宋_GB2312" w:hAnsi="仿宋" w:eastAsia="仿宋_GB2312"/>
          <w:b/>
          <w:bCs/>
          <w:color w:val="000000"/>
          <w:sz w:val="32"/>
          <w:szCs w:val="32"/>
        </w:rPr>
      </w:pPr>
      <w:r>
        <w:rPr>
          <w:rStyle w:val="16"/>
          <w:rFonts w:ascii="仿宋_GB2312" w:hAnsi="仿宋" w:eastAsia="仿宋_GB2312" w:cs="仿宋_GB2312"/>
          <w:color w:val="000000"/>
          <w:sz w:val="32"/>
          <w:szCs w:val="32"/>
        </w:rPr>
        <w:t>4.</w:t>
      </w:r>
      <w:r>
        <w:rPr>
          <w:rStyle w:val="16"/>
          <w:rFonts w:hint="eastAsia" w:ascii="仿宋_GB2312" w:hAnsi="仿宋" w:eastAsia="仿宋_GB2312" w:cs="仿宋_GB2312"/>
          <w:color w:val="000000"/>
          <w:sz w:val="32"/>
          <w:szCs w:val="32"/>
        </w:rPr>
        <w:t>住房保障支出（类）住房改革支出（款）住房公积金（项）</w:t>
      </w:r>
      <w:r>
        <w:rPr>
          <w:rStyle w:val="16"/>
          <w:rFonts w:ascii="仿宋_GB2312" w:hAnsi="仿宋" w:eastAsia="仿宋_GB2312" w:cs="仿宋_GB2312"/>
          <w:color w:val="000000"/>
          <w:sz w:val="32"/>
          <w:szCs w:val="32"/>
        </w:rPr>
        <w:t>:</w:t>
      </w:r>
      <w:r>
        <w:rPr>
          <w:rStyle w:val="16"/>
          <w:rFonts w:hint="eastAsia" w:ascii="仿宋_GB2312" w:hAnsi="仿宋" w:eastAsia="仿宋_GB2312" w:cs="仿宋_GB2312"/>
          <w:b w:val="0"/>
          <w:bCs w:val="0"/>
          <w:color w:val="000000"/>
          <w:sz w:val="32"/>
          <w:szCs w:val="32"/>
        </w:rPr>
        <w:t>支出决算为</w:t>
      </w:r>
      <w:r>
        <w:rPr>
          <w:rStyle w:val="16"/>
          <w:rFonts w:ascii="仿宋_GB2312" w:hAnsi="仿宋" w:eastAsia="仿宋_GB2312" w:cs="仿宋_GB2312"/>
          <w:b w:val="0"/>
          <w:bCs w:val="0"/>
          <w:color w:val="000000"/>
          <w:sz w:val="32"/>
          <w:szCs w:val="32"/>
        </w:rPr>
        <w:t>6.95</w:t>
      </w:r>
      <w:r>
        <w:rPr>
          <w:rStyle w:val="16"/>
          <w:rFonts w:hint="eastAsia" w:ascii="仿宋_GB2312" w:hAnsi="仿宋" w:eastAsia="仿宋_GB2312" w:cs="仿宋_GB2312"/>
          <w:b w:val="0"/>
          <w:bCs w:val="0"/>
          <w:color w:val="000000"/>
          <w:sz w:val="32"/>
          <w:szCs w:val="32"/>
        </w:rPr>
        <w:t>万元，完成预算</w:t>
      </w:r>
      <w:r>
        <w:rPr>
          <w:rStyle w:val="16"/>
          <w:rFonts w:ascii="仿宋_GB2312" w:hAnsi="仿宋" w:eastAsia="仿宋_GB2312" w:cs="仿宋_GB2312"/>
          <w:b w:val="0"/>
          <w:bCs w:val="0"/>
          <w:color w:val="000000"/>
          <w:sz w:val="32"/>
          <w:szCs w:val="32"/>
        </w:rPr>
        <w:t>100%</w:t>
      </w:r>
      <w:r>
        <w:rPr>
          <w:rStyle w:val="16"/>
          <w:rFonts w:hint="eastAsia" w:ascii="仿宋_GB2312" w:hAnsi="仿宋" w:eastAsia="仿宋_GB2312" w:cs="仿宋_GB2312"/>
          <w:b w:val="0"/>
          <w:bCs w:val="0"/>
          <w:color w:val="000000"/>
          <w:sz w:val="32"/>
          <w:szCs w:val="32"/>
        </w:rPr>
        <w:t>。</w:t>
      </w:r>
    </w:p>
    <w:p>
      <w:pPr>
        <w:tabs>
          <w:tab w:val="right" w:pos="8306"/>
        </w:tabs>
        <w:spacing w:line="600" w:lineRule="exact"/>
        <w:ind w:firstLine="640"/>
        <w:outlineLvl w:val="1"/>
        <w:rPr>
          <w:rStyle w:val="19"/>
        </w:rPr>
      </w:pPr>
      <w:bookmarkStart w:id="40" w:name="_Toc15377214"/>
      <w:bookmarkStart w:id="41"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9"/>
          <w:rFonts w:hint="eastAsia" w:ascii="黑体" w:hAnsi="黑体" w:eastAsia="黑体" w:cs="黑体"/>
          <w:b w:val="0"/>
          <w:bCs w:val="0"/>
        </w:rPr>
        <w:t>般公共预算财政拨款基本支出决算情况说明</w:t>
      </w:r>
      <w:bookmarkEnd w:id="40"/>
      <w:bookmarkEnd w:id="41"/>
      <w:r>
        <w:rPr>
          <w:rStyle w:val="19"/>
          <w:rFonts w:ascii="黑体" w:hAnsi="黑体" w:eastAsia="黑体" w:cs="Times New Roman"/>
          <w:b w:val="0"/>
          <w:bCs w:val="0"/>
        </w:rPr>
        <w:tab/>
      </w:r>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年一般公共预算财政拨款基本支出</w:t>
      </w:r>
      <w:r>
        <w:rPr>
          <w:rFonts w:ascii="仿宋_GB2312" w:hAnsi="仿宋" w:eastAsia="仿宋_GB2312" w:cs="仿宋_GB2312"/>
          <w:color w:val="000000"/>
          <w:sz w:val="32"/>
          <w:szCs w:val="32"/>
        </w:rPr>
        <w:t>90.27</w:t>
      </w:r>
      <w:r>
        <w:rPr>
          <w:rFonts w:hint="eastAsia" w:ascii="仿宋_GB2312" w:hAnsi="仿宋" w:eastAsia="仿宋_GB2312" w:cs="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人员经费</w:t>
      </w:r>
      <w:r>
        <w:rPr>
          <w:rFonts w:ascii="仿宋_GB2312" w:hAnsi="仿宋" w:eastAsia="仿宋_GB2312" w:cs="仿宋_GB2312"/>
          <w:color w:val="000000"/>
          <w:sz w:val="32"/>
          <w:szCs w:val="32"/>
        </w:rPr>
        <w:t>82.20</w:t>
      </w:r>
      <w:r>
        <w:rPr>
          <w:rFonts w:hint="eastAsia" w:ascii="仿宋_GB2312" w:hAnsi="仿宋"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s="仿宋_GB2312"/>
          <w:color w:val="000000"/>
          <w:sz w:val="32"/>
          <w:szCs w:val="32"/>
        </w:rPr>
        <w:t>　　日常公用经费</w:t>
      </w:r>
      <w:r>
        <w:rPr>
          <w:rFonts w:ascii="仿宋_GB2312" w:hAnsi="仿宋" w:eastAsia="仿宋_GB2312" w:cs="仿宋_GB2312"/>
          <w:color w:val="000000"/>
          <w:sz w:val="32"/>
          <w:szCs w:val="32"/>
        </w:rPr>
        <w:t>8.07</w:t>
      </w:r>
      <w:r>
        <w:rPr>
          <w:rFonts w:hint="eastAsia" w:ascii="仿宋_GB2312" w:hAnsi="仿宋"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19"/>
          <w:rFonts w:hint="eastAsia" w:ascii="黑体" w:hAnsi="黑体" w:eastAsia="黑体" w:cs="黑体"/>
        </w:rPr>
        <w:t>“</w:t>
      </w:r>
      <w:r>
        <w:rPr>
          <w:rStyle w:val="19"/>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楷体_GB2312" w:hAnsi="仿宋" w:eastAsia="楷体_GB2312"/>
          <w:color w:val="000000"/>
          <w:sz w:val="32"/>
          <w:szCs w:val="32"/>
        </w:rPr>
      </w:pPr>
      <w:bookmarkStart w:id="44" w:name="_Toc15377216"/>
      <w:r>
        <w:rPr>
          <w:rFonts w:hint="eastAsia" w:ascii="楷体_GB2312" w:hAnsi="仿宋" w:eastAsia="楷体_GB2312" w:cs="楷体_GB2312"/>
          <w:color w:val="000000"/>
          <w:sz w:val="32"/>
          <w:szCs w:val="32"/>
        </w:rPr>
        <w:t>（一）“三公”经费财政拨款支出决算总体情况说明</w:t>
      </w:r>
      <w:bookmarkEnd w:id="44"/>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年“三公”经费财政拨款支出决算为</w:t>
      </w:r>
      <w:r>
        <w:rPr>
          <w:rFonts w:ascii="仿宋_GB2312" w:hAnsi="仿宋" w:eastAsia="仿宋_GB2312" w:cs="仿宋_GB2312"/>
          <w:color w:val="000000"/>
          <w:sz w:val="32"/>
          <w:szCs w:val="32"/>
        </w:rPr>
        <w:t>0.09</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，决算数与预算数持平。</w:t>
      </w:r>
    </w:p>
    <w:p>
      <w:pPr>
        <w:spacing w:line="600" w:lineRule="exact"/>
        <w:ind w:firstLine="640"/>
        <w:outlineLvl w:val="2"/>
        <w:rPr>
          <w:rFonts w:ascii="楷体_GB2312" w:hAnsi="仿宋" w:eastAsia="楷体_GB2312"/>
          <w:color w:val="000000"/>
          <w:sz w:val="32"/>
          <w:szCs w:val="32"/>
        </w:rPr>
      </w:pPr>
      <w:bookmarkStart w:id="45" w:name="_Toc15377217"/>
      <w:r>
        <w:rPr>
          <w:rFonts w:hint="eastAsia" w:ascii="楷体_GB2312" w:hAnsi="仿宋" w:eastAsia="楷体_GB2312" w:cs="楷体_GB2312"/>
          <w:color w:val="000000"/>
          <w:sz w:val="32"/>
          <w:szCs w:val="32"/>
        </w:rPr>
        <w:t>（二）“三公”经费财政拨款支出决算具体情况说明</w:t>
      </w:r>
      <w:bookmarkEnd w:id="45"/>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年“三公”经费财政拨款支出决算中，因公出国（境）费支出决算及公务用车购置及运行维护费支出决算没有发生支出，公务接待费支出</w:t>
      </w:r>
      <w:r>
        <w:rPr>
          <w:rFonts w:ascii="仿宋_GB2312" w:hAnsi="仿宋" w:eastAsia="仿宋_GB2312" w:cs="仿宋_GB2312"/>
          <w:color w:val="000000"/>
          <w:sz w:val="32"/>
          <w:szCs w:val="32"/>
        </w:rPr>
        <w:t>0.09</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6"/>
          <w:rFonts w:hint="eastAsia" w:ascii="仿宋_GB2312" w:hAnsi="仿宋" w:eastAsia="仿宋_GB2312" w:cs="仿宋_GB2312"/>
          <w:b w:val="0"/>
          <w:bCs w:val="0"/>
          <w:color w:val="000000"/>
          <w:sz w:val="32"/>
          <w:szCs w:val="32"/>
        </w:rPr>
        <w:t>完成预算</w:t>
      </w:r>
      <w:r>
        <w:rPr>
          <w:rStyle w:val="16"/>
          <w:rFonts w:ascii="仿宋_GB2312" w:hAnsi="仿宋" w:eastAsia="仿宋_GB2312" w:cs="仿宋_GB2312"/>
          <w:b w:val="0"/>
          <w:bCs w:val="0"/>
          <w:color w:val="000000"/>
          <w:sz w:val="32"/>
          <w:szCs w:val="32"/>
        </w:rPr>
        <w:t>0%</w:t>
      </w:r>
      <w:r>
        <w:rPr>
          <w:rStyle w:val="16"/>
          <w:rFonts w:hint="eastAsia" w:ascii="仿宋_GB2312" w:hAnsi="仿宋" w:eastAsia="仿宋_GB2312" w:cs="仿宋_GB2312"/>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r>
        <w:rPr>
          <w:rFonts w:hint="eastAsia" w:ascii="仿宋_GB2312" w:hAnsi="仿宋" w:eastAsia="仿宋_GB2312" w:cs="仿宋_GB2312"/>
          <w:color w:val="000000"/>
          <w:sz w:val="32"/>
          <w:szCs w:val="32"/>
        </w:rPr>
        <w:t>因公出国（境）支出决算与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3" w:firstLineChars="200"/>
        <w:rPr>
          <w:rFonts w:ascii="仿宋_GB2312" w:hAnsi="仿宋" w:eastAsia="仿宋_GB2312"/>
          <w:color w:val="000000"/>
          <w:sz w:val="32"/>
          <w:szCs w:val="32"/>
        </w:rPr>
      </w:pPr>
      <w:bookmarkStart w:id="46" w:name="_Toc15377218"/>
      <w:bookmarkStart w:id="47" w:name="_Toc15396610"/>
      <w:r>
        <w:rPr>
          <w:rFonts w:ascii="仿宋_GB2312" w:hAnsi="仿宋" w:eastAsia="仿宋_GB2312" w:cs="仿宋_GB2312"/>
          <w:b/>
          <w:bCs/>
          <w:color w:val="000000"/>
          <w:sz w:val="32"/>
          <w:szCs w:val="32"/>
        </w:rPr>
        <w:t>2.</w:t>
      </w:r>
      <w:r>
        <w:rPr>
          <w:rFonts w:hint="eastAsia" w:ascii="仿宋_GB2312" w:hAnsi="仿宋" w:eastAsia="仿宋_GB2312" w:cs="仿宋_GB2312"/>
          <w:b/>
          <w:bCs/>
          <w:color w:val="000000"/>
          <w:sz w:val="32"/>
          <w:szCs w:val="32"/>
        </w:rPr>
        <w:t>公务用车购置及运行维护费支出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完成预算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其中：</w:t>
      </w:r>
      <w:r>
        <w:rPr>
          <w:rFonts w:hint="eastAsia" w:ascii="仿宋_GB2312" w:hAnsi="仿宋" w:eastAsia="仿宋_GB2312" w:cs="仿宋_GB2312"/>
          <w:b/>
          <w:bCs/>
          <w:color w:val="000000"/>
          <w:sz w:val="32"/>
          <w:szCs w:val="32"/>
        </w:rPr>
        <w:t>公务用车购置支出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rPr>
          <w:rFonts w:ascii="仿宋_GB2312" w:hAnsi="仿宋" w:eastAsia="仿宋_GB2312"/>
          <w:color w:val="000000"/>
          <w:sz w:val="32"/>
          <w:szCs w:val="32"/>
        </w:rPr>
      </w:pPr>
      <w:r>
        <w:rPr>
          <w:rFonts w:hint="eastAsia" w:ascii="仿宋_GB2312" w:hAnsi="仿宋" w:eastAsia="仿宋_GB2312" w:cs="仿宋_GB2312"/>
          <w:b/>
          <w:bCs/>
          <w:color w:val="000000"/>
          <w:sz w:val="32"/>
          <w:szCs w:val="32"/>
        </w:rPr>
        <w:t>公务用车运行维护费支出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rPr>
          <w:rFonts w:ascii="仿宋_GB2312" w:hAnsi="仿宋" w:eastAsia="仿宋_GB2312"/>
          <w:color w:val="000000"/>
          <w:sz w:val="32"/>
          <w:szCs w:val="32"/>
        </w:rPr>
      </w:pPr>
      <w:r>
        <w:rPr>
          <w:rFonts w:ascii="仿宋_GB2312" w:hAnsi="仿宋" w:eastAsia="仿宋_GB2312" w:cs="仿宋_GB2312"/>
          <w:b/>
          <w:bCs/>
          <w:color w:val="000000"/>
          <w:sz w:val="32"/>
          <w:szCs w:val="32"/>
        </w:rPr>
        <w:t>3.</w:t>
      </w:r>
      <w:r>
        <w:rPr>
          <w:rFonts w:hint="eastAsia" w:ascii="仿宋_GB2312" w:hAnsi="仿宋" w:eastAsia="仿宋_GB2312" w:cs="仿宋_GB2312"/>
          <w:b/>
          <w:bCs/>
          <w:color w:val="000000"/>
          <w:sz w:val="32"/>
          <w:szCs w:val="32"/>
        </w:rPr>
        <w:t>公务接待费支出</w:t>
      </w:r>
      <w:r>
        <w:rPr>
          <w:rFonts w:ascii="仿宋_GB2312" w:hAnsi="仿宋" w:eastAsia="仿宋_GB2312" w:cs="仿宋_GB2312"/>
          <w:color w:val="000000"/>
          <w:sz w:val="32"/>
          <w:szCs w:val="32"/>
        </w:rPr>
        <w:t>0.09</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。公务接待费支出决算与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年持平。其中：</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cs="仿宋_GB2312"/>
          <w:b/>
          <w:bCs/>
          <w:color w:val="000000"/>
          <w:sz w:val="32"/>
          <w:szCs w:val="32"/>
        </w:rPr>
        <w:t>国内公务接待支出</w:t>
      </w:r>
      <w:r>
        <w:rPr>
          <w:rFonts w:ascii="仿宋_GB2312" w:hAnsi="仿宋" w:eastAsia="仿宋_GB2312" w:cs="仿宋_GB2312"/>
          <w:color w:val="000000"/>
          <w:sz w:val="32"/>
          <w:szCs w:val="32"/>
        </w:rPr>
        <w:t>0.09</w:t>
      </w:r>
      <w:r>
        <w:rPr>
          <w:rFonts w:hint="eastAsia" w:ascii="仿宋_GB2312" w:eastAsia="仿宋_GB2312" w:cs="仿宋_GB2312"/>
          <w:color w:val="000000"/>
          <w:sz w:val="32"/>
          <w:szCs w:val="32"/>
        </w:rPr>
        <w:t>万元，</w:t>
      </w:r>
      <w:r>
        <w:rPr>
          <w:rFonts w:hint="eastAsia" w:ascii="仿宋_GB2312" w:hAnsi="仿宋" w:eastAsia="仿宋_GB2312" w:cs="仿宋_GB2312"/>
          <w:color w:val="000000"/>
          <w:sz w:val="32"/>
          <w:szCs w:val="32"/>
        </w:rPr>
        <w:t>主要用于执行公务、开展业务活动开支的用餐费。国内公务接待</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批次，</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人次，具体内容包括：惠民惠农财政补助资金“一卡通”工作支出</w:t>
      </w:r>
      <w:r>
        <w:rPr>
          <w:rFonts w:ascii="仿宋_GB2312" w:hAnsi="仿宋" w:eastAsia="仿宋_GB2312" w:cs="仿宋_GB2312"/>
          <w:color w:val="000000"/>
          <w:sz w:val="32"/>
          <w:szCs w:val="32"/>
        </w:rPr>
        <w:t>0.09</w:t>
      </w:r>
      <w:r>
        <w:rPr>
          <w:rFonts w:hint="eastAsia" w:ascii="仿宋_GB2312" w:hAnsi="仿宋" w:eastAsia="仿宋_GB2312" w:cs="仿宋_GB2312"/>
          <w:color w:val="000000"/>
          <w:sz w:val="32"/>
          <w:szCs w:val="32"/>
        </w:rPr>
        <w:t>万元。</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cs="仿宋_GB2312"/>
          <w:b/>
          <w:bCs/>
          <w:color w:val="000000"/>
          <w:sz w:val="32"/>
          <w:szCs w:val="32"/>
        </w:rPr>
        <w:t>外事接待支出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万元，外事接待</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批次，</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人，共计支出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outlineLvl w:val="1"/>
        <w:rPr>
          <w:rStyle w:val="19"/>
          <w:rFonts w:ascii="黑体" w:hAnsi="黑体" w:eastAsia="黑体" w:cs="Times New Roman"/>
        </w:rPr>
      </w:pPr>
      <w:r>
        <w:rPr>
          <w:rFonts w:hint="eastAsia" w:ascii="黑体" w:eastAsia="黑体" w:cs="黑体"/>
          <w:color w:val="000000"/>
          <w:sz w:val="32"/>
          <w:szCs w:val="32"/>
        </w:rPr>
        <w:t>八、</w:t>
      </w:r>
      <w:r>
        <w:rPr>
          <w:rStyle w:val="19"/>
          <w:rFonts w:hint="eastAsia" w:ascii="黑体" w:hAnsi="黑体" w:eastAsia="黑体" w:cs="黑体"/>
          <w:b w:val="0"/>
          <w:bCs w:val="0"/>
        </w:rPr>
        <w:t>政府性基金预算支出决算情况说明</w:t>
      </w:r>
      <w:bookmarkEnd w:id="46"/>
      <w:bookmarkEnd w:id="47"/>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年政府性基金预算拨款支出</w:t>
      </w:r>
      <w:r>
        <w:rPr>
          <w:rFonts w:ascii="仿宋_GB2312" w:hAnsi="仿宋" w:eastAsia="仿宋_GB2312" w:cs="仿宋_GB2312"/>
          <w:color w:val="000000"/>
          <w:sz w:val="32"/>
          <w:szCs w:val="32"/>
        </w:rPr>
        <w:t>7.92</w:t>
      </w:r>
      <w:r>
        <w:rPr>
          <w:rFonts w:hint="eastAsia" w:ascii="仿宋_GB2312" w:hAnsi="仿宋" w:eastAsia="仿宋_GB2312" w:cs="仿宋_GB2312"/>
          <w:color w:val="000000"/>
          <w:sz w:val="32"/>
          <w:szCs w:val="32"/>
        </w:rPr>
        <w:t>万元。全部为项目支出。</w:t>
      </w:r>
    </w:p>
    <w:p>
      <w:pPr>
        <w:numPr>
          <w:ilvl w:val="0"/>
          <w:numId w:val="2"/>
        </w:numPr>
        <w:spacing w:line="600" w:lineRule="exact"/>
        <w:ind w:firstLine="640"/>
        <w:outlineLvl w:val="1"/>
        <w:rPr>
          <w:rStyle w:val="19"/>
          <w:rFonts w:ascii="黑体" w:hAnsi="黑体" w:eastAsia="黑体" w:cs="Times New Roman"/>
          <w:b w:val="0"/>
          <w:bCs w:val="0"/>
        </w:rPr>
      </w:pPr>
      <w:bookmarkStart w:id="48" w:name="_Toc15396611"/>
      <w:bookmarkStart w:id="49" w:name="_Toc15377219"/>
      <w:r>
        <w:rPr>
          <w:rStyle w:val="19"/>
          <w:rFonts w:hint="eastAsia" w:ascii="黑体" w:hAnsi="黑体" w:eastAsia="黑体" w:cs="黑体"/>
          <w:b w:val="0"/>
          <w:bCs w:val="0"/>
        </w:rPr>
        <w:t>国有资本经营预算支出决算情况说明</w:t>
      </w:r>
      <w:bookmarkEnd w:id="48"/>
      <w:bookmarkEnd w:id="49"/>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年国有资本经营预算拨款支出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800" w:firstLineChars="250"/>
        <w:outlineLvl w:val="1"/>
        <w:rPr>
          <w:rStyle w:val="19"/>
          <w:rFonts w:ascii="黑体" w:hAnsi="黑体" w:eastAsia="黑体" w:cs="Times New Roman"/>
        </w:rPr>
      </w:pPr>
      <w:bookmarkStart w:id="50" w:name="_Toc15396612"/>
      <w:bookmarkStart w:id="51" w:name="_Toc15377221"/>
      <w:r>
        <w:rPr>
          <w:rFonts w:hint="eastAsia" w:ascii="黑体" w:hAnsi="黑体" w:eastAsia="黑体" w:cs="黑体"/>
          <w:color w:val="000000"/>
          <w:sz w:val="32"/>
          <w:szCs w:val="32"/>
        </w:rPr>
        <w:t>十</w:t>
      </w:r>
      <w:r>
        <w:rPr>
          <w:rStyle w:val="19"/>
          <w:rFonts w:hint="eastAsia" w:ascii="黑体" w:hAnsi="黑体" w:eastAsia="黑体" w:cs="黑体"/>
        </w:rPr>
        <w:t>、</w:t>
      </w:r>
      <w:r>
        <w:rPr>
          <w:rStyle w:val="19"/>
          <w:rFonts w:hint="eastAsia" w:ascii="黑体" w:hAnsi="黑体" w:eastAsia="黑体" w:cs="黑体"/>
          <w:b w:val="0"/>
          <w:bCs w:val="0"/>
        </w:rPr>
        <w:t>其他重要事项的情况说明</w:t>
      </w:r>
      <w:bookmarkEnd w:id="50"/>
      <w:bookmarkEnd w:id="51"/>
    </w:p>
    <w:p>
      <w:pPr>
        <w:spacing w:line="600" w:lineRule="exact"/>
        <w:ind w:firstLine="640" w:firstLineChars="200"/>
        <w:outlineLvl w:val="2"/>
        <w:rPr>
          <w:rFonts w:ascii="楷体_GB2312" w:hAnsi="仿宋" w:eastAsia="楷体_GB2312"/>
          <w:color w:val="000000"/>
          <w:sz w:val="32"/>
          <w:szCs w:val="32"/>
        </w:rPr>
      </w:pPr>
      <w:bookmarkStart w:id="52" w:name="_Toc15377222"/>
      <w:r>
        <w:rPr>
          <w:rFonts w:hint="eastAsia" w:ascii="楷体_GB2312" w:hAnsi="仿宋" w:eastAsia="楷体_GB2312" w:cs="楷体_GB2312"/>
          <w:color w:val="000000"/>
          <w:sz w:val="32"/>
          <w:szCs w:val="32"/>
        </w:rPr>
        <w:t>（一）机关运行经费支出情况</w:t>
      </w:r>
      <w:bookmarkEnd w:id="52"/>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年，本单位机关运行经费支出</w:t>
      </w:r>
      <w:r>
        <w:rPr>
          <w:rFonts w:ascii="仿宋_GB2312" w:hAnsi="仿宋" w:eastAsia="仿宋_GB2312" w:cs="仿宋_GB2312"/>
          <w:color w:val="000000"/>
          <w:sz w:val="32"/>
          <w:szCs w:val="32"/>
        </w:rPr>
        <w:t>8.07</w:t>
      </w:r>
      <w:r>
        <w:rPr>
          <w:rFonts w:hint="eastAsia" w:ascii="仿宋_GB2312" w:hAnsi="仿宋" w:eastAsia="仿宋_GB2312" w:cs="仿宋_GB2312"/>
          <w:color w:val="000000"/>
          <w:sz w:val="32"/>
          <w:szCs w:val="32"/>
        </w:rPr>
        <w:t>万元，比</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年增加</w:t>
      </w:r>
      <w:r>
        <w:rPr>
          <w:rFonts w:ascii="仿宋_GB2312" w:hAnsi="仿宋" w:eastAsia="仿宋_GB2312" w:cs="仿宋_GB2312"/>
          <w:color w:val="000000"/>
          <w:sz w:val="32"/>
          <w:szCs w:val="32"/>
        </w:rPr>
        <w:t>2.97</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58%</w:t>
      </w:r>
      <w:r>
        <w:rPr>
          <w:rFonts w:hint="eastAsia" w:ascii="仿宋_GB2312" w:hAnsi="仿宋" w:eastAsia="仿宋_GB2312" w:cs="仿宋_GB2312"/>
          <w:color w:val="000000"/>
          <w:sz w:val="32"/>
          <w:szCs w:val="32"/>
        </w:rPr>
        <w:t>。主要原因是办公费、其他交通费用等支出的增加额。</w:t>
      </w:r>
    </w:p>
    <w:p>
      <w:pPr>
        <w:spacing w:line="600" w:lineRule="exact"/>
        <w:ind w:firstLine="640" w:firstLineChars="200"/>
        <w:outlineLvl w:val="2"/>
        <w:rPr>
          <w:rFonts w:ascii="楷体_GB2312" w:hAnsi="仿宋" w:eastAsia="楷体_GB2312"/>
          <w:color w:val="000000"/>
          <w:sz w:val="32"/>
          <w:szCs w:val="32"/>
        </w:rPr>
      </w:pPr>
      <w:bookmarkStart w:id="53" w:name="_Toc15377223"/>
      <w:r>
        <w:rPr>
          <w:rFonts w:hint="eastAsia" w:ascii="楷体_GB2312" w:hAnsi="仿宋" w:eastAsia="楷体_GB2312" w:cs="楷体_GB2312"/>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年，本单位政府采购支出总额</w:t>
      </w:r>
      <w:r>
        <w:rPr>
          <w:rFonts w:ascii="仿宋_GB2312" w:eastAsia="仿宋_GB2312" w:cs="仿宋_GB2312"/>
          <w:color w:val="000000"/>
          <w:sz w:val="32"/>
          <w:szCs w:val="32"/>
        </w:rPr>
        <w:t>0.32</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0.32</w:t>
      </w:r>
      <w:r>
        <w:rPr>
          <w:rFonts w:hint="eastAsia" w:ascii="仿宋_GB2312" w:eastAsia="仿宋_GB2312" w:cs="仿宋_GB2312"/>
          <w:color w:val="000000"/>
          <w:sz w:val="32"/>
          <w:szCs w:val="32"/>
        </w:rPr>
        <w:t>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万元。主要用于财政资金监督检查业务工作。授予中小企业合同金额</w:t>
      </w:r>
      <w:r>
        <w:rPr>
          <w:rFonts w:ascii="仿宋_GB2312" w:eastAsia="仿宋_GB2312" w:cs="仿宋_GB2312"/>
          <w:color w:val="000000"/>
          <w:sz w:val="32"/>
          <w:szCs w:val="32"/>
        </w:rPr>
        <w:t>0.32</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，其中：授予小微企业合同金额</w:t>
      </w:r>
      <w:r>
        <w:rPr>
          <w:rFonts w:ascii="仿宋_GB2312" w:eastAsia="仿宋_GB2312" w:cs="仿宋_GB2312"/>
          <w:color w:val="000000"/>
          <w:sz w:val="32"/>
          <w:szCs w:val="32"/>
        </w:rPr>
        <w:t>0.32</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640" w:firstLineChars="200"/>
        <w:outlineLvl w:val="2"/>
        <w:rPr>
          <w:rFonts w:ascii="楷体_GB2312" w:hAnsi="仿宋" w:eastAsia="楷体_GB2312"/>
          <w:color w:val="000000"/>
          <w:sz w:val="32"/>
          <w:szCs w:val="32"/>
        </w:rPr>
      </w:pPr>
      <w:bookmarkStart w:id="54" w:name="_Toc15377224"/>
      <w:r>
        <w:rPr>
          <w:rFonts w:hint="eastAsia" w:ascii="楷体_GB2312" w:hAnsi="仿宋" w:eastAsia="楷体_GB2312" w:cs="楷体_GB2312"/>
          <w:color w:val="000000"/>
          <w:sz w:val="32"/>
          <w:szCs w:val="32"/>
        </w:rPr>
        <w:t>（三）国有资产占有使用情况</w:t>
      </w:r>
      <w:bookmarkEnd w:id="54"/>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日，本单位没有公务车辆，也没有单价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万元以上通用设备及单价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p>
    <w:p>
      <w:pPr>
        <w:spacing w:line="600" w:lineRule="exact"/>
        <w:ind w:firstLine="640" w:firstLineChars="200"/>
        <w:outlineLvl w:val="2"/>
        <w:rPr>
          <w:rFonts w:ascii="楷体_GB2312" w:hAnsi="仿宋" w:eastAsia="楷体_GB2312"/>
          <w:color w:val="000000"/>
          <w:sz w:val="32"/>
          <w:szCs w:val="32"/>
        </w:rPr>
      </w:pPr>
      <w:r>
        <w:rPr>
          <w:rFonts w:hint="eastAsia" w:ascii="楷体_GB2312" w:hAnsi="仿宋" w:eastAsia="楷体_GB2312" w:cs="楷体_GB2312"/>
          <w:color w:val="000000"/>
          <w:sz w:val="32"/>
          <w:szCs w:val="32"/>
        </w:rPr>
        <w:t>（四）预算绩效管理情况。</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根据预算绩效管理要求，本部门（单位）在年初预算编制阶段，组织对财政监督检查业务费开展了预算事前绩效评估，对</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个项目编制了绩效目标，预算执行过程中，选取</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个项目开展绩效监控，年终执行完毕后，对</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个项目开展了绩效目标完成情况自评。</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本部门按要求对</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年部门整体支出开展绩效自评，从评价情况来看全年部门预算执行情况较好，严格按照年初预算开展工作，严格执行资金使用各项规定，加强内部财务管理。本部门还自行组织了</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个项目支出绩效评价，从评价情况来看全年绩效目标完成情况较好，完成全年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次检查，规范财务管理，保障财政资金安全。</w:t>
      </w:r>
    </w:p>
    <w:p>
      <w:pPr>
        <w:spacing w:line="600" w:lineRule="exact"/>
        <w:ind w:firstLine="643" w:firstLineChars="20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项目绩效目标完成情况。</w:t>
      </w:r>
      <w:r>
        <w:rPr>
          <w:rFonts w:ascii="仿宋_GB2312" w:eastAsia="仿宋_GB2312"/>
          <w:b/>
          <w:bCs/>
          <w:color w:val="000000"/>
          <w:sz w:val="32"/>
          <w:szCs w:val="32"/>
        </w:rPr>
        <w:br w:type="textWrapping"/>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本部门在</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年度部门决算中反映</w:t>
      </w:r>
      <w:r>
        <w:rPr>
          <w:rFonts w:ascii="仿宋_GB2312" w:eastAsia="仿宋_GB2312"/>
          <w:color w:val="000000"/>
          <w:sz w:val="32"/>
          <w:szCs w:val="32"/>
        </w:rPr>
        <w:t>“</w:t>
      </w:r>
      <w:r>
        <w:rPr>
          <w:rFonts w:hint="eastAsia" w:ascii="仿宋_GB2312" w:eastAsia="仿宋_GB2312" w:cs="仿宋_GB2312"/>
          <w:color w:val="000000"/>
          <w:sz w:val="32"/>
          <w:szCs w:val="32"/>
        </w:rPr>
        <w:t>财政监督检查业务费</w:t>
      </w:r>
      <w:r>
        <w:rPr>
          <w:rFonts w:ascii="仿宋_GB2312" w:eastAsia="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个项目绩效目标实际完成情况。</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财政监督检查业务费项目绩效目标完成情况综述。项目全年预算数</w:t>
      </w:r>
      <w:r>
        <w:rPr>
          <w:rFonts w:ascii="仿宋_GB2312" w:eastAsia="仿宋_GB2312" w:cs="仿宋_GB2312"/>
          <w:color w:val="000000"/>
          <w:sz w:val="32"/>
          <w:szCs w:val="32"/>
        </w:rPr>
        <w:t>9.57</w:t>
      </w:r>
      <w:r>
        <w:rPr>
          <w:rFonts w:hint="eastAsia" w:ascii="仿宋_GB2312" w:eastAsia="仿宋_GB2312" w:cs="仿宋_GB2312"/>
          <w:color w:val="000000"/>
          <w:sz w:val="32"/>
          <w:szCs w:val="32"/>
        </w:rPr>
        <w:t>万元，执行数为</w:t>
      </w:r>
      <w:r>
        <w:rPr>
          <w:rFonts w:ascii="仿宋_GB2312" w:eastAsia="仿宋_GB2312" w:cs="仿宋_GB2312"/>
          <w:color w:val="000000"/>
          <w:sz w:val="32"/>
          <w:szCs w:val="32"/>
        </w:rPr>
        <w:t>9.35</w:t>
      </w:r>
      <w:r>
        <w:rPr>
          <w:rFonts w:hint="eastAsia" w:ascii="仿宋_GB2312" w:eastAsia="仿宋_GB2312" w:cs="仿宋_GB2312"/>
          <w:color w:val="000000"/>
          <w:sz w:val="32"/>
          <w:szCs w:val="32"/>
        </w:rPr>
        <w:t>万元，完成预算的</w:t>
      </w:r>
      <w:r>
        <w:rPr>
          <w:rFonts w:ascii="仿宋_GB2312" w:eastAsia="仿宋_GB2312" w:cs="仿宋_GB2312"/>
          <w:color w:val="000000"/>
          <w:sz w:val="32"/>
          <w:szCs w:val="32"/>
        </w:rPr>
        <w:t>98%</w:t>
      </w:r>
      <w:r>
        <w:rPr>
          <w:rFonts w:hint="eastAsia" w:ascii="仿宋_GB2312" w:eastAsia="仿宋_GB2312" w:cs="仿宋_GB2312"/>
          <w:color w:val="000000"/>
          <w:sz w:val="32"/>
          <w:szCs w:val="32"/>
        </w:rPr>
        <w:t>。通过项目实施，全面提升财政监督能力和成效，及时反映财政管理方面的问题，有力维护财经秩序，保障财政资金安全高效运行。</w:t>
      </w:r>
    </w:p>
    <w:p>
      <w:pPr>
        <w:spacing w:line="600" w:lineRule="exact"/>
        <w:ind w:firstLine="640" w:firstLineChars="200"/>
        <w:rPr>
          <w:rFonts w:ascii="仿宋_GB2312" w:eastAsia="仿宋_GB2312"/>
          <w:color w:val="000000"/>
          <w:sz w:val="32"/>
          <w:szCs w:val="32"/>
        </w:rPr>
      </w:pPr>
    </w:p>
    <w:p>
      <w:pPr>
        <w:spacing w:line="580" w:lineRule="exact"/>
        <w:ind w:firstLine="640" w:firstLineChars="200"/>
        <w:rPr>
          <w:rFonts w:ascii="??_GB2312" w:hAnsi="??_GB2312" w:cs="??_GB2312"/>
          <w:sz w:val="32"/>
          <w:szCs w:val="32"/>
        </w:rPr>
      </w:pPr>
    </w:p>
    <w:p>
      <w:pPr>
        <w:spacing w:line="580" w:lineRule="exact"/>
        <w:ind w:firstLine="640" w:firstLineChars="200"/>
        <w:rPr>
          <w:rFonts w:ascii="??_GB2312" w:hAnsi="??_GB2312" w:cs="??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财政监督检查业务费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攀枝花市西区财政监督检查局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9.57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9.35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9.57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9.35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szCs w:val="24"/>
              </w:rPr>
            </w:pPr>
            <w:r>
              <w:rPr>
                <w:rFonts w:hint="eastAsia" w:ascii="宋体" w:cs="宋体"/>
                <w:color w:val="000000"/>
                <w:sz w:val="24"/>
                <w:szCs w:val="24"/>
              </w:rPr>
              <w:t>紧密围绕本地经济社会发展和财政工作重点，关注事关人民群众切身利益的重大支出使用情况，突出有效性监督，全面提升财政监督能力和成效，及时反映财政管理方面的问题，有力维护财经秩序，保障财政资金安全高效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szCs w:val="24"/>
              </w:rPr>
            </w:pPr>
            <w:r>
              <w:rPr>
                <w:rFonts w:hint="eastAsia" w:ascii="宋体" w:cs="宋体"/>
                <w:color w:val="000000"/>
                <w:sz w:val="24"/>
                <w:szCs w:val="24"/>
              </w:rPr>
              <w:t>区财监局牵头组织开展监督检查</w:t>
            </w:r>
            <w:r>
              <w:rPr>
                <w:rFonts w:ascii="宋体" w:cs="宋体"/>
                <w:color w:val="000000"/>
                <w:sz w:val="24"/>
                <w:szCs w:val="24"/>
              </w:rPr>
              <w:t>7</w:t>
            </w:r>
            <w:r>
              <w:rPr>
                <w:rFonts w:hint="eastAsia" w:ascii="宋体" w:cs="宋体"/>
                <w:color w:val="000000"/>
                <w:sz w:val="24"/>
                <w:szCs w:val="24"/>
              </w:rPr>
              <w:t>项；配合区委巡察办、市级相关部门及局属相关股室开展监督检查</w:t>
            </w:r>
            <w:r>
              <w:rPr>
                <w:rFonts w:ascii="宋体" w:cs="宋体"/>
                <w:color w:val="000000"/>
                <w:sz w:val="24"/>
                <w:szCs w:val="24"/>
              </w:rPr>
              <w:t>4</w:t>
            </w:r>
            <w:r>
              <w:rPr>
                <w:rFonts w:hint="eastAsia" w:ascii="宋体" w:cs="宋体"/>
                <w:color w:val="000000"/>
                <w:sz w:val="24"/>
                <w:szCs w:val="24"/>
              </w:rPr>
              <w:t>项；开展了内控内审建设等其他工作。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开展检查次数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11</w:t>
            </w:r>
            <w:r>
              <w:rPr>
                <w:rFonts w:hint="eastAsia" w:ascii="宋体" w:cs="宋体"/>
                <w:color w:val="000000"/>
                <w:sz w:val="24"/>
                <w:szCs w:val="24"/>
              </w:rPr>
              <w:t>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开展检查完成率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检查时限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w:t>
            </w:r>
            <w:r>
              <w:rPr>
                <w:rFonts w:hint="eastAsia" w:ascii="宋体" w:cs="宋体"/>
                <w:color w:val="000000"/>
                <w:sz w:val="24"/>
                <w:szCs w:val="24"/>
              </w:rPr>
              <w:t>年内</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全年检查成本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w:t>
            </w:r>
            <w:r>
              <w:rPr>
                <w:rFonts w:ascii="宋体" w:cs="宋体"/>
                <w:color w:val="000000"/>
                <w:sz w:val="24"/>
                <w:szCs w:val="24"/>
              </w:rPr>
              <w:t>9.57</w:t>
            </w:r>
            <w:r>
              <w:rPr>
                <w:rFonts w:hint="eastAsia" w:ascii="宋体" w:cs="宋体"/>
                <w:color w:val="000000"/>
                <w:sz w:val="24"/>
                <w:szCs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9.35</w:t>
            </w:r>
            <w:r>
              <w:rPr>
                <w:rFonts w:hint="eastAsia" w:ascii="宋体" w:cs="宋体"/>
                <w:color w:val="000000"/>
                <w:sz w:val="24"/>
                <w:szCs w:val="24"/>
              </w:rPr>
              <w:t>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社会效益</w:t>
            </w:r>
          </w:p>
          <w:p>
            <w:pPr>
              <w:widowControl/>
              <w:jc w:val="center"/>
              <w:textAlignment w:val="center"/>
              <w:rPr>
                <w:rFonts w:ascii="宋体"/>
                <w:color w:val="000000"/>
                <w:sz w:val="24"/>
                <w:szCs w:val="24"/>
              </w:rPr>
            </w:pPr>
            <w:r>
              <w:rPr>
                <w:rFonts w:hint="eastAsia" w:asci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规范单位财务管理</w:t>
            </w:r>
            <w:r>
              <w:rPr>
                <w:rFonts w:ascii="宋体" w:cs="宋体"/>
                <w:color w:val="000000"/>
                <w:sz w:val="24"/>
                <w:szCs w:val="24"/>
              </w:rPr>
              <w:t>,</w:t>
            </w:r>
            <w:r>
              <w:rPr>
                <w:rFonts w:hint="eastAsia" w:ascii="宋体" w:cs="宋体"/>
                <w:color w:val="000000"/>
                <w:sz w:val="24"/>
                <w:szCs w:val="24"/>
              </w:rPr>
              <w:t>保障财政资金安全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更加规范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更加规范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可持续影响</w:t>
            </w:r>
          </w:p>
          <w:p>
            <w:pPr>
              <w:widowControl/>
              <w:jc w:val="center"/>
              <w:textAlignment w:val="center"/>
              <w:rPr>
                <w:rFonts w:ascii="宋体"/>
                <w:color w:val="000000"/>
                <w:sz w:val="24"/>
                <w:szCs w:val="24"/>
              </w:rPr>
            </w:pPr>
            <w:r>
              <w:rPr>
                <w:rFonts w:hint="eastAsia" w:asci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加大财政监督力度</w:t>
            </w:r>
            <w:r>
              <w:rPr>
                <w:rFonts w:ascii="宋体" w:cs="宋体"/>
                <w:color w:val="000000"/>
                <w:sz w:val="24"/>
                <w:szCs w:val="24"/>
              </w:rPr>
              <w:t>,</w:t>
            </w:r>
            <w:r>
              <w:rPr>
                <w:rFonts w:hint="eastAsia" w:ascii="宋体" w:cs="宋体"/>
                <w:color w:val="000000"/>
                <w:sz w:val="24"/>
                <w:szCs w:val="24"/>
              </w:rPr>
              <w:t>营造廉洁勤政氛围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长效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长效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检查人员行为规范投诉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检查人员行为规范投诉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0</w:t>
            </w:r>
            <w:r>
              <w:rPr>
                <w:rFonts w:hint="eastAsia" w:ascii="宋体" w:cs="宋体"/>
                <w:color w:val="000000"/>
                <w:sz w:val="24"/>
                <w:szCs w:val="24"/>
              </w:rPr>
              <w:t>次</w:t>
            </w:r>
          </w:p>
        </w:tc>
      </w:tr>
    </w:tbl>
    <w:p>
      <w:pPr>
        <w:spacing w:line="580" w:lineRule="exact"/>
        <w:ind w:left="630"/>
        <w:rPr>
          <w:rFonts w:ascii="??_GB2312" w:hAnsi="??_GB2312" w:cs="??_GB2312"/>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部门绩效评价结果。</w:t>
      </w:r>
    </w:p>
    <w:p>
      <w:pPr>
        <w:spacing w:line="240" w:lineRule="atLeast"/>
        <w:ind w:firstLine="640" w:firstLineChars="200"/>
        <w:rPr>
          <w:rFonts w:ascii="仿宋_GB2312" w:hAnsi="方正小标宋_GBK" w:eastAsia="仿宋_GB2312"/>
          <w:sz w:val="44"/>
          <w:szCs w:val="44"/>
        </w:rPr>
      </w:pPr>
      <w:r>
        <w:rPr>
          <w:rFonts w:hint="eastAsia" w:ascii="仿宋_GB2312" w:hAnsi="宋体" w:eastAsia="仿宋_GB2312" w:cs="仿宋_GB2312"/>
          <w:sz w:val="32"/>
          <w:szCs w:val="32"/>
        </w:rPr>
        <w:t>本部门按要求对</w:t>
      </w:r>
      <w:r>
        <w:rPr>
          <w:rFonts w:ascii="仿宋_GB2312" w:hAnsi="??_GB2312" w:eastAsia="仿宋_GB2312" w:cs="仿宋_GB2312"/>
          <w:sz w:val="32"/>
          <w:szCs w:val="32"/>
        </w:rPr>
        <w:t>2019</w:t>
      </w:r>
      <w:r>
        <w:rPr>
          <w:rFonts w:hint="eastAsia" w:ascii="仿宋_GB2312" w:hAnsi="宋体" w:eastAsia="仿宋_GB2312" w:cs="仿宋_GB2312"/>
          <w:sz w:val="32"/>
          <w:szCs w:val="32"/>
        </w:rPr>
        <w:t>年部门整体支出绩效评价情况开展自评，《攀枝花市西区财政监督检查局</w:t>
      </w:r>
      <w:r>
        <w:rPr>
          <w:rFonts w:ascii="仿宋_GB2312" w:hAnsi="??_GB2312" w:eastAsia="仿宋_GB2312" w:cs="仿宋_GB2312"/>
          <w:sz w:val="32"/>
          <w:szCs w:val="32"/>
        </w:rPr>
        <w:t>2019</w:t>
      </w:r>
      <w:r>
        <w:rPr>
          <w:rFonts w:hint="eastAsia" w:ascii="仿宋_GB2312" w:hAnsi="宋体" w:eastAsia="仿宋_GB2312" w:cs="仿宋_GB2312"/>
          <w:sz w:val="32"/>
          <w:szCs w:val="32"/>
        </w:rPr>
        <w:t>年部门整体支出绩效评价报告》见附件（附件</w:t>
      </w:r>
      <w:r>
        <w:rPr>
          <w:rFonts w:ascii="仿宋_GB2312" w:hAnsi="??_GB2312" w:eastAsia="仿宋_GB2312" w:cs="仿宋_GB2312"/>
          <w:sz w:val="32"/>
          <w:szCs w:val="32"/>
        </w:rPr>
        <w:t>1</w:t>
      </w:r>
      <w:r>
        <w:rPr>
          <w:rFonts w:hint="eastAsia" w:ascii="仿宋_GB2312" w:hAnsi="宋体" w:eastAsia="仿宋_GB2312" w:cs="仿宋_GB2312"/>
          <w:sz w:val="32"/>
          <w:szCs w:val="32"/>
        </w:rPr>
        <w:t>）。</w:t>
      </w:r>
    </w:p>
    <w:p>
      <w:pPr>
        <w:spacing w:line="580" w:lineRule="exact"/>
        <w:ind w:firstLine="640" w:firstLineChars="200"/>
        <w:rPr>
          <w:rFonts w:ascii="仿宋_GB2312" w:eastAsia="仿宋_GB2312"/>
          <w:b/>
          <w:bCs/>
          <w:color w:val="000000"/>
          <w:sz w:val="32"/>
          <w:szCs w:val="32"/>
        </w:rPr>
      </w:pPr>
      <w:r>
        <w:rPr>
          <w:rFonts w:hint="eastAsia" w:ascii="仿宋_GB2312" w:hAnsi="宋体" w:eastAsia="仿宋_GB2312" w:cs="仿宋_GB2312"/>
          <w:sz w:val="32"/>
          <w:szCs w:val="32"/>
        </w:rPr>
        <w:t>本部门自行组织对财政监督检查业务费项目开展了绩效评价，《财政监督检查业务费项目</w:t>
      </w:r>
      <w:r>
        <w:rPr>
          <w:rFonts w:ascii="仿宋_GB2312" w:hAnsi="??_GB2312" w:eastAsia="仿宋_GB2312" w:cs="仿宋_GB2312"/>
          <w:sz w:val="32"/>
          <w:szCs w:val="32"/>
        </w:rPr>
        <w:t>2019</w:t>
      </w:r>
      <w:r>
        <w:rPr>
          <w:rFonts w:hint="eastAsia" w:ascii="仿宋_GB2312" w:hAnsi="宋体" w:eastAsia="仿宋_GB2312" w:cs="仿宋_GB2312"/>
          <w:sz w:val="32"/>
          <w:szCs w:val="32"/>
        </w:rPr>
        <w:t>年绩效评价报告》见附件（附件</w:t>
      </w:r>
      <w:r>
        <w:rPr>
          <w:rFonts w:ascii="仿宋_GB2312" w:hAnsi="??_GB2312" w:eastAsia="仿宋_GB2312" w:cs="仿宋_GB2312"/>
          <w:sz w:val="32"/>
          <w:szCs w:val="32"/>
        </w:rPr>
        <w:t>2</w:t>
      </w:r>
      <w:r>
        <w:rPr>
          <w:rFonts w:hint="eastAsia" w:ascii="仿宋_GB2312" w:hAnsi="宋体" w:eastAsia="仿宋_GB2312" w:cs="仿宋_GB2312"/>
          <w:sz w:val="32"/>
          <w:szCs w:val="32"/>
        </w:rPr>
        <w:t>）。</w:t>
      </w: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numPr>
          <w:ilvl w:val="0"/>
          <w:numId w:val="3"/>
        </w:numPr>
        <w:spacing w:line="600" w:lineRule="exact"/>
        <w:ind w:firstLine="660" w:firstLineChars="150"/>
        <w:jc w:val="center"/>
        <w:outlineLvl w:val="0"/>
        <w:rPr>
          <w:rStyle w:val="18"/>
          <w:rFonts w:ascii="黑体" w:hAnsi="黑体" w:eastAsia="黑体"/>
          <w:b w:val="0"/>
          <w:bCs w:val="0"/>
        </w:rPr>
      </w:pPr>
      <w:bookmarkStart w:id="55" w:name="_Toc15377225"/>
      <w:bookmarkStart w:id="56" w:name="_Toc15396613"/>
      <w:r>
        <w:rPr>
          <w:rFonts w:hint="eastAsia" w:ascii="黑体" w:hAnsi="黑体" w:eastAsia="黑体" w:cs="黑体"/>
          <w:color w:val="000000"/>
          <w:sz w:val="44"/>
          <w:szCs w:val="44"/>
        </w:rPr>
        <w:t>名</w:t>
      </w:r>
      <w:r>
        <w:rPr>
          <w:rStyle w:val="18"/>
          <w:rFonts w:hint="eastAsia" w:ascii="黑体" w:hAnsi="黑体" w:eastAsia="黑体" w:cs="黑体"/>
          <w:b w:val="0"/>
          <w:bCs w:val="0"/>
        </w:rPr>
        <w:t>词解释</w:t>
      </w:r>
      <w:bookmarkEnd w:id="55"/>
      <w:bookmarkEnd w:id="56"/>
    </w:p>
    <w:p>
      <w:pPr>
        <w:spacing w:line="600" w:lineRule="exact"/>
        <w:jc w:val="left"/>
        <w:rPr>
          <w:rFonts w:ascii="宋体"/>
          <w:b/>
          <w:bCs/>
          <w:color w:val="000000"/>
          <w:sz w:val="44"/>
          <w:szCs w:val="44"/>
        </w:rPr>
      </w:pPr>
    </w:p>
    <w:p>
      <w:pPr>
        <w:pStyle w:val="28"/>
        <w:spacing w:line="560" w:lineRule="exact"/>
        <w:ind w:firstLine="640" w:firstLineChars="200"/>
        <w:rPr>
          <w:rFonts w:ascii="仿宋_GB2312" w:eastAsia="仿宋_GB2312" w:cs="Times New Roman"/>
          <w:sz w:val="32"/>
          <w:szCs w:val="32"/>
        </w:rPr>
      </w:pPr>
      <w:bookmarkStart w:id="57" w:name="_Toc15377226"/>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其他收入：指单位取得的除上述收入以外的各项收入。主要是利息收入。</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9. </w:t>
      </w:r>
      <w:r>
        <w:rPr>
          <w:rFonts w:hint="eastAsia" w:ascii="仿宋_GB2312" w:eastAsia="仿宋_GB2312" w:cs="仿宋_GB2312"/>
          <w:color w:val="000000"/>
          <w:sz w:val="32"/>
          <w:szCs w:val="32"/>
        </w:rPr>
        <w:t>一般公共服务（类）财政事务（款）行政运行（项）：反映行政单位（包括实行公务员管理的事业单位）的基本支出；一般行政管理事务（项）：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社会保障和就业（类）行政事业单位离退休（款）机关事业单位基本养老保险缴费支出（项）：反映单位为职工缴纳的基本养老保险费。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11. </w:t>
      </w:r>
      <w:r>
        <w:rPr>
          <w:rFonts w:hint="eastAsia" w:ascii="仿宋_GB2312" w:eastAsia="仿宋_GB2312" w:cs="仿宋_GB2312"/>
          <w:color w:val="000000"/>
          <w:sz w:val="32"/>
          <w:szCs w:val="32"/>
        </w:rPr>
        <w:t>医疗卫生与计划生育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16.</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ascii="黑体" w:hAnsi="黑体" w:eastAsia="黑体"/>
          <w:b w:val="0"/>
          <w:bCs w:val="0"/>
        </w:rPr>
      </w:pPr>
      <w:r>
        <w:rPr>
          <w:rFonts w:ascii="宋体"/>
          <w:b/>
          <w:bCs/>
          <w:color w:val="000000"/>
          <w:sz w:val="44"/>
          <w:szCs w:val="44"/>
        </w:rPr>
        <w:br w:type="page"/>
      </w:r>
      <w:bookmarkStart w:id="58" w:name="_Toc15396614"/>
      <w:r>
        <w:rPr>
          <w:rFonts w:hint="eastAsia" w:ascii="黑体" w:hAnsi="黑体" w:eastAsia="黑体" w:cs="黑体"/>
          <w:color w:val="000000"/>
          <w:sz w:val="44"/>
          <w:szCs w:val="44"/>
        </w:rPr>
        <w:t>第</w:t>
      </w:r>
      <w:r>
        <w:rPr>
          <w:rStyle w:val="18"/>
          <w:rFonts w:hint="eastAsia" w:ascii="黑体" w:hAnsi="黑体" w:eastAsia="黑体" w:cs="黑体"/>
          <w:b w:val="0"/>
          <w:bCs w:val="0"/>
        </w:rPr>
        <w:t>四部分</w:t>
      </w:r>
      <w:r>
        <w:rPr>
          <w:rStyle w:val="18"/>
          <w:rFonts w:ascii="黑体" w:hAnsi="黑体" w:eastAsia="黑体" w:cs="黑体"/>
          <w:b w:val="0"/>
          <w:bCs w:val="0"/>
        </w:rPr>
        <w:t xml:space="preserve"> </w:t>
      </w:r>
      <w:r>
        <w:rPr>
          <w:rStyle w:val="18"/>
          <w:rFonts w:hint="eastAsia" w:ascii="黑体" w:hAnsi="黑体" w:eastAsia="黑体" w:cs="黑体"/>
          <w:b w:val="0"/>
          <w:bCs w:val="0"/>
        </w:rPr>
        <w:t>附件</w:t>
      </w:r>
      <w:bookmarkEnd w:id="58"/>
    </w:p>
    <w:p>
      <w:pPr>
        <w:spacing w:line="600" w:lineRule="exact"/>
        <w:jc w:val="left"/>
        <w:outlineLvl w:val="0"/>
        <w:rPr>
          <w:rFonts w:ascii="方正小标宋简体" w:hAnsi="方正小标宋简体" w:eastAsia="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sz w:val="44"/>
          <w:szCs w:val="44"/>
        </w:rPr>
      </w:pPr>
    </w:p>
    <w:p>
      <w:pPr>
        <w:spacing w:line="600" w:lineRule="exact"/>
        <w:jc w:val="center"/>
        <w:rPr>
          <w:rFonts w:ascii="方正小标宋简体" w:hAnsi="宋体" w:eastAsia="方正小标宋简体"/>
          <w:color w:val="000000"/>
          <w:kern w:val="0"/>
          <w:sz w:val="40"/>
          <w:szCs w:val="40"/>
        </w:rPr>
      </w:pPr>
      <w:r>
        <w:rPr>
          <w:rFonts w:hint="eastAsia" w:ascii="方正小标宋简体" w:hAnsi="宋体" w:eastAsia="方正小标宋简体" w:cs="方正小标宋简体"/>
          <w:color w:val="000000"/>
          <w:kern w:val="0"/>
          <w:sz w:val="40"/>
          <w:szCs w:val="40"/>
        </w:rPr>
        <w:t>攀枝花市西区财政监督检查局</w:t>
      </w:r>
    </w:p>
    <w:p>
      <w:pPr>
        <w:spacing w:line="60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s="方正小标宋简体"/>
          <w:color w:val="000000"/>
          <w:kern w:val="0"/>
          <w:sz w:val="40"/>
          <w:szCs w:val="40"/>
        </w:rPr>
        <w:t>2019</w:t>
      </w:r>
      <w:r>
        <w:rPr>
          <w:rFonts w:hint="eastAsia" w:ascii="方正小标宋简体" w:hAnsi="宋体" w:eastAsia="方正小标宋简体" w:cs="方正小标宋简体"/>
          <w:color w:val="000000"/>
          <w:kern w:val="0"/>
          <w:sz w:val="40"/>
          <w:szCs w:val="40"/>
        </w:rPr>
        <w:t>年部门</w:t>
      </w:r>
      <w:r>
        <w:rPr>
          <w:rFonts w:hint="eastAsia" w:ascii="方正小标宋简体" w:hAnsi="宋体" w:eastAsia="方正小标宋简体" w:cs="方正小标宋简体"/>
          <w:color w:val="000000"/>
          <w:kern w:val="0"/>
          <w:sz w:val="40"/>
          <w:szCs w:val="40"/>
          <w:lang w:val="zh-CN"/>
        </w:rPr>
        <w:t>整体支出绩效评价报告</w:t>
      </w:r>
    </w:p>
    <w:p>
      <w:pPr>
        <w:widowControl/>
        <w:adjustRightInd w:val="0"/>
        <w:snapToGrid w:val="0"/>
        <w:spacing w:line="580" w:lineRule="exact"/>
        <w:ind w:firstLine="480" w:firstLineChars="200"/>
        <w:jc w:val="left"/>
        <w:rPr>
          <w:rFonts w:ascii="黑体" w:hAnsi="宋体" w:eastAsia="黑体"/>
          <w:color w:val="000000"/>
          <w:kern w:val="0"/>
          <w:sz w:val="24"/>
          <w:szCs w:val="24"/>
          <w:shd w:val="clear" w:color="auto" w:fill="FFFFFF"/>
        </w:rPr>
      </w:pPr>
    </w:p>
    <w:p>
      <w:pPr>
        <w:widowControl/>
        <w:adjustRightInd w:val="0"/>
        <w:snapToGrid w:val="0"/>
        <w:spacing w:line="580" w:lineRule="exact"/>
        <w:ind w:firstLine="640" w:firstLineChars="200"/>
        <w:jc w:val="left"/>
        <w:rPr>
          <w:rFonts w:ascii="黑体" w:hAnsi="新宋体" w:eastAsia="黑体"/>
          <w:sz w:val="32"/>
          <w:szCs w:val="32"/>
        </w:rPr>
      </w:pPr>
      <w:r>
        <w:rPr>
          <w:rFonts w:hint="eastAsia" w:ascii="黑体" w:hAnsi="新宋体" w:eastAsia="黑体" w:cs="黑体"/>
          <w:sz w:val="32"/>
          <w:szCs w:val="32"/>
        </w:rPr>
        <w:t>一、部门（单位）概况</w:t>
      </w:r>
    </w:p>
    <w:p>
      <w:pPr>
        <w:widowControl/>
        <w:numPr>
          <w:ilvl w:val="0"/>
          <w:numId w:val="4"/>
        </w:numPr>
        <w:adjustRightInd w:val="0"/>
        <w:snapToGrid w:val="0"/>
        <w:spacing w:line="580" w:lineRule="exact"/>
        <w:jc w:val="left"/>
        <w:rPr>
          <w:rFonts w:ascii="楷体_GB2312" w:hAnsi="新宋体" w:eastAsia="楷体_GB2312"/>
          <w:sz w:val="32"/>
          <w:szCs w:val="32"/>
        </w:rPr>
      </w:pPr>
      <w:r>
        <w:rPr>
          <w:rFonts w:hint="eastAsia" w:ascii="楷体_GB2312" w:hAnsi="新宋体" w:eastAsia="楷体_GB2312" w:cs="楷体_GB2312"/>
          <w:sz w:val="32"/>
          <w:szCs w:val="32"/>
        </w:rPr>
        <w:t>机构组成。</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攀枝花市西区财政监督检查局</w:t>
      </w:r>
    </w:p>
    <w:p>
      <w:pPr>
        <w:numPr>
          <w:ilvl w:val="0"/>
          <w:numId w:val="4"/>
        </w:numPr>
        <w:spacing w:line="580" w:lineRule="exact"/>
        <w:rPr>
          <w:rFonts w:ascii="仿宋_GB2312" w:hAnsi="仿宋" w:eastAsia="仿宋_GB2312"/>
          <w:sz w:val="32"/>
          <w:szCs w:val="32"/>
        </w:rPr>
      </w:pPr>
      <w:r>
        <w:rPr>
          <w:rFonts w:hint="eastAsia" w:ascii="楷体_GB2312" w:hAnsi="新宋体" w:eastAsia="楷体_GB2312" w:cs="楷体_GB2312"/>
          <w:sz w:val="32"/>
          <w:szCs w:val="32"/>
        </w:rPr>
        <w:t>机构职能。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pPr>
        <w:numPr>
          <w:ilvl w:val="0"/>
          <w:numId w:val="4"/>
        </w:numPr>
        <w:spacing w:line="580" w:lineRule="exact"/>
        <w:rPr>
          <w:rFonts w:ascii="仿宋_GB2312" w:hAnsi="仿宋" w:eastAsia="仿宋_GB2312"/>
          <w:sz w:val="32"/>
          <w:szCs w:val="32"/>
        </w:rPr>
      </w:pPr>
      <w:r>
        <w:rPr>
          <w:rFonts w:hint="eastAsia" w:ascii="楷体_GB2312" w:hAnsi="新宋体" w:eastAsia="楷体_GB2312" w:cs="楷体_GB2312"/>
          <w:sz w:val="32"/>
          <w:szCs w:val="32"/>
        </w:rPr>
        <w:t>人员概况。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三定方案有参照公务员法管理事业人员编制</w:t>
      </w:r>
      <w:r>
        <w:rPr>
          <w:rFonts w:ascii="仿宋_GB2312" w:hAnsi="仿宋" w:eastAsia="仿宋_GB2312" w:cs="仿宋_GB2312"/>
          <w:sz w:val="32"/>
          <w:szCs w:val="32"/>
        </w:rPr>
        <w:t>6</w:t>
      </w:r>
      <w:r>
        <w:rPr>
          <w:rFonts w:hint="eastAsia" w:ascii="仿宋_GB2312" w:hAnsi="仿宋" w:eastAsia="仿宋_GB2312" w:cs="仿宋_GB2312"/>
          <w:sz w:val="32"/>
          <w:szCs w:val="32"/>
        </w:rPr>
        <w:t>人，聘用人员编制</w:t>
      </w:r>
      <w:r>
        <w:rPr>
          <w:rFonts w:ascii="仿宋_GB2312" w:hAnsi="仿宋" w:eastAsia="仿宋_GB2312" w:cs="仿宋_GB2312"/>
          <w:sz w:val="32"/>
          <w:szCs w:val="32"/>
        </w:rPr>
        <w:t>1</w:t>
      </w:r>
      <w:r>
        <w:rPr>
          <w:rFonts w:hint="eastAsia" w:ascii="仿宋_GB2312" w:hAnsi="仿宋" w:eastAsia="仿宋_GB2312" w:cs="仿宋_GB2312"/>
          <w:sz w:val="32"/>
          <w:szCs w:val="32"/>
        </w:rPr>
        <w:t>人。年末实有参照公务员法管理的事业人员</w:t>
      </w:r>
      <w:r>
        <w:rPr>
          <w:rFonts w:ascii="仿宋_GB2312" w:hAnsi="仿宋" w:eastAsia="仿宋_GB2312" w:cs="仿宋_GB2312"/>
          <w:sz w:val="32"/>
          <w:szCs w:val="32"/>
        </w:rPr>
        <w:t>6</w:t>
      </w:r>
      <w:r>
        <w:rPr>
          <w:rFonts w:hint="eastAsia" w:ascii="仿宋_GB2312" w:hAnsi="仿宋" w:eastAsia="仿宋_GB2312" w:cs="仿宋_GB2312"/>
          <w:sz w:val="32"/>
          <w:szCs w:val="32"/>
        </w:rPr>
        <w:t>人，聘用人员</w:t>
      </w:r>
      <w:r>
        <w:rPr>
          <w:rFonts w:ascii="仿宋_GB2312" w:hAnsi="仿宋" w:eastAsia="仿宋_GB2312" w:cs="仿宋_GB2312"/>
          <w:sz w:val="32"/>
          <w:szCs w:val="32"/>
        </w:rPr>
        <w:t>1</w:t>
      </w:r>
      <w:r>
        <w:rPr>
          <w:rFonts w:hint="eastAsia" w:ascii="仿宋_GB2312" w:hAnsi="仿宋" w:eastAsia="仿宋_GB2312" w:cs="仿宋_GB2312"/>
          <w:sz w:val="32"/>
          <w:szCs w:val="32"/>
        </w:rPr>
        <w:t>人。与去年同期相比没有变化。</w:t>
      </w:r>
    </w:p>
    <w:p>
      <w:pPr>
        <w:widowControl/>
        <w:adjustRightInd w:val="0"/>
        <w:snapToGrid w:val="0"/>
        <w:spacing w:line="580" w:lineRule="exact"/>
        <w:ind w:firstLine="640" w:firstLineChars="200"/>
        <w:jc w:val="left"/>
        <w:rPr>
          <w:rFonts w:ascii="黑体" w:hAnsi="新宋体" w:eastAsia="黑体"/>
          <w:sz w:val="32"/>
          <w:szCs w:val="32"/>
        </w:rPr>
      </w:pPr>
      <w:r>
        <w:rPr>
          <w:rFonts w:hint="eastAsia" w:ascii="黑体" w:hAnsi="新宋体" w:eastAsia="黑体" w:cs="黑体"/>
          <w:sz w:val="32"/>
          <w:szCs w:val="32"/>
        </w:rPr>
        <w:t>二、部门财政资金收支情况</w:t>
      </w:r>
    </w:p>
    <w:p>
      <w:pPr>
        <w:numPr>
          <w:ilvl w:val="0"/>
          <w:numId w:val="5"/>
        </w:numPr>
        <w:spacing w:line="580" w:lineRule="exact"/>
        <w:rPr>
          <w:rFonts w:ascii="仿宋_GB2312" w:hAnsi="仿宋" w:eastAsia="仿宋_GB2312"/>
          <w:sz w:val="32"/>
          <w:szCs w:val="32"/>
        </w:rPr>
      </w:pPr>
      <w:r>
        <w:rPr>
          <w:rFonts w:hint="eastAsia" w:ascii="仿宋_GB2312" w:hAnsi="仿宋" w:eastAsia="仿宋_GB2312" w:cs="仿宋_GB2312"/>
          <w:sz w:val="32"/>
          <w:szCs w:val="32"/>
        </w:rPr>
        <w:t>部门财政资金收入情况。</w:t>
      </w:r>
    </w:p>
    <w:p>
      <w:pPr>
        <w:widowControl/>
        <w:adjustRightInd w:val="0"/>
        <w:snapToGrid w:val="0"/>
        <w:spacing w:line="580" w:lineRule="exact"/>
        <w:ind w:firstLine="640" w:firstLineChars="200"/>
        <w:jc w:val="left"/>
        <w:rPr>
          <w:rFonts w:ascii="仿宋_GB2312" w:hAnsi="仿宋" w:eastAsia="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年财政拨款收入</w:t>
      </w:r>
      <w:r>
        <w:rPr>
          <w:rFonts w:ascii="仿宋_GB2312" w:hAnsi="仿宋" w:eastAsia="仿宋_GB2312" w:cs="仿宋_GB2312"/>
          <w:sz w:val="32"/>
          <w:szCs w:val="32"/>
        </w:rPr>
        <w:t>91.80</w:t>
      </w:r>
      <w:r>
        <w:rPr>
          <w:rFonts w:hint="eastAsia" w:ascii="仿宋_GB2312" w:hAnsi="仿宋" w:eastAsia="仿宋_GB2312" w:cs="仿宋_GB2312"/>
          <w:sz w:val="32"/>
          <w:szCs w:val="32"/>
        </w:rPr>
        <w:t>万元，其中：一般公共预算财政拨款收入</w:t>
      </w:r>
      <w:r>
        <w:rPr>
          <w:rFonts w:ascii="仿宋_GB2312" w:hAnsi="仿宋" w:eastAsia="仿宋_GB2312" w:cs="仿宋_GB2312"/>
          <w:sz w:val="32"/>
          <w:szCs w:val="32"/>
        </w:rPr>
        <w:t>83.88</w:t>
      </w:r>
      <w:r>
        <w:rPr>
          <w:rFonts w:hint="eastAsia" w:ascii="仿宋_GB2312" w:hAnsi="仿宋" w:eastAsia="仿宋_GB2312" w:cs="仿宋_GB2312"/>
          <w:sz w:val="32"/>
          <w:szCs w:val="32"/>
        </w:rPr>
        <w:t>万元，政府性基金预算财政拨款收入</w:t>
      </w:r>
      <w:r>
        <w:rPr>
          <w:rFonts w:ascii="仿宋_GB2312" w:hAnsi="仿宋" w:eastAsia="仿宋_GB2312" w:cs="仿宋_GB2312"/>
          <w:sz w:val="32"/>
          <w:szCs w:val="32"/>
        </w:rPr>
        <w:t>7.92</w:t>
      </w:r>
      <w:r>
        <w:rPr>
          <w:rFonts w:hint="eastAsia" w:ascii="仿宋_GB2312" w:hAnsi="仿宋" w:eastAsia="仿宋_GB2312" w:cs="仿宋_GB2312"/>
          <w:sz w:val="32"/>
          <w:szCs w:val="32"/>
        </w:rPr>
        <w:t>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（二）部门财政资金支出情况。</w:t>
      </w:r>
    </w:p>
    <w:p>
      <w:pPr>
        <w:widowControl/>
        <w:adjustRightInd w:val="0"/>
        <w:snapToGrid w:val="0"/>
        <w:spacing w:line="580" w:lineRule="exact"/>
        <w:ind w:firstLine="640" w:firstLineChars="200"/>
        <w:jc w:val="left"/>
        <w:rPr>
          <w:rFonts w:ascii="仿宋_GB2312" w:hAnsi="仿宋" w:eastAsia="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年财政拨款支出</w:t>
      </w:r>
      <w:r>
        <w:rPr>
          <w:rFonts w:ascii="仿宋_GB2312" w:hAnsi="仿宋" w:eastAsia="仿宋_GB2312" w:cs="仿宋_GB2312"/>
          <w:sz w:val="32"/>
          <w:szCs w:val="32"/>
        </w:rPr>
        <w:t>99.62</w:t>
      </w:r>
      <w:r>
        <w:rPr>
          <w:rFonts w:hint="eastAsia" w:ascii="仿宋_GB2312" w:hAnsi="仿宋" w:eastAsia="仿宋_GB2312" w:cs="仿宋_GB2312"/>
          <w:sz w:val="32"/>
          <w:szCs w:val="32"/>
        </w:rPr>
        <w:t>万元，其中：一般公共预算财政拨款支出</w:t>
      </w:r>
      <w:r>
        <w:rPr>
          <w:rFonts w:ascii="仿宋_GB2312" w:hAnsi="仿宋" w:eastAsia="仿宋_GB2312" w:cs="仿宋_GB2312"/>
          <w:sz w:val="32"/>
          <w:szCs w:val="32"/>
        </w:rPr>
        <w:t>91.71</w:t>
      </w:r>
      <w:r>
        <w:rPr>
          <w:rFonts w:hint="eastAsia" w:ascii="仿宋_GB2312" w:hAnsi="仿宋" w:eastAsia="仿宋_GB2312" w:cs="仿宋_GB2312"/>
          <w:sz w:val="32"/>
          <w:szCs w:val="32"/>
        </w:rPr>
        <w:t>万元，政府性基金预算财政拨款支出</w:t>
      </w:r>
      <w:r>
        <w:rPr>
          <w:rFonts w:ascii="仿宋_GB2312" w:hAnsi="仿宋" w:eastAsia="仿宋_GB2312" w:cs="仿宋_GB2312"/>
          <w:sz w:val="32"/>
          <w:szCs w:val="32"/>
        </w:rPr>
        <w:t>7.92</w:t>
      </w:r>
      <w:r>
        <w:rPr>
          <w:rFonts w:hint="eastAsia" w:ascii="仿宋_GB2312" w:hAnsi="仿宋" w:eastAsia="仿宋_GB2312" w:cs="仿宋_GB2312"/>
          <w:sz w:val="32"/>
          <w:szCs w:val="32"/>
        </w:rPr>
        <w:t>万元。</w:t>
      </w:r>
    </w:p>
    <w:p>
      <w:pPr>
        <w:widowControl/>
        <w:adjustRightInd w:val="0"/>
        <w:snapToGrid w:val="0"/>
        <w:spacing w:line="580" w:lineRule="exact"/>
        <w:ind w:firstLine="640" w:firstLineChars="200"/>
        <w:jc w:val="left"/>
        <w:rPr>
          <w:rFonts w:ascii="黑体" w:hAnsi="新宋体" w:eastAsia="黑体"/>
          <w:sz w:val="32"/>
          <w:szCs w:val="32"/>
        </w:rPr>
      </w:pPr>
      <w:r>
        <w:rPr>
          <w:rFonts w:hint="eastAsia" w:ascii="黑体" w:hAnsi="新宋体" w:eastAsia="黑体" w:cs="黑体"/>
          <w:sz w:val="32"/>
          <w:szCs w:val="32"/>
        </w:rPr>
        <w:t>三、部门整体预算绩效管理情况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（一）部门预算管理。</w:t>
      </w:r>
    </w:p>
    <w:p>
      <w:pPr>
        <w:pStyle w:val="7"/>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区财监根据预算绩效管理的要求，结合本单位工作实际，科学、准确的编制预算绩效管理。将预算绩效目标制定、预算支出控制、预算动态调整、预算执行进度、预算完成情况等贯穿于预算管理的全过程。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（二）结果应用情况。</w:t>
      </w:r>
    </w:p>
    <w:p>
      <w:pPr>
        <w:spacing w:line="580" w:lineRule="exact"/>
        <w:ind w:firstLine="640" w:firstLineChars="200"/>
        <w:rPr>
          <w:rFonts w:ascii="仿宋_GB2312" w:hAnsi="宋体" w:eastAsia="仿宋_GB2312"/>
          <w:color w:val="000000"/>
          <w:sz w:val="32"/>
          <w:szCs w:val="32"/>
        </w:rPr>
      </w:pPr>
      <w:r>
        <w:rPr>
          <w:rFonts w:hint="eastAsia" w:ascii="仿宋_GB2312" w:hAnsi="仿宋" w:eastAsia="仿宋_GB2312" w:cs="仿宋_GB2312"/>
          <w:sz w:val="32"/>
          <w:szCs w:val="32"/>
        </w:rPr>
        <w:t>区财监按要求对部门整体预</w:t>
      </w:r>
      <w:r>
        <w:rPr>
          <w:rFonts w:hint="eastAsia" w:ascii="仿宋_GB2312" w:hAnsi="宋体" w:eastAsia="仿宋_GB2312" w:cs="仿宋_GB2312"/>
          <w:color w:val="000000"/>
          <w:sz w:val="32"/>
          <w:szCs w:val="32"/>
        </w:rPr>
        <w:t>算绩效自评进行了公开，并将经验和做法运用于</w:t>
      </w:r>
      <w:r>
        <w:rPr>
          <w:rFonts w:ascii="仿宋_GB2312" w:hAnsi="宋体" w:eastAsia="仿宋_GB2312" w:cs="仿宋_GB2312"/>
          <w:color w:val="000000"/>
          <w:sz w:val="32"/>
          <w:szCs w:val="32"/>
        </w:rPr>
        <w:t>2020</w:t>
      </w:r>
      <w:r>
        <w:rPr>
          <w:rFonts w:hint="eastAsia" w:ascii="仿宋_GB2312" w:hAnsi="宋体" w:eastAsia="仿宋_GB2312" w:cs="仿宋_GB2312"/>
          <w:color w:val="000000"/>
          <w:sz w:val="32"/>
          <w:szCs w:val="32"/>
        </w:rPr>
        <w:t>年。</w:t>
      </w:r>
    </w:p>
    <w:p>
      <w:pPr>
        <w:widowControl/>
        <w:adjustRightInd w:val="0"/>
        <w:snapToGrid w:val="0"/>
        <w:spacing w:line="580" w:lineRule="exact"/>
        <w:ind w:firstLine="640" w:firstLineChars="200"/>
        <w:jc w:val="left"/>
        <w:rPr>
          <w:rFonts w:ascii="黑体" w:hAnsi="新宋体" w:eastAsia="黑体"/>
          <w:sz w:val="32"/>
          <w:szCs w:val="32"/>
        </w:rPr>
      </w:pPr>
      <w:r>
        <w:rPr>
          <w:rFonts w:hint="eastAsia" w:ascii="黑体" w:hAnsi="新宋体" w:eastAsia="黑体" w:cs="黑体"/>
          <w:sz w:val="32"/>
          <w:szCs w:val="32"/>
        </w:rPr>
        <w:t>四、评价结论及建议</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（一）评价结论。</w:t>
      </w:r>
    </w:p>
    <w:p>
      <w:pPr>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区财监全年部门预算执行情况较好，严格按照年初预算开展工作，严格执行资金使用各项规定，加强内部财务管理。全年绩效目标完成情况较好，完成全年</w:t>
      </w:r>
      <w:r>
        <w:rPr>
          <w:rFonts w:ascii="仿宋_GB2312" w:eastAsia="仿宋_GB2312" w:cs="仿宋_GB2312"/>
          <w:sz w:val="32"/>
          <w:szCs w:val="32"/>
        </w:rPr>
        <w:t>11</w:t>
      </w:r>
      <w:r>
        <w:rPr>
          <w:rFonts w:hint="eastAsia" w:ascii="仿宋_GB2312" w:eastAsia="仿宋_GB2312" w:cs="仿宋_GB2312"/>
          <w:sz w:val="32"/>
          <w:szCs w:val="32"/>
        </w:rPr>
        <w:t>次检查，规范财务管理，保障财政资金安全。</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（二）存在问题。</w:t>
      </w:r>
    </w:p>
    <w:p>
      <w:pPr>
        <w:widowControl/>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cs="仿宋_GB2312"/>
          <w:sz w:val="32"/>
          <w:szCs w:val="32"/>
        </w:rPr>
        <w:t>预算编制与个别实际支出项目仍存在细微差异。主要原因有政策性人员经费年中追加预算。</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细化预算编制工作。严格按照预算编制的相关制度和要求，编制范围尽可能的全面，不漏项。进一步提高预算编制的科学性、合理性、严谨性和可控性。</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_GB2312" w:hAnsi="??_GB2312" w:cs="??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_GB2312" w:hAnsi="??_GB2312" w:cs="??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财政监督检查业务费</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s="方正小标宋简体"/>
          <w:color w:val="000000"/>
          <w:kern w:val="0"/>
          <w:sz w:val="44"/>
          <w:szCs w:val="44"/>
        </w:rPr>
        <w:t>项目</w:t>
      </w:r>
      <w:r>
        <w:rPr>
          <w:rFonts w:ascii="方正小标宋简体" w:hAnsi="宋体" w:eastAsia="方正小标宋简体" w:cs="方正小标宋简体"/>
          <w:color w:val="000000"/>
          <w:kern w:val="0"/>
          <w:sz w:val="44"/>
          <w:szCs w:val="44"/>
        </w:rPr>
        <w:t>2019</w:t>
      </w:r>
      <w:r>
        <w:rPr>
          <w:rFonts w:hint="eastAsia" w:ascii="方正小标宋简体" w:hAnsi="宋体" w:eastAsia="方正小标宋简体" w:cs="方正小标宋简体"/>
          <w:color w:val="000000"/>
          <w:kern w:val="0"/>
          <w:sz w:val="44"/>
          <w:szCs w:val="44"/>
        </w:rPr>
        <w:t>年</w:t>
      </w:r>
      <w:r>
        <w:rPr>
          <w:rFonts w:hint="eastAsia" w:ascii="方正小标宋简体" w:hAnsi="宋体" w:eastAsia="方正小标宋简体" w:cs="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cs="黑体"/>
          <w:sz w:val="32"/>
          <w:szCs w:val="32"/>
        </w:rPr>
        <w:t>一、</w:t>
      </w:r>
      <w:r>
        <w:rPr>
          <w:rFonts w:hint="eastAsia" w:ascii="黑体" w:hAnsi="宋体" w:eastAsia="黑体" w:cs="黑体"/>
          <w:sz w:val="32"/>
          <w:szCs w:val="32"/>
          <w:lang w:val="zh-CN"/>
        </w:rPr>
        <w:t>项目概况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财政监督检查业务紧密围绕本地经济社会发展和财政工作重点，关注事关人民群众切身利益的重大支出使用情况，突出有效性监督。根据每年省、市文件精神和市区财政工作安排，设立本专项。</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eastAsia="仿宋_GB2312" w:cs="仿宋_GB2312"/>
          <w:sz w:val="32"/>
          <w:szCs w:val="32"/>
        </w:rPr>
        <w:t>2019</w:t>
      </w:r>
      <w:r>
        <w:rPr>
          <w:rFonts w:hint="eastAsia" w:ascii="仿宋_GB2312" w:eastAsia="仿宋_GB2312" w:cs="仿宋_GB2312"/>
          <w:sz w:val="32"/>
          <w:szCs w:val="32"/>
        </w:rPr>
        <w:t>年度区财监局牵头组织开展监督检查</w:t>
      </w:r>
      <w:r>
        <w:rPr>
          <w:rFonts w:ascii="仿宋_GB2312" w:eastAsia="仿宋_GB2312" w:cs="仿宋_GB2312"/>
          <w:sz w:val="32"/>
          <w:szCs w:val="32"/>
        </w:rPr>
        <w:t>7</w:t>
      </w:r>
      <w:r>
        <w:rPr>
          <w:rFonts w:hint="eastAsia" w:ascii="仿宋_GB2312" w:eastAsia="仿宋_GB2312" w:cs="仿宋_GB2312"/>
          <w:sz w:val="32"/>
          <w:szCs w:val="32"/>
        </w:rPr>
        <w:t>项</w:t>
      </w:r>
      <w:r>
        <w:rPr>
          <w:rFonts w:hint="eastAsia" w:ascii="仿宋_GB2312" w:hAnsi="仿宋" w:eastAsia="仿宋_GB2312" w:cs="仿宋_GB2312"/>
          <w:sz w:val="32"/>
          <w:szCs w:val="32"/>
        </w:rPr>
        <w:t>、</w:t>
      </w:r>
      <w:r>
        <w:rPr>
          <w:rFonts w:hint="eastAsia" w:ascii="仿宋_GB2312" w:eastAsia="仿宋_GB2312" w:cs="仿宋_GB2312"/>
          <w:sz w:val="32"/>
          <w:szCs w:val="32"/>
        </w:rPr>
        <w:t>配合区委巡察办、市级相关部门及局属相关股室开展监督检查</w:t>
      </w:r>
      <w:r>
        <w:rPr>
          <w:rFonts w:ascii="仿宋_GB2312" w:eastAsia="仿宋_GB2312" w:cs="仿宋_GB2312"/>
          <w:sz w:val="32"/>
          <w:szCs w:val="32"/>
        </w:rPr>
        <w:t>4</w:t>
      </w:r>
      <w:r>
        <w:rPr>
          <w:rFonts w:hint="eastAsia" w:ascii="仿宋_GB2312" w:eastAsia="仿宋_GB2312" w:cs="仿宋_GB2312"/>
          <w:sz w:val="32"/>
          <w:szCs w:val="32"/>
        </w:rPr>
        <w:t>项。</w:t>
      </w:r>
      <w:r>
        <w:rPr>
          <w:rFonts w:hint="eastAsia" w:ascii="仿宋_GB2312" w:hAnsi="宋体" w:eastAsia="仿宋_GB2312" w:cs="仿宋_GB2312"/>
          <w:sz w:val="32"/>
          <w:szCs w:val="32"/>
          <w:lang w:val="zh-CN"/>
        </w:rPr>
        <w:t>通过上述工作的开展，全面提升财政监督能力和成效，及时反映财政管理方面的问题，有力维护财经秩序，保障财政资金安全高效运行。</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前期准备：由局领导和财务人员组成评价工作组，制定评价工作方案。</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组织实施：收集</w:t>
      </w: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年各项检查工作资料，对相关的经费支出逐项核对开支标准，通过对支出产生的实际效果与预定目标的比较，形成最终自评报告。　</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二、项目资金申报及使用情况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w:t>
      </w: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月，根据年初预算行〔</w:t>
      </w: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w:t>
      </w:r>
      <w:r>
        <w:rPr>
          <w:rFonts w:ascii="仿宋_GB2312" w:hAnsi="宋体" w:eastAsia="仿宋_GB2312" w:cs="仿宋_GB2312"/>
          <w:sz w:val="32"/>
          <w:szCs w:val="32"/>
          <w:lang w:val="zh-CN"/>
        </w:rPr>
        <w:t>1-341</w:t>
      </w:r>
      <w:r>
        <w:rPr>
          <w:rFonts w:hint="eastAsia" w:ascii="仿宋_GB2312" w:hAnsi="宋体" w:eastAsia="仿宋_GB2312" w:cs="仿宋_GB2312"/>
          <w:sz w:val="32"/>
          <w:szCs w:val="32"/>
          <w:lang w:val="zh-CN"/>
        </w:rPr>
        <w:t>号下达财政监督检查业务费</w:t>
      </w:r>
      <w:r>
        <w:rPr>
          <w:rFonts w:ascii="仿宋_GB2312" w:hAnsi="宋体" w:eastAsia="仿宋_GB2312" w:cs="仿宋_GB2312"/>
          <w:sz w:val="32"/>
          <w:szCs w:val="32"/>
          <w:lang w:val="zh-CN"/>
        </w:rPr>
        <w:t>8</w:t>
      </w:r>
      <w:r>
        <w:rPr>
          <w:rFonts w:hint="eastAsia" w:ascii="仿宋_GB2312" w:hAnsi="宋体" w:eastAsia="仿宋_GB2312" w:cs="仿宋_GB2312"/>
          <w:sz w:val="32"/>
          <w:szCs w:val="32"/>
          <w:lang w:val="zh-CN"/>
        </w:rPr>
        <w:t>万元，年末指标收回</w:t>
      </w:r>
      <w:r>
        <w:rPr>
          <w:rFonts w:ascii="仿宋_GB2312" w:hAnsi="宋体" w:eastAsia="仿宋_GB2312" w:cs="仿宋_GB2312"/>
          <w:sz w:val="32"/>
          <w:szCs w:val="32"/>
          <w:lang w:val="zh-CN"/>
        </w:rPr>
        <w:t>0.09</w:t>
      </w:r>
      <w:r>
        <w:rPr>
          <w:rFonts w:hint="eastAsia" w:ascii="仿宋_GB2312" w:hAnsi="宋体" w:eastAsia="仿宋_GB2312" w:cs="仿宋_GB2312"/>
          <w:sz w:val="32"/>
          <w:szCs w:val="32"/>
          <w:lang w:val="zh-CN"/>
        </w:rPr>
        <w:t>万元；上年结转</w:t>
      </w:r>
      <w:r>
        <w:rPr>
          <w:rFonts w:ascii="仿宋_GB2312" w:hAnsi="宋体" w:eastAsia="仿宋_GB2312" w:cs="仿宋_GB2312"/>
          <w:sz w:val="32"/>
          <w:szCs w:val="32"/>
          <w:lang w:val="zh-CN"/>
        </w:rPr>
        <w:t>1.66</w:t>
      </w:r>
      <w:r>
        <w:rPr>
          <w:rFonts w:hint="eastAsia" w:ascii="仿宋_GB2312" w:hAnsi="宋体" w:eastAsia="仿宋_GB2312" w:cs="仿宋_GB2312"/>
          <w:sz w:val="32"/>
          <w:szCs w:val="32"/>
          <w:lang w:val="zh-CN"/>
        </w:rPr>
        <w:t>万元，合计</w:t>
      </w:r>
      <w:r>
        <w:rPr>
          <w:rFonts w:ascii="仿宋_GB2312" w:hAnsi="宋体" w:eastAsia="仿宋_GB2312" w:cs="仿宋_GB2312"/>
          <w:sz w:val="32"/>
          <w:szCs w:val="32"/>
          <w:lang w:val="zh-CN"/>
        </w:rPr>
        <w:t>9.57</w:t>
      </w:r>
      <w:r>
        <w:rPr>
          <w:rFonts w:hint="eastAsia" w:ascii="仿宋_GB2312" w:hAnsi="宋体" w:eastAsia="仿宋_GB2312" w:cs="仿宋_GB2312"/>
          <w:sz w:val="32"/>
          <w:szCs w:val="32"/>
          <w:lang w:val="zh-CN"/>
        </w:rPr>
        <w:t>万元。</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．资金计划。财政监督检查业务费</w:t>
      </w:r>
      <w:r>
        <w:rPr>
          <w:rFonts w:ascii="仿宋_GB2312" w:hAnsi="宋体" w:eastAsia="仿宋_GB2312" w:cs="仿宋_GB2312"/>
          <w:sz w:val="32"/>
          <w:szCs w:val="32"/>
          <w:lang w:val="zh-CN"/>
        </w:rPr>
        <w:t>9.57</w:t>
      </w:r>
      <w:r>
        <w:rPr>
          <w:rFonts w:hint="eastAsia" w:ascii="仿宋_GB2312" w:hAnsi="宋体" w:eastAsia="仿宋_GB2312" w:cs="仿宋_GB2312"/>
          <w:sz w:val="32"/>
          <w:szCs w:val="32"/>
          <w:lang w:val="zh-CN"/>
        </w:rPr>
        <w:t>万元全部为区级资金。</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．资金到位。</w:t>
      </w: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w:t>
      </w: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月财政监督检查业务费</w:t>
      </w:r>
      <w:r>
        <w:rPr>
          <w:rFonts w:ascii="仿宋_GB2312" w:hAnsi="宋体" w:eastAsia="仿宋_GB2312" w:cs="仿宋_GB2312"/>
          <w:sz w:val="32"/>
          <w:szCs w:val="32"/>
          <w:lang w:val="zh-CN"/>
        </w:rPr>
        <w:t>9.57</w:t>
      </w:r>
      <w:r>
        <w:rPr>
          <w:rFonts w:hint="eastAsia" w:ascii="仿宋_GB2312" w:hAnsi="宋体" w:eastAsia="仿宋_GB2312" w:cs="仿宋_GB2312"/>
          <w:sz w:val="32"/>
          <w:szCs w:val="32"/>
          <w:lang w:val="zh-CN"/>
        </w:rPr>
        <w:t>万元全部到位。</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3</w:t>
      </w:r>
      <w:r>
        <w:rPr>
          <w:rFonts w:hint="eastAsia" w:ascii="仿宋_GB2312" w:hAnsi="宋体" w:eastAsia="仿宋_GB2312" w:cs="仿宋_GB2312"/>
          <w:sz w:val="32"/>
          <w:szCs w:val="32"/>
          <w:lang w:val="zh-CN"/>
        </w:rPr>
        <w:t>．资金使用。本年度财政监督检查业务费支出</w:t>
      </w:r>
      <w:r>
        <w:rPr>
          <w:rFonts w:ascii="仿宋_GB2312" w:hAnsi="宋体" w:eastAsia="仿宋_GB2312" w:cs="仿宋_GB2312"/>
          <w:sz w:val="32"/>
          <w:szCs w:val="32"/>
          <w:lang w:val="zh-CN"/>
        </w:rPr>
        <w:t>9.35</w:t>
      </w:r>
      <w:r>
        <w:rPr>
          <w:rFonts w:hint="eastAsia" w:ascii="仿宋_GB2312" w:hAnsi="宋体" w:eastAsia="仿宋_GB2312" w:cs="仿宋_GB2312"/>
          <w:sz w:val="32"/>
          <w:szCs w:val="32"/>
          <w:lang w:val="zh-CN"/>
        </w:rPr>
        <w:t>万元，完成预算</w:t>
      </w:r>
      <w:r>
        <w:rPr>
          <w:rFonts w:ascii="仿宋_GB2312" w:hAnsi="宋体" w:eastAsia="仿宋_GB2312" w:cs="仿宋_GB2312"/>
          <w:sz w:val="32"/>
          <w:szCs w:val="32"/>
          <w:lang w:val="zh-CN"/>
        </w:rPr>
        <w:t>98%</w:t>
      </w:r>
      <w:r>
        <w:rPr>
          <w:rFonts w:hint="eastAsia" w:ascii="仿宋_GB2312" w:hAnsi="宋体" w:eastAsia="仿宋_GB2312" w:cs="仿宋_GB2312"/>
          <w:sz w:val="32"/>
          <w:szCs w:val="32"/>
          <w:lang w:val="zh-CN"/>
        </w:rPr>
        <w:t>。严格按照资金使用各项规定，全部用于检查工作所需的各项经费。</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严格执行财务管理制度，加强内部财务管理，账务处理及时，规范会计核算，保障财政资金安全。</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三、项目实施及管理情况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成立了财政监督检查业务领导小组，由领导小组统一组织检查经费的使用，明确了具体的负责人和工作职责。</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严格按照工作需要确定所需经费，由领导小组统筹安排，严格审核。</w:t>
      </w:r>
    </w:p>
    <w:p>
      <w:pPr>
        <w:adjustRightInd w:val="0"/>
        <w:snapToGrid w:val="0"/>
        <w:spacing w:line="600" w:lineRule="exact"/>
        <w:ind w:firstLine="720"/>
        <w:rPr>
          <w:rFonts w:ascii="??_GB2312" w:hAnsi="宋体" w:eastAsia="Times New Roman"/>
          <w:sz w:val="32"/>
          <w:szCs w:val="32"/>
          <w:lang w:val="zh-CN"/>
        </w:rPr>
      </w:pPr>
      <w:r>
        <w:rPr>
          <w:rFonts w:hint="eastAsia" w:ascii="黑体" w:hAnsi="宋体" w:eastAsia="黑体" w:cs="黑体"/>
          <w:sz w:val="32"/>
          <w:szCs w:val="32"/>
        </w:rPr>
        <w:t>四、项目绩效情况</w:t>
      </w:r>
      <w:r>
        <w:rPr>
          <w:rFonts w:ascii="??_GB2312" w:hAnsi="宋体" w:eastAsia="Times New Roman"/>
          <w:sz w:val="32"/>
          <w:szCs w:val="32"/>
          <w:lang w:val="zh-CN"/>
        </w:rPr>
        <w:tab/>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年区财监局牵头组织开展监督检查</w:t>
      </w:r>
      <w:r>
        <w:rPr>
          <w:rFonts w:ascii="仿宋_GB2312" w:hAnsi="宋体" w:eastAsia="仿宋_GB2312" w:cs="仿宋_GB2312"/>
          <w:sz w:val="32"/>
          <w:szCs w:val="32"/>
          <w:lang w:val="zh-CN"/>
        </w:rPr>
        <w:t>7</w:t>
      </w:r>
      <w:r>
        <w:rPr>
          <w:rFonts w:hint="eastAsia" w:ascii="仿宋_GB2312" w:hAnsi="宋体" w:eastAsia="仿宋_GB2312" w:cs="仿宋_GB2312"/>
          <w:sz w:val="32"/>
          <w:szCs w:val="32"/>
          <w:lang w:val="zh-CN"/>
        </w:rPr>
        <w:t>项，配合区委巡察办、市级相关部门及局属相关股室开展监督检查</w:t>
      </w:r>
      <w:r>
        <w:rPr>
          <w:rFonts w:ascii="仿宋_GB2312" w:hAnsi="宋体" w:eastAsia="仿宋_GB2312" w:cs="仿宋_GB2312"/>
          <w:sz w:val="32"/>
          <w:szCs w:val="32"/>
          <w:lang w:val="zh-CN"/>
        </w:rPr>
        <w:t>4</w:t>
      </w:r>
      <w:r>
        <w:rPr>
          <w:rFonts w:hint="eastAsia" w:ascii="仿宋_GB2312" w:hAnsi="宋体" w:eastAsia="仿宋_GB2312" w:cs="仿宋_GB2312"/>
          <w:sz w:val="32"/>
          <w:szCs w:val="32"/>
          <w:lang w:val="zh-CN"/>
        </w:rPr>
        <w:t>项。检查完成率</w:t>
      </w:r>
      <w:r>
        <w:rPr>
          <w:rFonts w:ascii="仿宋_GB2312" w:hAnsi="宋体" w:eastAsia="仿宋_GB2312" w:cs="仿宋_GB2312"/>
          <w:sz w:val="32"/>
          <w:szCs w:val="32"/>
          <w:lang w:val="zh-CN"/>
        </w:rPr>
        <w:t>100%</w:t>
      </w:r>
      <w:r>
        <w:rPr>
          <w:rFonts w:hint="eastAsia" w:ascii="仿宋_GB2312" w:hAnsi="宋体" w:eastAsia="仿宋_GB2312" w:cs="仿宋_GB2312"/>
          <w:sz w:val="32"/>
          <w:szCs w:val="32"/>
          <w:lang w:val="zh-CN"/>
        </w:rPr>
        <w:t>，检查使用时限</w:t>
      </w: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年，项目经费使用</w:t>
      </w:r>
      <w:r>
        <w:rPr>
          <w:rFonts w:ascii="仿宋_GB2312" w:hAnsi="宋体" w:eastAsia="仿宋_GB2312" w:cs="仿宋_GB2312"/>
          <w:sz w:val="32"/>
          <w:szCs w:val="32"/>
          <w:lang w:val="zh-CN"/>
        </w:rPr>
        <w:t>9.35</w:t>
      </w:r>
      <w:r>
        <w:rPr>
          <w:rFonts w:hint="eastAsia" w:ascii="仿宋_GB2312" w:hAnsi="宋体" w:eastAsia="仿宋_GB2312" w:cs="仿宋_GB2312"/>
          <w:sz w:val="32"/>
          <w:szCs w:val="32"/>
          <w:lang w:val="zh-CN"/>
        </w:rPr>
        <w:t>万元。</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效益指标完成情况较好。通过各项监督检查，更加规范单位财务管理，保障财政资金安全；营造廉洁勤政氛围。</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五、评价结论及建议</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项目按数量指标、质量指标、时效指标的要求基本完成，达到绩效目标任务且效果显著。</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（二）存在的问题。</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cs="楷体_GB2312"/>
          <w:sz w:val="32"/>
          <w:szCs w:val="32"/>
          <w:lang w:val="zh-CN"/>
        </w:rPr>
        <w:t>财务人员需进一步提升业务水平，绩效评价</w:t>
      </w:r>
      <w:r>
        <w:rPr>
          <w:rFonts w:hint="eastAsia" w:ascii="仿宋_GB2312" w:hAnsi="宋体" w:eastAsia="仿宋_GB2312" w:cs="仿宋_GB2312"/>
          <w:sz w:val="32"/>
          <w:szCs w:val="32"/>
          <w:lang w:val="zh-CN"/>
        </w:rPr>
        <w:t>工作业务还需加强。</w:t>
      </w:r>
    </w:p>
    <w:p>
      <w:pPr>
        <w:adjustRightInd w:val="0"/>
        <w:snapToGrid w:val="0"/>
        <w:spacing w:line="600" w:lineRule="exact"/>
        <w:ind w:firstLine="720"/>
        <w:rPr>
          <w:rFonts w:ascii="楷体_GB2312" w:hAnsi="宋体" w:eastAsia="楷体_GB2312"/>
          <w:sz w:val="32"/>
          <w:szCs w:val="32"/>
          <w:lang w:val="zh-CN"/>
        </w:rPr>
      </w:pPr>
      <w:r>
        <w:rPr>
          <w:rFonts w:ascii="??_GB2312" w:hAnsi="宋体" w:eastAsia="Times New Roman"/>
          <w:sz w:val="32"/>
          <w:szCs w:val="32"/>
          <w:lang w:val="zh-CN"/>
        </w:rPr>
        <w:tab/>
      </w:r>
      <w:r>
        <w:rPr>
          <w:rFonts w:hint="eastAsia" w:ascii="楷体_GB2312" w:hAnsi="宋体" w:eastAsia="楷体_GB2312" w:cs="楷体_GB2312"/>
          <w:sz w:val="32"/>
          <w:szCs w:val="32"/>
          <w:lang w:val="zh-CN"/>
        </w:rPr>
        <w:t>（三）相关建议。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绩效评价工作专业性强，工作量大，建议加强相关政策及业务培训，提高经办人员评价水平。</w:t>
      </w:r>
    </w:p>
    <w:p>
      <w:pPr>
        <w:spacing w:line="580" w:lineRule="exact"/>
        <w:ind w:firstLine="640"/>
        <w:rPr>
          <w:rFonts w:ascii="??_GB2312" w:hAnsi="??_GB2312" w:cs="??_GB2312"/>
          <w:sz w:val="32"/>
          <w:szCs w:val="32"/>
        </w:rPr>
      </w:pPr>
    </w:p>
    <w:p>
      <w:pPr>
        <w:spacing w:line="580" w:lineRule="exact"/>
        <w:ind w:firstLine="640"/>
        <w:rPr>
          <w:rFonts w:ascii="??_GB2312" w:hAnsi="??_GB2312" w:cs="??_GB2312"/>
          <w:sz w:val="32"/>
          <w:szCs w:val="32"/>
        </w:rPr>
      </w:pPr>
    </w:p>
    <w:p>
      <w:pPr>
        <w:widowControl/>
        <w:jc w:val="left"/>
        <w:rPr>
          <w:rStyle w:val="18"/>
          <w:rFonts w:ascii="黑体" w:hAnsi="黑体" w:eastAsia="黑体"/>
          <w:b w:val="0"/>
          <w:bCs w:val="0"/>
        </w:rPr>
      </w:pPr>
    </w:p>
    <w:p>
      <w:pPr>
        <w:widowControl/>
        <w:jc w:val="center"/>
        <w:rPr>
          <w:rStyle w:val="18"/>
          <w:rFonts w:ascii="黑体" w:hAnsi="黑体" w:eastAsia="黑体"/>
          <w:b w:val="0"/>
          <w:bCs w:val="0"/>
        </w:rPr>
      </w:pPr>
      <w:r>
        <w:rPr>
          <w:rStyle w:val="18"/>
          <w:rFonts w:ascii="黑体" w:hAnsi="黑体" w:eastAsia="黑体"/>
          <w:b w:val="0"/>
          <w:bCs w:val="0"/>
        </w:rPr>
        <w:br w:type="page"/>
      </w:r>
      <w:bookmarkStart w:id="59" w:name="_Toc15396618"/>
      <w:r>
        <w:rPr>
          <w:rFonts w:hint="eastAsia" w:ascii="黑体" w:hAnsi="黑体" w:eastAsia="黑体" w:cs="黑体"/>
          <w:color w:val="000000"/>
          <w:sz w:val="44"/>
          <w:szCs w:val="44"/>
        </w:rPr>
        <w:t>第</w:t>
      </w:r>
      <w:r>
        <w:rPr>
          <w:rStyle w:val="18"/>
          <w:rFonts w:hint="eastAsia" w:ascii="黑体" w:hAnsi="黑体" w:eastAsia="黑体" w:cs="黑体"/>
          <w:b w:val="0"/>
          <w:bCs w:val="0"/>
        </w:rPr>
        <w:t>五部分</w:t>
      </w:r>
      <w:r>
        <w:rPr>
          <w:rStyle w:val="18"/>
          <w:rFonts w:ascii="黑体" w:hAnsi="黑体" w:eastAsia="黑体" w:cs="黑体"/>
          <w:b w:val="0"/>
          <w:bCs w:val="0"/>
        </w:rPr>
        <w:t xml:space="preserve"> </w:t>
      </w:r>
      <w:r>
        <w:rPr>
          <w:rStyle w:val="18"/>
          <w:rFonts w:hint="eastAsia" w:ascii="黑体" w:hAnsi="黑体" w:eastAsia="黑体" w:cs="黑体"/>
          <w:b w:val="0"/>
          <w:bCs w:val="0"/>
        </w:rPr>
        <w:t>附表</w:t>
      </w:r>
      <w:bookmarkEnd w:id="57"/>
      <w:bookmarkEnd w:id="59"/>
    </w:p>
    <w:p>
      <w:pPr>
        <w:spacing w:line="600" w:lineRule="exact"/>
        <w:jc w:val="center"/>
        <w:outlineLvl w:val="0"/>
        <w:rPr>
          <w:rFonts w:ascii="仿宋" w:hAnsi="仿宋" w:eastAsia="仿宋"/>
          <w:b/>
          <w:bCs/>
          <w:color w:val="000000"/>
          <w:sz w:val="44"/>
          <w:szCs w:val="44"/>
        </w:rPr>
      </w:pPr>
    </w:p>
    <w:p>
      <w:pPr>
        <w:pStyle w:val="3"/>
        <w:rPr>
          <w:rFonts w:ascii="仿宋_GB2312" w:hAnsi="仿宋" w:eastAsia="仿宋_GB2312" w:cs="Times New Roman"/>
          <w:color w:val="000000"/>
        </w:rPr>
      </w:pPr>
      <w:bookmarkStart w:id="60" w:name="_Toc15396619"/>
      <w:r>
        <w:rPr>
          <w:rFonts w:hint="eastAsia" w:ascii="仿宋_GB2312" w:hAnsi="仿宋" w:eastAsia="仿宋_GB2312" w:cs="仿宋_GB2312"/>
          <w:b w:val="0"/>
          <w:bCs w:val="0"/>
          <w:color w:val="000000"/>
        </w:rPr>
        <w:t>一、收</w:t>
      </w:r>
      <w:r>
        <w:rPr>
          <w:rStyle w:val="19"/>
          <w:rFonts w:hint="eastAsia" w:ascii="仿宋_GB2312" w:hAnsi="仿宋" w:eastAsia="仿宋_GB2312" w:cs="仿宋_GB2312"/>
          <w:b w:val="0"/>
          <w:bCs w:val="0"/>
        </w:rPr>
        <w:t>入支出决算总表</w:t>
      </w:r>
      <w:bookmarkEnd w:id="60"/>
    </w:p>
    <w:p>
      <w:pPr>
        <w:pStyle w:val="3"/>
        <w:rPr>
          <w:rFonts w:ascii="仿宋_GB2312" w:hAnsi="仿宋" w:eastAsia="仿宋_GB2312" w:cs="Times New Roman"/>
          <w:color w:val="000000"/>
        </w:rPr>
      </w:pPr>
      <w:bookmarkStart w:id="61" w:name="_Toc15396620"/>
      <w:r>
        <w:rPr>
          <w:rFonts w:hint="eastAsia" w:ascii="仿宋_GB2312" w:hAnsi="仿宋" w:eastAsia="仿宋_GB2312" w:cs="仿宋_GB2312"/>
          <w:b w:val="0"/>
          <w:bCs w:val="0"/>
          <w:color w:val="000000"/>
        </w:rPr>
        <w:t>二、收</w:t>
      </w:r>
      <w:r>
        <w:rPr>
          <w:rStyle w:val="19"/>
          <w:rFonts w:hint="eastAsia" w:ascii="仿宋_GB2312" w:hAnsi="仿宋" w:eastAsia="仿宋_GB2312" w:cs="仿宋_GB2312"/>
          <w:b w:val="0"/>
          <w:bCs w:val="0"/>
        </w:rPr>
        <w:t>入决算表</w:t>
      </w:r>
      <w:bookmarkEnd w:id="61"/>
    </w:p>
    <w:p>
      <w:pPr>
        <w:pStyle w:val="3"/>
        <w:rPr>
          <w:rFonts w:ascii="仿宋_GB2312" w:hAnsi="仿宋" w:eastAsia="仿宋_GB2312" w:cs="Times New Roman"/>
          <w:color w:val="000000"/>
        </w:rPr>
      </w:pPr>
      <w:bookmarkStart w:id="62" w:name="_Toc15396621"/>
      <w:r>
        <w:rPr>
          <w:rStyle w:val="19"/>
          <w:rFonts w:hint="eastAsia" w:ascii="仿宋_GB2312" w:hAnsi="仿宋" w:eastAsia="仿宋_GB2312" w:cs="仿宋_GB2312"/>
          <w:b w:val="0"/>
          <w:bCs w:val="0"/>
        </w:rPr>
        <w:t>三、</w:t>
      </w:r>
      <w:r>
        <w:rPr>
          <w:rFonts w:hint="eastAsia" w:ascii="仿宋_GB2312" w:hAnsi="仿宋" w:eastAsia="仿宋_GB2312" w:cs="仿宋_GB2312"/>
          <w:b w:val="0"/>
          <w:bCs w:val="0"/>
          <w:color w:val="000000"/>
        </w:rPr>
        <w:t>支</w:t>
      </w:r>
      <w:r>
        <w:rPr>
          <w:rStyle w:val="19"/>
          <w:rFonts w:hint="eastAsia" w:ascii="仿宋_GB2312" w:hAnsi="仿宋" w:eastAsia="仿宋_GB2312" w:cs="仿宋_GB2312"/>
          <w:b w:val="0"/>
          <w:bCs w:val="0"/>
        </w:rPr>
        <w:t>出决算表</w:t>
      </w:r>
      <w:bookmarkEnd w:id="62"/>
    </w:p>
    <w:p>
      <w:pPr>
        <w:pStyle w:val="3"/>
        <w:rPr>
          <w:rFonts w:ascii="仿宋_GB2312" w:hAnsi="仿宋" w:eastAsia="仿宋_GB2312" w:cs="Times New Roman"/>
          <w:b w:val="0"/>
          <w:bCs w:val="0"/>
          <w:color w:val="000000"/>
        </w:rPr>
      </w:pPr>
      <w:bookmarkStart w:id="63" w:name="_Toc15396622"/>
      <w:r>
        <w:rPr>
          <w:rStyle w:val="19"/>
          <w:rFonts w:hint="eastAsia" w:ascii="仿宋_GB2312" w:hAnsi="仿宋" w:eastAsia="仿宋_GB2312" w:cs="仿宋_GB2312"/>
          <w:b w:val="0"/>
          <w:bCs w:val="0"/>
        </w:rPr>
        <w:t>四、</w:t>
      </w:r>
      <w:r>
        <w:rPr>
          <w:rFonts w:hint="eastAsia" w:ascii="仿宋_GB2312" w:hAnsi="仿宋" w:eastAsia="仿宋_GB2312" w:cs="仿宋_GB2312"/>
          <w:b w:val="0"/>
          <w:bCs w:val="0"/>
          <w:color w:val="000000"/>
        </w:rPr>
        <w:t>财</w:t>
      </w:r>
      <w:r>
        <w:rPr>
          <w:rStyle w:val="19"/>
          <w:rFonts w:hint="eastAsia" w:ascii="仿宋_GB2312" w:hAnsi="仿宋" w:eastAsia="仿宋_GB2312" w:cs="仿宋_GB2312"/>
          <w:b w:val="0"/>
          <w:bCs w:val="0"/>
        </w:rPr>
        <w:t>政拨款收入支出决算总表</w:t>
      </w:r>
      <w:bookmarkEnd w:id="63"/>
    </w:p>
    <w:p>
      <w:pPr>
        <w:pStyle w:val="3"/>
        <w:rPr>
          <w:rStyle w:val="19"/>
          <w:rFonts w:ascii="仿宋_GB2312" w:hAnsi="仿宋" w:eastAsia="仿宋_GB2312" w:cs="Times New Roman"/>
          <w:b w:val="0"/>
          <w:bCs w:val="0"/>
        </w:rPr>
      </w:pPr>
      <w:bookmarkStart w:id="64" w:name="_Toc15396623"/>
      <w:r>
        <w:rPr>
          <w:rStyle w:val="19"/>
          <w:rFonts w:hint="eastAsia" w:ascii="仿宋_GB2312" w:hAnsi="仿宋" w:eastAsia="仿宋_GB2312" w:cs="仿宋_GB2312"/>
          <w:b w:val="0"/>
          <w:bCs w:val="0"/>
        </w:rPr>
        <w:t>五、</w:t>
      </w:r>
      <w:r>
        <w:rPr>
          <w:rFonts w:hint="eastAsia" w:ascii="仿宋_GB2312" w:hAnsi="仿宋" w:eastAsia="仿宋_GB2312" w:cs="仿宋_GB2312"/>
          <w:b w:val="0"/>
          <w:bCs w:val="0"/>
          <w:color w:val="000000"/>
        </w:rPr>
        <w:t>财</w:t>
      </w:r>
      <w:r>
        <w:rPr>
          <w:rStyle w:val="19"/>
          <w:rFonts w:hint="eastAsia" w:ascii="仿宋_GB2312" w:hAnsi="仿宋" w:eastAsia="仿宋_GB2312" w:cs="仿宋_GB2312"/>
          <w:b w:val="0"/>
          <w:bCs w:val="0"/>
        </w:rPr>
        <w:t>政拨款支出决算明细表</w:t>
      </w:r>
      <w:bookmarkEnd w:id="64"/>
      <w:bookmarkStart w:id="65" w:name="_Toc15396624"/>
    </w:p>
    <w:p>
      <w:pPr>
        <w:pStyle w:val="3"/>
        <w:rPr>
          <w:rFonts w:ascii="仿宋_GB2312" w:hAnsi="仿宋" w:eastAsia="仿宋_GB2312" w:cs="Times New Roman"/>
          <w:color w:val="000000"/>
        </w:rPr>
      </w:pPr>
      <w:r>
        <w:rPr>
          <w:rStyle w:val="19"/>
          <w:rFonts w:hint="eastAsia" w:ascii="仿宋_GB2312" w:hAnsi="仿宋" w:eastAsia="仿宋_GB2312" w:cs="仿宋_GB2312"/>
          <w:b w:val="0"/>
          <w:bCs w:val="0"/>
        </w:rPr>
        <w:t>六、</w:t>
      </w:r>
      <w:r>
        <w:rPr>
          <w:rFonts w:hint="eastAsia" w:ascii="仿宋_GB2312" w:hAnsi="仿宋" w:eastAsia="仿宋_GB2312" w:cs="仿宋_GB2312"/>
          <w:b w:val="0"/>
          <w:bCs w:val="0"/>
          <w:color w:val="000000"/>
        </w:rPr>
        <w:t>一</w:t>
      </w:r>
      <w:r>
        <w:rPr>
          <w:rStyle w:val="19"/>
          <w:rFonts w:hint="eastAsia" w:ascii="仿宋_GB2312" w:hAnsi="仿宋" w:eastAsia="仿宋_GB2312" w:cs="仿宋_GB2312"/>
          <w:b w:val="0"/>
          <w:bCs w:val="0"/>
        </w:rPr>
        <w:t>般公共预算财政拨款支出决算表</w:t>
      </w:r>
      <w:bookmarkEnd w:id="65"/>
    </w:p>
    <w:p>
      <w:pPr>
        <w:pStyle w:val="3"/>
        <w:rPr>
          <w:rFonts w:ascii="仿宋_GB2312" w:hAnsi="仿宋" w:eastAsia="仿宋_GB2312" w:cs="Times New Roman"/>
          <w:color w:val="000000"/>
        </w:rPr>
      </w:pPr>
      <w:bookmarkStart w:id="66" w:name="_Toc15396625"/>
      <w:r>
        <w:rPr>
          <w:rStyle w:val="19"/>
          <w:rFonts w:hint="eastAsia" w:ascii="仿宋_GB2312" w:hAnsi="仿宋" w:eastAsia="仿宋_GB2312" w:cs="仿宋_GB2312"/>
          <w:b w:val="0"/>
          <w:bCs w:val="0"/>
        </w:rPr>
        <w:t>七、</w:t>
      </w:r>
      <w:r>
        <w:rPr>
          <w:rFonts w:hint="eastAsia" w:ascii="仿宋_GB2312" w:hAnsi="仿宋" w:eastAsia="仿宋_GB2312" w:cs="仿宋_GB2312"/>
          <w:b w:val="0"/>
          <w:bCs w:val="0"/>
          <w:color w:val="000000"/>
        </w:rPr>
        <w:t>一</w:t>
      </w:r>
      <w:r>
        <w:rPr>
          <w:rStyle w:val="19"/>
          <w:rFonts w:hint="eastAsia" w:ascii="仿宋_GB2312" w:hAnsi="仿宋" w:eastAsia="仿宋_GB2312" w:cs="仿宋_GB2312"/>
          <w:b w:val="0"/>
          <w:bCs w:val="0"/>
        </w:rPr>
        <w:t>般公共预算财政拨款支出决算明细表</w:t>
      </w:r>
      <w:bookmarkEnd w:id="66"/>
    </w:p>
    <w:p>
      <w:pPr>
        <w:pStyle w:val="3"/>
        <w:rPr>
          <w:rFonts w:ascii="仿宋_GB2312" w:hAnsi="仿宋" w:eastAsia="仿宋_GB2312" w:cs="Times New Roman"/>
          <w:color w:val="000000"/>
        </w:rPr>
      </w:pPr>
      <w:bookmarkStart w:id="67" w:name="_Toc15396626"/>
      <w:r>
        <w:rPr>
          <w:rStyle w:val="19"/>
          <w:rFonts w:hint="eastAsia" w:ascii="仿宋_GB2312" w:hAnsi="仿宋" w:eastAsia="仿宋_GB2312" w:cs="仿宋_GB2312"/>
          <w:b w:val="0"/>
          <w:bCs w:val="0"/>
        </w:rPr>
        <w:t>八、</w:t>
      </w:r>
      <w:r>
        <w:rPr>
          <w:rFonts w:hint="eastAsia" w:ascii="仿宋_GB2312" w:hAnsi="仿宋" w:eastAsia="仿宋_GB2312" w:cs="仿宋_GB2312"/>
          <w:b w:val="0"/>
          <w:bCs w:val="0"/>
          <w:color w:val="000000"/>
        </w:rPr>
        <w:t>一</w:t>
      </w:r>
      <w:r>
        <w:rPr>
          <w:rStyle w:val="19"/>
          <w:rFonts w:hint="eastAsia" w:ascii="仿宋_GB2312" w:hAnsi="仿宋" w:eastAsia="仿宋_GB2312" w:cs="仿宋_GB2312"/>
          <w:b w:val="0"/>
          <w:bCs w:val="0"/>
        </w:rPr>
        <w:t>般公共预算财政拨款基本支出决算表</w:t>
      </w:r>
      <w:bookmarkEnd w:id="67"/>
    </w:p>
    <w:p>
      <w:pPr>
        <w:pStyle w:val="3"/>
        <w:rPr>
          <w:rFonts w:ascii="仿宋_GB2312" w:hAnsi="仿宋" w:eastAsia="仿宋_GB2312" w:cs="Times New Roman"/>
          <w:color w:val="000000"/>
        </w:rPr>
      </w:pPr>
      <w:bookmarkStart w:id="68" w:name="_Toc15396627"/>
      <w:r>
        <w:rPr>
          <w:rStyle w:val="19"/>
          <w:rFonts w:hint="eastAsia" w:ascii="仿宋_GB2312" w:hAnsi="仿宋" w:eastAsia="仿宋_GB2312" w:cs="仿宋_GB2312"/>
          <w:b w:val="0"/>
          <w:bCs w:val="0"/>
        </w:rPr>
        <w:t>九、</w:t>
      </w:r>
      <w:r>
        <w:rPr>
          <w:rFonts w:hint="eastAsia" w:ascii="仿宋_GB2312" w:hAnsi="仿宋" w:eastAsia="仿宋_GB2312" w:cs="仿宋_GB2312"/>
          <w:b w:val="0"/>
          <w:bCs w:val="0"/>
          <w:color w:val="000000"/>
        </w:rPr>
        <w:t>一</w:t>
      </w:r>
      <w:r>
        <w:rPr>
          <w:rStyle w:val="19"/>
          <w:rFonts w:hint="eastAsia" w:ascii="仿宋_GB2312" w:hAnsi="仿宋" w:eastAsia="仿宋_GB2312" w:cs="仿宋_GB2312"/>
          <w:b w:val="0"/>
          <w:bCs w:val="0"/>
        </w:rPr>
        <w:t>般公共预算财政拨款项目支出决算表</w:t>
      </w:r>
      <w:bookmarkEnd w:id="68"/>
    </w:p>
    <w:p>
      <w:pPr>
        <w:pStyle w:val="3"/>
        <w:rPr>
          <w:rFonts w:ascii="仿宋_GB2312" w:hAnsi="仿宋" w:eastAsia="仿宋_GB2312" w:cs="Times New Roman"/>
          <w:color w:val="000000"/>
        </w:rPr>
      </w:pPr>
      <w:bookmarkStart w:id="69" w:name="_Toc15396628"/>
      <w:r>
        <w:rPr>
          <w:rStyle w:val="19"/>
          <w:rFonts w:hint="eastAsia" w:ascii="仿宋_GB2312" w:hAnsi="仿宋" w:eastAsia="仿宋_GB2312" w:cs="仿宋_GB2312"/>
          <w:b w:val="0"/>
          <w:bCs w:val="0"/>
        </w:rPr>
        <w:t>十、</w:t>
      </w:r>
      <w:r>
        <w:rPr>
          <w:rFonts w:hint="eastAsia" w:ascii="仿宋_GB2312" w:hAnsi="仿宋" w:eastAsia="仿宋_GB2312" w:cs="仿宋_GB2312"/>
          <w:b w:val="0"/>
          <w:bCs w:val="0"/>
          <w:color w:val="000000"/>
        </w:rPr>
        <w:t>一</w:t>
      </w:r>
      <w:r>
        <w:rPr>
          <w:rStyle w:val="19"/>
          <w:rFonts w:hint="eastAsia" w:ascii="仿宋_GB2312" w:hAnsi="仿宋" w:eastAsia="仿宋_GB2312" w:cs="仿宋_GB2312"/>
          <w:b w:val="0"/>
          <w:bCs w:val="0"/>
        </w:rPr>
        <w:t>般公共预算财政拨款“三公”经费支出决算表</w:t>
      </w:r>
      <w:bookmarkEnd w:id="69"/>
    </w:p>
    <w:p>
      <w:pPr>
        <w:pStyle w:val="3"/>
        <w:rPr>
          <w:rFonts w:ascii="仿宋_GB2312" w:hAnsi="仿宋" w:eastAsia="仿宋_GB2312" w:cs="Times New Roman"/>
          <w:color w:val="000000"/>
        </w:rPr>
      </w:pPr>
      <w:bookmarkStart w:id="70" w:name="_Toc15396629"/>
      <w:r>
        <w:rPr>
          <w:rStyle w:val="19"/>
          <w:rFonts w:hint="eastAsia" w:ascii="仿宋_GB2312" w:hAnsi="仿宋" w:eastAsia="仿宋_GB2312" w:cs="仿宋_GB2312"/>
          <w:b w:val="0"/>
          <w:bCs w:val="0"/>
        </w:rPr>
        <w:t>十一、</w:t>
      </w:r>
      <w:r>
        <w:rPr>
          <w:rFonts w:hint="eastAsia" w:ascii="仿宋_GB2312" w:hAnsi="仿宋" w:eastAsia="仿宋_GB2312" w:cs="仿宋_GB2312"/>
          <w:b w:val="0"/>
          <w:bCs w:val="0"/>
          <w:color w:val="000000"/>
        </w:rPr>
        <w:t>政</w:t>
      </w:r>
      <w:r>
        <w:rPr>
          <w:rStyle w:val="19"/>
          <w:rFonts w:hint="eastAsia" w:ascii="仿宋_GB2312" w:hAnsi="仿宋" w:eastAsia="仿宋_GB2312" w:cs="仿宋_GB2312"/>
          <w:b w:val="0"/>
          <w:bCs w:val="0"/>
        </w:rPr>
        <w:t>府性基金预算财政拨款收入支出决算表</w:t>
      </w:r>
      <w:bookmarkEnd w:id="70"/>
    </w:p>
    <w:p>
      <w:pPr>
        <w:pStyle w:val="3"/>
        <w:rPr>
          <w:rFonts w:ascii="仿宋_GB2312" w:hAnsi="仿宋" w:eastAsia="仿宋_GB2312" w:cs="Times New Roman"/>
          <w:color w:val="000000"/>
        </w:rPr>
      </w:pPr>
      <w:bookmarkStart w:id="71" w:name="_Toc15396630"/>
      <w:r>
        <w:rPr>
          <w:rStyle w:val="19"/>
          <w:rFonts w:hint="eastAsia" w:ascii="仿宋_GB2312" w:hAnsi="仿宋" w:eastAsia="仿宋_GB2312" w:cs="仿宋_GB2312"/>
          <w:b w:val="0"/>
          <w:bCs w:val="0"/>
        </w:rPr>
        <w:t>十二、</w:t>
      </w:r>
      <w:r>
        <w:rPr>
          <w:rFonts w:hint="eastAsia" w:ascii="仿宋_GB2312" w:hAnsi="仿宋" w:eastAsia="仿宋_GB2312" w:cs="仿宋_GB2312"/>
          <w:b w:val="0"/>
          <w:bCs w:val="0"/>
          <w:color w:val="000000"/>
        </w:rPr>
        <w:t>政</w:t>
      </w:r>
      <w:r>
        <w:rPr>
          <w:rStyle w:val="19"/>
          <w:rFonts w:hint="eastAsia" w:ascii="仿宋_GB2312" w:hAnsi="仿宋" w:eastAsia="仿宋_GB2312" w:cs="仿宋_GB2312"/>
          <w:b w:val="0"/>
          <w:bCs w:val="0"/>
        </w:rPr>
        <w:t>府性基金预算财政拨款“三公”经费支出决算表</w:t>
      </w:r>
      <w:bookmarkEnd w:id="71"/>
    </w:p>
    <w:p>
      <w:pPr>
        <w:pStyle w:val="3"/>
        <w:rPr>
          <w:rFonts w:ascii="仿宋_GB2312" w:hAnsi="仿宋" w:eastAsia="仿宋_GB2312" w:cs="Times New Roman"/>
          <w:color w:val="000000"/>
        </w:rPr>
      </w:pPr>
      <w:bookmarkStart w:id="72" w:name="_Toc15396631"/>
      <w:r>
        <w:rPr>
          <w:rStyle w:val="19"/>
          <w:rFonts w:hint="eastAsia" w:ascii="仿宋_GB2312" w:hAnsi="仿宋" w:eastAsia="仿宋_GB2312" w:cs="仿宋_GB2312"/>
          <w:b w:val="0"/>
          <w:bCs w:val="0"/>
        </w:rPr>
        <w:t>十三、</w:t>
      </w:r>
      <w:r>
        <w:rPr>
          <w:rFonts w:hint="eastAsia" w:ascii="仿宋_GB2312" w:hAnsi="仿宋" w:eastAsia="仿宋_GB2312" w:cs="仿宋_GB2312"/>
          <w:b w:val="0"/>
          <w:bCs w:val="0"/>
          <w:color w:val="000000"/>
        </w:rPr>
        <w:t>国</w:t>
      </w:r>
      <w:r>
        <w:rPr>
          <w:rStyle w:val="19"/>
          <w:rFonts w:hint="eastAsia" w:ascii="仿宋_GB2312" w:hAnsi="仿宋" w:eastAsia="仿宋_GB2312" w:cs="仿宋_GB2312"/>
          <w:b w:val="0"/>
          <w:bCs w:val="0"/>
        </w:rPr>
        <w:t>有资本经营预算支出决算表</w:t>
      </w:r>
      <w:bookmarkEnd w:id="72"/>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PAGE   \* MERGEFORMAT</w:instrText>
    </w:r>
    <w:r>
      <w:fldChar w:fldCharType="separate"/>
    </w:r>
    <w:r>
      <w:rPr>
        <w:lang w:val="zh-CN"/>
      </w:rPr>
      <w:t>29</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7AB2A21"/>
    <w:multiLevelType w:val="multilevel"/>
    <w:tmpl w:val="17AB2A2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BA77D1B"/>
    <w:multiLevelType w:val="multilevel"/>
    <w:tmpl w:val="1BA77D1B"/>
    <w:lvl w:ilvl="0" w:tentative="0">
      <w:start w:val="1"/>
      <w:numFmt w:val="japaneseCounting"/>
      <w:lvlText w:val="（%1）"/>
      <w:lvlJc w:val="left"/>
      <w:pPr>
        <w:ind w:left="1720" w:hanging="1080"/>
      </w:pPr>
      <w:rPr>
        <w:rFonts w:hint="default" w:hAnsi="宋体"/>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AEF7568"/>
    <w:multiLevelType w:val="multilevel"/>
    <w:tmpl w:val="4AEF7568"/>
    <w:lvl w:ilvl="0" w:tentative="0">
      <w:start w:val="3"/>
      <w:numFmt w:val="japaneseCounting"/>
      <w:lvlText w:val="%1、"/>
      <w:lvlJc w:val="left"/>
      <w:pPr>
        <w:ind w:left="1424" w:hanging="720"/>
      </w:pPr>
      <w:rPr>
        <w:rFonts w:hint="default"/>
        <w:color w:val="000000"/>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val="1"/>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C34"/>
    <w:rsid w:val="000222C6"/>
    <w:rsid w:val="0002549F"/>
    <w:rsid w:val="0003620E"/>
    <w:rsid w:val="00041553"/>
    <w:rsid w:val="000468DB"/>
    <w:rsid w:val="0006487A"/>
    <w:rsid w:val="00065F8F"/>
    <w:rsid w:val="00070A43"/>
    <w:rsid w:val="00072267"/>
    <w:rsid w:val="000768F2"/>
    <w:rsid w:val="0009184B"/>
    <w:rsid w:val="00094236"/>
    <w:rsid w:val="0009593C"/>
    <w:rsid w:val="000968DE"/>
    <w:rsid w:val="00097322"/>
    <w:rsid w:val="000A6A92"/>
    <w:rsid w:val="000B047F"/>
    <w:rsid w:val="000B5923"/>
    <w:rsid w:val="000B5A48"/>
    <w:rsid w:val="000B6FF3"/>
    <w:rsid w:val="000C3467"/>
    <w:rsid w:val="000C3CA6"/>
    <w:rsid w:val="000D1267"/>
    <w:rsid w:val="000D1D50"/>
    <w:rsid w:val="000D5782"/>
    <w:rsid w:val="000D7102"/>
    <w:rsid w:val="000E6613"/>
    <w:rsid w:val="000E7119"/>
    <w:rsid w:val="000F7777"/>
    <w:rsid w:val="00114E9B"/>
    <w:rsid w:val="00122BE1"/>
    <w:rsid w:val="001378AE"/>
    <w:rsid w:val="00142216"/>
    <w:rsid w:val="00144D6A"/>
    <w:rsid w:val="0014729F"/>
    <w:rsid w:val="00157BAB"/>
    <w:rsid w:val="001654D1"/>
    <w:rsid w:val="00172A27"/>
    <w:rsid w:val="00174518"/>
    <w:rsid w:val="0018106D"/>
    <w:rsid w:val="001877A7"/>
    <w:rsid w:val="00191536"/>
    <w:rsid w:val="00196687"/>
    <w:rsid w:val="001A273B"/>
    <w:rsid w:val="001A5EC2"/>
    <w:rsid w:val="001C0515"/>
    <w:rsid w:val="001C081E"/>
    <w:rsid w:val="001C0962"/>
    <w:rsid w:val="001C4279"/>
    <w:rsid w:val="001C7654"/>
    <w:rsid w:val="001D24AE"/>
    <w:rsid w:val="001D55D7"/>
    <w:rsid w:val="001D7531"/>
    <w:rsid w:val="001D75FD"/>
    <w:rsid w:val="001E737D"/>
    <w:rsid w:val="001F0592"/>
    <w:rsid w:val="001F7506"/>
    <w:rsid w:val="002006CD"/>
    <w:rsid w:val="00202B36"/>
    <w:rsid w:val="00204B7A"/>
    <w:rsid w:val="00204CDE"/>
    <w:rsid w:val="00205F8F"/>
    <w:rsid w:val="0021101A"/>
    <w:rsid w:val="00220536"/>
    <w:rsid w:val="002271B2"/>
    <w:rsid w:val="00235629"/>
    <w:rsid w:val="00244B9C"/>
    <w:rsid w:val="00244ED7"/>
    <w:rsid w:val="002455FA"/>
    <w:rsid w:val="00257D24"/>
    <w:rsid w:val="00260C38"/>
    <w:rsid w:val="002616C0"/>
    <w:rsid w:val="00265372"/>
    <w:rsid w:val="002662AA"/>
    <w:rsid w:val="00280496"/>
    <w:rsid w:val="002917C2"/>
    <w:rsid w:val="00294DC9"/>
    <w:rsid w:val="00295495"/>
    <w:rsid w:val="002A31DE"/>
    <w:rsid w:val="002B2613"/>
    <w:rsid w:val="002D19B0"/>
    <w:rsid w:val="002D63D2"/>
    <w:rsid w:val="002D6D05"/>
    <w:rsid w:val="002F1818"/>
    <w:rsid w:val="002F360C"/>
    <w:rsid w:val="002F567B"/>
    <w:rsid w:val="00313634"/>
    <w:rsid w:val="00316162"/>
    <w:rsid w:val="003216A9"/>
    <w:rsid w:val="00335A74"/>
    <w:rsid w:val="00347ADC"/>
    <w:rsid w:val="0036381E"/>
    <w:rsid w:val="0036561B"/>
    <w:rsid w:val="0037013F"/>
    <w:rsid w:val="00376851"/>
    <w:rsid w:val="00380573"/>
    <w:rsid w:val="00380C92"/>
    <w:rsid w:val="0038186D"/>
    <w:rsid w:val="0038438A"/>
    <w:rsid w:val="00391E4B"/>
    <w:rsid w:val="003928EC"/>
    <w:rsid w:val="003A412F"/>
    <w:rsid w:val="003A484F"/>
    <w:rsid w:val="003A4883"/>
    <w:rsid w:val="003A7141"/>
    <w:rsid w:val="003B0BE0"/>
    <w:rsid w:val="003B0C1B"/>
    <w:rsid w:val="003B688C"/>
    <w:rsid w:val="003C0291"/>
    <w:rsid w:val="003C2889"/>
    <w:rsid w:val="003C39AE"/>
    <w:rsid w:val="003C7B60"/>
    <w:rsid w:val="003D0C0F"/>
    <w:rsid w:val="003D1FB2"/>
    <w:rsid w:val="003D66DA"/>
    <w:rsid w:val="003E1310"/>
    <w:rsid w:val="003E6F55"/>
    <w:rsid w:val="003F5BC9"/>
    <w:rsid w:val="00406254"/>
    <w:rsid w:val="00416CD4"/>
    <w:rsid w:val="00416D09"/>
    <w:rsid w:val="004223DE"/>
    <w:rsid w:val="00426643"/>
    <w:rsid w:val="00434489"/>
    <w:rsid w:val="00437085"/>
    <w:rsid w:val="00443880"/>
    <w:rsid w:val="00444D40"/>
    <w:rsid w:val="004464F4"/>
    <w:rsid w:val="00460EFB"/>
    <w:rsid w:val="00471401"/>
    <w:rsid w:val="004724B7"/>
    <w:rsid w:val="0047304C"/>
    <w:rsid w:val="00473F31"/>
    <w:rsid w:val="00475798"/>
    <w:rsid w:val="0048263A"/>
    <w:rsid w:val="00487E5D"/>
    <w:rsid w:val="00497BB1"/>
    <w:rsid w:val="00497D63"/>
    <w:rsid w:val="004A711F"/>
    <w:rsid w:val="004B199D"/>
    <w:rsid w:val="004B4690"/>
    <w:rsid w:val="004D2E46"/>
    <w:rsid w:val="004E0A2D"/>
    <w:rsid w:val="004E206B"/>
    <w:rsid w:val="004E6DF7"/>
    <w:rsid w:val="004F0FBD"/>
    <w:rsid w:val="004F403E"/>
    <w:rsid w:val="00505A47"/>
    <w:rsid w:val="00512FDA"/>
    <w:rsid w:val="00517338"/>
    <w:rsid w:val="00520DA0"/>
    <w:rsid w:val="00522187"/>
    <w:rsid w:val="005256FC"/>
    <w:rsid w:val="00556335"/>
    <w:rsid w:val="00557D68"/>
    <w:rsid w:val="00557FE5"/>
    <w:rsid w:val="00562E57"/>
    <w:rsid w:val="005664BB"/>
    <w:rsid w:val="00566FFA"/>
    <w:rsid w:val="0057481D"/>
    <w:rsid w:val="00575F0B"/>
    <w:rsid w:val="0058486E"/>
    <w:rsid w:val="00585B33"/>
    <w:rsid w:val="0059014D"/>
    <w:rsid w:val="005B5C64"/>
    <w:rsid w:val="005B5E86"/>
    <w:rsid w:val="005C6BD0"/>
    <w:rsid w:val="005C6C4C"/>
    <w:rsid w:val="005D1C8B"/>
    <w:rsid w:val="005D468D"/>
    <w:rsid w:val="005D5CED"/>
    <w:rsid w:val="005F1A4C"/>
    <w:rsid w:val="00605688"/>
    <w:rsid w:val="006070AF"/>
    <w:rsid w:val="00607E6C"/>
    <w:rsid w:val="006101B1"/>
    <w:rsid w:val="00611B4A"/>
    <w:rsid w:val="00614E44"/>
    <w:rsid w:val="0062270A"/>
    <w:rsid w:val="00622830"/>
    <w:rsid w:val="00623DA0"/>
    <w:rsid w:val="00624CAD"/>
    <w:rsid w:val="006259A6"/>
    <w:rsid w:val="0062776B"/>
    <w:rsid w:val="00630AEF"/>
    <w:rsid w:val="006325F8"/>
    <w:rsid w:val="00633463"/>
    <w:rsid w:val="00634C9A"/>
    <w:rsid w:val="006440E4"/>
    <w:rsid w:val="006524E4"/>
    <w:rsid w:val="00660000"/>
    <w:rsid w:val="0066343B"/>
    <w:rsid w:val="00664777"/>
    <w:rsid w:val="006748A4"/>
    <w:rsid w:val="00681A31"/>
    <w:rsid w:val="00683E73"/>
    <w:rsid w:val="006A3141"/>
    <w:rsid w:val="006A5E34"/>
    <w:rsid w:val="006B2422"/>
    <w:rsid w:val="006B2B9A"/>
    <w:rsid w:val="006C1937"/>
    <w:rsid w:val="006D387B"/>
    <w:rsid w:val="006E0437"/>
    <w:rsid w:val="006F020C"/>
    <w:rsid w:val="006F19AD"/>
    <w:rsid w:val="007127B7"/>
    <w:rsid w:val="0071798E"/>
    <w:rsid w:val="00727533"/>
    <w:rsid w:val="007416B6"/>
    <w:rsid w:val="0074477F"/>
    <w:rsid w:val="00746F48"/>
    <w:rsid w:val="0075404D"/>
    <w:rsid w:val="0076182A"/>
    <w:rsid w:val="00767B7E"/>
    <w:rsid w:val="007770C3"/>
    <w:rsid w:val="00784D24"/>
    <w:rsid w:val="00785FBA"/>
    <w:rsid w:val="00786E4A"/>
    <w:rsid w:val="007875EB"/>
    <w:rsid w:val="00790274"/>
    <w:rsid w:val="0079426B"/>
    <w:rsid w:val="007959A9"/>
    <w:rsid w:val="007A5CC1"/>
    <w:rsid w:val="007A5E6F"/>
    <w:rsid w:val="007D1682"/>
    <w:rsid w:val="007D312A"/>
    <w:rsid w:val="007D3F19"/>
    <w:rsid w:val="007D5424"/>
    <w:rsid w:val="007E23B0"/>
    <w:rsid w:val="007F1991"/>
    <w:rsid w:val="007F2C2F"/>
    <w:rsid w:val="007F55FC"/>
    <w:rsid w:val="007F5665"/>
    <w:rsid w:val="00800112"/>
    <w:rsid w:val="008001A8"/>
    <w:rsid w:val="00813348"/>
    <w:rsid w:val="00824A8C"/>
    <w:rsid w:val="008253BB"/>
    <w:rsid w:val="00831BEF"/>
    <w:rsid w:val="00833962"/>
    <w:rsid w:val="0083706E"/>
    <w:rsid w:val="008408F6"/>
    <w:rsid w:val="008423A5"/>
    <w:rsid w:val="00850625"/>
    <w:rsid w:val="00853718"/>
    <w:rsid w:val="00855221"/>
    <w:rsid w:val="00860645"/>
    <w:rsid w:val="00871F71"/>
    <w:rsid w:val="00872FD8"/>
    <w:rsid w:val="008771CA"/>
    <w:rsid w:val="008842B1"/>
    <w:rsid w:val="00885AF4"/>
    <w:rsid w:val="00887E40"/>
    <w:rsid w:val="00890472"/>
    <w:rsid w:val="008939CD"/>
    <w:rsid w:val="008946BC"/>
    <w:rsid w:val="008B7303"/>
    <w:rsid w:val="008B768C"/>
    <w:rsid w:val="008C3FDD"/>
    <w:rsid w:val="008C4DB1"/>
    <w:rsid w:val="008C4EAF"/>
    <w:rsid w:val="008C5176"/>
    <w:rsid w:val="008C7FD0"/>
    <w:rsid w:val="008E171A"/>
    <w:rsid w:val="008E1DE7"/>
    <w:rsid w:val="008E37C4"/>
    <w:rsid w:val="008E707C"/>
    <w:rsid w:val="00900B08"/>
    <w:rsid w:val="00902155"/>
    <w:rsid w:val="00902FA3"/>
    <w:rsid w:val="00916691"/>
    <w:rsid w:val="00923564"/>
    <w:rsid w:val="0092392E"/>
    <w:rsid w:val="009315F9"/>
    <w:rsid w:val="00933499"/>
    <w:rsid w:val="00935C98"/>
    <w:rsid w:val="00935D45"/>
    <w:rsid w:val="00946945"/>
    <w:rsid w:val="00951248"/>
    <w:rsid w:val="0095152F"/>
    <w:rsid w:val="00951A7A"/>
    <w:rsid w:val="00954C49"/>
    <w:rsid w:val="00955E37"/>
    <w:rsid w:val="0097099F"/>
    <w:rsid w:val="00971997"/>
    <w:rsid w:val="00971FFC"/>
    <w:rsid w:val="0098660A"/>
    <w:rsid w:val="009931C3"/>
    <w:rsid w:val="00994B66"/>
    <w:rsid w:val="009A0DE8"/>
    <w:rsid w:val="009B0E55"/>
    <w:rsid w:val="009B2C43"/>
    <w:rsid w:val="009B4EAE"/>
    <w:rsid w:val="009B7573"/>
    <w:rsid w:val="009C22F4"/>
    <w:rsid w:val="009C2AC2"/>
    <w:rsid w:val="009C2E98"/>
    <w:rsid w:val="009C37FB"/>
    <w:rsid w:val="009C71BE"/>
    <w:rsid w:val="009D3447"/>
    <w:rsid w:val="009D4711"/>
    <w:rsid w:val="009E17E9"/>
    <w:rsid w:val="009E2A06"/>
    <w:rsid w:val="009F1185"/>
    <w:rsid w:val="009F18CD"/>
    <w:rsid w:val="009F2A13"/>
    <w:rsid w:val="009F7527"/>
    <w:rsid w:val="00A039ED"/>
    <w:rsid w:val="00A04EB0"/>
    <w:rsid w:val="00A13CC1"/>
    <w:rsid w:val="00A16847"/>
    <w:rsid w:val="00A178BE"/>
    <w:rsid w:val="00A203FA"/>
    <w:rsid w:val="00A237D8"/>
    <w:rsid w:val="00A2483B"/>
    <w:rsid w:val="00A268C4"/>
    <w:rsid w:val="00A307CD"/>
    <w:rsid w:val="00A331C8"/>
    <w:rsid w:val="00A35117"/>
    <w:rsid w:val="00A40A00"/>
    <w:rsid w:val="00A4125C"/>
    <w:rsid w:val="00A4142F"/>
    <w:rsid w:val="00A422EB"/>
    <w:rsid w:val="00A45BB7"/>
    <w:rsid w:val="00A56DF2"/>
    <w:rsid w:val="00A56E6E"/>
    <w:rsid w:val="00A67AB5"/>
    <w:rsid w:val="00A733B2"/>
    <w:rsid w:val="00A741C2"/>
    <w:rsid w:val="00A91760"/>
    <w:rsid w:val="00A93B00"/>
    <w:rsid w:val="00A93C21"/>
    <w:rsid w:val="00AB2FDB"/>
    <w:rsid w:val="00AB64C9"/>
    <w:rsid w:val="00AC3C6A"/>
    <w:rsid w:val="00AD07F0"/>
    <w:rsid w:val="00AD0F83"/>
    <w:rsid w:val="00AD5620"/>
    <w:rsid w:val="00AD656B"/>
    <w:rsid w:val="00AD7C1B"/>
    <w:rsid w:val="00AE16BA"/>
    <w:rsid w:val="00AE1EBE"/>
    <w:rsid w:val="00B03C9D"/>
    <w:rsid w:val="00B060AE"/>
    <w:rsid w:val="00B10517"/>
    <w:rsid w:val="00B14E76"/>
    <w:rsid w:val="00B161B8"/>
    <w:rsid w:val="00B2048C"/>
    <w:rsid w:val="00B22BF3"/>
    <w:rsid w:val="00B310B9"/>
    <w:rsid w:val="00B35F3F"/>
    <w:rsid w:val="00B36CBB"/>
    <w:rsid w:val="00B425E0"/>
    <w:rsid w:val="00B440AA"/>
    <w:rsid w:val="00B44B70"/>
    <w:rsid w:val="00B53227"/>
    <w:rsid w:val="00B53C56"/>
    <w:rsid w:val="00B56CFC"/>
    <w:rsid w:val="00B57DAF"/>
    <w:rsid w:val="00B77EA6"/>
    <w:rsid w:val="00B81598"/>
    <w:rsid w:val="00B82FEA"/>
    <w:rsid w:val="00B841F1"/>
    <w:rsid w:val="00B8603C"/>
    <w:rsid w:val="00B944D6"/>
    <w:rsid w:val="00BB4DF0"/>
    <w:rsid w:val="00BC189B"/>
    <w:rsid w:val="00BC289F"/>
    <w:rsid w:val="00BC2D50"/>
    <w:rsid w:val="00BC5361"/>
    <w:rsid w:val="00BC5460"/>
    <w:rsid w:val="00BC6B50"/>
    <w:rsid w:val="00BD0E25"/>
    <w:rsid w:val="00BD2CD3"/>
    <w:rsid w:val="00BF5BD6"/>
    <w:rsid w:val="00C018BD"/>
    <w:rsid w:val="00C018C3"/>
    <w:rsid w:val="00C02D7D"/>
    <w:rsid w:val="00C03E31"/>
    <w:rsid w:val="00C1444F"/>
    <w:rsid w:val="00C17760"/>
    <w:rsid w:val="00C2646D"/>
    <w:rsid w:val="00C30E69"/>
    <w:rsid w:val="00C33E72"/>
    <w:rsid w:val="00C354B2"/>
    <w:rsid w:val="00C35554"/>
    <w:rsid w:val="00C42709"/>
    <w:rsid w:val="00C533CC"/>
    <w:rsid w:val="00C53E24"/>
    <w:rsid w:val="00C54391"/>
    <w:rsid w:val="00C5751C"/>
    <w:rsid w:val="00C61BFC"/>
    <w:rsid w:val="00C62B85"/>
    <w:rsid w:val="00C65438"/>
    <w:rsid w:val="00C755A6"/>
    <w:rsid w:val="00C81BD6"/>
    <w:rsid w:val="00C869CE"/>
    <w:rsid w:val="00C91CBB"/>
    <w:rsid w:val="00CB4E70"/>
    <w:rsid w:val="00CC09B6"/>
    <w:rsid w:val="00CC666F"/>
    <w:rsid w:val="00CD1E3F"/>
    <w:rsid w:val="00CE44F6"/>
    <w:rsid w:val="00CE49DA"/>
    <w:rsid w:val="00CE7B61"/>
    <w:rsid w:val="00CF6283"/>
    <w:rsid w:val="00D00095"/>
    <w:rsid w:val="00D02C69"/>
    <w:rsid w:val="00D114F0"/>
    <w:rsid w:val="00D20620"/>
    <w:rsid w:val="00D254F7"/>
    <w:rsid w:val="00D26091"/>
    <w:rsid w:val="00D2685C"/>
    <w:rsid w:val="00D34E7C"/>
    <w:rsid w:val="00D35489"/>
    <w:rsid w:val="00D36AFE"/>
    <w:rsid w:val="00D36F11"/>
    <w:rsid w:val="00D46AA4"/>
    <w:rsid w:val="00D50092"/>
    <w:rsid w:val="00D51276"/>
    <w:rsid w:val="00D524E4"/>
    <w:rsid w:val="00D7035F"/>
    <w:rsid w:val="00D728E9"/>
    <w:rsid w:val="00DA4826"/>
    <w:rsid w:val="00DA634F"/>
    <w:rsid w:val="00DA65AC"/>
    <w:rsid w:val="00DB1913"/>
    <w:rsid w:val="00DB1BF5"/>
    <w:rsid w:val="00DC2119"/>
    <w:rsid w:val="00DC3F65"/>
    <w:rsid w:val="00DC410D"/>
    <w:rsid w:val="00DC521B"/>
    <w:rsid w:val="00DC5A81"/>
    <w:rsid w:val="00DC68CA"/>
    <w:rsid w:val="00DC7CBA"/>
    <w:rsid w:val="00DD73B7"/>
    <w:rsid w:val="00DF1450"/>
    <w:rsid w:val="00DF28BC"/>
    <w:rsid w:val="00DF34B9"/>
    <w:rsid w:val="00E01053"/>
    <w:rsid w:val="00E04C96"/>
    <w:rsid w:val="00E07ACF"/>
    <w:rsid w:val="00E14E06"/>
    <w:rsid w:val="00E17335"/>
    <w:rsid w:val="00E331A1"/>
    <w:rsid w:val="00E33202"/>
    <w:rsid w:val="00E33354"/>
    <w:rsid w:val="00E336A9"/>
    <w:rsid w:val="00E472B1"/>
    <w:rsid w:val="00E50624"/>
    <w:rsid w:val="00E52633"/>
    <w:rsid w:val="00E568DF"/>
    <w:rsid w:val="00E57A0C"/>
    <w:rsid w:val="00E612FD"/>
    <w:rsid w:val="00E64269"/>
    <w:rsid w:val="00E66797"/>
    <w:rsid w:val="00E82267"/>
    <w:rsid w:val="00E853CE"/>
    <w:rsid w:val="00E867B6"/>
    <w:rsid w:val="00E87F08"/>
    <w:rsid w:val="00EA010F"/>
    <w:rsid w:val="00EC2CCC"/>
    <w:rsid w:val="00ED1B63"/>
    <w:rsid w:val="00ED3C1F"/>
    <w:rsid w:val="00ED4085"/>
    <w:rsid w:val="00ED420E"/>
    <w:rsid w:val="00ED6FBE"/>
    <w:rsid w:val="00EE2F57"/>
    <w:rsid w:val="00EF38AA"/>
    <w:rsid w:val="00EF4C34"/>
    <w:rsid w:val="00EF77C6"/>
    <w:rsid w:val="00F05438"/>
    <w:rsid w:val="00F1361C"/>
    <w:rsid w:val="00F156F0"/>
    <w:rsid w:val="00F160C7"/>
    <w:rsid w:val="00F16508"/>
    <w:rsid w:val="00F2408F"/>
    <w:rsid w:val="00F240E9"/>
    <w:rsid w:val="00F36D8F"/>
    <w:rsid w:val="00F37BC8"/>
    <w:rsid w:val="00F417B1"/>
    <w:rsid w:val="00F45853"/>
    <w:rsid w:val="00F602DF"/>
    <w:rsid w:val="00F709F3"/>
    <w:rsid w:val="00F754A1"/>
    <w:rsid w:val="00F81FD9"/>
    <w:rsid w:val="00F82140"/>
    <w:rsid w:val="00F841AA"/>
    <w:rsid w:val="00F84A94"/>
    <w:rsid w:val="00F87E96"/>
    <w:rsid w:val="00FA23E8"/>
    <w:rsid w:val="00FA339D"/>
    <w:rsid w:val="00FA5D45"/>
    <w:rsid w:val="00FC7606"/>
    <w:rsid w:val="00FD3CC1"/>
    <w:rsid w:val="00FF1E02"/>
    <w:rsid w:val="00FF30B4"/>
    <w:rsid w:val="09AA7ADD"/>
    <w:rsid w:val="10C055FF"/>
    <w:rsid w:val="148D46FB"/>
    <w:rsid w:val="16BB723D"/>
    <w:rsid w:val="20EE2F11"/>
    <w:rsid w:val="223205EC"/>
    <w:rsid w:val="240371BF"/>
    <w:rsid w:val="260101AA"/>
    <w:rsid w:val="29FD04D3"/>
    <w:rsid w:val="319F7F4E"/>
    <w:rsid w:val="354F7785"/>
    <w:rsid w:val="38E778EC"/>
    <w:rsid w:val="3C0F5B62"/>
    <w:rsid w:val="3DAF0367"/>
    <w:rsid w:val="3E482F8E"/>
    <w:rsid w:val="475F02D6"/>
    <w:rsid w:val="4A9050E8"/>
    <w:rsid w:val="4ECE2238"/>
    <w:rsid w:val="4FC802D0"/>
    <w:rsid w:val="664F7F17"/>
    <w:rsid w:val="682E071E"/>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_GB2312" w:eastAsia="Times New Roman" w:cs="??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Plain Text"/>
    <w:basedOn w:val="1"/>
    <w:link w:val="32"/>
    <w:qFormat/>
    <w:locked/>
    <w:uiPriority w:val="99"/>
    <w:rPr>
      <w:rFonts w:ascii="宋体" w:hAnsi="Courier New" w:cs="宋体"/>
    </w:r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cs="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qFormat/>
    <w:locked/>
    <w:uiPriority w:val="99"/>
    <w:pPr>
      <w:spacing w:before="100" w:beforeAutospacing="1" w:after="100" w:afterAutospacing="1"/>
      <w:jc w:val="left"/>
    </w:pPr>
    <w:rPr>
      <w:kern w:val="0"/>
      <w:sz w:val="24"/>
      <w:szCs w:val="24"/>
    </w:rPr>
  </w:style>
  <w:style w:type="character" w:styleId="16">
    <w:name w:val="Strong"/>
    <w:basedOn w:val="15"/>
    <w:qFormat/>
    <w:uiPriority w:val="99"/>
    <w:rPr>
      <w:b/>
      <w:bCs/>
    </w:rPr>
  </w:style>
  <w:style w:type="character" w:styleId="17">
    <w:name w:val="Hyperlink"/>
    <w:basedOn w:val="15"/>
    <w:qFormat/>
    <w:uiPriority w:val="99"/>
    <w:rPr>
      <w:color w:val="0000FF"/>
      <w:u w:val="single"/>
    </w:rPr>
  </w:style>
  <w:style w:type="character" w:customStyle="1" w:styleId="18">
    <w:name w:val="Heading 1 Char"/>
    <w:basedOn w:val="15"/>
    <w:link w:val="2"/>
    <w:qFormat/>
    <w:locked/>
    <w:uiPriority w:val="99"/>
    <w:rPr>
      <w:rFonts w:ascii="Times New Roman" w:hAnsi="Times New Roman" w:cs="Times New Roman"/>
      <w:b/>
      <w:bCs/>
      <w:kern w:val="44"/>
      <w:sz w:val="44"/>
      <w:szCs w:val="44"/>
    </w:rPr>
  </w:style>
  <w:style w:type="character" w:customStyle="1" w:styleId="19">
    <w:name w:val="Heading 2 Char"/>
    <w:basedOn w:val="15"/>
    <w:link w:val="3"/>
    <w:qFormat/>
    <w:locked/>
    <w:uiPriority w:val="99"/>
    <w:rPr>
      <w:rFonts w:ascii="Cambria" w:hAnsi="Cambria" w:eastAsia="宋体" w:cs="Cambria"/>
      <w:b/>
      <w:bCs/>
      <w:kern w:val="2"/>
      <w:sz w:val="32"/>
      <w:szCs w:val="32"/>
    </w:rPr>
  </w:style>
  <w:style w:type="character" w:customStyle="1" w:styleId="20">
    <w:name w:val="Heading 3 Char"/>
    <w:basedOn w:val="15"/>
    <w:link w:val="4"/>
    <w:qFormat/>
    <w:locked/>
    <w:uiPriority w:val="99"/>
    <w:rPr>
      <w:rFonts w:ascii="Times New Roman" w:hAnsi="Times New Roman" w:cs="Times New Roman"/>
      <w:b/>
      <w:bCs/>
      <w:kern w:val="2"/>
      <w:sz w:val="32"/>
      <w:szCs w:val="32"/>
    </w:rPr>
  </w:style>
  <w:style w:type="character" w:customStyle="1" w:styleId="21">
    <w:name w:val="Body Text Char"/>
    <w:basedOn w:val="15"/>
    <w:link w:val="5"/>
    <w:semiHidden/>
    <w:qFormat/>
    <w:locked/>
    <w:uiPriority w:val="99"/>
    <w:rPr>
      <w:rFonts w:ascii="Times New Roman" w:hAnsi="Times New Roman" w:cs="Times New Roman"/>
      <w:sz w:val="24"/>
      <w:szCs w:val="24"/>
    </w:rPr>
  </w:style>
  <w:style w:type="character" w:customStyle="1" w:styleId="22">
    <w:name w:val="Balloon Text Char"/>
    <w:basedOn w:val="15"/>
    <w:link w:val="8"/>
    <w:semiHidden/>
    <w:qFormat/>
    <w:locked/>
    <w:uiPriority w:val="99"/>
    <w:rPr>
      <w:rFonts w:ascii="Times New Roman" w:hAnsi="Times New Roman" w:cs="Times New Roman"/>
      <w:kern w:val="2"/>
      <w:sz w:val="18"/>
      <w:szCs w:val="18"/>
    </w:rPr>
  </w:style>
  <w:style w:type="character" w:customStyle="1" w:styleId="23">
    <w:name w:val="Footer Char"/>
    <w:basedOn w:val="15"/>
    <w:link w:val="9"/>
    <w:semiHidden/>
    <w:qFormat/>
    <w:locked/>
    <w:uiPriority w:val="99"/>
    <w:rPr>
      <w:rFonts w:ascii="Times New Roman" w:hAnsi="Times New Roman" w:cs="Times New Roman"/>
      <w:sz w:val="18"/>
      <w:szCs w:val="18"/>
    </w:rPr>
  </w:style>
  <w:style w:type="character" w:customStyle="1" w:styleId="24">
    <w:name w:val="Header Char"/>
    <w:basedOn w:val="15"/>
    <w:link w:val="10"/>
    <w:semiHidden/>
    <w:qFormat/>
    <w:locked/>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szCs w:val="18"/>
    </w:rPr>
  </w:style>
  <w:style w:type="character" w:customStyle="1" w:styleId="26">
    <w:name w:val="Footer Char1"/>
    <w:link w:val="9"/>
    <w:qFormat/>
    <w:locked/>
    <w:uiPriority w:val="99"/>
    <w:rPr>
      <w:sz w:val="18"/>
      <w:szCs w:val="18"/>
    </w:rPr>
  </w:style>
  <w:style w:type="character" w:customStyle="1" w:styleId="27">
    <w:name w:val="Body Text Char1"/>
    <w:link w:val="5"/>
    <w:qFormat/>
    <w:locked/>
    <w:uiPriority w:val="99"/>
    <w:rPr>
      <w:rFonts w:ascii="??_GB2312" w:hAnsi="Times New Roman" w:eastAsia="Times New Roman" w:cs="??_GB2312"/>
      <w:sz w:val="24"/>
      <w:szCs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2">
    <w:name w:val="Plain Text Char"/>
    <w:basedOn w:val="15"/>
    <w:link w:val="7"/>
    <w:qFormat/>
    <w:locked/>
    <w:uiPriority w:val="99"/>
    <w:rPr>
      <w:rFonts w:ascii="宋体" w:hAnsi="Courier New" w:eastAsia="宋体" w:cs="宋体"/>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30</Pages>
  <Words>1655</Words>
  <Characters>9435</Characters>
  <Lines>0</Lines>
  <Paragraphs>0</Paragraphs>
  <TotalTime>421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lenovo</cp:lastModifiedBy>
  <cp:lastPrinted>2020-11-20T02:49:49Z</cp:lastPrinted>
  <dcterms:modified xsi:type="dcterms:W3CDTF">2020-11-20T03:06:30Z</dcterms:modified>
  <dc:title>四川省***</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