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475"/>
      <w:bookmarkStart w:id="3" w:name="_Toc15396597"/>
      <w:bookmarkStart w:id="4" w:name="_Toc15377425"/>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78442"/>
      <w:bookmarkStart w:id="7" w:name="_Toc15396598"/>
      <w:bookmarkStart w:id="8" w:name="_Toc15396476"/>
      <w:bookmarkStart w:id="9" w:name="_Toc15377194"/>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攀枝花市</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西区司法局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公开时间：2020年11月7日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6"/>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snapToGrid w:val="0"/>
        <w:spacing w:line="588"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 xml:space="preserve">(1)贯彻执行国家、省、市关于司法行政工作的方针、政策和法律、法规及规章，拟定全区全区司法行政规范性文件和工作发展规划、工作计划并组织实施。  </w:t>
      </w:r>
    </w:p>
    <w:p>
      <w:pPr>
        <w:snapToGrid w:val="0"/>
        <w:spacing w:line="588"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(2)拟定法制宣传教育、普及法律常识和依法治理规划并组织实施；指导全区法制宣传、依法治理工作；承担区法制建设领导小组具体工作。</w:t>
      </w:r>
    </w:p>
    <w:p>
      <w:pPr>
        <w:snapToGrid w:val="0"/>
        <w:spacing w:line="588"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(3)指导、监督律师工作、公证工作、外来企业投诉工作。</w:t>
      </w:r>
    </w:p>
    <w:p>
      <w:pPr>
        <w:snapToGrid w:val="0"/>
        <w:spacing w:line="588"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(4)监督、管理法律援助工作。 </w:t>
      </w:r>
    </w:p>
    <w:p>
      <w:pPr>
        <w:snapToGrid w:val="0"/>
        <w:spacing w:line="588"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(5)指导、监督基层司法所建设和人民调解、社区矫正、基层法律服务、帮教安置工作。 </w:t>
      </w:r>
    </w:p>
    <w:p>
      <w:pPr>
        <w:snapToGrid w:val="0"/>
        <w:spacing w:line="588"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(6)负责司法行政系统的服装、警车等装备以及国有资产的管理工作。</w:t>
      </w:r>
    </w:p>
    <w:p>
      <w:pPr>
        <w:snapToGrid w:val="0"/>
        <w:spacing w:line="588"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(7)指导、监督司法行政系统队伍建设和思想政治工作；负责司法行政系统的编制人事和警务管理、警务督察工作。</w:t>
      </w:r>
    </w:p>
    <w:p>
      <w:pPr>
        <w:snapToGrid w:val="0"/>
        <w:spacing w:line="588" w:lineRule="exact"/>
        <w:ind w:firstLine="640" w:firstLineChars="200"/>
        <w:rPr>
          <w:rFonts w:ascii="仿宋" w:hAnsi="仿宋" w:eastAsia="仿宋"/>
          <w:bCs/>
          <w:color w:val="000000"/>
          <w:kern w:val="0"/>
          <w:sz w:val="32"/>
          <w:szCs w:val="32"/>
        </w:rPr>
      </w:pPr>
      <w:r>
        <w:rPr>
          <w:rFonts w:hint="eastAsia" w:ascii="仿宋" w:hAnsi="仿宋" w:eastAsia="仿宋"/>
          <w:bCs/>
          <w:color w:val="000000"/>
          <w:kern w:val="0"/>
          <w:sz w:val="32"/>
          <w:szCs w:val="32"/>
        </w:rPr>
        <w:t>(8)指导全区司法行政系统的队伍建设和思想政治工作。 </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(9)承办区委、区政府和上级司法行政机关交办的其他事项</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ind w:firstLine="640" w:firstLineChars="200"/>
        <w:rPr>
          <w:rFonts w:ascii="仿宋" w:hAnsi="仿宋" w:eastAsia="仿宋"/>
          <w:sz w:val="32"/>
          <w:szCs w:val="32"/>
        </w:rPr>
      </w:pPr>
      <w:r>
        <w:rPr>
          <w:rFonts w:hint="eastAsia" w:ascii="仿宋" w:hAnsi="仿宋" w:eastAsia="仿宋"/>
          <w:sz w:val="32"/>
          <w:szCs w:val="32"/>
        </w:rPr>
        <w:t>（1）优化公共法律服务，全面提升服务质量</w:t>
      </w:r>
    </w:p>
    <w:p>
      <w:pPr>
        <w:ind w:firstLine="640" w:firstLineChars="200"/>
        <w:jc w:val="left"/>
        <w:rPr>
          <w:rFonts w:ascii="仿宋" w:hAnsi="仿宋" w:eastAsia="仿宋"/>
          <w:sz w:val="32"/>
          <w:szCs w:val="32"/>
        </w:rPr>
      </w:pPr>
      <w:r>
        <w:rPr>
          <w:rFonts w:hint="eastAsia" w:ascii="仿宋" w:hAnsi="仿宋" w:eastAsia="仿宋"/>
          <w:sz w:val="32"/>
          <w:szCs w:val="32"/>
        </w:rPr>
        <w:t>1.公共法律服务惠及民生。一是发挥政府参谋助手和企业顾问智库作用，为40家企事业单位和社会团体担任法律顾问。二是不断扩大法律援助范围，实现应援尽援。截止11月20日，法律援助中心共办理法律援助案件192件，其中刑事案件163件，民事案件30件；提供法律援助89件，法律咨询1685人次。</w:t>
      </w:r>
    </w:p>
    <w:p>
      <w:pPr>
        <w:ind w:firstLine="640" w:firstLineChars="200"/>
        <w:jc w:val="left"/>
        <w:rPr>
          <w:rFonts w:ascii="仿宋" w:hAnsi="仿宋" w:eastAsia="仿宋"/>
          <w:sz w:val="32"/>
          <w:szCs w:val="32"/>
        </w:rPr>
      </w:pPr>
      <w:r>
        <w:rPr>
          <w:rFonts w:hint="eastAsia" w:ascii="仿宋" w:hAnsi="仿宋" w:eastAsia="仿宋"/>
          <w:sz w:val="32"/>
          <w:szCs w:val="32"/>
        </w:rPr>
        <w:t>2.拓展基层法律服务工作。一是组织全区2个律师事务所和2个基层法律服务所顺利完成年度注册检查考核工作。二是安排30名律师和法律服务工作者担任42个村（社区）的法律顾问，实现了全区42个村（社区）法律顾问的全覆盖。三是探索“送法进企”新模式，在新建立的西城中央商务区·聚创联盟创新创业孵化园中，设立法律服务维权中心，为入园的42家民营企业和职工提供线上线下的法律咨询和法律服务，帮助入园企业进行法治体检。</w:t>
      </w:r>
    </w:p>
    <w:p>
      <w:pPr>
        <w:ind w:firstLine="640" w:firstLineChars="200"/>
        <w:rPr>
          <w:rFonts w:ascii="仿宋" w:hAnsi="仿宋" w:eastAsia="仿宋"/>
          <w:sz w:val="32"/>
          <w:szCs w:val="32"/>
        </w:rPr>
      </w:pPr>
      <w:r>
        <w:rPr>
          <w:rFonts w:hint="eastAsia" w:ascii="仿宋" w:hAnsi="仿宋" w:eastAsia="仿宋"/>
          <w:sz w:val="32"/>
          <w:szCs w:val="32"/>
        </w:rPr>
        <w:t>3.进一步优化公共法律服务供给。一是全区42个村（社区）建立公共法律服务室。</w:t>
      </w:r>
      <w:r>
        <w:rPr>
          <w:rFonts w:ascii="仿宋" w:hAnsi="仿宋" w:eastAsia="仿宋"/>
          <w:sz w:val="32"/>
          <w:szCs w:val="32"/>
        </w:rPr>
        <w:t>全区镇（街道）公共法律服务工作站、村（社区）公共法律服务工作室建成率均达100%。同时依托公共法律服务工作室，以“一村（社区）一法律顾问”为抓手，构筑村（社区）法律顾问网络。</w:t>
      </w:r>
      <w:r>
        <w:rPr>
          <w:rFonts w:hint="eastAsia" w:ascii="仿宋" w:hAnsi="仿宋" w:eastAsia="仿宋"/>
          <w:sz w:val="32"/>
          <w:szCs w:val="32"/>
        </w:rPr>
        <w:t>二是完成公证体制改革。开设自有账户，办理好相关税务手续，报区纪委、财政局备案。截止到11月20日，共受理公证38件，出证37件。</w:t>
      </w:r>
    </w:p>
    <w:p>
      <w:pPr>
        <w:ind w:firstLine="640" w:firstLineChars="200"/>
        <w:rPr>
          <w:rFonts w:ascii="仿宋" w:hAnsi="仿宋" w:eastAsia="仿宋"/>
          <w:sz w:val="32"/>
          <w:szCs w:val="32"/>
        </w:rPr>
      </w:pPr>
      <w:r>
        <w:rPr>
          <w:rFonts w:hint="eastAsia" w:ascii="仿宋" w:hAnsi="仿宋" w:eastAsia="仿宋"/>
          <w:sz w:val="32"/>
          <w:szCs w:val="32"/>
        </w:rPr>
        <w:t>（2）拓宽普法广度深度，提升法治宣传实效</w:t>
      </w:r>
    </w:p>
    <w:p>
      <w:pPr>
        <w:ind w:firstLine="640" w:firstLineChars="200"/>
        <w:jc w:val="left"/>
        <w:rPr>
          <w:rFonts w:ascii="仿宋" w:hAnsi="仿宋" w:eastAsia="仿宋"/>
          <w:sz w:val="32"/>
          <w:szCs w:val="32"/>
        </w:rPr>
      </w:pPr>
      <w:r>
        <w:rPr>
          <w:rFonts w:hint="eastAsia" w:ascii="仿宋" w:hAnsi="仿宋" w:eastAsia="仿宋"/>
          <w:sz w:val="32"/>
          <w:szCs w:val="32"/>
        </w:rPr>
        <w:t>1.全面有序开展普法活动。一是充分发挥集中宣传+网站+手机短信平台+微信的“四合一”宣传平台功能，集中开展“3.15”“国家安全日”“6.26禁毒日”等法治宣传活动60余场次，免费提供法律咨询1000余次，发放宣传资料20000余册；建立固定普法宣传专栏、橱窗21个，设立法律咨询站点10个，利用移动短信平台向全区领导干部发送法治宣传短信5000余条。二是组建5支20人的法律服务队，持续开展“送法下乡”、“法律进农家”活动；选聘13名优秀民警、法官、检察官、律师和法律服务工作者担任中小学法治副校长、法治辅导员，为在校学生累计上法制课35余课时，受教育学生达2500余人（次）。</w:t>
      </w:r>
    </w:p>
    <w:p>
      <w:pPr>
        <w:ind w:firstLine="640" w:firstLineChars="200"/>
        <w:rPr>
          <w:rFonts w:ascii="仿宋" w:hAnsi="仿宋" w:eastAsia="仿宋"/>
          <w:sz w:val="32"/>
          <w:szCs w:val="32"/>
        </w:rPr>
      </w:pPr>
      <w:r>
        <w:rPr>
          <w:rFonts w:hint="eastAsia" w:ascii="仿宋" w:hAnsi="仿宋" w:eastAsia="仿宋"/>
          <w:sz w:val="32"/>
          <w:szCs w:val="32"/>
        </w:rPr>
        <w:t>2.积极推进法治文化建设。一是2019年，西区被命名为四川省第二批省级法治示范县（市、区）。二是拍摄《创建为机 打造平安西区、法治西区》依法治区专题宣传片2期，在攀枝花广播电视台新闻综合频道和网络平台广泛传播，观看群众达10000余人次。三是组织开展西区2019年“我与宪法”法治微视频、微电影大赛活动，收集法治微视频、微电影15部，选送优秀作品5部。</w:t>
      </w:r>
    </w:p>
    <w:p>
      <w:pPr>
        <w:ind w:firstLine="640" w:firstLineChars="200"/>
        <w:jc w:val="left"/>
        <w:rPr>
          <w:rFonts w:ascii="仿宋" w:hAnsi="仿宋" w:eastAsia="仿宋"/>
          <w:sz w:val="32"/>
          <w:szCs w:val="32"/>
        </w:rPr>
      </w:pPr>
      <w:r>
        <w:rPr>
          <w:rFonts w:hint="eastAsia" w:ascii="仿宋" w:hAnsi="仿宋" w:eastAsia="仿宋"/>
          <w:sz w:val="32"/>
          <w:szCs w:val="32"/>
        </w:rPr>
        <w:t>3.推进科学民主依法决策。一是严格履行重大行政决策法定程序，广泛吸纳行业专家、法律顾问和公众代表参与决策过程。今年以来，共审查区政府决策事项80项、规范性文件4件、合同（协议）10余份，确保了梅子箐书库扩建工程施工、工业园区污水处理厂管线建设项目、棚户区改造等一系列重大项目顺利实施。二是积极开展规范性文件清理工作，经清查，全区共有行政规范性文件113份，93份继续有效、3份拟修改、8份拟废止、9份已失效。三是建立并积极落实行政决策后评估制度，查找并解决、弥补行政决策过程中存在的问题和薄弱环节。</w:t>
      </w:r>
    </w:p>
    <w:p>
      <w:pPr>
        <w:ind w:firstLine="640" w:firstLineChars="200"/>
        <w:jc w:val="left"/>
        <w:rPr>
          <w:rFonts w:ascii="仿宋" w:hAnsi="仿宋" w:eastAsia="仿宋"/>
          <w:sz w:val="32"/>
          <w:szCs w:val="32"/>
        </w:rPr>
      </w:pPr>
      <w:r>
        <w:rPr>
          <w:rFonts w:hint="eastAsia" w:ascii="仿宋" w:hAnsi="仿宋" w:eastAsia="仿宋"/>
          <w:sz w:val="32"/>
          <w:szCs w:val="32"/>
        </w:rPr>
        <w:t>4.做好依法治区统筹协调工作。全面提升政府工作人员法治思维和依法行政能力。一是坚持领导干部带头学法用法。认真落实区政府常务会、部门办公会会前学法制度。2019来，区政府常务会共开展法治专题学习14次，区政府组成部门组织会前学法和法治专题学习200余次。三是持续开展执法人员教育培训。通过法律讲堂、自主学习、执法证申领换发考前培训、庭审观摩等形式，不断强化行政执法骨干人员法治教育培训。组织执法证申领换发考前培训3批次500余人次，组织庭审观摩1次30人次。四是探索行政争议源头化解机制。针对行政机关做出的行政行为存再失当的情形，在行政复议立案前，通过调节方式由其自行更正行政行为，行政相对人主动撤回复议申请，促成行政争议化解，全年全区行政复议实现零案件，行政诉讼案件5件。</w:t>
      </w:r>
    </w:p>
    <w:p>
      <w:pPr>
        <w:ind w:firstLine="640" w:firstLineChars="200"/>
        <w:jc w:val="left"/>
        <w:rPr>
          <w:rFonts w:ascii="仿宋" w:hAnsi="仿宋" w:eastAsia="仿宋"/>
          <w:sz w:val="32"/>
          <w:szCs w:val="32"/>
        </w:rPr>
      </w:pPr>
      <w:r>
        <w:rPr>
          <w:rFonts w:hint="eastAsia" w:ascii="仿宋" w:hAnsi="仿宋" w:eastAsia="仿宋"/>
          <w:sz w:val="32"/>
          <w:szCs w:val="32"/>
        </w:rPr>
        <w:t>（3）推动基层联动协同，全力推进社会治理工作</w:t>
      </w:r>
    </w:p>
    <w:p>
      <w:pPr>
        <w:ind w:firstLine="640" w:firstLineChars="200"/>
        <w:jc w:val="left"/>
        <w:rPr>
          <w:rFonts w:ascii="仿宋" w:hAnsi="仿宋" w:eastAsia="仿宋"/>
          <w:sz w:val="32"/>
          <w:szCs w:val="32"/>
        </w:rPr>
      </w:pPr>
      <w:r>
        <w:rPr>
          <w:rFonts w:hint="eastAsia" w:ascii="仿宋" w:hAnsi="仿宋" w:eastAsia="仿宋"/>
          <w:sz w:val="32"/>
          <w:szCs w:val="32"/>
        </w:rPr>
        <w:t>1.突出加强人民参与与促进工作。一是依托“人民调解大讲堂”，对司法助理员、人民调解员组织培训8次，共计约192人次参加学习。二是对接法院按计划完成57名人民陪审员选任工作，提高人民陪审制度公信度。三是加强对人民调解工作的指导，摩梭河街道太平社区人民调解委员会被省司法厅命名为“五星级人民调解委员会”。建立2个行业性人民调解委员会，不断扩大人民调解范围。截止11月，全区共调解各类矛盾纠纷1423件，调解成功1420件，调解成功率达99.79%。</w:t>
      </w:r>
    </w:p>
    <w:p>
      <w:pPr>
        <w:ind w:firstLine="640" w:firstLineChars="200"/>
        <w:jc w:val="left"/>
        <w:rPr>
          <w:rFonts w:ascii="仿宋" w:hAnsi="仿宋" w:eastAsia="仿宋"/>
          <w:sz w:val="32"/>
          <w:szCs w:val="32"/>
        </w:rPr>
      </w:pPr>
      <w:r>
        <w:rPr>
          <w:rFonts w:hint="eastAsia" w:ascii="仿宋" w:hAnsi="仿宋" w:eastAsia="仿宋"/>
          <w:sz w:val="32"/>
          <w:szCs w:val="32"/>
        </w:rPr>
        <w:t>2. 加强司法所领导工作。司法所所长进镇街道班子，同时具体负责专职网格员的管理，在网格化中更好的落实法律宣传、随手调、社区矫正等司法行政工作。2019年，西区7个司法所全部创建成为省级规范化司法所，西区格里坪司法所获得“全国先进司法所”称号。</w:t>
      </w:r>
    </w:p>
    <w:p>
      <w:pPr>
        <w:spacing w:line="353" w:lineRule="auto"/>
        <w:ind w:firstLine="640" w:firstLineChars="200"/>
        <w:jc w:val="left"/>
        <w:rPr>
          <w:rFonts w:ascii="仿宋" w:hAnsi="仿宋" w:eastAsia="仿宋"/>
          <w:sz w:val="32"/>
          <w:szCs w:val="32"/>
        </w:rPr>
      </w:pPr>
      <w:r>
        <w:rPr>
          <w:rFonts w:hint="eastAsia" w:ascii="仿宋" w:hAnsi="仿宋" w:eastAsia="仿宋"/>
          <w:sz w:val="32"/>
          <w:szCs w:val="32"/>
        </w:rPr>
        <w:t>3.加快推进矫治质效新提升。一是进一步细化执法标准和执法流程，成立社区矫正检察室，主动引入检察监督，使社区矫正工作更加规范化、法制化。二是开展针对性个案矫正。坚持走访与个别谈话经常化，及时了解矫正对象的工作、生活情况和思想状况，并根据情况的变化进行矫正思路的调整，做到因人施矫。截止11月20日，共走访服刑人员64人次，进行个别谈话教育60人次。另外，还对服刑人员进行帮困扶助10人次，心理矫正2人次。三是开展集中大排查，及时掌握社区矫正人员的实际状况，加强对重点监管对象的检查频率，确保社矫人员管得住，控得牢。截止到11月20日，我区现在册社区矫正人员62人，其中缓刑60人，暂予监外执行1人，假释1人。今年共接收社区矫正人员 64人，解除社区矫正53人（其中特赦3人），转入安置帮教53人。无一人脱管漏管，重新犯罪。</w:t>
      </w:r>
    </w:p>
    <w:p>
      <w:pPr>
        <w:pStyle w:val="3"/>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西区司法局下属二级单位2个，其中行政单位0个，参照公务员法管理的事业单位1个，其他事业单位1个。</w:t>
      </w:r>
    </w:p>
    <w:p>
      <w:pPr>
        <w:pStyle w:val="5"/>
        <w:adjustRightInd w:val="0"/>
        <w:snapToGrid w:val="0"/>
        <w:spacing w:before="93" w:line="600" w:lineRule="exact"/>
        <w:ind w:firstLine="672" w:firstLineChars="210"/>
        <w:rPr>
          <w:rFonts w:ascii="仿宋" w:hAnsi="仿宋" w:eastAsia="仿宋"/>
          <w:kern w:val="2"/>
          <w:sz w:val="32"/>
          <w:szCs w:val="32"/>
        </w:rPr>
      </w:pPr>
      <w:r>
        <w:rPr>
          <w:rFonts w:hint="eastAsia" w:ascii="仿宋" w:hAnsi="仿宋" w:eastAsia="仿宋"/>
          <w:kern w:val="2"/>
          <w:sz w:val="32"/>
          <w:szCs w:val="32"/>
        </w:rPr>
        <w:t>纳入西区司法局2019年度部门决算编制范围的二级预算单位包括：</w:t>
      </w:r>
    </w:p>
    <w:p>
      <w:pPr>
        <w:pStyle w:val="5"/>
        <w:numPr>
          <w:ilvl w:val="0"/>
          <w:numId w:val="1"/>
        </w:numPr>
        <w:adjustRightInd w:val="0"/>
        <w:snapToGrid w:val="0"/>
        <w:spacing w:before="93" w:line="600" w:lineRule="exact"/>
        <w:outlineLvl w:val="2"/>
        <w:rPr>
          <w:rFonts w:ascii="仿宋" w:hAnsi="仿宋" w:eastAsia="仿宋"/>
          <w:kern w:val="2"/>
          <w:sz w:val="32"/>
          <w:szCs w:val="32"/>
        </w:rPr>
      </w:pPr>
      <w:r>
        <w:rPr>
          <w:rFonts w:hint="eastAsia" w:ascii="仿宋" w:hAnsi="仿宋" w:eastAsia="仿宋"/>
          <w:kern w:val="2"/>
          <w:sz w:val="32"/>
          <w:szCs w:val="32"/>
        </w:rPr>
        <w:t>区法律援助中心</w:t>
      </w:r>
    </w:p>
    <w:p>
      <w:pPr>
        <w:pStyle w:val="5"/>
        <w:numPr>
          <w:ilvl w:val="0"/>
          <w:numId w:val="1"/>
        </w:numPr>
        <w:adjustRightInd w:val="0"/>
        <w:snapToGrid w:val="0"/>
        <w:spacing w:before="93" w:line="600" w:lineRule="exact"/>
        <w:outlineLvl w:val="2"/>
        <w:rPr>
          <w:rFonts w:ascii="仿宋" w:hAnsi="仿宋" w:eastAsia="仿宋"/>
          <w:kern w:val="2"/>
          <w:sz w:val="32"/>
          <w:szCs w:val="32"/>
        </w:rPr>
      </w:pPr>
      <w:r>
        <w:rPr>
          <w:rFonts w:hint="eastAsia" w:ascii="仿宋" w:hAnsi="仿宋" w:eastAsia="仿宋"/>
          <w:kern w:val="2"/>
          <w:sz w:val="32"/>
          <w:szCs w:val="32"/>
        </w:rPr>
        <w:t>区玉泉公证处</w:t>
      </w:r>
    </w:p>
    <w:p>
      <w:pPr>
        <w:ind w:firstLine="800" w:firstLineChars="250"/>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
      <w:pPr>
        <w:pStyle w:val="24"/>
        <w:numPr>
          <w:ilvl w:val="0"/>
          <w:numId w:val="2"/>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2019年度收、支总计757.75万元。与2018年相比，收、支总计各减少85.98万元，下降10.19</w:t>
      </w:r>
      <w:r>
        <w:rPr>
          <w:rFonts w:ascii="仿宋" w:hAnsi="仿宋" w:eastAsia="仿宋"/>
          <w:color w:val="000000"/>
          <w:sz w:val="32"/>
          <w:szCs w:val="32"/>
        </w:rPr>
        <w:t>%</w:t>
      </w:r>
      <w:r>
        <w:rPr>
          <w:rFonts w:hint="eastAsia" w:ascii="仿宋" w:hAnsi="仿宋" w:eastAsia="仿宋"/>
          <w:color w:val="000000"/>
          <w:sz w:val="32"/>
          <w:szCs w:val="32"/>
        </w:rPr>
        <w:t>。主要变动原因是一是按要求一般性公用支出压减10%，二是减少了法律援助项目支出。</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widowControl/>
        <w:jc w:val="left"/>
        <w:rPr>
          <w:rFonts w:ascii="宋体" w:hAnsi="宋体" w:cs="宋体"/>
          <w:kern w:val="0"/>
          <w:sz w:val="24"/>
        </w:rPr>
      </w:pPr>
      <w:r>
        <w:rPr>
          <w:rFonts w:ascii="宋体" w:hAnsi="宋体" w:cs="宋体"/>
          <w:kern w:val="0"/>
          <w:sz w:val="24"/>
        </w:rPr>
        <w:drawing>
          <wp:inline distT="0" distB="0" distL="0" distR="0">
            <wp:extent cx="2938780" cy="1765300"/>
            <wp:effectExtent l="19050" t="0" r="0" b="0"/>
            <wp:docPr id="1" name="图片 1" descr="C:\Users\Administrator\AppData\Roaming\Tencent\Users\248301485\QQ\WinTemp\RichOle\S(7DI%~NES4~S2]~Q{4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248301485\QQ\WinTemp\RichOle\S(7DI%~NES4~S2]~Q{4B](G.png"/>
                    <pic:cNvPicPr>
                      <a:picLocks noChangeAspect="1" noChangeArrowheads="1"/>
                    </pic:cNvPicPr>
                  </pic:nvPicPr>
                  <pic:blipFill>
                    <a:blip r:embed="rId6"/>
                    <a:srcRect/>
                    <a:stretch>
                      <a:fillRect/>
                    </a:stretch>
                  </pic:blipFill>
                  <pic:spPr>
                    <a:xfrm>
                      <a:off x="0" y="0"/>
                      <a:ext cx="2940910" cy="1766602"/>
                    </a:xfrm>
                    <a:prstGeom prst="rect">
                      <a:avLst/>
                    </a:prstGeom>
                    <a:noFill/>
                    <a:ln w="9525">
                      <a:noFill/>
                      <a:miter lim="800000"/>
                      <a:headEnd/>
                      <a:tailEnd/>
                    </a:ln>
                  </pic:spPr>
                </pic:pic>
              </a:graphicData>
            </a:graphic>
          </wp:inline>
        </w:drawing>
      </w:r>
    </w:p>
    <w:p>
      <w:pPr>
        <w:pStyle w:val="24"/>
        <w:numPr>
          <w:ilvl w:val="0"/>
          <w:numId w:val="2"/>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9年本年收入合计543.71万元，其中：一般公共预算财政拨款收入512.71万元，占94.3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；政府性基金预算财政拨款收入30.97万元，占5.69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；其他收入0.04万元，占0.01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widowControl/>
        <w:jc w:val="left"/>
        <w:rPr>
          <w:rFonts w:ascii="宋体" w:hAnsi="宋体" w:cs="宋体"/>
          <w:kern w:val="0"/>
          <w:sz w:val="24"/>
        </w:rPr>
      </w:pPr>
      <w:r>
        <w:rPr>
          <w:rFonts w:ascii="宋体" w:hAnsi="宋体" w:cs="宋体"/>
          <w:kern w:val="0"/>
          <w:sz w:val="24"/>
        </w:rPr>
        <w:drawing>
          <wp:inline distT="0" distB="0" distL="0" distR="0">
            <wp:extent cx="2284095" cy="1383030"/>
            <wp:effectExtent l="19050" t="0" r="1349" b="0"/>
            <wp:docPr id="10" name="图片 10" descr="C:\Users\Administrator\AppData\Roaming\Tencent\Users\248301485\QQ\WinTemp\RichOle\KT~ET}A6OC1UV4YPGZPZX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AppData\Roaming\Tencent\Users\248301485\QQ\WinTemp\RichOle\KT~ET}A6OC1UV4YPGZPZXA8.png"/>
                    <pic:cNvPicPr>
                      <a:picLocks noChangeAspect="1" noChangeArrowheads="1"/>
                    </pic:cNvPicPr>
                  </pic:nvPicPr>
                  <pic:blipFill>
                    <a:blip r:embed="rId7"/>
                    <a:srcRect/>
                    <a:stretch>
                      <a:fillRect/>
                    </a:stretch>
                  </pic:blipFill>
                  <pic:spPr>
                    <a:xfrm>
                      <a:off x="0" y="0"/>
                      <a:ext cx="2286244" cy="1384492"/>
                    </a:xfrm>
                    <a:prstGeom prst="rect">
                      <a:avLst/>
                    </a:prstGeom>
                    <a:noFill/>
                    <a:ln w="9525">
                      <a:noFill/>
                      <a:miter lim="800000"/>
                      <a:headEnd/>
                      <a:tailEnd/>
                    </a:ln>
                  </pic:spPr>
                </pic:pic>
              </a:graphicData>
            </a:graphic>
          </wp:inline>
        </w:drawing>
      </w:r>
    </w:p>
    <w:p>
      <w:pPr>
        <w:pStyle w:val="24"/>
        <w:numPr>
          <w:ilvl w:val="0"/>
          <w:numId w:val="2"/>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9年本年支出合计713.81万元，其中：基本支出644.82万元，占90.33</w:t>
      </w:r>
      <w:r>
        <w:rPr>
          <w:rFonts w:ascii="仿宋" w:hAnsi="仿宋" w:eastAsia="仿宋"/>
          <w:color w:val="000000"/>
          <w:sz w:val="32"/>
          <w:szCs w:val="32"/>
        </w:rPr>
        <w:t>%</w:t>
      </w:r>
      <w:r>
        <w:rPr>
          <w:rFonts w:hint="eastAsia" w:ascii="仿宋" w:hAnsi="仿宋" w:eastAsia="仿宋"/>
          <w:color w:val="000000"/>
          <w:sz w:val="32"/>
          <w:szCs w:val="32"/>
        </w:rPr>
        <w:t>；项目支出68.99万元，占9.67</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widowControl/>
        <w:jc w:val="left"/>
        <w:rPr>
          <w:rFonts w:ascii="宋体" w:hAnsi="宋体" w:cs="宋体"/>
          <w:kern w:val="0"/>
          <w:sz w:val="24"/>
        </w:rPr>
      </w:pPr>
      <w:r>
        <w:rPr>
          <w:rFonts w:ascii="宋体" w:hAnsi="宋体" w:cs="宋体"/>
          <w:kern w:val="0"/>
          <w:sz w:val="24"/>
        </w:rPr>
        <w:drawing>
          <wp:inline distT="0" distB="0" distL="0" distR="0">
            <wp:extent cx="3295015" cy="1955800"/>
            <wp:effectExtent l="19050" t="0" r="435" b="0"/>
            <wp:docPr id="12" name="图片 12" descr="C:\Users\Administrator\AppData\Roaming\Tencent\Users\248301485\QQ\WinTemp\RichOle\S1$AYNPGC4F9M2I27Q8JG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Roaming\Tencent\Users\248301485\QQ\WinTemp\RichOle\S1$AYNPGC4F9M2I27Q8JGAQ.png"/>
                    <pic:cNvPicPr>
                      <a:picLocks noChangeAspect="1" noChangeArrowheads="1"/>
                    </pic:cNvPicPr>
                  </pic:nvPicPr>
                  <pic:blipFill>
                    <a:blip r:embed="rId8"/>
                    <a:srcRect/>
                    <a:stretch>
                      <a:fillRect/>
                    </a:stretch>
                  </pic:blipFill>
                  <pic:spPr>
                    <a:xfrm>
                      <a:off x="0" y="0"/>
                      <a:ext cx="3297685" cy="1957487"/>
                    </a:xfrm>
                    <a:prstGeom prst="rect">
                      <a:avLst/>
                    </a:prstGeom>
                    <a:noFill/>
                    <a:ln w="9525">
                      <a:noFill/>
                      <a:miter lim="800000"/>
                      <a:headEnd/>
                      <a:tailEnd/>
                    </a:ln>
                  </pic:spPr>
                </pic:pic>
              </a:graphicData>
            </a:graphic>
          </wp:inline>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9年财政拨款收、支总计757.71万元。与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8年相比，财政拨款收、支总计各减少85.94万元，下降10.19</w:t>
      </w:r>
      <w:r>
        <w:rPr>
          <w:rFonts w:ascii="仿宋" w:hAnsi="仿宋" w:eastAsia="仿宋"/>
          <w:color w:val="000000"/>
          <w:sz w:val="32"/>
          <w:szCs w:val="32"/>
        </w:rPr>
        <w:t>%</w:t>
      </w:r>
      <w:r>
        <w:rPr>
          <w:rFonts w:hint="eastAsia" w:ascii="仿宋" w:hAnsi="仿宋" w:eastAsia="仿宋"/>
          <w:color w:val="000000"/>
          <w:sz w:val="32"/>
          <w:szCs w:val="32"/>
        </w:rPr>
        <w:t>。主要变动原因一是按要求一般性公用支出压减10%，二是减少了项目支出。</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widowControl/>
        <w:jc w:val="left"/>
        <w:rPr>
          <w:rFonts w:ascii="宋体" w:hAnsi="宋体" w:cs="宋体"/>
          <w:kern w:val="0"/>
          <w:sz w:val="24"/>
        </w:rPr>
      </w:pPr>
      <w:r>
        <w:rPr>
          <w:rFonts w:ascii="宋体" w:hAnsi="宋体" w:cs="宋体"/>
          <w:kern w:val="0"/>
          <w:sz w:val="24"/>
        </w:rPr>
        <w:drawing>
          <wp:inline distT="0" distB="0" distL="0" distR="0">
            <wp:extent cx="2803525" cy="1655445"/>
            <wp:effectExtent l="19050" t="0" r="0" b="0"/>
            <wp:docPr id="14" name="图片 14" descr="C:\Users\Administrator\AppData\Roaming\Tencent\Users\248301485\QQ\WinTemp\RichOle\`}YQ8F3E_X1IGP(W)0KVO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AppData\Roaming\Tencent\Users\248301485\QQ\WinTemp\RichOle\`}YQ8F3E_X1IGP(W)0KVO63.png"/>
                    <pic:cNvPicPr>
                      <a:picLocks noChangeAspect="1" noChangeArrowheads="1"/>
                    </pic:cNvPicPr>
                  </pic:nvPicPr>
                  <pic:blipFill>
                    <a:blip r:embed="rId9"/>
                    <a:srcRect/>
                    <a:stretch>
                      <a:fillRect/>
                    </a:stretch>
                  </pic:blipFill>
                  <pic:spPr>
                    <a:xfrm>
                      <a:off x="0" y="0"/>
                      <a:ext cx="2806524" cy="1657190"/>
                    </a:xfrm>
                    <a:prstGeom prst="rect">
                      <a:avLst/>
                    </a:prstGeom>
                    <a:noFill/>
                    <a:ln w="9525">
                      <a:noFill/>
                      <a:miter lim="800000"/>
                      <a:headEnd/>
                      <a:tailEnd/>
                    </a:ln>
                  </pic:spPr>
                </pic:pic>
              </a:graphicData>
            </a:graphic>
          </wp:inline>
        </w:drawing>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9年一般公共预算财政拨款支出682.79万元，占本年支出合计的90.11</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8年相比，一般公共预算财政拨款减少127.86万元，下降15.77</w:t>
      </w:r>
      <w:r>
        <w:rPr>
          <w:rFonts w:ascii="仿宋" w:hAnsi="仿宋" w:eastAsia="仿宋"/>
          <w:color w:val="000000"/>
          <w:sz w:val="32"/>
          <w:szCs w:val="32"/>
        </w:rPr>
        <w:t>%</w:t>
      </w:r>
      <w:r>
        <w:rPr>
          <w:rFonts w:hint="eastAsia" w:ascii="仿宋" w:hAnsi="仿宋" w:eastAsia="仿宋"/>
          <w:color w:val="000000"/>
          <w:sz w:val="32"/>
          <w:szCs w:val="32"/>
        </w:rPr>
        <w:t>。主要变动原因一是按要求一般性公用支出压减10%，二是减少了项目支。</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widowControl/>
        <w:jc w:val="left"/>
        <w:rPr>
          <w:rFonts w:ascii="宋体" w:hAnsi="宋体" w:cs="宋体"/>
          <w:kern w:val="0"/>
          <w:sz w:val="24"/>
        </w:rPr>
      </w:pPr>
      <w:r>
        <w:rPr>
          <w:rFonts w:ascii="宋体" w:hAnsi="宋体" w:cs="宋体"/>
          <w:kern w:val="0"/>
          <w:sz w:val="24"/>
        </w:rPr>
        <w:drawing>
          <wp:inline distT="0" distB="0" distL="0" distR="0">
            <wp:extent cx="3749675" cy="2248535"/>
            <wp:effectExtent l="19050" t="0" r="2982" b="0"/>
            <wp:docPr id="16" name="图片 16" descr="C:\Users\Administrator\AppData\Roaming\Tencent\Users\248301485\QQ\WinTemp\RichOle\O[`C`RM3G~E@_Z3ZKB6(KG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AppData\Roaming\Tencent\Users\248301485\QQ\WinTemp\RichOle\O[`C`RM3G~E@_Z3ZKB6(KGD.png"/>
                    <pic:cNvPicPr>
                      <a:picLocks noChangeAspect="1" noChangeArrowheads="1"/>
                    </pic:cNvPicPr>
                  </pic:nvPicPr>
                  <pic:blipFill>
                    <a:blip r:embed="rId10"/>
                    <a:srcRect/>
                    <a:stretch>
                      <a:fillRect/>
                    </a:stretch>
                  </pic:blipFill>
                  <pic:spPr>
                    <a:xfrm>
                      <a:off x="0" y="0"/>
                      <a:ext cx="3752650" cy="2250416"/>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政拨款支出682.79万元，主要用于以下方面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公共安全支出（类）</w:t>
      </w:r>
      <w:r>
        <w:rPr>
          <w:rFonts w:hint="eastAsia" w:ascii="仿宋" w:hAnsi="仿宋" w:eastAsia="仿宋"/>
          <w:color w:val="000000" w:themeColor="text1"/>
          <w:sz w:val="32"/>
          <w:szCs w:val="32"/>
        </w:rPr>
        <w:t>支出535.7万元，占78.46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其他公共安全支出（类）</w:t>
      </w:r>
      <w:r>
        <w:rPr>
          <w:rFonts w:hint="eastAsia" w:ascii="仿宋" w:hAnsi="仿宋" w:eastAsia="仿宋"/>
          <w:color w:val="000000" w:themeColor="text1"/>
          <w:sz w:val="32"/>
          <w:szCs w:val="32"/>
        </w:rPr>
        <w:t>15.78万元，占2.31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支出54.92万元，占8.04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32.91万元，占4.82</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；住房保障支出59.26万元，占8.67</w:t>
      </w:r>
      <w:r>
        <w:rPr>
          <w:rFonts w:ascii="仿宋" w:hAnsi="仿宋" w:eastAsia="仿宋"/>
          <w:color w:val="000000" w:themeColor="text1"/>
          <w:sz w:val="32"/>
          <w:szCs w:val="32"/>
        </w:rPr>
        <w:t>%</w:t>
      </w:r>
      <w:r>
        <w:rPr>
          <w:rFonts w:hint="eastAsia" w:ascii="仿宋" w:hAnsi="仿宋" w:eastAsia="仿宋"/>
          <w:b/>
          <w:color w:val="000000" w:themeColor="text1"/>
          <w:sz w:val="32"/>
          <w:szCs w:val="32"/>
        </w:rPr>
        <w:t>。</w:t>
      </w:r>
    </w:p>
    <w:p>
      <w:pPr>
        <w:spacing w:line="600" w:lineRule="exact"/>
        <w:ind w:firstLine="64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widowControl/>
        <w:jc w:val="left"/>
        <w:rPr>
          <w:rFonts w:ascii="宋体" w:hAnsi="宋体" w:cs="宋体"/>
          <w:kern w:val="0"/>
          <w:sz w:val="24"/>
        </w:rPr>
      </w:pPr>
      <w:r>
        <w:rPr>
          <w:rFonts w:ascii="宋体" w:hAnsi="宋体" w:cs="宋体"/>
          <w:kern w:val="0"/>
          <w:sz w:val="24"/>
        </w:rPr>
        <w:drawing>
          <wp:inline distT="0" distB="0" distL="0" distR="0">
            <wp:extent cx="4059555" cy="2263775"/>
            <wp:effectExtent l="19050" t="0" r="0" b="0"/>
            <wp:docPr id="18" name="图片 18" descr="C:\Users\Administrator\AppData\Roaming\Tencent\Users\248301485\QQ\WinTemp\RichOle\34}N3_R%G9B5@$S@4FW}6{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AppData\Roaming\Tencent\Users\248301485\QQ\WinTemp\RichOle\34}N3_R%G9B5@$S@4FW}6{J.png"/>
                    <pic:cNvPicPr>
                      <a:picLocks noChangeAspect="1" noChangeArrowheads="1"/>
                    </pic:cNvPicPr>
                  </pic:nvPicPr>
                  <pic:blipFill>
                    <a:blip r:embed="rId11"/>
                    <a:srcRect/>
                    <a:stretch>
                      <a:fillRect/>
                    </a:stretch>
                  </pic:blipFill>
                  <pic:spPr>
                    <a:xfrm>
                      <a:off x="0" y="0"/>
                      <a:ext cx="4062811" cy="2265416"/>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rPr>
        <w:t>2019年般公共预算支出决算数为682.79万元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预算93.95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公共安全支出（类）司法（款）行政运行（项）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支出决算为461.68万元，完成预算100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 xml:space="preserve"> 公共安全支出（类）司法（款）一般行政管理事务（项）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支出决算为10.72万元，完成预算76.96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，决算数小于预算数的主要原因是年末部分项目尚未全部完成，将于下年继续开展。</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 xml:space="preserve"> 公共安全支出（类）司法（款）法律援助（项）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支出决算为11.51万元，完成预算38.62</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，决算数小于预算数的主要原因是年末部分项目尚未全部完成，将于下年继续开展。</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 xml:space="preserve"> 公共安全支出（类）司法（款）事业运行（项）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支出决算为36.01万元，完成预算100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Cs/>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 xml:space="preserve"> 公共安全支出（类）其他公共安全支出（款）其他公共安全支出（项）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支出决算为15.78万元，完成预算100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6.社会保障和就业（类）行政事业单位离退休（款）未归口管理的行政单位离退休（项）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支出决算为11.17万元，完成预算100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Cs/>
          <w:color w:val="000000"/>
          <w:sz w:val="32"/>
          <w:szCs w:val="32"/>
        </w:rPr>
      </w:pPr>
      <w:r>
        <w:rPr>
          <w:rStyle w:val="15"/>
          <w:rFonts w:hint="eastAsia" w:ascii="仿宋" w:hAnsi="仿宋" w:eastAsia="仿宋"/>
          <w:bCs/>
          <w:color w:val="000000"/>
          <w:sz w:val="32"/>
          <w:szCs w:val="32"/>
        </w:rPr>
        <w:t>7</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 xml:space="preserve"> 社会保障和就业（类）行政事业单位离退休（款）机关事业单位基本养老保险缴费支出（项）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支出决算为43.75万元，完成预算100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Cs/>
          <w:color w:val="000000"/>
          <w:sz w:val="32"/>
          <w:szCs w:val="32"/>
        </w:rPr>
      </w:pPr>
      <w:r>
        <w:rPr>
          <w:rFonts w:hint="eastAsia" w:ascii="仿宋" w:hAnsi="仿宋" w:eastAsia="仿宋"/>
          <w:b/>
          <w:bCs/>
          <w:color w:val="000000" w:themeColor="text1"/>
          <w:sz w:val="32"/>
          <w:szCs w:val="32"/>
        </w:rPr>
        <w:t>8.卫生健康支出</w:t>
      </w:r>
      <w:r>
        <w:rPr>
          <w:rStyle w:val="15"/>
          <w:rFonts w:hint="eastAsia" w:ascii="仿宋" w:hAnsi="仿宋" w:eastAsia="仿宋"/>
          <w:bCs/>
          <w:color w:val="000000"/>
          <w:sz w:val="32"/>
          <w:szCs w:val="32"/>
        </w:rPr>
        <w:t>（类）行政事业单位医疗（款）行政单位医疗（项）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支出决算为27.11万元，完成预算100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Cs/>
          <w:color w:val="000000"/>
          <w:sz w:val="32"/>
          <w:szCs w:val="32"/>
        </w:rPr>
      </w:pPr>
      <w:r>
        <w:rPr>
          <w:rFonts w:hint="eastAsia" w:ascii="仿宋" w:hAnsi="仿宋" w:eastAsia="仿宋"/>
          <w:b/>
          <w:bCs/>
          <w:color w:val="000000" w:themeColor="text1"/>
          <w:sz w:val="32"/>
          <w:szCs w:val="32"/>
        </w:rPr>
        <w:t>9.卫生健康支出</w:t>
      </w:r>
      <w:r>
        <w:rPr>
          <w:rStyle w:val="15"/>
          <w:rFonts w:hint="eastAsia" w:ascii="仿宋" w:hAnsi="仿宋" w:eastAsia="仿宋"/>
          <w:bCs/>
          <w:color w:val="000000"/>
          <w:sz w:val="32"/>
          <w:szCs w:val="32"/>
        </w:rPr>
        <w:t>（类）行政事业单位医疗（款）事业单位医疗（项）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支出决算为2.12万元，完成预算100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Cs/>
          <w:color w:val="000000"/>
          <w:sz w:val="32"/>
          <w:szCs w:val="32"/>
        </w:rPr>
      </w:pPr>
      <w:r>
        <w:rPr>
          <w:rFonts w:hint="eastAsia" w:ascii="仿宋" w:hAnsi="仿宋" w:eastAsia="仿宋"/>
          <w:b/>
          <w:bCs/>
          <w:color w:val="000000" w:themeColor="text1"/>
          <w:sz w:val="32"/>
          <w:szCs w:val="32"/>
        </w:rPr>
        <w:t>10.卫生健康支出</w:t>
      </w:r>
      <w:r>
        <w:rPr>
          <w:rStyle w:val="15"/>
          <w:rFonts w:hint="eastAsia" w:ascii="仿宋" w:hAnsi="仿宋" w:eastAsia="仿宋"/>
          <w:bCs/>
          <w:color w:val="000000"/>
          <w:sz w:val="32"/>
          <w:szCs w:val="32"/>
        </w:rPr>
        <w:t>（类）行政事业单位医疗（款）公务员医疗补助（项）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支出决算为3.68万元，完成预算100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Cs/>
          <w:color w:val="000000"/>
          <w:sz w:val="32"/>
          <w:szCs w:val="32"/>
        </w:rPr>
      </w:pPr>
      <w:r>
        <w:rPr>
          <w:rFonts w:hint="eastAsia" w:ascii="仿宋" w:hAnsi="仿宋" w:eastAsia="仿宋"/>
          <w:b/>
          <w:bCs/>
          <w:color w:val="000000" w:themeColor="text1"/>
          <w:sz w:val="32"/>
          <w:szCs w:val="32"/>
        </w:rPr>
        <w:t>11.住房保障支出</w:t>
      </w:r>
      <w:r>
        <w:rPr>
          <w:rStyle w:val="15"/>
          <w:rFonts w:hint="eastAsia" w:ascii="仿宋" w:hAnsi="仿宋" w:eastAsia="仿宋"/>
          <w:bCs/>
          <w:color w:val="000000"/>
          <w:sz w:val="32"/>
          <w:szCs w:val="32"/>
        </w:rPr>
        <w:t>（类）住房改革支出（款）住房公积金（项）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支出决算为59.26万元，完成预算100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9年一般公共预算财政拨款基本支出644.78万元，其中：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572.77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72.01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9年“三公”经费财政拨款支出决算为3.43万元，完成预算99.89</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，决算数小于预算数的主要原因是厉行节约、缩减开支。</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；公务用车购置及运行维护费支出决算2.49万元，占72.59</w:t>
      </w:r>
      <w:r>
        <w:rPr>
          <w:rFonts w:ascii="仿宋" w:hAnsi="仿宋" w:eastAsia="仿宋"/>
          <w:color w:val="000000"/>
          <w:sz w:val="32"/>
          <w:szCs w:val="32"/>
        </w:rPr>
        <w:t>%</w:t>
      </w:r>
      <w:r>
        <w:rPr>
          <w:rFonts w:hint="eastAsia" w:ascii="仿宋" w:hAnsi="仿宋" w:eastAsia="仿宋"/>
          <w:color w:val="000000"/>
          <w:sz w:val="32"/>
          <w:szCs w:val="32"/>
        </w:rPr>
        <w:t>；公务接待费支出决算0.94万元，占27.41</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widowControl/>
        <w:jc w:val="left"/>
        <w:rPr>
          <w:rFonts w:ascii="宋体" w:hAnsi="宋体" w:cs="宋体"/>
          <w:kern w:val="0"/>
          <w:sz w:val="24"/>
        </w:rPr>
      </w:pPr>
      <w:r>
        <w:rPr>
          <w:rFonts w:ascii="宋体" w:hAnsi="宋体" w:cs="宋体"/>
          <w:kern w:val="0"/>
          <w:sz w:val="24"/>
        </w:rPr>
        <w:drawing>
          <wp:inline distT="0" distB="0" distL="0" distR="0">
            <wp:extent cx="2867025" cy="1680845"/>
            <wp:effectExtent l="19050" t="0" r="9277" b="0"/>
            <wp:docPr id="20" name="图片 20" descr="C:\Users\Administrator\AppData\Roaming\Tencent\Users\248301485\QQ\WinTemp\RichOle\HSIR7$[OU%XTFX32~J(QB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AppData\Roaming\Tencent\Users\248301485\QQ\WinTemp\RichOle\HSIR7$[OU%XTFX32~J(QBPP.png"/>
                    <pic:cNvPicPr>
                      <a:picLocks noChangeAspect="1" noChangeArrowheads="1"/>
                    </pic:cNvPicPr>
                  </pic:nvPicPr>
                  <pic:blipFill>
                    <a:blip r:embed="rId12"/>
                    <a:srcRect/>
                    <a:stretch>
                      <a:fillRect/>
                    </a:stretch>
                  </pic:blipFill>
                  <pic:spPr>
                    <a:xfrm>
                      <a:off x="0" y="0"/>
                      <a:ext cx="2869133" cy="1682267"/>
                    </a:xfrm>
                    <a:prstGeom prst="rect">
                      <a:avLst/>
                    </a:prstGeom>
                    <a:noFill/>
                    <a:ln w="9525">
                      <a:noFill/>
                      <a:miter lim="800000"/>
                      <a:headEnd/>
                      <a:tailEnd/>
                    </a:ln>
                  </pic:spPr>
                </pic:pic>
              </a:graphicData>
            </a:graphic>
          </wp:inline>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因公出国（境）经费支出0万元，完成预算0</w:t>
      </w:r>
      <w:r>
        <w:rPr>
          <w:rFonts w:ascii="仿宋" w:hAnsi="仿宋" w:eastAsia="仿宋"/>
          <w:color w:val="000000"/>
          <w:sz w:val="32"/>
          <w:szCs w:val="32"/>
        </w:rPr>
        <w:t>%</w:t>
      </w:r>
      <w:r>
        <w:rPr>
          <w:rFonts w:hint="eastAsia" w:ascii="仿宋" w:hAnsi="仿宋" w:eastAsia="仿宋"/>
          <w:color w:val="000000"/>
          <w:sz w:val="32"/>
          <w:szCs w:val="32"/>
        </w:rPr>
        <w:t>。全年安排因公出国（境）团组0次，出国（境）0人。因公出国（境）支出决算比</w:t>
      </w:r>
      <w:r>
        <w:rPr>
          <w:rFonts w:ascii="仿宋" w:hAnsi="仿宋" w:eastAsia="仿宋"/>
          <w:color w:val="000000"/>
          <w:sz w:val="32"/>
          <w:szCs w:val="32"/>
        </w:rPr>
        <w:t>201</w:t>
      </w:r>
      <w:r>
        <w:rPr>
          <w:rFonts w:hint="eastAsia" w:ascii="仿宋" w:hAnsi="仿宋" w:eastAsia="仿宋"/>
          <w:color w:val="000000"/>
          <w:sz w:val="32"/>
          <w:szCs w:val="32"/>
        </w:rPr>
        <w:t>8年增加</w:t>
      </w:r>
      <w:r>
        <w:rPr>
          <w:rFonts w:ascii="仿宋" w:hAnsi="仿宋" w:eastAsia="仿宋"/>
          <w:color w:val="000000"/>
          <w:sz w:val="32"/>
          <w:szCs w:val="32"/>
        </w:rPr>
        <w:t>/</w:t>
      </w:r>
      <w:r>
        <w:rPr>
          <w:rFonts w:hint="eastAsia" w:ascii="仿宋" w:hAnsi="仿宋" w:eastAsia="仿宋"/>
          <w:color w:val="000000"/>
          <w:sz w:val="32"/>
          <w:szCs w:val="32"/>
        </w:rPr>
        <w:t>减少0万元，增长</w:t>
      </w:r>
      <w:r>
        <w:rPr>
          <w:rFonts w:ascii="仿宋" w:hAnsi="仿宋" w:eastAsia="仿宋"/>
          <w:color w:val="000000"/>
          <w:sz w:val="32"/>
          <w:szCs w:val="32"/>
        </w:rPr>
        <w:t>/</w:t>
      </w:r>
      <w:r>
        <w:rPr>
          <w:rFonts w:hint="eastAsia" w:ascii="仿宋" w:hAnsi="仿宋" w:eastAsia="仿宋"/>
          <w:color w:val="000000"/>
          <w:sz w:val="32"/>
          <w:szCs w:val="32"/>
        </w:rPr>
        <w:t>下降0</w:t>
      </w:r>
      <w:r>
        <w:rPr>
          <w:rFonts w:ascii="仿宋" w:hAnsi="仿宋" w:eastAsia="仿宋"/>
          <w:color w:val="000000"/>
          <w:sz w:val="32"/>
          <w:szCs w:val="32"/>
        </w:rPr>
        <w:t>%</w:t>
      </w:r>
      <w:r>
        <w:rPr>
          <w:rFonts w:hint="eastAsia" w:ascii="仿宋" w:hAnsi="仿宋" w:eastAsia="仿宋"/>
          <w:color w:val="000000"/>
          <w:sz w:val="32"/>
          <w:szCs w:val="32"/>
        </w:rPr>
        <w:t>。主要原因是…</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开支内容包括：…（团组名称、出访地点、取得成效）</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公务用车购置及运行维护费支出2.49万元,完成预算99.6</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。公务用车购置及运行维护费支出决算比</w:t>
      </w:r>
      <w:r>
        <w:rPr>
          <w:rFonts w:ascii="仿宋" w:hAnsi="仿宋" w:eastAsia="仿宋"/>
          <w:color w:val="000000"/>
          <w:sz w:val="32"/>
          <w:szCs w:val="32"/>
        </w:rPr>
        <w:t>201</w:t>
      </w:r>
      <w:r>
        <w:rPr>
          <w:rFonts w:hint="eastAsia" w:ascii="仿宋" w:hAnsi="仿宋" w:eastAsia="仿宋"/>
          <w:color w:val="000000"/>
          <w:sz w:val="32"/>
          <w:szCs w:val="32"/>
        </w:rPr>
        <w:t>8年增加</w:t>
      </w:r>
      <w:r>
        <w:rPr>
          <w:rFonts w:ascii="仿宋" w:hAnsi="仿宋" w:eastAsia="仿宋"/>
          <w:color w:val="000000"/>
          <w:sz w:val="32"/>
          <w:szCs w:val="32"/>
        </w:rPr>
        <w:t>/</w:t>
      </w:r>
      <w:r>
        <w:rPr>
          <w:rFonts w:hint="eastAsia" w:ascii="仿宋" w:hAnsi="仿宋" w:eastAsia="仿宋"/>
          <w:color w:val="000000"/>
          <w:sz w:val="32"/>
          <w:szCs w:val="32"/>
        </w:rPr>
        <w:t>减少0万元，增长</w:t>
      </w:r>
      <w:r>
        <w:rPr>
          <w:rFonts w:ascii="仿宋" w:hAnsi="仿宋" w:eastAsia="仿宋"/>
          <w:color w:val="000000"/>
          <w:sz w:val="32"/>
          <w:szCs w:val="32"/>
        </w:rPr>
        <w:t>/</w:t>
      </w:r>
      <w:r>
        <w:rPr>
          <w:rFonts w:hint="eastAsia" w:ascii="仿宋" w:hAnsi="仿宋" w:eastAsia="仿宋"/>
          <w:color w:val="000000"/>
          <w:sz w:val="32"/>
          <w:szCs w:val="32"/>
        </w:rPr>
        <w:t>下降0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其中：公务用车购置支出0万元。全年按规定更新购置公务用车0辆，金额0</w:t>
      </w:r>
      <w:r>
        <w:rPr>
          <w:rFonts w:ascii="仿宋" w:hAnsi="仿宋" w:eastAsia="仿宋"/>
          <w:color w:val="000000"/>
          <w:sz w:val="32"/>
          <w:szCs w:val="32"/>
        </w:rPr>
        <w:t>元。</w:t>
      </w:r>
      <w:r>
        <w:rPr>
          <w:rFonts w:hint="eastAsia" w:ascii="仿宋" w:hAnsi="仿宋" w:eastAsia="仿宋"/>
          <w:color w:val="000000"/>
          <w:sz w:val="32"/>
          <w:szCs w:val="32"/>
        </w:rPr>
        <w:t>截至</w:t>
      </w:r>
      <w:r>
        <w:rPr>
          <w:rFonts w:ascii="仿宋" w:hAnsi="仿宋" w:eastAsia="仿宋"/>
          <w:color w:val="000000"/>
          <w:sz w:val="32"/>
          <w:szCs w:val="32"/>
        </w:rPr>
        <w:t>201</w:t>
      </w:r>
      <w:r>
        <w:rPr>
          <w:rFonts w:hint="eastAsia" w:ascii="仿宋" w:hAnsi="仿宋" w:eastAsia="仿宋"/>
          <w:color w:val="000000"/>
          <w:sz w:val="32"/>
          <w:szCs w:val="32"/>
        </w:rPr>
        <w:t>9年</w:t>
      </w:r>
      <w:r>
        <w:rPr>
          <w:rFonts w:ascii="仿宋" w:hAnsi="仿宋" w:eastAsia="仿宋"/>
          <w:color w:val="000000"/>
          <w:sz w:val="32"/>
          <w:szCs w:val="32"/>
        </w:rPr>
        <w:t>12</w:t>
      </w:r>
      <w:r>
        <w:rPr>
          <w:rFonts w:hint="eastAsia" w:ascii="仿宋" w:hAnsi="仿宋" w:eastAsia="仿宋"/>
          <w:color w:val="000000"/>
          <w:sz w:val="32"/>
          <w:szCs w:val="32"/>
        </w:rPr>
        <w:t>月底，单位共有公务用车3辆，其中：主要领导干部用车0辆、机要通信用车0辆、应急保障用车0辆、 执法执勤用车3辆。</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公务用车运行维护费支出2.49万元。主要用于</w:t>
      </w:r>
      <w:r>
        <w:rPr>
          <w:rFonts w:hint="eastAsia" w:ascii="仿宋" w:hAnsi="仿宋" w:eastAsia="仿宋"/>
          <w:bCs/>
          <w:color w:val="000000"/>
          <w:kern w:val="0"/>
          <w:sz w:val="32"/>
          <w:szCs w:val="32"/>
        </w:rPr>
        <w:t>指导、监督律师工作、公证工作、外来企业投诉工作</w:t>
      </w:r>
      <w:r>
        <w:rPr>
          <w:rFonts w:hint="eastAsia" w:ascii="仿宋" w:hAnsi="仿宋" w:eastAsia="仿宋"/>
          <w:color w:val="000000"/>
          <w:sz w:val="32"/>
          <w:szCs w:val="32"/>
        </w:rPr>
        <w:t>等所需的公务用车燃料费、维修费、过路过桥费、保险费等支出。</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公务接待费支出0.94万元，完成预100</w:t>
      </w:r>
      <w:r>
        <w:rPr>
          <w:rFonts w:ascii="仿宋" w:hAnsi="仿宋" w:eastAsia="仿宋"/>
          <w:color w:val="000000"/>
          <w:sz w:val="32"/>
          <w:szCs w:val="32"/>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201</w:t>
      </w:r>
      <w:r>
        <w:rPr>
          <w:rFonts w:hint="eastAsia" w:ascii="仿宋" w:hAnsi="仿宋" w:eastAsia="仿宋"/>
          <w:color w:val="000000"/>
          <w:sz w:val="32"/>
          <w:szCs w:val="32"/>
        </w:rPr>
        <w:t>8年减少0.01万元，下降0.68</w:t>
      </w:r>
      <w:r>
        <w:rPr>
          <w:rFonts w:ascii="仿宋" w:hAnsi="仿宋" w:eastAsia="仿宋"/>
          <w:color w:val="000000"/>
          <w:sz w:val="32"/>
          <w:szCs w:val="32"/>
        </w:rPr>
        <w:t>%</w:t>
      </w:r>
      <w:r>
        <w:rPr>
          <w:rFonts w:hint="eastAsia" w:ascii="仿宋" w:hAnsi="仿宋" w:eastAsia="仿宋"/>
          <w:color w:val="000000"/>
          <w:sz w:val="32"/>
          <w:szCs w:val="32"/>
        </w:rPr>
        <w:t>。主要原因是厉行节约，缩减开支。其中：</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国内公务接待支出0.94万元，主要用于……(执行公务、开展业务活动开支的交通费、住宿费、用餐费等)。国内公务接待11批次，36人次（不包括陪同人员），共计支出0.94万元，具体内容包括：接待上级部门和省内省外学习考察开支0.94万元。</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外事接待支出0万元，外事接待0批次，0人，共计支出0万元，主要用于接待</w:t>
      </w:r>
      <w:r>
        <w:rPr>
          <w:rFonts w:ascii="仿宋" w:hAnsi="仿宋" w:eastAsia="仿宋"/>
          <w:color w:val="000000"/>
          <w:sz w:val="32"/>
          <w:szCs w:val="32"/>
        </w:rPr>
        <w:t>…</w:t>
      </w:r>
      <w:r>
        <w:rPr>
          <w:rFonts w:hint="eastAsia" w:ascii="仿宋" w:hAnsi="仿宋" w:eastAsia="仿宋"/>
          <w:color w:val="000000"/>
          <w:sz w:val="32"/>
          <w:szCs w:val="32"/>
        </w:rPr>
        <w:t>（具体项目）</w:t>
      </w:r>
    </w:p>
    <w:p>
      <w:pPr>
        <w:spacing w:line="600" w:lineRule="exact"/>
        <w:ind w:firstLine="640"/>
        <w:outlineLvl w:val="1"/>
        <w:rPr>
          <w:rFonts w:ascii="黑体" w:eastAsia="黑体"/>
          <w:color w:val="000000"/>
          <w:sz w:val="32"/>
          <w:szCs w:val="32"/>
        </w:rPr>
      </w:pPr>
      <w:bookmarkStart w:id="46" w:name="_Toc15377218"/>
      <w:bookmarkStart w:id="47" w:name="_Toc15396610"/>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9年政府性基金预算拨款支出30.97万元。</w:t>
      </w:r>
    </w:p>
    <w:p>
      <w:pPr>
        <w:numPr>
          <w:ilvl w:val="0"/>
          <w:numId w:val="3"/>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9年国有资本经营预算拨款支出0万元。</w:t>
      </w:r>
    </w:p>
    <w:p>
      <w:pPr>
        <w:spacing w:line="600" w:lineRule="exact"/>
        <w:ind w:firstLine="800" w:firstLineChars="25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9年，区司法局机关运行经费支出72.02万元，比</w:t>
      </w:r>
      <w:r>
        <w:rPr>
          <w:rFonts w:ascii="仿宋" w:hAnsi="仿宋" w:eastAsia="仿宋"/>
          <w:color w:val="000000"/>
          <w:sz w:val="32"/>
          <w:szCs w:val="32"/>
        </w:rPr>
        <w:t>201</w:t>
      </w:r>
      <w:r>
        <w:rPr>
          <w:rFonts w:hint="eastAsia" w:ascii="仿宋" w:hAnsi="仿宋" w:eastAsia="仿宋"/>
          <w:color w:val="000000"/>
          <w:sz w:val="32"/>
          <w:szCs w:val="32"/>
        </w:rPr>
        <w:t>8年增加0.73万元，增长1.02</w:t>
      </w:r>
      <w:r>
        <w:rPr>
          <w:rFonts w:ascii="仿宋" w:hAnsi="仿宋" w:eastAsia="仿宋"/>
          <w:color w:val="000000"/>
          <w:sz w:val="32"/>
          <w:szCs w:val="32"/>
        </w:rPr>
        <w:t>%</w:t>
      </w:r>
      <w:r>
        <w:rPr>
          <w:rFonts w:hint="eastAsia" w:ascii="仿宋" w:hAnsi="仿宋" w:eastAsia="仿宋"/>
          <w:color w:val="000000"/>
          <w:sz w:val="32"/>
          <w:szCs w:val="32"/>
        </w:rPr>
        <w:t>。主要原因是增加了人员和业务。</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9年，区司法局政府采购支出总额0万元，其中：政府采购货物支出0万元、政府采购工程支出0万元、政府采购服务支出0万元。主要用于</w:t>
      </w:r>
      <w:r>
        <w:rPr>
          <w:rFonts w:ascii="仿宋" w:hAnsi="仿宋" w:eastAsia="仿宋"/>
          <w:color w:val="000000"/>
          <w:sz w:val="32"/>
          <w:szCs w:val="32"/>
        </w:rPr>
        <w:t>…</w:t>
      </w:r>
      <w:r>
        <w:rPr>
          <w:rFonts w:hint="eastAsia" w:ascii="仿宋" w:hAnsi="仿宋" w:eastAsia="仿宋"/>
          <w:color w:val="000000"/>
          <w:sz w:val="32"/>
          <w:szCs w:val="32"/>
        </w:rPr>
        <w:t>（具体工作）。授予中小企业合同金额0万元，占政府采购支出总额的0</w:t>
      </w:r>
      <w:r>
        <w:rPr>
          <w:rFonts w:ascii="仿宋" w:hAnsi="仿宋" w:eastAsia="仿宋"/>
          <w:color w:val="000000"/>
          <w:sz w:val="32"/>
          <w:szCs w:val="32"/>
        </w:rPr>
        <w:t>%</w:t>
      </w:r>
      <w:r>
        <w:rPr>
          <w:rFonts w:hint="eastAsia" w:ascii="仿宋" w:hAnsi="仿宋" w:eastAsia="仿宋"/>
          <w:color w:val="000000"/>
          <w:sz w:val="32"/>
          <w:szCs w:val="32"/>
        </w:rPr>
        <w:t>，其中：授予小微企业合同金额0万元，占政府采购支出总额的0</w:t>
      </w:r>
      <w:r>
        <w:rPr>
          <w:rFonts w:ascii="仿宋" w:hAnsi="仿宋" w:eastAsia="仿宋"/>
          <w:color w:val="000000"/>
          <w:sz w:val="32"/>
          <w:szCs w:val="32"/>
        </w:rPr>
        <w:t>%</w:t>
      </w:r>
      <w:r>
        <w:rPr>
          <w:rFonts w:hint="eastAsia" w:ascii="仿宋" w:hAnsi="仿宋" w:eastAsia="仿宋"/>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201</w:t>
      </w:r>
      <w:r>
        <w:rPr>
          <w:rFonts w:hint="eastAsia" w:ascii="仿宋" w:hAnsi="仿宋" w:eastAsia="仿宋"/>
          <w:color w:val="000000"/>
          <w:sz w:val="32"/>
          <w:szCs w:val="32"/>
        </w:rPr>
        <w:t>9年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日，区司法局共有车辆3辆，其中：主要领导干部用车0辆、机要通信用车0辆、应急保障用车0辆、执法执勤用车3辆，……其他用车主要是用于……单价</w:t>
      </w:r>
      <w:r>
        <w:rPr>
          <w:rFonts w:ascii="仿宋" w:hAnsi="仿宋" w:eastAsia="仿宋"/>
          <w:color w:val="000000"/>
          <w:sz w:val="32"/>
          <w:szCs w:val="32"/>
        </w:rPr>
        <w:t>50</w:t>
      </w:r>
      <w:r>
        <w:rPr>
          <w:rFonts w:hint="eastAsia" w:ascii="仿宋" w:hAnsi="仿宋" w:eastAsia="仿宋"/>
          <w:color w:val="000000"/>
          <w:sz w:val="32"/>
          <w:szCs w:val="32"/>
        </w:rPr>
        <w:t>万元以上通用设备0台（套），单价</w:t>
      </w:r>
      <w:r>
        <w:rPr>
          <w:rFonts w:ascii="仿宋" w:hAnsi="仿宋" w:eastAsia="仿宋"/>
          <w:color w:val="000000"/>
          <w:sz w:val="32"/>
          <w:szCs w:val="32"/>
        </w:rPr>
        <w:t>100</w:t>
      </w:r>
      <w:r>
        <w:rPr>
          <w:rFonts w:hint="eastAsia" w:ascii="仿宋" w:hAnsi="仿宋" w:eastAsia="仿宋"/>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pStyle w:val="12"/>
        <w:spacing w:before="93" w:beforeAutospacing="0" w:after="0" w:afterAutospacing="0" w:line="600" w:lineRule="atLeast"/>
        <w:ind w:firstLine="640"/>
        <w:rPr>
          <w:rFonts w:ascii="微软雅黑" w:hAnsi="微软雅黑" w:eastAsia="微软雅黑"/>
          <w:color w:val="333333"/>
          <w:sz w:val="23"/>
          <w:szCs w:val="23"/>
        </w:rPr>
      </w:pPr>
      <w:r>
        <w:rPr>
          <w:rFonts w:hint="eastAsia" w:ascii="仿宋" w:hAnsi="仿宋" w:eastAsia="仿宋"/>
          <w:color w:val="333333"/>
          <w:sz w:val="32"/>
          <w:szCs w:val="32"/>
        </w:rPr>
        <w:t>根据预算绩效管理要求，本部门（单位）在年初预算编制阶段，组织对13项目开展了预算事前绩效评估，对13个项目编制了绩效目标，预算执行过程中，选取13个项目开展绩效监控，年终执行完毕后，对13个项目开展了绩效目标完成情况自评。</w:t>
      </w:r>
    </w:p>
    <w:p>
      <w:pPr>
        <w:pStyle w:val="12"/>
        <w:spacing w:before="93" w:beforeAutospacing="0" w:after="0" w:afterAutospacing="0" w:line="600" w:lineRule="atLeast"/>
        <w:ind w:firstLine="640"/>
        <w:rPr>
          <w:rFonts w:ascii="微软雅黑" w:hAnsi="微软雅黑" w:eastAsia="微软雅黑"/>
          <w:color w:val="333333"/>
          <w:sz w:val="23"/>
          <w:szCs w:val="23"/>
        </w:rPr>
      </w:pPr>
      <w:r>
        <w:rPr>
          <w:rFonts w:hint="eastAsia" w:ascii="仿宋" w:hAnsi="仿宋" w:eastAsia="仿宋"/>
          <w:color w:val="333333"/>
          <w:sz w:val="32"/>
          <w:szCs w:val="32"/>
        </w:rPr>
        <w:t>本部门按要求对2019年部门整体支出开展绩效自评，从评价情况来看预算项目都按照年初计划完成全部工作事项，并按相关要求撰写了对应的自查报告</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olor w:val="333333"/>
          <w:sz w:val="32"/>
          <w:szCs w:val="32"/>
        </w:rPr>
        <w:t>本部门在2019年度部门决算中反映““社区矫正”、“法治宣传”、“物业管理”、“被装购置费”、 “政法专网租赁费”、“人民调解”、“人民监督员工作经费”、“市医调委经费”、“其他业务运行费”、 “指挥中心建设”、“律师公证管理”、“法律援助工作经费”、“中央转移支付”、等13个项目绩效目标实际完成情况。（本单位部门项目绩效目标个数在5个以上的，选取5个项目进行公开，目标个数在5个以下的，全部进行公开，公开内容包括选取的全部项目完成情况综述和完成情况表</w:t>
      </w:r>
      <w:r>
        <w:rPr>
          <w:rFonts w:hint="eastAsia" w:ascii="仿宋_GB2312" w:hAnsi="仿宋_GB2312" w:eastAsia="仿宋_GB2312" w:cs="仿宋_GB2312"/>
          <w:sz w:val="32"/>
          <w:szCs w:val="32"/>
        </w:rPr>
        <w:t>。</w:t>
      </w:r>
    </w:p>
    <w:p>
      <w:pPr>
        <w:spacing w:line="580" w:lineRule="exact"/>
        <w:ind w:firstLine="540" w:firstLineChars="200"/>
        <w:rPr>
          <w:rFonts w:ascii="仿宋" w:hAnsi="仿宋" w:eastAsia="仿宋"/>
          <w:color w:val="333333"/>
          <w:sz w:val="32"/>
          <w:szCs w:val="32"/>
        </w:rPr>
      </w:pPr>
      <w:r>
        <w:rPr>
          <w:rFonts w:hint="eastAsia" w:ascii="仿宋" w:hAnsi="仿宋" w:eastAsia="仿宋"/>
          <w:color w:val="333333"/>
          <w:sz w:val="27"/>
          <w:szCs w:val="27"/>
        </w:rPr>
        <w:t>（</w:t>
      </w:r>
      <w:r>
        <w:rPr>
          <w:rFonts w:hint="eastAsia" w:ascii="仿宋" w:hAnsi="仿宋" w:eastAsia="仿宋"/>
          <w:color w:val="333333"/>
          <w:sz w:val="32"/>
          <w:szCs w:val="32"/>
        </w:rPr>
        <w:t>1）社区矫正项目绩效目标完成情况综述。项目全年预算数0.90万元，执行数为0.90万元，完成预算的100%。通过项目实施，保障对社区矫正管理人员的手机实时定位监控，提高监管控制力度，保证了全市社区矫正人员不脱管漏管 (按照项目总体目标简要描述项目成效），发现的主要问题：项目费用总量资金较少，支付网络平台运行费用都存在困难，到基层实地调研及开展对应工作无经费支撑。下一步改进措施：争取财政支持</w:t>
      </w:r>
    </w:p>
    <w:p>
      <w:pPr>
        <w:spacing w:line="58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2）法律援助项目绩效目标完成情况综述。项目全年预算数27.00万元，执行数为27.00万元，完成预算的100%。通过项目实施，保障了市内困难人群、农民工、低保人员等援助对象的法律援助诉求，促进了依法治市和法治政府建设，提高了法律知晓度和法律维权意识，解决了困难人群的基本法律咨询和援助问题。发现的主要问题：法律援助的范围和广度要求愈来愈高，总量资金用于“12348”法律服务热线的网络费用和热线人员值班费，就开销了很大一部分；在市政务中心、援助大厅、市看守所等地也需要安排值班律师，同时还有大量援助案件需要办理，综上需要支付律师的劳务费用开销很大。下一步改进措施：积极上上级争取资金弥补市级财政经费不足问题</w:t>
      </w:r>
    </w:p>
    <w:p>
      <w:pPr>
        <w:pStyle w:val="12"/>
        <w:spacing w:before="93" w:beforeAutospacing="0" w:after="0" w:afterAutospacing="0" w:line="600" w:lineRule="atLeast"/>
        <w:ind w:firstLine="640"/>
        <w:rPr>
          <w:rFonts w:ascii="仿宋" w:hAnsi="仿宋" w:eastAsia="仿宋" w:cs="Times New Roman"/>
          <w:color w:val="333333"/>
          <w:kern w:val="2"/>
          <w:sz w:val="32"/>
          <w:szCs w:val="32"/>
        </w:rPr>
      </w:pPr>
      <w:r>
        <w:rPr>
          <w:rFonts w:hint="eastAsia" w:ascii="仿宋" w:hAnsi="仿宋" w:eastAsia="仿宋" w:cs="Times New Roman"/>
          <w:color w:val="333333"/>
          <w:kern w:val="2"/>
          <w:sz w:val="32"/>
          <w:szCs w:val="32"/>
        </w:rPr>
        <w:t>（3）普法宣传项目绩效目标完成情况综述。项目全年预算数4万元，执行数为4万元，完成预算的100%。通过项目实施，提高普法宣传的工作力度，促进了国家法律在人民心目中的地位。发现的主要问题：普法工作涉及面广，需要开展的具体工作事项繁杂，经费保障力度不够。下一步改进措施：加强新媒体宣传力度，节约宣传资料印刷等费用。</w:t>
      </w:r>
    </w:p>
    <w:p>
      <w:pPr>
        <w:pStyle w:val="12"/>
        <w:spacing w:before="0" w:beforeAutospacing="0" w:after="0" w:afterAutospacing="0" w:line="600" w:lineRule="atLeast"/>
        <w:ind w:firstLine="640"/>
        <w:rPr>
          <w:rFonts w:ascii="仿宋" w:hAnsi="仿宋" w:eastAsia="仿宋" w:cs="Times New Roman"/>
          <w:color w:val="333333"/>
          <w:kern w:val="2"/>
          <w:sz w:val="32"/>
          <w:szCs w:val="32"/>
        </w:rPr>
      </w:pPr>
      <w:r>
        <w:rPr>
          <w:rFonts w:hint="eastAsia" w:ascii="仿宋" w:hAnsi="仿宋" w:eastAsia="仿宋" w:cs="Times New Roman"/>
          <w:color w:val="333333"/>
          <w:kern w:val="2"/>
          <w:sz w:val="32"/>
          <w:szCs w:val="32"/>
        </w:rPr>
        <w:t>（4）.物业管理项目绩效目标完成情况综述。项目全年预算数18.96万元，执行数为18.96万元，完成预算的100%。通过项目实施，保障了司法局业务用房的安保工作，保证了司法行政工作的顺利开展。发现的主要问题：政府购买服务的成本逐年增加。下一步改进措施：调整支出结构，优化费用支出。</w:t>
      </w:r>
    </w:p>
    <w:p>
      <w:pPr>
        <w:pStyle w:val="12"/>
        <w:spacing w:before="93" w:beforeAutospacing="0" w:after="0" w:afterAutospacing="0" w:line="600" w:lineRule="atLeast"/>
        <w:ind w:firstLine="640"/>
        <w:rPr>
          <w:rFonts w:ascii="微软雅黑" w:hAnsi="微软雅黑" w:eastAsia="微软雅黑"/>
          <w:color w:val="333333"/>
          <w:sz w:val="23"/>
          <w:szCs w:val="23"/>
        </w:rPr>
      </w:pPr>
      <w:r>
        <w:rPr>
          <w:rFonts w:hint="eastAsia" w:ascii="仿宋" w:hAnsi="仿宋" w:eastAsia="仿宋" w:cs="Times New Roman"/>
          <w:color w:val="333333"/>
          <w:kern w:val="2"/>
          <w:sz w:val="32"/>
          <w:szCs w:val="32"/>
        </w:rPr>
        <w:t>（5）.人民监督员工作经费项目绩效目标完成情况综述。项目全年预算数5万元，执行数为5万元，完成预算的100%。通过项目实施，保障了案件公诉和案件审判的监督力度，达到了维护社会安全稳定的效果。发现的主要问题：监督人员的培训和专业化水平还有待提高。下一步改进措施：加强人员的管理与业务技能培</w:t>
      </w:r>
      <w:r>
        <w:rPr>
          <w:rFonts w:hint="eastAsia" w:ascii="仿宋" w:hAnsi="仿宋" w:eastAsia="仿宋"/>
          <w:color w:val="333333"/>
          <w:sz w:val="32"/>
          <w:szCs w:val="32"/>
        </w:rPr>
        <w:t>训.</w:t>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社区矫正</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司法局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保障社区矫正人员监控平台正常运转</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完成监控平台的正常运行</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保障监控平台的正常运行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提供必要的维护费用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保证了全市900多社区服刑人员在监控范围以内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达标矫正人员不脱管漏管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达标矫正人员不脱管漏管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强化社会监管，建设和谐社区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强化社会监管，建设和谐社区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无监控死角</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无监控死角</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强化社区矫正人员约束力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监控到位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矫正人员在监管下服从管理</w:t>
            </w:r>
          </w:p>
        </w:tc>
      </w:tr>
    </w:tbl>
    <w:p>
      <w:pPr>
        <w:spacing w:line="580" w:lineRule="exact"/>
        <w:ind w:left="63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法律援助</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司法局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办理市本级法律援助案件的办理工作，完成上级指派援助案件，解答法律服务热线咨询问题</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办理市本级法律援助案件的办理工作，完成上级指派援助案件，解答法律服务热线咨询问题</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完成市本级援助工作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完成区本级援助工作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完成援助案件160件以上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化解社会矛盾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减少信访工作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按援助要求和范围全部受理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按援助要求和范围全部受理</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援助案件办结率75%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热线咨询满意度95%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援助案件办结率85%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办结率90%，满意度95%</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普法宣传</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司法局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落实“七五”普法和法律七进工作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完成当年的普法宣传工作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按区委、区政府要求完成对应的宣传工作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落实6.26、12.4宣传工作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全年完成3次以上大型宣传工作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全年完成3次以上大型宣传工作</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提高维稳和法治工作意识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提升群众的法律意识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达到宣传法治、法律的工作需求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完成对应工作目标任务</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完成对应工作目标任务%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维护社会稳定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推进社会法制化进程</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推进社会法制化进程</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司法所房租</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司法局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满足业务用房工作需求</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达到业务用房安保要求</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完成业务用房任务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完成业务用房任务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达到业务用房正常运行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达到业务用房正常运行</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解决业务用房正常运行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解决业务用房设施设备安全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达到满意度95%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达到满意度95%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满意度95%</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法律援助</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司法局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办理市本级法律援助案件的办理工作，完成上级指派援助案件，解答法律服务热线咨询问题</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办理市本级法律援助案件的办理工作，完成上级指派援助案件，解答法律服务热线咨询问题</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完成市本级援助工作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完成市本级援助工作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完成援助案件160件以上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化解社会矛盾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减少信访工作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按援助要求和范围全部受理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按援助要求和范围全部受理</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援助案件办结率75%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热线咨询满意度95%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援助案件办结率85%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color w:val="333333"/>
                <w:sz w:val="20"/>
                <w:szCs w:val="20"/>
              </w:rPr>
              <w:t>办结率90%，满意度95%</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楷体_GB2312" w:hAnsi="楷体_GB2312" w:eastAsia="楷体_GB2312" w:cs="楷体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pStyle w:val="12"/>
        <w:spacing w:before="93" w:beforeAutospacing="0" w:after="0" w:afterAutospacing="0" w:line="600" w:lineRule="atLeast"/>
        <w:ind w:firstLine="640"/>
        <w:rPr>
          <w:rFonts w:ascii="微软雅黑" w:hAnsi="微软雅黑" w:eastAsia="微软雅黑"/>
          <w:color w:val="333333"/>
          <w:sz w:val="23"/>
          <w:szCs w:val="23"/>
        </w:rPr>
      </w:pPr>
      <w:r>
        <w:rPr>
          <w:rFonts w:hint="eastAsia" w:ascii="仿宋" w:hAnsi="仿宋" w:eastAsia="仿宋"/>
          <w:color w:val="333333"/>
          <w:sz w:val="32"/>
          <w:szCs w:val="32"/>
        </w:rPr>
        <w:t>本部门按要求对2019年部门整体支出绩效评价情况开展自评，《攀枝花市西区司法局部门2019年部门整体支出绩效评价报告》见附件（附件1）。</w:t>
      </w:r>
    </w:p>
    <w:p>
      <w:pPr>
        <w:pStyle w:val="12"/>
        <w:spacing w:before="93" w:beforeAutospacing="0" w:after="0" w:afterAutospacing="0" w:line="600" w:lineRule="atLeast"/>
        <w:ind w:firstLine="640"/>
        <w:rPr>
          <w:rFonts w:ascii="微软雅黑" w:hAnsi="微软雅黑" w:eastAsia="微软雅黑"/>
          <w:color w:val="333333"/>
          <w:sz w:val="23"/>
          <w:szCs w:val="23"/>
        </w:rPr>
      </w:pPr>
      <w:r>
        <w:rPr>
          <w:rFonts w:hint="eastAsia" w:ascii="仿宋" w:hAnsi="仿宋" w:eastAsia="仿宋"/>
          <w:color w:val="333333"/>
          <w:sz w:val="32"/>
          <w:szCs w:val="32"/>
        </w:rPr>
        <w:t>本部门自行组织对13项目、13项目开展了绩效评价，《2019年市西区司法局项目2019年绩效评价报告》见附件（附件2）。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 xml:space="preserve"> 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 xml:space="preserve"> 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 xml:space="preserve"> 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 xml:space="preserve">12. </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jc w:val="center"/>
        <w:rPr>
          <w:rStyle w:val="25"/>
          <w:rFonts w:ascii="仿宋_GB2312" w:hAnsi="Calibri" w:eastAsia="仿宋_GB2312"/>
          <w:b w:val="0"/>
          <w:bCs w:val="0"/>
          <w:kern w:val="0"/>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5"/>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西区司法局</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shd w:val="clear" w:color="auto" w:fill="FFFFFF"/>
        </w:rPr>
        <w:t>一、部门（单位）概况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（一）机构组成。</w:t>
      </w:r>
    </w:p>
    <w:p>
      <w:pPr>
        <w:widowControl/>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根据《攀枝花市西区人民政府办公室关于印发攀枝花市西区司法局主要职责内设机构和人员编制规定的通知》攀办</w:t>
      </w:r>
      <w:r>
        <w:rPr>
          <w:rFonts w:hint="eastAsia" w:ascii="仿宋" w:hAnsi="仿宋" w:eastAsia="仿宋" w:cs="宋体"/>
          <w:kern w:val="0"/>
          <w:sz w:val="32"/>
          <w:szCs w:val="32"/>
        </w:rPr>
        <w:t>发〔2011〕49号，</w:t>
      </w:r>
      <w:r>
        <w:rPr>
          <w:rFonts w:hint="eastAsia" w:ascii="仿宋" w:hAnsi="仿宋" w:eastAsia="仿宋" w:cs="宋体"/>
          <w:color w:val="333333"/>
          <w:kern w:val="0"/>
          <w:sz w:val="32"/>
          <w:szCs w:val="32"/>
        </w:rPr>
        <w:t>“三定方案”的内设机构为：</w:t>
      </w:r>
      <w:r>
        <w:rPr>
          <w:rFonts w:ascii="仿宋" w:hAnsi="仿宋" w:eastAsia="仿宋" w:cs="宋体"/>
          <w:color w:val="333333"/>
          <w:kern w:val="0"/>
          <w:sz w:val="32"/>
          <w:szCs w:val="32"/>
        </w:rPr>
        <w:t>西区司法局下设办公室、政治部、公共法律服务管理股、社区矫正股、法律援助中心、公证处、法治政府建设股、人民参与和促进法治股、普法与行政执法监督股、区委全面依法治区办秘书股。</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（二）机构职能。</w:t>
      </w:r>
    </w:p>
    <w:p>
      <w:pPr>
        <w:widowControl/>
        <w:spacing w:line="580" w:lineRule="atLeast"/>
        <w:ind w:firstLine="640"/>
        <w:jc w:val="left"/>
        <w:rPr>
          <w:rFonts w:ascii="仿宋_GB2312" w:hAnsi="仿宋" w:eastAsia="仿宋_GB2312"/>
          <w:sz w:val="30"/>
          <w:szCs w:val="30"/>
        </w:rPr>
      </w:pPr>
      <w:r>
        <w:rPr>
          <w:rFonts w:hint="eastAsia" w:ascii="仿宋" w:hAnsi="仿宋" w:eastAsia="仿宋" w:cs="宋体"/>
          <w:color w:val="333333"/>
          <w:kern w:val="0"/>
          <w:sz w:val="32"/>
          <w:szCs w:val="32"/>
        </w:rPr>
        <w:t>攀枝花市西区司法局系纳入公务员编制的机关法人。地址：攀枝花市西区5号。法定代表人：杜治勇。主要职责包括：</w:t>
      </w:r>
    </w:p>
    <w:p>
      <w:pPr>
        <w:snapToGrid w:val="0"/>
        <w:spacing w:line="588"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(1)贯彻执行国家、省、市关于司法行政工作的方针、政策和法律、法规及规章，拟定全区司法行政规范性文件和工作发展规划、工作计划并组织实施。  </w:t>
      </w:r>
    </w:p>
    <w:p>
      <w:pPr>
        <w:snapToGrid w:val="0"/>
        <w:spacing w:line="588"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(2)拟定法制宣传教育、普及法律常识和依法治理规划并组织实施；指导全区法制宣传、依法治理工作；承担区法制建设领导小组具体工作。</w:t>
      </w:r>
    </w:p>
    <w:p>
      <w:pPr>
        <w:snapToGrid w:val="0"/>
        <w:spacing w:line="588"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(3)指导、监督律师工作、公证工作、外来企业投诉工作。</w:t>
      </w:r>
    </w:p>
    <w:p>
      <w:pPr>
        <w:snapToGrid w:val="0"/>
        <w:spacing w:line="588"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(4)监督、管理法律援助工作。 </w:t>
      </w:r>
    </w:p>
    <w:p>
      <w:pPr>
        <w:snapToGrid w:val="0"/>
        <w:spacing w:line="588"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(5)指导、监督基层司法所建设和人民调解、社区矫正、基层法律服务、帮教安置工作。 </w:t>
      </w:r>
    </w:p>
    <w:p>
      <w:pPr>
        <w:snapToGrid w:val="0"/>
        <w:spacing w:line="588"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(6)负责司法行政系统的服装、警车等装备以及国有资产的管理工作。</w:t>
      </w:r>
    </w:p>
    <w:p>
      <w:pPr>
        <w:snapToGrid w:val="0"/>
        <w:spacing w:line="588"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(7)指导、监督司法行政系统队伍建设和思想政治工作；负责司法行政系统的编制人事和警务管理、警务督察工作。</w:t>
      </w:r>
    </w:p>
    <w:p>
      <w:pPr>
        <w:snapToGrid w:val="0"/>
        <w:spacing w:line="588"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(8)指导全区司法行政系统的队伍建设和思想政治工作。 </w:t>
      </w:r>
    </w:p>
    <w:p>
      <w:pPr>
        <w:pStyle w:val="5"/>
        <w:adjustRightInd w:val="0"/>
        <w:snapToGrid w:val="0"/>
        <w:spacing w:before="93" w:line="600" w:lineRule="exact"/>
        <w:ind w:firstLine="672" w:firstLineChars="210"/>
        <w:outlineLvl w:val="2"/>
        <w:rPr>
          <w:rFonts w:hAnsi="仿宋"/>
          <w:bCs/>
          <w:color w:val="000000"/>
          <w:sz w:val="32"/>
          <w:szCs w:val="32"/>
        </w:rPr>
      </w:pPr>
      <w:r>
        <w:rPr>
          <w:rFonts w:hint="eastAsia" w:ascii="仿宋" w:hAnsi="仿宋" w:eastAsia="仿宋" w:cs="宋体"/>
          <w:color w:val="333333"/>
          <w:sz w:val="32"/>
          <w:szCs w:val="32"/>
        </w:rPr>
        <w:t>(9)承办区委、区政府和上级司法行政机关交办的其他事项。</w:t>
      </w:r>
      <w:r>
        <w:rPr>
          <w:rFonts w:hint="eastAsia" w:hAnsi="仿宋"/>
          <w:szCs w:val="30"/>
        </w:rPr>
        <w:t xml:space="preserve"> </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（三）人员概况。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区司法局（含二级预算单位）总编制34人，其中：政法编制28人，事业人员编制6人（参公事业人员3人，事业人员5人）；按报表归并口径分为行政编制28人，事业编制6人（具体参公3人和财政补助3人）。2019年12月末财政供养人员合计为34人，实有在职人员34人：其中公务员28人，占编聘用人员1人，参照公务员管理人员3人，事业人员3人。在职人员占总编制的100%，退休人员12人。</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shd w:val="clear" w:color="auto" w:fill="FFFFFF"/>
        </w:rPr>
        <w:t>二、部门财政资金收支情况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（一）部门财政资金收入情况。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2019年年初财政预算收入</w:t>
      </w:r>
      <w:r>
        <w:rPr>
          <w:rFonts w:ascii="仿宋" w:hAnsi="仿宋" w:eastAsia="仿宋" w:cs="宋体"/>
          <w:color w:val="333333"/>
          <w:kern w:val="0"/>
          <w:sz w:val="32"/>
          <w:szCs w:val="32"/>
        </w:rPr>
        <w:t>5,425,348.66</w:t>
      </w:r>
      <w:r>
        <w:rPr>
          <w:rFonts w:hint="eastAsia" w:ascii="仿宋" w:hAnsi="仿宋" w:eastAsia="仿宋" w:cs="宋体"/>
          <w:color w:val="333333"/>
          <w:kern w:val="0"/>
          <w:sz w:val="32"/>
          <w:szCs w:val="32"/>
        </w:rPr>
        <w:t>元，当年调增及调减后实际当年财政收入</w:t>
      </w:r>
      <w:r>
        <w:rPr>
          <w:rFonts w:ascii="仿宋" w:hAnsi="仿宋" w:eastAsia="仿宋" w:cs="宋体"/>
          <w:color w:val="333333"/>
          <w:kern w:val="0"/>
          <w:sz w:val="32"/>
          <w:szCs w:val="32"/>
        </w:rPr>
        <w:t>5,437,126.09</w:t>
      </w:r>
      <w:r>
        <w:rPr>
          <w:rFonts w:hint="eastAsia" w:ascii="仿宋" w:hAnsi="仿宋" w:eastAsia="仿宋" w:cs="宋体"/>
          <w:color w:val="333333"/>
          <w:kern w:val="0"/>
          <w:sz w:val="32"/>
          <w:szCs w:val="32"/>
        </w:rPr>
        <w:t>元，主要是减少了机关运行部分。2019年全年预算收入</w:t>
      </w:r>
      <w:r>
        <w:rPr>
          <w:rFonts w:ascii="仿宋" w:hAnsi="仿宋" w:eastAsia="仿宋" w:cs="宋体"/>
          <w:color w:val="333333"/>
          <w:kern w:val="0"/>
          <w:sz w:val="32"/>
          <w:szCs w:val="32"/>
        </w:rPr>
        <w:t>5,437,126.09</w:t>
      </w:r>
      <w:r>
        <w:rPr>
          <w:rFonts w:hint="eastAsia" w:ascii="仿宋" w:hAnsi="仿宋" w:eastAsia="仿宋" w:cs="宋体"/>
          <w:color w:val="333333"/>
          <w:kern w:val="0"/>
          <w:sz w:val="32"/>
          <w:szCs w:val="32"/>
        </w:rPr>
        <w:t>元，其中财政拨款</w:t>
      </w:r>
      <w:r>
        <w:rPr>
          <w:rFonts w:ascii="仿宋" w:hAnsi="仿宋" w:eastAsia="仿宋" w:cs="宋体"/>
          <w:color w:val="333333"/>
          <w:kern w:val="0"/>
          <w:sz w:val="32"/>
          <w:szCs w:val="32"/>
        </w:rPr>
        <w:t>7,577,514.57</w:t>
      </w:r>
      <w:r>
        <w:rPr>
          <w:rFonts w:hint="eastAsia" w:ascii="仿宋" w:hAnsi="仿宋" w:eastAsia="仿宋" w:cs="宋体"/>
          <w:color w:val="333333"/>
          <w:kern w:val="0"/>
          <w:sz w:val="32"/>
          <w:szCs w:val="32"/>
        </w:rPr>
        <w:t>元，上年结转合计</w:t>
      </w:r>
      <w:r>
        <w:rPr>
          <w:rFonts w:ascii="仿宋" w:hAnsi="仿宋" w:eastAsia="仿宋" w:cs="宋体"/>
          <w:color w:val="333333"/>
          <w:kern w:val="0"/>
          <w:sz w:val="32"/>
          <w:szCs w:val="32"/>
        </w:rPr>
        <w:t>2,140,388.48</w:t>
      </w:r>
      <w:r>
        <w:rPr>
          <w:rFonts w:hint="eastAsia" w:ascii="仿宋" w:hAnsi="仿宋" w:eastAsia="仿宋" w:cs="宋体"/>
          <w:color w:val="333333"/>
          <w:kern w:val="0"/>
          <w:sz w:val="32"/>
          <w:szCs w:val="32"/>
        </w:rPr>
        <w:t>元（其中上级法律援助结转84092.22元，县区医调委经费结转688634.87，上级调研及基层业务结转11400.00元，仲裁委员会秘书处工作经费100000.00元），县（区）划拨及上级补助841995.00元（其中上级法律援助经费369200.00元，县区医调委经费390000.00元，上级法律职业资格考试60720.00元，原法制办划转经费22075.00元）；2019年财政预算支出</w:t>
      </w:r>
      <w:r>
        <w:rPr>
          <w:rFonts w:ascii="仿宋" w:hAnsi="仿宋" w:eastAsia="仿宋" w:cs="宋体"/>
          <w:color w:val="333333"/>
          <w:kern w:val="0"/>
          <w:sz w:val="32"/>
          <w:szCs w:val="32"/>
        </w:rPr>
        <w:t>7,138,059.07</w:t>
      </w:r>
      <w:r>
        <w:rPr>
          <w:rFonts w:hint="eastAsia" w:ascii="仿宋" w:hAnsi="仿宋" w:eastAsia="仿宋" w:cs="宋体"/>
          <w:color w:val="333333"/>
          <w:kern w:val="0"/>
          <w:sz w:val="32"/>
          <w:szCs w:val="32"/>
        </w:rPr>
        <w:t>元，财政拨款结转年末项目结转</w:t>
      </w:r>
      <w:r>
        <w:rPr>
          <w:rFonts w:ascii="仿宋" w:hAnsi="仿宋" w:eastAsia="仿宋" w:cs="宋体"/>
          <w:color w:val="333333"/>
          <w:kern w:val="0"/>
          <w:sz w:val="32"/>
          <w:szCs w:val="32"/>
        </w:rPr>
        <w:t>439,455.50</w:t>
      </w:r>
      <w:r>
        <w:rPr>
          <w:rFonts w:hint="eastAsia" w:ascii="仿宋" w:hAnsi="仿宋" w:eastAsia="仿宋" w:cs="宋体"/>
          <w:color w:val="333333"/>
          <w:kern w:val="0"/>
          <w:sz w:val="32"/>
          <w:szCs w:val="32"/>
        </w:rPr>
        <w:t>元，其中上级法律援助经费结转150792.22元。</w:t>
      </w:r>
      <w:r>
        <w:rPr>
          <w:rFonts w:hint="eastAsia" w:ascii="微软雅黑" w:hAnsi="微软雅黑" w:eastAsia="微软雅黑" w:cs="宋体"/>
          <w:color w:val="333333"/>
          <w:kern w:val="0"/>
          <w:sz w:val="23"/>
          <w:szCs w:val="23"/>
        </w:rPr>
        <w:t> </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（二）部门财政资金支出情况。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2019全年总支出</w:t>
      </w:r>
      <w:r>
        <w:rPr>
          <w:rFonts w:ascii="仿宋" w:hAnsi="仿宋" w:eastAsia="仿宋" w:cs="宋体"/>
          <w:color w:val="333333"/>
          <w:kern w:val="0"/>
          <w:sz w:val="32"/>
          <w:szCs w:val="32"/>
        </w:rPr>
        <w:t>7,138,059.07</w:t>
      </w:r>
      <w:r>
        <w:rPr>
          <w:rFonts w:hint="eastAsia" w:ascii="仿宋" w:hAnsi="仿宋" w:eastAsia="仿宋" w:cs="宋体"/>
          <w:color w:val="333333"/>
          <w:kern w:val="0"/>
          <w:sz w:val="32"/>
          <w:szCs w:val="32"/>
        </w:rPr>
        <w:t>元，其中行政运行支出</w:t>
      </w:r>
      <w:r>
        <w:rPr>
          <w:rFonts w:ascii="仿宋" w:hAnsi="仿宋" w:eastAsia="仿宋" w:cs="宋体"/>
          <w:color w:val="333333"/>
          <w:kern w:val="0"/>
          <w:sz w:val="32"/>
          <w:szCs w:val="32"/>
        </w:rPr>
        <w:t>4,617,142.92</w:t>
      </w:r>
      <w:r>
        <w:rPr>
          <w:rFonts w:hint="eastAsia" w:ascii="仿宋" w:hAnsi="仿宋" w:eastAsia="仿宋" w:cs="宋体"/>
          <w:color w:val="333333"/>
          <w:kern w:val="0"/>
          <w:sz w:val="32"/>
          <w:szCs w:val="32"/>
        </w:rPr>
        <w:t>元，占总支出的64.68%；一般行政管理事务支出</w:t>
      </w:r>
      <w:r>
        <w:rPr>
          <w:rFonts w:ascii="仿宋" w:hAnsi="仿宋" w:eastAsia="仿宋" w:cs="宋体"/>
          <w:color w:val="333333"/>
          <w:kern w:val="0"/>
          <w:sz w:val="32"/>
          <w:szCs w:val="32"/>
        </w:rPr>
        <w:t>107,222.50</w:t>
      </w:r>
      <w:r>
        <w:rPr>
          <w:rFonts w:hint="eastAsia" w:ascii="仿宋" w:hAnsi="仿宋" w:eastAsia="仿宋" w:cs="宋体"/>
          <w:color w:val="333333"/>
          <w:kern w:val="0"/>
          <w:sz w:val="32"/>
          <w:szCs w:val="32"/>
        </w:rPr>
        <w:t>元，占总支出的1.5%；法律援助支出</w:t>
      </w:r>
      <w:r>
        <w:rPr>
          <w:rFonts w:ascii="仿宋" w:hAnsi="仿宋" w:eastAsia="仿宋" w:cs="宋体"/>
          <w:color w:val="333333"/>
          <w:kern w:val="0"/>
          <w:sz w:val="32"/>
          <w:szCs w:val="32"/>
        </w:rPr>
        <w:t>115,105.00</w:t>
      </w:r>
      <w:r>
        <w:rPr>
          <w:rFonts w:hint="eastAsia" w:ascii="仿宋" w:hAnsi="仿宋" w:eastAsia="仿宋" w:cs="宋体"/>
          <w:color w:val="333333"/>
          <w:kern w:val="0"/>
          <w:sz w:val="32"/>
          <w:szCs w:val="32"/>
        </w:rPr>
        <w:t>元，占总支出的1.61%；事业运行支出</w:t>
      </w:r>
      <w:r>
        <w:rPr>
          <w:rFonts w:ascii="仿宋" w:hAnsi="仿宋" w:eastAsia="仿宋" w:cs="宋体"/>
          <w:color w:val="333333"/>
          <w:kern w:val="0"/>
          <w:sz w:val="32"/>
          <w:szCs w:val="32"/>
        </w:rPr>
        <w:t>360,119.83</w:t>
      </w:r>
      <w:r>
        <w:rPr>
          <w:rFonts w:hint="eastAsia" w:ascii="仿宋" w:hAnsi="仿宋" w:eastAsia="仿宋" w:cs="宋体"/>
          <w:color w:val="333333"/>
          <w:kern w:val="0"/>
          <w:sz w:val="32"/>
          <w:szCs w:val="32"/>
        </w:rPr>
        <w:t>元，占总支出的5.05%；其他公共安全支出</w:t>
      </w:r>
      <w:r>
        <w:rPr>
          <w:rFonts w:ascii="仿宋" w:hAnsi="仿宋" w:eastAsia="仿宋" w:cs="宋体"/>
          <w:color w:val="333333"/>
          <w:kern w:val="0"/>
          <w:sz w:val="32"/>
          <w:szCs w:val="32"/>
        </w:rPr>
        <w:t>157,840.20</w:t>
      </w:r>
      <w:r>
        <w:rPr>
          <w:rFonts w:hint="eastAsia" w:ascii="仿宋" w:hAnsi="仿宋" w:eastAsia="仿宋" w:cs="宋体"/>
          <w:color w:val="333333"/>
          <w:kern w:val="0"/>
          <w:sz w:val="32"/>
          <w:szCs w:val="32"/>
        </w:rPr>
        <w:t>元，占总支出的2.21%；未归口管理的行政单位离退休</w:t>
      </w:r>
      <w:r>
        <w:rPr>
          <w:rFonts w:ascii="仿宋" w:hAnsi="仿宋" w:eastAsia="仿宋" w:cs="宋体"/>
          <w:color w:val="333333"/>
          <w:kern w:val="0"/>
          <w:sz w:val="32"/>
          <w:szCs w:val="32"/>
        </w:rPr>
        <w:t>111,704.68</w:t>
      </w:r>
      <w:r>
        <w:rPr>
          <w:rFonts w:hint="eastAsia" w:ascii="仿宋" w:hAnsi="仿宋" w:eastAsia="仿宋" w:cs="宋体"/>
          <w:color w:val="333333"/>
          <w:kern w:val="0"/>
          <w:sz w:val="32"/>
          <w:szCs w:val="32"/>
        </w:rPr>
        <w:t>元，占总支出的1.56%；机关事业单位基本养老保险缴费支出</w:t>
      </w:r>
      <w:r>
        <w:rPr>
          <w:rFonts w:ascii="仿宋" w:hAnsi="仿宋" w:eastAsia="仿宋" w:cs="宋体"/>
          <w:color w:val="333333"/>
          <w:kern w:val="0"/>
          <w:sz w:val="32"/>
          <w:szCs w:val="32"/>
        </w:rPr>
        <w:t>437,537.85</w:t>
      </w:r>
      <w:r>
        <w:rPr>
          <w:rFonts w:hint="eastAsia" w:ascii="仿宋" w:hAnsi="仿宋" w:eastAsia="仿宋" w:cs="宋体"/>
          <w:color w:val="333333"/>
          <w:kern w:val="0"/>
          <w:sz w:val="32"/>
          <w:szCs w:val="32"/>
        </w:rPr>
        <w:t>元，占总支出的6.13%；行政事业单位医疗支出</w:t>
      </w:r>
      <w:r>
        <w:rPr>
          <w:rFonts w:ascii="仿宋" w:hAnsi="仿宋" w:eastAsia="仿宋" w:cs="宋体"/>
          <w:color w:val="333333"/>
          <w:kern w:val="0"/>
          <w:sz w:val="32"/>
          <w:szCs w:val="32"/>
        </w:rPr>
        <w:t>329,118.29</w:t>
      </w:r>
      <w:r>
        <w:rPr>
          <w:rFonts w:hint="eastAsia" w:ascii="仿宋" w:hAnsi="仿宋" w:eastAsia="仿宋" w:cs="宋体"/>
          <w:color w:val="333333"/>
          <w:kern w:val="0"/>
          <w:sz w:val="32"/>
          <w:szCs w:val="32"/>
        </w:rPr>
        <w:t>元，占总支出的4.61%；住房公积金支出</w:t>
      </w:r>
      <w:r>
        <w:rPr>
          <w:rFonts w:ascii="仿宋" w:hAnsi="仿宋" w:eastAsia="仿宋" w:cs="宋体"/>
          <w:color w:val="333333"/>
          <w:kern w:val="0"/>
          <w:sz w:val="32"/>
          <w:szCs w:val="32"/>
        </w:rPr>
        <w:t>592,582.00</w:t>
      </w:r>
      <w:r>
        <w:rPr>
          <w:rFonts w:hint="eastAsia" w:ascii="仿宋" w:hAnsi="仿宋" w:eastAsia="仿宋" w:cs="宋体"/>
          <w:color w:val="333333"/>
          <w:kern w:val="0"/>
          <w:sz w:val="32"/>
          <w:szCs w:val="32"/>
        </w:rPr>
        <w:t>元，占总支出的8.3%。</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shd w:val="clear" w:color="auto" w:fill="FFFFFF"/>
        </w:rPr>
        <w:t>三、部门整体预算绩效管理情况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（一）部门预算管理。</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西区司法局严格按照财政局预算规定执行，并要求各用款部门按工作实际申报用款预算，并提供对应依据及绩效目标。预算编制严格在线录入，预算动态全程在区财政监控下进行；预算执行严格按照工作进度和工作流程进行有计划推进，要求执行进度与绩效挂钩，保证工作推进力度，且无违反财经纪律的问题发生。</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（二）结果应用情况。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单位内部按照工作完成的目标计划和推进力度，在绩效目标考核中予以倾斜，评价结果和应用结果都及时反馈给各科室负责人。</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shd w:val="clear" w:color="auto" w:fill="FFFFFF"/>
        </w:rPr>
        <w:t>四、评价结论及建议</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（一）评价结论。</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2019年度西区司法局各项经费达到对应的绩效目标，圆满完成各项目规定工作任务。</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（二）存在问题。</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主要体现在司法行政系统的经费保障始终维持在较低水平线，各项工作业务经费不能完全按要求和使用用途对应下达；同时预算下达的科目明显删减，对应下达的资金也进行了部分裁剪，造成资金科目与业务实施不能一一对应，支付使用存在大量挤占公用经费的现象。</w:t>
      </w:r>
      <w:r>
        <w:rPr>
          <w:rFonts w:hint="eastAsia" w:ascii="微软雅黑" w:hAnsi="微软雅黑" w:eastAsia="微软雅黑" w:cs="宋体"/>
          <w:color w:val="333333"/>
          <w:kern w:val="0"/>
          <w:sz w:val="23"/>
          <w:szCs w:val="23"/>
        </w:rPr>
        <w:t> </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shd w:val="clear" w:color="auto" w:fill="FFFFFF"/>
        </w:rPr>
        <w:t>（三）改进建议。</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建议在强化资金管理和兼顾使用效率的同时，按工作单位申报的部门预算项目，进行对应批复；便于下达指标在实际工作支配中更贴合科目资金使用性质，改变挤占公用经费的现象；同时建议加大社保预算的投入。</w:t>
      </w:r>
    </w:p>
    <w:p>
      <w:pPr>
        <w:widowControl/>
        <w:spacing w:before="213" w:after="213" w:line="580" w:lineRule="atLeast"/>
        <w:ind w:firstLine="640"/>
        <w:jc w:val="left"/>
        <w:rPr>
          <w:rFonts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p>
    <w:p>
      <w:pPr>
        <w:widowControl/>
        <w:spacing w:line="580" w:lineRule="atLeast"/>
        <w:jc w:val="left"/>
        <w:rPr>
          <w:rFonts w:ascii="黑体" w:hAnsi="黑体" w:eastAsia="黑体" w:cs="宋体"/>
          <w:color w:val="333333"/>
          <w:kern w:val="0"/>
          <w:sz w:val="32"/>
          <w:szCs w:val="32"/>
        </w:rPr>
      </w:pPr>
    </w:p>
    <w:p>
      <w:pPr>
        <w:widowControl/>
        <w:spacing w:line="580" w:lineRule="atLeast"/>
        <w:jc w:val="left"/>
        <w:rPr>
          <w:rFonts w:ascii="黑体" w:hAnsi="黑体" w:eastAsia="黑体" w:cs="宋体"/>
          <w:color w:val="333333"/>
          <w:kern w:val="0"/>
          <w:sz w:val="32"/>
          <w:szCs w:val="32"/>
        </w:rPr>
      </w:pPr>
    </w:p>
    <w:p>
      <w:pPr>
        <w:widowControl/>
        <w:spacing w:line="580" w:lineRule="atLeast"/>
        <w:jc w:val="left"/>
        <w:rPr>
          <w:rFonts w:ascii="黑体" w:hAnsi="黑体" w:eastAsia="黑体" w:cs="宋体"/>
          <w:color w:val="333333"/>
          <w:kern w:val="0"/>
          <w:sz w:val="32"/>
          <w:szCs w:val="32"/>
        </w:rPr>
      </w:pPr>
    </w:p>
    <w:p>
      <w:pPr>
        <w:widowControl/>
        <w:spacing w:line="580" w:lineRule="atLeast"/>
        <w:jc w:val="left"/>
        <w:rPr>
          <w:rFonts w:ascii="黑体" w:hAnsi="黑体" w:eastAsia="黑体" w:cs="宋体"/>
          <w:color w:val="333333"/>
          <w:kern w:val="0"/>
          <w:sz w:val="32"/>
          <w:szCs w:val="32"/>
        </w:rPr>
      </w:pPr>
    </w:p>
    <w:p>
      <w:pPr>
        <w:widowControl/>
        <w:spacing w:line="580" w:lineRule="atLeast"/>
        <w:jc w:val="left"/>
        <w:rPr>
          <w:rFonts w:ascii="黑体" w:hAnsi="黑体" w:eastAsia="黑体" w:cs="宋体"/>
          <w:color w:val="333333"/>
          <w:kern w:val="0"/>
          <w:sz w:val="32"/>
          <w:szCs w:val="32"/>
        </w:rPr>
      </w:pPr>
    </w:p>
    <w:p>
      <w:pPr>
        <w:widowControl/>
        <w:spacing w:line="580" w:lineRule="atLeast"/>
        <w:jc w:val="left"/>
        <w:rPr>
          <w:rFonts w:ascii="黑体" w:hAnsi="黑体" w:eastAsia="黑体" w:cs="宋体"/>
          <w:color w:val="333333"/>
          <w:kern w:val="0"/>
          <w:sz w:val="32"/>
          <w:szCs w:val="32"/>
        </w:rPr>
      </w:pPr>
    </w:p>
    <w:p>
      <w:pPr>
        <w:widowControl/>
        <w:spacing w:line="580" w:lineRule="atLeast"/>
        <w:jc w:val="left"/>
        <w:rPr>
          <w:rFonts w:ascii="黑体" w:hAnsi="黑体" w:eastAsia="黑体" w:cs="宋体"/>
          <w:color w:val="333333"/>
          <w:kern w:val="0"/>
          <w:sz w:val="32"/>
          <w:szCs w:val="32"/>
        </w:rPr>
      </w:pPr>
    </w:p>
    <w:p>
      <w:pPr>
        <w:widowControl/>
        <w:spacing w:line="580" w:lineRule="atLeast"/>
        <w:jc w:val="left"/>
        <w:rPr>
          <w:rFonts w:ascii="黑体" w:hAnsi="黑体" w:eastAsia="黑体" w:cs="宋体"/>
          <w:color w:val="333333"/>
          <w:kern w:val="0"/>
          <w:sz w:val="32"/>
          <w:szCs w:val="32"/>
        </w:rPr>
      </w:pPr>
    </w:p>
    <w:p>
      <w:pPr>
        <w:widowControl/>
        <w:spacing w:line="580" w:lineRule="atLeast"/>
        <w:jc w:val="left"/>
        <w:rPr>
          <w:rFonts w:ascii="黑体" w:hAnsi="黑体" w:eastAsia="黑体" w:cs="宋体"/>
          <w:color w:val="333333"/>
          <w:kern w:val="0"/>
          <w:sz w:val="32"/>
          <w:szCs w:val="32"/>
        </w:rPr>
      </w:pPr>
    </w:p>
    <w:p>
      <w:pPr>
        <w:widowControl/>
        <w:spacing w:line="580" w:lineRule="atLeast"/>
        <w:jc w:val="left"/>
        <w:rPr>
          <w:rFonts w:ascii="黑体" w:hAnsi="黑体" w:eastAsia="黑体" w:cs="宋体"/>
          <w:color w:val="333333"/>
          <w:kern w:val="0"/>
          <w:sz w:val="32"/>
          <w:szCs w:val="32"/>
        </w:rPr>
      </w:pPr>
    </w:p>
    <w:p>
      <w:pPr>
        <w:widowControl/>
        <w:spacing w:line="580" w:lineRule="atLeast"/>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rPr>
        <w:t>附件2</w:t>
      </w:r>
    </w:p>
    <w:p>
      <w:pPr>
        <w:widowControl/>
        <w:spacing w:before="213" w:after="213" w:line="580" w:lineRule="atLeast"/>
        <w:ind w:firstLine="640"/>
        <w:jc w:val="left"/>
        <w:rPr>
          <w:rFonts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p>
    <w:p>
      <w:pPr>
        <w:widowControl/>
        <w:spacing w:line="600" w:lineRule="atLeast"/>
        <w:jc w:val="center"/>
        <w:rPr>
          <w:rFonts w:ascii="微软雅黑" w:hAnsi="微软雅黑" w:eastAsia="微软雅黑" w:cs="宋体"/>
          <w:color w:val="333333"/>
          <w:kern w:val="0"/>
          <w:sz w:val="23"/>
          <w:szCs w:val="23"/>
        </w:rPr>
      </w:pPr>
      <w:r>
        <w:rPr>
          <w:rFonts w:hint="eastAsia" w:ascii="方正小标宋简体" w:hAnsi="微软雅黑" w:eastAsia="方正小标宋简体" w:cs="宋体"/>
          <w:color w:val="333333"/>
          <w:kern w:val="0"/>
          <w:sz w:val="44"/>
          <w:szCs w:val="44"/>
        </w:rPr>
        <w:t>2019年市西区司法局项目绩效评价报告</w:t>
      </w:r>
    </w:p>
    <w:p>
      <w:pPr>
        <w:widowControl/>
        <w:spacing w:before="213" w:after="213" w:line="600" w:lineRule="atLeast"/>
        <w:jc w:val="left"/>
        <w:rPr>
          <w:rFonts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一、评价工作开展及项目情况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西区司法局按照“厉行节约，反对浪费，花钱必问效”的原则，在年初预算时就建立了项目绩效目标自评表，年中按照财政下达金额和目标工作分配任务安排调整绩效目标。每季度按时间进度和工作量完成情况对重点项目进行督查和催办，使量化评价具有一定指导意义。（包括选点、评价指标、评价方法、基础数据表等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二、评价结论及绩效分析</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（一）评价结论</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项目绩效目标是完成2019年度市级项目下达资金支付工作，按预期完成各对应工作项目，达到正常保障业务运转的基本目标。</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（二）绩效分析</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1．市级项目完成情况</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市级财政资金全部按照预算下达对应科目完成预算执行，2019年度全面完成项目目标，无资金结转结余。</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2.省级项目完成情况</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上级资金中除中央和省级政法转移支付资金和上级法律援助案件补助尚有结余，主要原因是上级法律援助经费需按照案件办结情况支付对应补助，部分案件尚未办结所以存在结余问题。</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3.其他需要说明的情况</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无</w:t>
      </w:r>
    </w:p>
    <w:p>
      <w:pPr>
        <w:widowControl/>
        <w:spacing w:line="580" w:lineRule="atLeast"/>
        <w:ind w:firstLine="64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rPr>
        <w:t>三、存在主要问题</w:t>
      </w:r>
    </w:p>
    <w:p>
      <w:pPr>
        <w:widowControl/>
        <w:numPr>
          <w:ilvl w:val="0"/>
          <w:numId w:val="5"/>
        </w:numPr>
        <w:ind w:left="0"/>
        <w:jc w:val="left"/>
        <w:rPr>
          <w:rFonts w:ascii="微软雅黑" w:hAnsi="微软雅黑" w:eastAsia="微软雅黑" w:cs="宋体"/>
          <w:color w:val="333333"/>
          <w:kern w:val="0"/>
          <w:sz w:val="23"/>
          <w:szCs w:val="23"/>
        </w:rPr>
      </w:pP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主要是项目经费下达不能完全保障业务支出。</w:t>
      </w:r>
    </w:p>
    <w:p>
      <w:pPr>
        <w:widowControl/>
        <w:numPr>
          <w:numId w:val="0"/>
        </w:numPr>
        <w:spacing w:line="580" w:lineRule="atLeast"/>
        <w:ind w:firstLine="640" w:firstLineChars="200"/>
        <w:jc w:val="left"/>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lang w:eastAsia="zh-CN"/>
        </w:rPr>
        <w:t>四．下一步措施</w:t>
      </w:r>
    </w:p>
    <w:p>
      <w:pPr>
        <w:widowControl/>
        <w:numPr>
          <w:numId w:val="0"/>
        </w:numPr>
        <w:spacing w:line="580" w:lineRule="atLeast"/>
        <w:ind w:firstLine="640" w:firstLineChars="200"/>
        <w:jc w:val="left"/>
        <w:rPr>
          <w:rStyle w:val="25"/>
          <w:rFonts w:ascii="微软雅黑" w:hAnsi="微软雅黑" w:eastAsia="微软雅黑" w:cs="宋体"/>
          <w:b w:val="0"/>
          <w:bCs w:val="0"/>
          <w:color w:val="333333"/>
          <w:kern w:val="0"/>
          <w:sz w:val="23"/>
          <w:szCs w:val="23"/>
        </w:rPr>
      </w:pPr>
      <w:bookmarkStart w:id="73" w:name="_GoBack"/>
      <w:bookmarkEnd w:id="73"/>
      <w:r>
        <w:rPr>
          <w:rFonts w:hint="eastAsia" w:ascii="仿宋" w:hAnsi="仿宋" w:eastAsia="仿宋" w:cs="宋体"/>
          <w:color w:val="333333"/>
          <w:kern w:val="0"/>
          <w:sz w:val="32"/>
          <w:szCs w:val="32"/>
        </w:rPr>
        <w:t>严格控制各项支出，提高经费使用效率，保障业务目标的顺利完成，达到保稳定、保运转的工作目标。</w:t>
      </w:r>
    </w:p>
    <w:p>
      <w:pPr>
        <w:spacing w:line="600" w:lineRule="exact"/>
        <w:jc w:val="center"/>
        <w:outlineLvl w:val="0"/>
        <w:rPr>
          <w:rStyle w:val="25"/>
          <w:rFonts w:ascii="黑体" w:hAnsi="黑体" w:eastAsia="黑体"/>
          <w:b w:val="0"/>
        </w:rPr>
      </w:pPr>
    </w:p>
    <w:p>
      <w:pPr>
        <w:spacing w:line="600" w:lineRule="exact"/>
        <w:jc w:val="center"/>
        <w:outlineLvl w:val="0"/>
        <w:rPr>
          <w:rFonts w:ascii="黑体" w:hAnsi="黑体" w:eastAsia="黑体"/>
          <w:color w:val="000000"/>
          <w:sz w:val="44"/>
          <w:szCs w:val="44"/>
        </w:rPr>
      </w:pPr>
      <w:bookmarkStart w:id="59"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3"/>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31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4411197"/>
    <w:multiLevelType w:val="multilevel"/>
    <w:tmpl w:val="24411197"/>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6A5D"/>
    <w:rsid w:val="000222C6"/>
    <w:rsid w:val="0002549F"/>
    <w:rsid w:val="00030348"/>
    <w:rsid w:val="000325AB"/>
    <w:rsid w:val="000370D6"/>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747E"/>
    <w:rsid w:val="00114E9B"/>
    <w:rsid w:val="00137E28"/>
    <w:rsid w:val="00142216"/>
    <w:rsid w:val="00144D6A"/>
    <w:rsid w:val="0014729F"/>
    <w:rsid w:val="00157BAB"/>
    <w:rsid w:val="001654D1"/>
    <w:rsid w:val="00174518"/>
    <w:rsid w:val="0018106D"/>
    <w:rsid w:val="001877A7"/>
    <w:rsid w:val="00191536"/>
    <w:rsid w:val="00195E37"/>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07C"/>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3D3C"/>
    <w:rsid w:val="00416CD4"/>
    <w:rsid w:val="004223DE"/>
    <w:rsid w:val="004326FC"/>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1743F"/>
    <w:rsid w:val="0062270A"/>
    <w:rsid w:val="00622830"/>
    <w:rsid w:val="00623DA0"/>
    <w:rsid w:val="006307F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A14BA"/>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A0180"/>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080B"/>
    <w:rsid w:val="00946945"/>
    <w:rsid w:val="00951248"/>
    <w:rsid w:val="0095152F"/>
    <w:rsid w:val="00954C49"/>
    <w:rsid w:val="00955E37"/>
    <w:rsid w:val="0097099F"/>
    <w:rsid w:val="00971997"/>
    <w:rsid w:val="00971FFC"/>
    <w:rsid w:val="009725E0"/>
    <w:rsid w:val="0098660A"/>
    <w:rsid w:val="009931C3"/>
    <w:rsid w:val="009A499D"/>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4ACD"/>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6013"/>
    <w:rsid w:val="00D51276"/>
    <w:rsid w:val="00D7035F"/>
    <w:rsid w:val="00D8360F"/>
    <w:rsid w:val="00DA634F"/>
    <w:rsid w:val="00DA65AC"/>
    <w:rsid w:val="00DA7CC9"/>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716BA"/>
    <w:rsid w:val="00E77B1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10C055FF"/>
    <w:rsid w:val="16BB723D"/>
    <w:rsid w:val="240371BF"/>
    <w:rsid w:val="29FD04D3"/>
    <w:rsid w:val="2F021212"/>
    <w:rsid w:val="319F7F4E"/>
    <w:rsid w:val="4D93305F"/>
    <w:rsid w:val="4ECE2238"/>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25E67-CBFD-4365-BC37-8238BBD4B10B}">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37</Pages>
  <Words>2183</Words>
  <Characters>12447</Characters>
  <Lines>103</Lines>
  <Paragraphs>29</Paragraphs>
  <TotalTime>633</TotalTime>
  <ScaleCrop>false</ScaleCrop>
  <LinksUpToDate>false</LinksUpToDate>
  <CharactersWithSpaces>14601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2020-11-07T06:48:00Z</dcterms:created>
  <dc:creator>曹颖</dc:creator>
  <cp:lastModifiedBy>从头再来</cp:lastModifiedBy>
  <cp:lastPrinted>2020-07-23T02:58:00Z</cp:lastPrinted>
  <dcterms:modified xsi:type="dcterms:W3CDTF">2020-11-20T04:07:02Z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