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8441"/>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598"/>
      <w:bookmarkStart w:id="7" w:name="_Toc15378442"/>
      <w:bookmarkStart w:id="8" w:name="_Toc15377426"/>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攀枝花市西区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区委编办</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10</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tab/>
      </w:r>
      <w:r>
        <w:rPr>
          <w:rFonts w:hint="eastAsia"/>
        </w:rPr>
        <w:t>4</w:t>
      </w:r>
    </w:p>
    <w:p>
      <w:pPr>
        <w:pStyle w:val="11"/>
        <w:adjustRightInd w:val="0"/>
        <w:snapToGrid w:val="0"/>
        <w:spacing w:line="440" w:lineRule="exact"/>
        <w:jc w:val="left"/>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一、基本职能及主要工作</w:t>
      </w:r>
      <w:r>
        <w:tab/>
      </w:r>
      <w:r>
        <w:rPr>
          <w:rFonts w:hint="eastAsia"/>
        </w:rPr>
        <w:t>4</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二、机构设置</w:t>
      </w:r>
      <w:r>
        <w:tab/>
      </w:r>
      <w:r>
        <w:rPr>
          <w:rFonts w:hint="eastAsia"/>
          <w:lang w:val="en-US" w:eastAsia="zh-CN"/>
        </w:rPr>
        <w:t>8</w:t>
      </w:r>
    </w:p>
    <w:p>
      <w:pPr>
        <w:pStyle w:val="10"/>
        <w:adjustRightInd w:val="0"/>
        <w:snapToGrid w:val="0"/>
        <w:spacing w:before="0" w:line="440" w:lineRule="exact"/>
        <w:jc w:val="left"/>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第二部分度部门决算情况说明</w:t>
      </w:r>
      <w:r>
        <w:tab/>
      </w:r>
      <w:r>
        <w:rPr>
          <w:rFonts w:hint="eastAsia"/>
          <w:lang w:val="en-US" w:eastAsia="zh-CN"/>
        </w:rPr>
        <w:t>9</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一、收入支出决算总体情况说明</w:t>
      </w:r>
      <w:r>
        <w:tab/>
      </w:r>
      <w:r>
        <w:rPr>
          <w:rFonts w:hint="eastAsia"/>
          <w:lang w:val="en-US" w:eastAsia="zh-CN"/>
        </w:rPr>
        <w:t>9</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二、收入决算情况说明</w:t>
      </w:r>
      <w:r>
        <w:tab/>
      </w:r>
      <w:r>
        <w:rPr>
          <w:rFonts w:hint="eastAsia"/>
          <w:lang w:val="en-US" w:eastAsia="zh-CN"/>
        </w:rPr>
        <w:t>9</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三、支出决算情况说明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四、财政拨款收入支出决算总体情况说明</w:t>
      </w:r>
      <w:r>
        <w:tab/>
      </w:r>
      <w:r>
        <w:rPr>
          <w:rFonts w:hint="eastAsia"/>
          <w:lang w:val="en-US" w:eastAsia="zh-CN"/>
        </w:rPr>
        <w:t>10</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五、一般公共预算财政拨款支出决算情况说明</w:t>
      </w:r>
      <w:r>
        <w:tab/>
      </w:r>
      <w:r>
        <w:rPr>
          <w:rFonts w:hint="eastAsia"/>
          <w:lang w:val="en-US" w:eastAsia="zh-CN"/>
        </w:rPr>
        <w:t>11</w:t>
      </w:r>
    </w:p>
    <w:p>
      <w:pPr>
        <w:pStyle w:val="11"/>
        <w:adjustRightInd w:val="0"/>
        <w:snapToGrid w:val="0"/>
        <w:spacing w:line="440" w:lineRule="exact"/>
        <w:jc w:val="left"/>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六、一般公共预算财政拨款基本支出决算情况说明</w:t>
      </w:r>
      <w:r>
        <w:tab/>
      </w:r>
      <w:r>
        <w:rPr>
          <w:rFonts w:hint="eastAsia"/>
          <w:lang w:val="en-US" w:eastAsia="zh-CN"/>
        </w:rPr>
        <w:t>1</w:t>
      </w:r>
      <w:r>
        <w:rPr>
          <w:rFonts w:hint="eastAsia"/>
        </w:rPr>
        <w:t>4</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七、“三公”经费财政拨款支出决算情况说明</w:t>
      </w:r>
      <w:r>
        <w:tab/>
      </w:r>
      <w:r>
        <w:rPr>
          <w:rFonts w:hint="eastAsia"/>
          <w:lang w:val="en-US" w:eastAsia="zh-CN"/>
        </w:rPr>
        <w:t>14</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八、政府性基金预算支出决算情况说明</w:t>
      </w:r>
      <w:r>
        <w:tab/>
      </w:r>
      <w:r>
        <w:rPr>
          <w:rFonts w:hint="eastAsia"/>
          <w:lang w:val="en-US" w:eastAsia="zh-CN"/>
        </w:rPr>
        <w:t>15</w:t>
      </w:r>
    </w:p>
    <w:p>
      <w:pPr>
        <w:pStyle w:val="11"/>
        <w:adjustRightInd w:val="0"/>
        <w:snapToGrid w:val="0"/>
        <w:spacing w:line="440" w:lineRule="exact"/>
        <w:ind w:leftChars="0"/>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九、 国有资本经营预算支出决算情况说明</w:t>
      </w:r>
      <w:r>
        <w:tab/>
      </w:r>
      <w:r>
        <w:rPr>
          <w:rFonts w:hint="eastAsia"/>
          <w:lang w:val="en-US" w:eastAsia="zh-CN"/>
        </w:rPr>
        <w:t>15</w:t>
      </w:r>
    </w:p>
    <w:p>
      <w:pPr>
        <w:pStyle w:val="11"/>
        <w:adjustRightInd w:val="0"/>
        <w:snapToGrid w:val="0"/>
        <w:spacing w:line="440" w:lineRule="exact"/>
        <w:ind w:leftChars="0"/>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十、其他重要事项的情况说明</w:t>
      </w:r>
      <w:r>
        <w:tab/>
      </w:r>
      <w:r>
        <w:rPr>
          <w:rFonts w:hint="eastAsia"/>
          <w:lang w:val="en-US" w:eastAsia="zh-CN"/>
        </w:rPr>
        <w:t>15</w:t>
      </w:r>
    </w:p>
    <w:p>
      <w:pPr>
        <w:pStyle w:val="11"/>
        <w:adjustRightInd w:val="0"/>
        <w:snapToGrid w:val="0"/>
        <w:spacing w:line="440" w:lineRule="exact"/>
        <w:ind w:leftChars="0"/>
        <w:jc w:val="left"/>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第三部分 名词解释</w:t>
      </w:r>
      <w:r>
        <w:tab/>
      </w:r>
      <w:r>
        <w:rPr>
          <w:rFonts w:hint="eastAsia"/>
          <w:lang w:val="en-US" w:eastAsia="zh-CN"/>
        </w:rPr>
        <w:t>2</w:t>
      </w:r>
      <w:r>
        <w:rPr>
          <w:rFonts w:hint="eastAsia"/>
        </w:rPr>
        <w:t>4</w:t>
      </w:r>
    </w:p>
    <w:p>
      <w:pPr>
        <w:pStyle w:val="10"/>
        <w:adjustRightInd w:val="0"/>
        <w:snapToGrid w:val="0"/>
        <w:spacing w:before="0"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第四部分 附件</w:t>
      </w:r>
      <w:r>
        <w:tab/>
      </w:r>
      <w:r>
        <w:rPr>
          <w:rFonts w:hint="eastAsia"/>
          <w:lang w:val="en-US" w:eastAsia="zh-CN"/>
        </w:rPr>
        <w:t>26</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附件1</w:t>
      </w:r>
      <w:r>
        <w:tab/>
      </w:r>
      <w:r>
        <w:rPr>
          <w:rFonts w:hint="eastAsia"/>
          <w:lang w:val="en-US" w:eastAsia="zh-CN"/>
        </w:rPr>
        <w:t>26</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附件2</w:t>
      </w:r>
      <w:r>
        <w:tab/>
      </w:r>
      <w:r>
        <w:rPr>
          <w:rFonts w:hint="eastAsia"/>
          <w:lang w:val="en-US" w:eastAsia="zh-CN"/>
        </w:rPr>
        <w:t>29</w:t>
      </w:r>
    </w:p>
    <w:p>
      <w:pPr>
        <w:pStyle w:val="10"/>
        <w:adjustRightInd w:val="0"/>
        <w:snapToGrid w:val="0"/>
        <w:spacing w:before="0" w:line="440" w:lineRule="exact"/>
        <w:jc w:val="left"/>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第五部分 附表</w:t>
      </w:r>
      <w:r>
        <w:tab/>
      </w:r>
      <w:r>
        <w:rPr>
          <w:rFonts w:hint="eastAsia"/>
          <w:lang w:val="en-US" w:eastAsia="zh-CN"/>
        </w:rPr>
        <w:t>33</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一、收入支出决算总表</w:t>
      </w:r>
      <w:r>
        <w:tab/>
      </w:r>
      <w:r>
        <w:rPr>
          <w:rFonts w:hint="eastAsia"/>
          <w:lang w:val="en-US" w:eastAsia="zh-CN"/>
        </w:rPr>
        <w:t>34</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二、收入决算表</w:t>
      </w:r>
      <w:r>
        <w:tab/>
      </w:r>
      <w:r>
        <w:rPr>
          <w:rFonts w:hint="eastAsia"/>
          <w:lang w:val="en-US" w:eastAsia="zh-CN"/>
        </w:rPr>
        <w:t>35</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三、支出决算表</w:t>
      </w:r>
      <w:r>
        <w:tab/>
      </w:r>
      <w:r>
        <w:rPr>
          <w:rFonts w:hint="eastAsia"/>
          <w:lang w:val="en-US" w:eastAsia="zh-CN"/>
        </w:rPr>
        <w:t>36</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四、财政拨款收入支出决算总表</w:t>
      </w:r>
      <w:r>
        <w:tab/>
      </w:r>
      <w:r>
        <w:rPr>
          <w:rFonts w:hint="eastAsia"/>
          <w:lang w:val="en-US" w:eastAsia="zh-CN"/>
        </w:rPr>
        <w:t>37</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五、财政拨款支出决算明细表</w:t>
      </w:r>
      <w:r>
        <w:tab/>
      </w:r>
      <w:r>
        <w:rPr>
          <w:rFonts w:hint="eastAsia"/>
          <w:lang w:val="en-US" w:eastAsia="zh-CN"/>
        </w:rPr>
        <w:t>38</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六、一般公共预算财政拨款支出决算表</w:t>
      </w:r>
      <w:r>
        <w:tab/>
      </w:r>
      <w:r>
        <w:rPr>
          <w:rFonts w:hint="eastAsia"/>
          <w:lang w:val="en-US" w:eastAsia="zh-CN"/>
        </w:rPr>
        <w:t>39</w:t>
      </w:r>
    </w:p>
    <w:p>
      <w:pPr>
        <w:pStyle w:val="11"/>
        <w:adjustRightInd w:val="0"/>
        <w:snapToGrid w:val="0"/>
        <w:spacing w:line="440" w:lineRule="exact"/>
        <w:jc w:val="left"/>
        <w:rPr>
          <w:rFonts w:hint="default"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七、一般公共预算财政拨款支出决算明细表</w:t>
      </w:r>
      <w:r>
        <w:tab/>
      </w:r>
      <w:r>
        <w:rPr>
          <w:rFonts w:hint="eastAsia"/>
          <w:lang w:val="en-US" w:eastAsia="zh-CN"/>
        </w:rPr>
        <w:t>40</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八、一般公共预算财政拨款基本支出决算表</w:t>
      </w:r>
      <w:r>
        <w:tab/>
      </w:r>
      <w:r>
        <w:rPr>
          <w:rFonts w:hint="eastAsia"/>
        </w:rPr>
        <w:t>4</w:t>
      </w:r>
      <w:r>
        <w:rPr>
          <w:rFonts w:hint="eastAsia"/>
          <w:lang w:val="en-US" w:eastAsia="zh-CN"/>
        </w:rPr>
        <w:t>1</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九、一般公共预算财政拨款项目支出决算表</w:t>
      </w:r>
      <w:r>
        <w:tab/>
      </w:r>
      <w:r>
        <w:rPr>
          <w:rFonts w:hint="eastAsia"/>
        </w:rPr>
        <w:t>4</w:t>
      </w:r>
      <w:r>
        <w:rPr>
          <w:rFonts w:hint="eastAsia"/>
          <w:lang w:val="en-US" w:eastAsia="zh-CN"/>
        </w:rPr>
        <w:t>2</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十、一般公共预算财政拨款“三公”经费支出决算表</w:t>
      </w:r>
      <w:r>
        <w:tab/>
      </w:r>
      <w:r>
        <w:rPr>
          <w:rFonts w:hint="eastAsia"/>
        </w:rPr>
        <w:t>4</w:t>
      </w:r>
      <w:r>
        <w:rPr>
          <w:rFonts w:hint="eastAsia"/>
          <w:lang w:val="en-US" w:eastAsia="zh-CN"/>
        </w:rPr>
        <w:t>3</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十一、政府性基金预算财政拨款收入支出决算表</w:t>
      </w:r>
      <w:r>
        <w:tab/>
      </w:r>
      <w:r>
        <w:rPr>
          <w:rFonts w:hint="eastAsia"/>
        </w:rPr>
        <w:t>4</w:t>
      </w:r>
      <w:r>
        <w:rPr>
          <w:rFonts w:hint="eastAsia"/>
          <w:lang w:val="en-US" w:eastAsia="zh-CN"/>
        </w:rPr>
        <w:t>4</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十二、政府性基金预算财政拨款“三公”经费支出决算表</w:t>
      </w:r>
      <w:r>
        <w:tab/>
      </w:r>
      <w:r>
        <w:rPr>
          <w:rFonts w:hint="eastAsia"/>
        </w:rPr>
        <w:t>4</w:t>
      </w:r>
      <w:r>
        <w:rPr>
          <w:rFonts w:hint="eastAsia"/>
          <w:lang w:val="en-US" w:eastAsia="zh-CN"/>
        </w:rPr>
        <w:t>5</w:t>
      </w:r>
    </w:p>
    <w:p>
      <w:pPr>
        <w:pStyle w:val="11"/>
        <w:adjustRightInd w:val="0"/>
        <w:snapToGrid w:val="0"/>
        <w:spacing w:line="440" w:lineRule="exact"/>
        <w:jc w:val="left"/>
        <w:rPr>
          <w:rFonts w:hint="eastAsia" w:ascii="仿宋" w:hAnsi="仿宋" w:eastAsia="宋体" w:cs="Times New Roman"/>
          <w:kern w:val="2"/>
          <w:sz w:val="24"/>
          <w:szCs w:val="28"/>
          <w:lang w:val="en-US" w:eastAsia="zh-CN" w:bidi="ar-SA"/>
        </w:rPr>
      </w:pPr>
      <w:r>
        <w:rPr>
          <w:rFonts w:hint="eastAsia" w:ascii="仿宋" w:hAnsi="仿宋" w:eastAsia="仿宋" w:cs="Times New Roman"/>
          <w:kern w:val="2"/>
          <w:sz w:val="24"/>
          <w:szCs w:val="28"/>
          <w:lang w:val="en-US" w:eastAsia="zh-CN" w:bidi="ar-SA"/>
        </w:rPr>
        <w:t>十三、国有资本经营预算支出决算表</w:t>
      </w:r>
      <w:r>
        <w:tab/>
      </w:r>
      <w:r>
        <w:rPr>
          <w:rFonts w:hint="eastAsia"/>
        </w:rPr>
        <w:t>4</w:t>
      </w:r>
      <w:r>
        <w:rPr>
          <w:rFonts w:hint="eastAsia"/>
          <w:lang w:val="en-US" w:eastAsia="zh-CN"/>
        </w:rPr>
        <w:t>6</w:t>
      </w:r>
    </w:p>
    <w:p>
      <w:pPr>
        <w:widowControl/>
        <w:spacing w:line="440" w:lineRule="exact"/>
        <w:jc w:val="left"/>
        <w:rPr>
          <w:rFonts w:hint="eastAsia" w:ascii="仿宋" w:hAnsi="仿宋" w:eastAsia="仿宋" w:cs="Times New Roman"/>
          <w:kern w:val="2"/>
          <w:sz w:val="24"/>
          <w:szCs w:val="28"/>
          <w:lang w:val="en-US" w:eastAsia="zh-CN" w:bidi="ar-SA"/>
        </w:rPr>
      </w:pPr>
      <w:bookmarkStart w:id="12" w:name="_Toc15396599"/>
      <w:bookmarkStart w:id="13" w:name="_Toc15377196"/>
      <w:r>
        <w:rPr>
          <w:rFonts w:hint="eastAsia" w:ascii="仿宋" w:hAnsi="仿宋" w:eastAsia="仿宋" w:cs="Times New Roman"/>
          <w:kern w:val="2"/>
          <w:sz w:val="24"/>
          <w:szCs w:val="28"/>
          <w:lang w:val="en-US" w:eastAsia="zh-CN" w:bidi="ar-SA"/>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ind w:firstLine="660" w:firstLineChars="200"/>
        <w:rPr>
          <w:rFonts w:hint="eastAsia" w:ascii="方正仿宋简体" w:eastAsia="方正仿宋简体"/>
          <w:sz w:val="33"/>
          <w:szCs w:val="33"/>
        </w:rPr>
      </w:pPr>
      <w:r>
        <w:rPr>
          <w:rFonts w:hint="eastAsia" w:ascii="方正仿宋简体" w:eastAsia="方正仿宋简体"/>
          <w:sz w:val="33"/>
          <w:szCs w:val="33"/>
        </w:rPr>
        <w:t>1.贯彻执行中央、省、市行政管理体制改革和机构改革、事业单位改革及机构编制管理的方针政策和法律法规，制定相关政策并监督实施。</w:t>
      </w:r>
    </w:p>
    <w:p>
      <w:pPr>
        <w:ind w:firstLine="636" w:firstLineChars="200"/>
        <w:rPr>
          <w:rFonts w:hint="eastAsia" w:ascii="方正仿宋简体" w:eastAsia="方正仿宋简体"/>
          <w:spacing w:val="-6"/>
          <w:sz w:val="33"/>
          <w:szCs w:val="33"/>
        </w:rPr>
      </w:pPr>
      <w:r>
        <w:rPr>
          <w:rFonts w:hint="eastAsia" w:ascii="方正仿宋简体" w:eastAsia="方正仿宋简体"/>
          <w:spacing w:val="-6"/>
          <w:sz w:val="33"/>
          <w:szCs w:val="33"/>
        </w:rPr>
        <w:t>2.研究拟订全区行政管理体制改革和机构改革方案，审核区级各部门“三定”规定以及乡（镇）机构改革方案，评估改革效果。参与行政审批制度改革和行政区划调整的有关工作。</w:t>
      </w:r>
    </w:p>
    <w:p>
      <w:pPr>
        <w:ind w:firstLine="660" w:firstLineChars="200"/>
        <w:rPr>
          <w:rFonts w:hint="eastAsia" w:ascii="方正仿宋简体" w:eastAsia="方正仿宋简体"/>
          <w:sz w:val="33"/>
          <w:szCs w:val="33"/>
        </w:rPr>
      </w:pPr>
      <w:r>
        <w:rPr>
          <w:rFonts w:hint="eastAsia" w:ascii="方正仿宋简体" w:eastAsia="方正仿宋简体"/>
          <w:sz w:val="33"/>
          <w:szCs w:val="33"/>
        </w:rPr>
        <w:t>3.拟订全区各级行政编制、政法专项编制总额分配方案。负责全区行政事业编制总量控制和机关事业单位机构编制实名制管理工作，建立健全机构编制管理联动机制，会同有关部门严格控制财政供养人员。对全区机关事业单位使用空缺编制补充人员进行核批。</w:t>
      </w:r>
    </w:p>
    <w:p>
      <w:pPr>
        <w:ind w:firstLine="660" w:firstLineChars="200"/>
        <w:rPr>
          <w:rFonts w:hint="eastAsia" w:ascii="方正仿宋简体" w:eastAsia="方正仿宋简体"/>
          <w:sz w:val="33"/>
          <w:szCs w:val="33"/>
        </w:rPr>
      </w:pPr>
      <w:r>
        <w:rPr>
          <w:rFonts w:hint="eastAsia" w:ascii="方正仿宋简体" w:eastAsia="方正仿宋简体"/>
          <w:sz w:val="33"/>
          <w:szCs w:val="33"/>
        </w:rPr>
        <w:t>4.负责区委、区政府各部门，区人大、区政协机关，区法院、区检察院机关，工商联和群团机关以及其他行政机构的机构编制管理工作。</w:t>
      </w:r>
    </w:p>
    <w:p>
      <w:pPr>
        <w:ind w:firstLine="660" w:firstLineChars="200"/>
        <w:rPr>
          <w:rFonts w:hint="eastAsia" w:ascii="方正仿宋简体" w:eastAsia="方正仿宋简体"/>
          <w:sz w:val="33"/>
          <w:szCs w:val="33"/>
        </w:rPr>
      </w:pPr>
      <w:r>
        <w:rPr>
          <w:rFonts w:hint="eastAsia" w:ascii="方正仿宋简体" w:eastAsia="方正仿宋简体"/>
          <w:sz w:val="33"/>
          <w:szCs w:val="33"/>
        </w:rPr>
        <w:t>5.拟订全区事业单位改革方案及相关配套政策，审核区属事业单位机构编制方案，评估改革效果。负责区属事业单位的机构编制管理工作。负责拟参照公务员法管理事业单位机构编制事项的审核工作。</w:t>
      </w:r>
    </w:p>
    <w:p>
      <w:pPr>
        <w:ind w:firstLine="660" w:firstLineChars="200"/>
        <w:rPr>
          <w:rFonts w:hint="eastAsia" w:ascii="方正仿宋简体" w:eastAsia="方正仿宋简体"/>
          <w:sz w:val="33"/>
          <w:szCs w:val="33"/>
        </w:rPr>
      </w:pPr>
      <w:r>
        <w:rPr>
          <w:rFonts w:hint="eastAsia" w:ascii="方正仿宋简体" w:eastAsia="方正仿宋简体"/>
          <w:sz w:val="33"/>
          <w:szCs w:val="33"/>
        </w:rPr>
        <w:t>6.监督检查全区各级行政管理体制改革和机构改革方案及机构编制规定执行情况，建立机构编制工作考核评估制度，会同有关部门查处机构编制违法违纪行为。</w:t>
      </w:r>
    </w:p>
    <w:p>
      <w:pPr>
        <w:ind w:firstLine="660" w:firstLineChars="200"/>
        <w:rPr>
          <w:rFonts w:hint="eastAsia" w:ascii="方正仿宋简体" w:eastAsia="方正仿宋简体"/>
          <w:sz w:val="33"/>
          <w:szCs w:val="33"/>
        </w:rPr>
      </w:pPr>
      <w:r>
        <w:rPr>
          <w:rFonts w:hint="eastAsia" w:ascii="方正仿宋简体" w:eastAsia="方正仿宋简体"/>
          <w:sz w:val="33"/>
          <w:szCs w:val="33"/>
        </w:rPr>
        <w:t>7.负责行政管理体制、机构改革及机构编制的理论研究和信息传递、交流工作，负责机构编制的统计工作。</w:t>
      </w:r>
    </w:p>
    <w:p>
      <w:pPr>
        <w:ind w:firstLine="660" w:firstLineChars="200"/>
        <w:rPr>
          <w:rFonts w:hint="eastAsia" w:ascii="方正仿宋简体" w:eastAsia="方正仿宋简体"/>
          <w:sz w:val="33"/>
          <w:szCs w:val="33"/>
        </w:rPr>
      </w:pPr>
      <w:r>
        <w:rPr>
          <w:rFonts w:hint="eastAsia" w:ascii="方正仿宋简体" w:eastAsia="方正仿宋简体"/>
          <w:sz w:val="33"/>
          <w:szCs w:val="33"/>
        </w:rPr>
        <w:t>8.负责市委机构编制委员会及其办公室下达有关部门专项编制的分配和管理工作。</w:t>
      </w:r>
    </w:p>
    <w:p>
      <w:pPr>
        <w:ind w:firstLine="660" w:firstLineChars="200"/>
        <w:rPr>
          <w:rFonts w:hint="eastAsia" w:ascii="方正仿宋简体" w:eastAsia="方正仿宋简体"/>
          <w:sz w:val="33"/>
          <w:szCs w:val="33"/>
        </w:rPr>
      </w:pPr>
      <w:r>
        <w:rPr>
          <w:rFonts w:hint="eastAsia" w:ascii="方正仿宋简体" w:eastAsia="方正仿宋简体"/>
          <w:sz w:val="33"/>
          <w:szCs w:val="33"/>
        </w:rPr>
        <w:t>9.监督检查全区事业单位登记管理工作。</w:t>
      </w:r>
    </w:p>
    <w:p>
      <w:pPr>
        <w:ind w:firstLine="660" w:firstLineChars="200"/>
        <w:rPr>
          <w:rFonts w:ascii="仿宋" w:hAnsi="仿宋" w:eastAsia="仿宋"/>
          <w:bCs/>
          <w:color w:val="000000"/>
          <w:sz w:val="32"/>
          <w:szCs w:val="32"/>
        </w:rPr>
      </w:pPr>
      <w:r>
        <w:rPr>
          <w:rFonts w:hint="eastAsia" w:ascii="方正仿宋简体" w:eastAsia="方正仿宋简体"/>
          <w:sz w:val="33"/>
          <w:szCs w:val="33"/>
        </w:rPr>
        <w:t>10.承办区委、区政府和区委编委交办的其他工作。</w:t>
      </w:r>
    </w:p>
    <w:p>
      <w:pPr>
        <w:pStyle w:val="5"/>
        <w:adjustRightInd w:val="0"/>
        <w:snapToGrid w:val="0"/>
        <w:spacing w:before="93" w:line="600" w:lineRule="exact"/>
        <w:ind w:firstLine="675" w:firstLineChars="210"/>
        <w:outlineLvl w:val="2"/>
        <w:rPr>
          <w:rFonts w:hint="eastAsia" w:ascii="仿宋" w:hAnsi="仿宋" w:eastAsia="仿宋"/>
          <w:b/>
          <w:bCs w:val="0"/>
          <w:color w:val="000000"/>
          <w:sz w:val="32"/>
          <w:szCs w:val="32"/>
        </w:rPr>
      </w:pPr>
      <w:bookmarkStart w:id="18" w:name="_Toc15378446"/>
      <w:bookmarkStart w:id="19" w:name="_Toc15377199"/>
      <w:r>
        <w:rPr>
          <w:rFonts w:hint="eastAsia" w:ascii="仿宋" w:hAnsi="仿宋" w:eastAsia="仿宋"/>
          <w:b/>
          <w:bCs w:val="0"/>
          <w:color w:val="000000"/>
          <w:sz w:val="32"/>
          <w:szCs w:val="32"/>
        </w:rPr>
        <w:t>（二）</w:t>
      </w:r>
      <w:r>
        <w:rPr>
          <w:rFonts w:ascii="仿宋" w:hAnsi="仿宋" w:eastAsia="仿宋"/>
          <w:b/>
          <w:bCs w:val="0"/>
          <w:color w:val="000000"/>
          <w:sz w:val="32"/>
          <w:szCs w:val="32"/>
        </w:rPr>
        <w:t>201</w:t>
      </w:r>
      <w:r>
        <w:rPr>
          <w:rFonts w:hint="eastAsia" w:ascii="仿宋" w:hAnsi="仿宋" w:eastAsia="仿宋"/>
          <w:b/>
          <w:bCs w:val="0"/>
          <w:color w:val="000000"/>
          <w:sz w:val="32"/>
          <w:szCs w:val="32"/>
        </w:rPr>
        <w:t>9年重点工作完成情况。</w:t>
      </w:r>
      <w:bookmarkEnd w:id="18"/>
      <w:bookmarkEnd w:id="19"/>
    </w:p>
    <w:p>
      <w:pPr>
        <w:ind w:firstLine="660" w:firstLineChars="200"/>
        <w:jc w:val="left"/>
        <w:rPr>
          <w:rFonts w:hint="eastAsia" w:ascii="仿宋_GB2312"/>
          <w:sz w:val="36"/>
          <w:szCs w:val="36"/>
        </w:rPr>
      </w:pPr>
      <w:bookmarkStart w:id="20" w:name="_Toc15396601"/>
      <w:bookmarkStart w:id="21" w:name="_Toc15377200"/>
      <w:r>
        <w:rPr>
          <w:rFonts w:hint="eastAsia" w:ascii="方正仿宋_GBK" w:eastAsia="方正仿宋_GBK"/>
          <w:sz w:val="33"/>
          <w:szCs w:val="33"/>
          <w:lang w:val="en-US" w:eastAsia="zh-CN"/>
        </w:rPr>
        <w:t>1.</w:t>
      </w:r>
      <w:r>
        <w:rPr>
          <w:rFonts w:hint="eastAsia" w:ascii="方正仿宋_GBK" w:eastAsia="方正仿宋_GBK"/>
          <w:sz w:val="33"/>
          <w:szCs w:val="33"/>
        </w:rPr>
        <w:t>如期高效完成党政机构改革任务。省里机构改革动员部署会召开后，西区高度重视，立即组织编办人员学习改革精神，结合前期梳理各部门机构沿革和编制台账掌握的基础数据，制定了《西区机构改革方案》初稿。成立深化机构改革领导小组，研究机构改革相关事宜。经过反复研究讨论，明确了设置的机构；通过多次与市委编办对接，市委正式下发《西区机构改革方案》。《方案》确定后，在规定时间内完成了新组建部门挂牌、负责人和班子组建到位、人员转隶等工作。同时，稳步推进“三定”工作，成立了专项协调小组，解决“三定”制定过程中的职责交叉等问题，对应市里印发“三定”规定和机构编制调整文件完成我区35个党政部门的“三定”规定制定和机构编制调整工作，按时保质保量完成机构改革任务。9月，</w:t>
      </w:r>
      <w:r>
        <w:rPr>
          <w:rFonts w:hint="eastAsia" w:ascii="方正仿宋简体" w:hAnsi="Verdana" w:eastAsia="方正仿宋简体"/>
          <w:sz w:val="33"/>
          <w:szCs w:val="33"/>
        </w:rPr>
        <w:t>在全面熟悉掌握部门职能、工作流程、工作制度等情况的基础上，联合区委组织部、区人社局组成3个评估工作组，对</w:t>
      </w:r>
      <w:r>
        <w:rPr>
          <w:rFonts w:hint="eastAsia" w:ascii="方正仿宋_GBK" w:hAnsi="方正仿宋_GBK" w:eastAsia="方正仿宋_GBK" w:cs="方正仿宋_GBK"/>
          <w:sz w:val="33"/>
          <w:szCs w:val="33"/>
        </w:rPr>
        <w:t>党政机构“三定”规定执行情况</w:t>
      </w:r>
      <w:r>
        <w:rPr>
          <w:rFonts w:hint="eastAsia" w:ascii="方正仿宋简体" w:hAnsi="Verdana" w:eastAsia="方正仿宋简体"/>
          <w:sz w:val="33"/>
          <w:szCs w:val="33"/>
        </w:rPr>
        <w:t>进行全方位实地核查评估，为检验、巩固全区本轮机构改革成效进行全面、系统、深入把脉问诊。</w:t>
      </w:r>
    </w:p>
    <w:p>
      <w:pPr>
        <w:spacing w:line="560" w:lineRule="exact"/>
        <w:ind w:firstLine="660"/>
        <w:rPr>
          <w:rFonts w:hint="eastAsia" w:ascii="方正仿宋_GBK" w:eastAsia="方正仿宋_GBK"/>
          <w:sz w:val="33"/>
          <w:szCs w:val="33"/>
        </w:rPr>
      </w:pPr>
      <w:r>
        <w:rPr>
          <w:rFonts w:hint="eastAsia" w:ascii="方正仿宋_GBK" w:eastAsia="方正仿宋_GBK"/>
          <w:sz w:val="33"/>
          <w:szCs w:val="33"/>
          <w:lang w:val="en-US" w:eastAsia="zh-CN"/>
        </w:rPr>
        <w:t>2.</w:t>
      </w:r>
      <w:r>
        <w:rPr>
          <w:rFonts w:hint="eastAsia" w:ascii="方正仿宋_GBK" w:eastAsia="方正仿宋_GBK"/>
          <w:sz w:val="33"/>
          <w:szCs w:val="33"/>
        </w:rPr>
        <w:t>稳步推进事业单位改革。对照国家法律法规、党中央国务院有关政策规定、部门规章、四川省地方性法规及市政府公布的权力清单，对区属事业单位承担的行政执法以外的行政职能全部进行梳理，并形成《区属事业单位承担行政职能清单》，已将9家区属事业单位承担的除行政执法外的行政职能全部划入相关区级部门，并在部门“三定”规定中进行明确，同时对事业单位相应进行调整。加强与区级部门（单位）充分沟通，多次向市委编办、市级相关部门请示汇报的基础上，提出了《区属事业单位规范调整方案》。《方案》于5月15日经2019年区委编委第三次会议讨论通过，目前正在按照规定程序进行报批。</w:t>
      </w:r>
    </w:p>
    <w:p>
      <w:pPr>
        <w:spacing w:line="560" w:lineRule="exact"/>
        <w:ind w:firstLine="672"/>
        <w:rPr>
          <w:rFonts w:hint="eastAsia" w:ascii="方正仿宋_GBK" w:eastAsia="方正仿宋_GBK"/>
          <w:sz w:val="33"/>
          <w:szCs w:val="33"/>
        </w:rPr>
      </w:pPr>
      <w:r>
        <w:rPr>
          <w:rFonts w:hint="eastAsia" w:ascii="方正仿宋_GBK" w:eastAsia="方正仿宋_GBK"/>
          <w:sz w:val="33"/>
          <w:szCs w:val="33"/>
          <w:lang w:val="en-US" w:eastAsia="zh-CN"/>
        </w:rPr>
        <w:t>3.</w:t>
      </w:r>
      <w:r>
        <w:rPr>
          <w:rFonts w:hint="eastAsia" w:ascii="方正仿宋_GBK" w:eastAsia="方正仿宋_GBK"/>
          <w:sz w:val="33"/>
          <w:szCs w:val="33"/>
        </w:rPr>
        <w:t>稳步推进格里坪镇行政管理体制改革。为全面完成格里坪镇行政管理体制改革任务，在多次征求市、区相关部门的意见后形成了《关于深入推进格里坪镇行政管理体制改革的实施方案》，《实施方案》经市委、市政府审核后已于6月19日印发并在省委编办进行备案。对照省上的行政权力下放目录清单，按照“依法下放、能放即放、权责一致”原则，明确放权方式及权利实施主体，确定具体区级部门行政权力下放目录共计92项。成立领导小组，细化任务分解，用活乡镇行政区划调整改革政策，形成格里坪镇综合办事机构优化方案，拟设置基层党建、公共管理、公共服务、公共安全等8个综合办事机构，5个事业单位，择优选择1个事业单位主要负责人按副科级配备，构建简约精干的组织架构。</w:t>
      </w:r>
    </w:p>
    <w:p>
      <w:pPr>
        <w:spacing w:line="576" w:lineRule="exact"/>
        <w:ind w:firstLine="660" w:firstLineChars="200"/>
        <w:rPr>
          <w:rFonts w:ascii="方正仿宋_GBK" w:eastAsia="方正仿宋_GBK"/>
          <w:color w:val="FF0000"/>
          <w:sz w:val="33"/>
          <w:szCs w:val="33"/>
        </w:rPr>
      </w:pPr>
      <w:r>
        <w:rPr>
          <w:rFonts w:hint="eastAsia" w:ascii="方正仿宋_GBK" w:eastAsia="方正仿宋_GBK"/>
          <w:sz w:val="33"/>
          <w:szCs w:val="33"/>
          <w:lang w:val="en-US" w:eastAsia="zh-CN"/>
        </w:rPr>
        <w:t>4.</w:t>
      </w:r>
      <w:r>
        <w:rPr>
          <w:rFonts w:hint="eastAsia" w:ascii="方正仿宋_GBK" w:eastAsia="方正仿宋_GBK"/>
          <w:sz w:val="33"/>
          <w:szCs w:val="33"/>
        </w:rPr>
        <w:t>探索推进综合行政执法和综合行政审批。收到省上综合行政执法改革实施意见后，立即对全区行政执法机构情况进行摸底调查，并通过实名制系统对机构编制及人员进行锁定。</w:t>
      </w:r>
      <w:r>
        <w:rPr>
          <w:rFonts w:hint="eastAsia" w:eastAsia="方正仿宋_GBK"/>
          <w:sz w:val="33"/>
          <w:szCs w:val="33"/>
        </w:rPr>
        <w:t>根据《中共四川省委机构编制委员会办公室关于报送市县两级行政审批局和综合行政执法局相对集中行使行政权力事项清单的通知》（川编办函〔2019〕249号）要求，牵头组织区级相关部门对拟划转清单进行了梳理并召开专家论证会，认为梳理出的724项拟划转到区综合行政执法局集中行使行政处罚的事项和174项拟划转到区行政审批局集中行使行政许可的事项符合政府机构改革政策要求，两张清单经攀枝花市西区人民政府十一届第53次常务会议审议通过后已报市委编办进行审核。</w:t>
      </w:r>
    </w:p>
    <w:p>
      <w:pPr>
        <w:spacing w:line="560" w:lineRule="exact"/>
        <w:ind w:firstLine="672"/>
        <w:rPr>
          <w:rFonts w:hint="eastAsia" w:eastAsia="方正仿宋简体"/>
          <w:kern w:val="0"/>
          <w:sz w:val="33"/>
          <w:szCs w:val="33"/>
        </w:rPr>
      </w:pPr>
      <w:r>
        <w:rPr>
          <w:rFonts w:hint="eastAsia" w:eastAsia="方正仿宋_GBK"/>
          <w:sz w:val="33"/>
          <w:szCs w:val="33"/>
          <w:lang w:val="en-US" w:eastAsia="zh-CN"/>
        </w:rPr>
        <w:t>5.</w:t>
      </w:r>
      <w:r>
        <w:rPr>
          <w:rFonts w:hint="eastAsia" w:eastAsia="方正仿宋_GBK"/>
          <w:sz w:val="33"/>
          <w:szCs w:val="33"/>
        </w:rPr>
        <w:t>做好街道行政区划调整改革机构设置。用</w:t>
      </w:r>
      <w:r>
        <w:rPr>
          <w:rFonts w:hint="eastAsia" w:eastAsia="方正仿宋简体"/>
          <w:kern w:val="0"/>
          <w:sz w:val="33"/>
          <w:szCs w:val="33"/>
        </w:rPr>
        <w:t>活区划调整改革政策，结合前期摸排调研评估分析结果，形成行政区划调整后5个街道机构编制优化方案，拟设置党建、社会事务等5个综合办事机构，3个事业单位，进一步强化公共管理、公共服务、公共安全、民生保障等基本职能。</w:t>
      </w:r>
    </w:p>
    <w:p>
      <w:pPr>
        <w:spacing w:line="560" w:lineRule="exact"/>
        <w:ind w:firstLine="660" w:firstLineChars="200"/>
        <w:rPr>
          <w:rFonts w:hint="eastAsia" w:ascii="方正仿宋简体" w:hAnsi="Arial" w:eastAsia="方正仿宋简体" w:cs="Arial"/>
          <w:sz w:val="33"/>
          <w:szCs w:val="33"/>
        </w:rPr>
      </w:pPr>
      <w:r>
        <w:rPr>
          <w:rFonts w:hint="eastAsia" w:eastAsia="方正仿宋简体"/>
          <w:kern w:val="0"/>
          <w:sz w:val="33"/>
          <w:szCs w:val="33"/>
          <w:lang w:val="en-US" w:eastAsia="zh-CN"/>
        </w:rPr>
        <w:t>6.</w:t>
      </w:r>
      <w:r>
        <w:rPr>
          <w:rFonts w:hint="eastAsia" w:eastAsia="方正仿宋简体"/>
          <w:kern w:val="0"/>
          <w:sz w:val="33"/>
          <w:szCs w:val="33"/>
        </w:rPr>
        <w:t>紧扣监督职责狠抓监管。</w:t>
      </w:r>
      <w:r>
        <w:rPr>
          <w:rFonts w:hint="eastAsia" w:ascii="方正楷体_GBK" w:eastAsia="方正楷体_GBK" w:cs="宋体"/>
          <w:b/>
          <w:spacing w:val="-4"/>
          <w:sz w:val="33"/>
          <w:szCs w:val="33"/>
        </w:rPr>
        <w:t>一是</w:t>
      </w:r>
      <w:r>
        <w:rPr>
          <w:rFonts w:hint="eastAsia" w:eastAsia="方正仿宋简体"/>
          <w:kern w:val="0"/>
          <w:sz w:val="33"/>
          <w:szCs w:val="33"/>
        </w:rPr>
        <w:t>开展</w:t>
      </w:r>
      <w:r>
        <w:rPr>
          <w:rFonts w:eastAsia="方正仿宋简体"/>
          <w:kern w:val="0"/>
          <w:sz w:val="33"/>
          <w:szCs w:val="33"/>
        </w:rPr>
        <w:t>机构编制核查</w:t>
      </w:r>
      <w:r>
        <w:rPr>
          <w:rFonts w:hint="eastAsia" w:eastAsia="方正仿宋简体"/>
          <w:kern w:val="0"/>
          <w:sz w:val="33"/>
          <w:szCs w:val="33"/>
        </w:rPr>
        <w:t>，对66家行政单位数据信息进行核对，修改实名制数据  500余条，基本做到机构、编制、人员、领导职数“四清两对应”。</w:t>
      </w:r>
      <w:r>
        <w:rPr>
          <w:rFonts w:hint="eastAsia" w:ascii="方正楷体_GBK" w:eastAsia="方正楷体_GBK" w:cs="宋体"/>
          <w:b/>
          <w:spacing w:val="-4"/>
          <w:sz w:val="33"/>
          <w:szCs w:val="33"/>
        </w:rPr>
        <w:t>二是</w:t>
      </w:r>
      <w:r>
        <w:rPr>
          <w:rFonts w:eastAsia="方正仿宋_GBK"/>
          <w:sz w:val="33"/>
          <w:szCs w:val="33"/>
        </w:rPr>
        <w:t>全面完成事业单位法人年度报告公示</w:t>
      </w:r>
      <w:r>
        <w:rPr>
          <w:rFonts w:hint="eastAsia" w:eastAsia="方正仿宋_GBK"/>
          <w:sz w:val="33"/>
          <w:szCs w:val="33"/>
        </w:rPr>
        <w:t>，开展</w:t>
      </w:r>
      <w:r>
        <w:rPr>
          <w:rFonts w:eastAsia="方正仿宋_GBK"/>
          <w:sz w:val="33"/>
          <w:szCs w:val="33"/>
        </w:rPr>
        <w:t>“双随机、一公开”事业单位</w:t>
      </w:r>
      <w:r>
        <w:rPr>
          <w:rFonts w:hint="eastAsia" w:eastAsia="方正仿宋_GBK"/>
          <w:sz w:val="33"/>
          <w:szCs w:val="33"/>
        </w:rPr>
        <w:t>监管抽查，</w:t>
      </w:r>
      <w:r>
        <w:rPr>
          <w:rFonts w:eastAsia="方正仿宋_GBK"/>
          <w:sz w:val="33"/>
          <w:szCs w:val="33"/>
        </w:rPr>
        <w:t>随机</w:t>
      </w:r>
      <w:r>
        <w:rPr>
          <w:rFonts w:hint="eastAsia" w:eastAsia="方正仿宋_GBK"/>
          <w:sz w:val="33"/>
          <w:szCs w:val="33"/>
        </w:rPr>
        <w:t>对区档案馆、区机关事务服务中心、区融媒体中心等</w:t>
      </w:r>
      <w:r>
        <w:rPr>
          <w:rFonts w:eastAsia="方正仿宋_GBK"/>
          <w:sz w:val="33"/>
          <w:szCs w:val="33"/>
        </w:rPr>
        <w:t>6家事业单位</w:t>
      </w:r>
      <w:r>
        <w:rPr>
          <w:rFonts w:hint="eastAsia" w:eastAsia="方正仿宋_GBK"/>
          <w:sz w:val="33"/>
          <w:szCs w:val="33"/>
        </w:rPr>
        <w:t>进行书面审查、</w:t>
      </w:r>
      <w:r>
        <w:rPr>
          <w:rFonts w:eastAsia="方正仿宋_GBK"/>
          <w:sz w:val="33"/>
          <w:szCs w:val="33"/>
        </w:rPr>
        <w:t>实地核查</w:t>
      </w:r>
      <w:r>
        <w:rPr>
          <w:rFonts w:hint="eastAsia" w:eastAsia="方正仿宋_GBK"/>
          <w:sz w:val="33"/>
          <w:szCs w:val="33"/>
        </w:rPr>
        <w:t>和网络监测</w:t>
      </w:r>
      <w:r>
        <w:rPr>
          <w:rFonts w:eastAsia="方正仿宋_GBK"/>
          <w:sz w:val="33"/>
          <w:szCs w:val="33"/>
        </w:rPr>
        <w:t>，</w:t>
      </w:r>
      <w:r>
        <w:rPr>
          <w:rFonts w:hint="eastAsia" w:eastAsia="方正仿宋_GBK"/>
          <w:sz w:val="33"/>
          <w:szCs w:val="33"/>
        </w:rPr>
        <w:t>进一步加强监管力度</w:t>
      </w:r>
      <w:r>
        <w:rPr>
          <w:rFonts w:eastAsia="方正仿宋_GBK"/>
          <w:sz w:val="33"/>
          <w:szCs w:val="33"/>
        </w:rPr>
        <w:t>，促进事业单位</w:t>
      </w:r>
      <w:r>
        <w:rPr>
          <w:rFonts w:hint="eastAsia" w:eastAsia="方正仿宋_GBK"/>
          <w:sz w:val="33"/>
          <w:szCs w:val="33"/>
        </w:rPr>
        <w:t>依法诚信</w:t>
      </w:r>
      <w:r>
        <w:rPr>
          <w:rFonts w:eastAsia="方正仿宋_GBK"/>
          <w:sz w:val="33"/>
          <w:szCs w:val="33"/>
        </w:rPr>
        <w:t>履职</w:t>
      </w:r>
      <w:r>
        <w:rPr>
          <w:rFonts w:hint="eastAsia" w:ascii="方正仿宋简体" w:hAnsi="Arial" w:eastAsia="方正仿宋简体" w:cs="Arial"/>
          <w:sz w:val="33"/>
          <w:szCs w:val="33"/>
        </w:rPr>
        <w:t>。</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spacing w:line="560" w:lineRule="exact"/>
        <w:ind w:firstLine="660" w:firstLineChars="200"/>
        <w:rPr>
          <w:rFonts w:eastAsia="方正仿宋_GBK"/>
          <w:sz w:val="33"/>
          <w:szCs w:val="33"/>
        </w:rPr>
      </w:pPr>
      <w:r>
        <w:rPr>
          <w:rFonts w:hint="eastAsia" w:eastAsia="方正仿宋_GBK"/>
          <w:sz w:val="33"/>
          <w:szCs w:val="33"/>
        </w:rPr>
        <w:t>中共攀枝花市西区区委机构编制委员会办公室内设股室2个，下属二级单位1个，其中参照公务员法管理的事业单位1个（西区事业单位登记服务中心）。</w:t>
      </w:r>
    </w:p>
    <w:p>
      <w:pPr>
        <w:spacing w:line="560" w:lineRule="exact"/>
        <w:ind w:firstLine="660" w:firstLineChars="200"/>
        <w:rPr>
          <w:rFonts w:eastAsia="方正仿宋_GBK"/>
          <w:sz w:val="33"/>
          <w:szCs w:val="33"/>
        </w:rPr>
      </w:pPr>
      <w:r>
        <w:rPr>
          <w:rFonts w:hint="eastAsia" w:eastAsia="方正仿宋_GBK"/>
          <w:sz w:val="33"/>
          <w:szCs w:val="33"/>
        </w:rPr>
        <w:t>纳入中共四川省攀枝花市西区区委机构编制委员会办公室20</w:t>
      </w:r>
      <w:r>
        <w:rPr>
          <w:rFonts w:hint="eastAsia" w:eastAsia="方正仿宋_GBK"/>
          <w:sz w:val="33"/>
          <w:szCs w:val="33"/>
          <w:lang w:val="en-US" w:eastAsia="zh-CN"/>
        </w:rPr>
        <w:t>19</w:t>
      </w:r>
      <w:r>
        <w:rPr>
          <w:rFonts w:hint="eastAsia" w:eastAsia="方正仿宋_GBK"/>
          <w:sz w:val="33"/>
          <w:szCs w:val="33"/>
        </w:rPr>
        <w:t>年度部门决算编制范围的二级预算单位包括：</w:t>
      </w:r>
    </w:p>
    <w:p>
      <w:pPr>
        <w:spacing w:line="560" w:lineRule="exact"/>
        <w:ind w:firstLine="660" w:firstLineChars="200"/>
        <w:rPr>
          <w:rFonts w:hint="eastAsia" w:eastAsia="方正仿宋_GBK"/>
          <w:sz w:val="33"/>
          <w:szCs w:val="33"/>
        </w:rPr>
      </w:pPr>
      <w:r>
        <w:rPr>
          <w:rFonts w:hint="eastAsia" w:eastAsia="方正仿宋_GBK"/>
          <w:sz w:val="33"/>
          <w:szCs w:val="33"/>
          <w:lang w:val="en-US" w:eastAsia="zh-CN"/>
        </w:rPr>
        <w:t>1.</w:t>
      </w:r>
      <w:r>
        <w:rPr>
          <w:rFonts w:hint="eastAsia" w:eastAsia="方正仿宋_GBK"/>
          <w:sz w:val="33"/>
          <w:szCs w:val="33"/>
          <w:lang w:eastAsia="zh-CN"/>
        </w:rPr>
        <w:t>攀枝花市</w:t>
      </w:r>
      <w:r>
        <w:rPr>
          <w:rFonts w:hint="eastAsia" w:eastAsia="方正仿宋_GBK"/>
          <w:sz w:val="33"/>
          <w:szCs w:val="33"/>
        </w:rPr>
        <w:t>西区事业单位登记服务中心</w:t>
      </w:r>
    </w:p>
    <w:p>
      <w:pPr>
        <w:pStyle w:val="5"/>
        <w:adjustRightInd w:val="0"/>
        <w:snapToGrid w:val="0"/>
        <w:spacing w:before="93" w:line="600" w:lineRule="exact"/>
        <w:ind w:firstLine="672" w:firstLineChars="210"/>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2019年度收、支总计</w:t>
      </w:r>
      <w:r>
        <w:rPr>
          <w:rFonts w:hint="eastAsia" w:ascii="方正仿宋_GBK" w:hAnsi="方正仿宋_GBK" w:eastAsia="方正仿宋_GBK" w:cs="方正仿宋_GBK"/>
          <w:sz w:val="33"/>
          <w:szCs w:val="33"/>
          <w:lang w:val="en-US" w:eastAsia="zh-CN"/>
        </w:rPr>
        <w:t>254.64</w:t>
      </w:r>
      <w:r>
        <w:rPr>
          <w:rFonts w:hint="eastAsia" w:ascii="方正仿宋_GBK" w:hAnsi="方正仿宋_GBK" w:eastAsia="方正仿宋_GBK" w:cs="方正仿宋_GBK"/>
          <w:sz w:val="33"/>
          <w:szCs w:val="33"/>
        </w:rPr>
        <w:t>万元。2018年度收、支总计276.42万元。与2018年相比，收、支总计各减少</w:t>
      </w:r>
      <w:r>
        <w:rPr>
          <w:rFonts w:hint="eastAsia" w:ascii="方正仿宋_GBK" w:hAnsi="方正仿宋_GBK" w:eastAsia="方正仿宋_GBK" w:cs="方正仿宋_GBK"/>
          <w:sz w:val="33"/>
          <w:szCs w:val="33"/>
          <w:lang w:val="en-US" w:eastAsia="zh-CN"/>
        </w:rPr>
        <w:t>21.78</w:t>
      </w:r>
      <w:r>
        <w:rPr>
          <w:rFonts w:hint="eastAsia" w:ascii="方正仿宋_GBK" w:hAnsi="方正仿宋_GBK" w:eastAsia="方正仿宋_GBK" w:cs="方正仿宋_GBK"/>
          <w:sz w:val="33"/>
          <w:szCs w:val="33"/>
        </w:rPr>
        <w:t>万元，下降</w:t>
      </w:r>
      <w:r>
        <w:rPr>
          <w:rFonts w:hint="eastAsia" w:ascii="方正仿宋_GBK" w:hAnsi="方正仿宋_GBK" w:eastAsia="方正仿宋_GBK" w:cs="方正仿宋_GBK"/>
          <w:sz w:val="33"/>
          <w:szCs w:val="33"/>
          <w:lang w:val="en-US" w:eastAsia="zh-CN"/>
        </w:rPr>
        <w:t>8.55</w:t>
      </w:r>
      <w:r>
        <w:rPr>
          <w:rFonts w:hint="eastAsia" w:ascii="方正仿宋_GBK" w:hAnsi="方正仿宋_GBK" w:eastAsia="方正仿宋_GBK" w:cs="方正仿宋_GBK"/>
          <w:sz w:val="33"/>
          <w:szCs w:val="33"/>
        </w:rPr>
        <w:t>%。主要变动原因是工作人员</w:t>
      </w:r>
      <w:r>
        <w:rPr>
          <w:rFonts w:hint="eastAsia" w:ascii="方正仿宋_GBK" w:hAnsi="方正仿宋_GBK" w:eastAsia="方正仿宋_GBK" w:cs="方正仿宋_GBK"/>
          <w:sz w:val="33"/>
          <w:szCs w:val="33"/>
          <w:lang w:eastAsia="zh-CN"/>
        </w:rPr>
        <w:t>减少了</w:t>
      </w:r>
      <w:r>
        <w:rPr>
          <w:rFonts w:hint="eastAsia" w:ascii="方正仿宋_GBK" w:hAnsi="方正仿宋_GBK" w:eastAsia="方正仿宋_GBK" w:cs="方正仿宋_GBK"/>
          <w:sz w:val="33"/>
          <w:szCs w:val="33"/>
        </w:rPr>
        <w:t>。</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anchor distT="0" distB="0" distL="114300" distR="114300" simplePos="0" relativeHeight="251658240" behindDoc="0" locked="0" layoutInCell="1" allowOverlap="1">
            <wp:simplePos x="0" y="0"/>
            <wp:positionH relativeFrom="column">
              <wp:posOffset>239395</wp:posOffset>
            </wp:positionH>
            <wp:positionV relativeFrom="paragraph">
              <wp:posOffset>71120</wp:posOffset>
            </wp:positionV>
            <wp:extent cx="4822825" cy="3343275"/>
            <wp:effectExtent l="4445" t="5080" r="11430" b="444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_GB2312" w:eastAsia="仿宋_GB2312"/>
          <w:color w:val="000000"/>
          <w:sz w:val="32"/>
          <w:szCs w:val="32"/>
          <w:lang w:eastAsia="zh-CN"/>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560" w:lineRule="exact"/>
        <w:ind w:firstLine="660" w:firstLineChars="200"/>
        <w:rPr>
          <w:rFonts w:hint="eastAsia" w:ascii="方正仿宋_GBK" w:hAnsi="方正仿宋_GBK" w:eastAsia="方正仿宋_GBK" w:cs="方正仿宋_GBK"/>
          <w:sz w:val="33"/>
          <w:szCs w:val="33"/>
          <w:lang w:eastAsia="zh-CN"/>
        </w:rPr>
      </w:pPr>
      <w:r>
        <w:rPr>
          <w:rFonts w:hint="eastAsia" w:ascii="方正仿宋_GBK" w:hAnsi="方正仿宋_GBK" w:eastAsia="方正仿宋_GBK" w:cs="方正仿宋_GBK"/>
          <w:sz w:val="33"/>
          <w:szCs w:val="33"/>
        </w:rPr>
        <w:t>2019年收入预算</w:t>
      </w:r>
      <w:r>
        <w:rPr>
          <w:rFonts w:hint="eastAsia" w:ascii="方正仿宋_GBK" w:hAnsi="方正仿宋_GBK" w:eastAsia="方正仿宋_GBK" w:cs="方正仿宋_GBK"/>
          <w:sz w:val="33"/>
          <w:szCs w:val="33"/>
          <w:lang w:val="en-US" w:eastAsia="zh-CN"/>
        </w:rPr>
        <w:t>128.98</w:t>
      </w:r>
      <w:r>
        <w:rPr>
          <w:rFonts w:hint="eastAsia" w:ascii="方正仿宋_GBK" w:hAnsi="方正仿宋_GBK" w:eastAsia="方正仿宋_GBK" w:cs="方正仿宋_GBK"/>
          <w:sz w:val="33"/>
          <w:szCs w:val="33"/>
        </w:rPr>
        <w:t>万元，其中：一般公共预算拨款收入</w:t>
      </w:r>
      <w:r>
        <w:rPr>
          <w:rFonts w:hint="eastAsia" w:ascii="方正仿宋_GBK" w:hAnsi="方正仿宋_GBK" w:eastAsia="方正仿宋_GBK" w:cs="方正仿宋_GBK"/>
          <w:sz w:val="33"/>
          <w:szCs w:val="33"/>
          <w:lang w:val="en-US" w:eastAsia="zh-CN"/>
        </w:rPr>
        <w:t>113.77</w:t>
      </w:r>
      <w:r>
        <w:rPr>
          <w:rFonts w:hint="eastAsia" w:ascii="方正仿宋_GBK" w:hAnsi="方正仿宋_GBK" w:eastAsia="方正仿宋_GBK" w:cs="方正仿宋_GBK"/>
          <w:sz w:val="33"/>
          <w:szCs w:val="33"/>
        </w:rPr>
        <w:t>万元，占</w:t>
      </w:r>
      <w:r>
        <w:rPr>
          <w:rFonts w:hint="eastAsia" w:ascii="方正仿宋_GBK" w:hAnsi="方正仿宋_GBK" w:eastAsia="方正仿宋_GBK" w:cs="方正仿宋_GBK"/>
          <w:sz w:val="33"/>
          <w:szCs w:val="33"/>
          <w:lang w:val="en-US" w:eastAsia="zh-CN"/>
        </w:rPr>
        <w:t>88.21</w:t>
      </w:r>
      <w:r>
        <w:rPr>
          <w:rFonts w:hint="eastAsia" w:ascii="方正仿宋_GBK" w:hAnsi="方正仿宋_GBK" w:eastAsia="方正仿宋_GBK" w:cs="方正仿宋_GBK"/>
          <w:sz w:val="33"/>
          <w:szCs w:val="33"/>
        </w:rPr>
        <w:t>%</w:t>
      </w:r>
      <w:r>
        <w:rPr>
          <w:rFonts w:hint="eastAsia" w:ascii="方正仿宋_GBK" w:hAnsi="方正仿宋_GBK" w:eastAsia="方正仿宋_GBK" w:cs="方正仿宋_GBK"/>
          <w:sz w:val="33"/>
          <w:szCs w:val="33"/>
          <w:lang w:eastAsia="zh-CN"/>
        </w:rPr>
        <w:t>；年初结转和结余</w:t>
      </w:r>
      <w:r>
        <w:rPr>
          <w:rFonts w:hint="eastAsia" w:ascii="方正仿宋_GBK" w:hAnsi="方正仿宋_GBK" w:eastAsia="方正仿宋_GBK" w:cs="方正仿宋_GBK"/>
          <w:sz w:val="33"/>
          <w:szCs w:val="33"/>
          <w:lang w:val="en-US" w:eastAsia="zh-CN"/>
        </w:rPr>
        <w:t>15.18万元</w:t>
      </w:r>
      <w:r>
        <w:rPr>
          <w:rFonts w:hint="eastAsia" w:ascii="方正仿宋_GBK" w:hAnsi="方正仿宋_GBK" w:eastAsia="方正仿宋_GBK" w:cs="方正仿宋_GBK"/>
          <w:sz w:val="33"/>
          <w:szCs w:val="33"/>
        </w:rPr>
        <w:t>，占</w:t>
      </w:r>
      <w:r>
        <w:rPr>
          <w:rFonts w:hint="eastAsia" w:ascii="方正仿宋_GBK" w:hAnsi="方正仿宋_GBK" w:eastAsia="方正仿宋_GBK" w:cs="方正仿宋_GBK"/>
          <w:sz w:val="33"/>
          <w:szCs w:val="33"/>
          <w:lang w:val="en-US" w:eastAsia="zh-CN"/>
        </w:rPr>
        <w:t>11.77</w:t>
      </w:r>
      <w:r>
        <w:rPr>
          <w:rFonts w:hint="eastAsia" w:ascii="方正仿宋_GBK" w:hAnsi="方正仿宋_GBK" w:eastAsia="方正仿宋_GBK" w:cs="方正仿宋_GBK"/>
          <w:sz w:val="33"/>
          <w:szCs w:val="33"/>
        </w:rPr>
        <w:t>%</w:t>
      </w:r>
      <w:r>
        <w:rPr>
          <w:rFonts w:hint="eastAsia" w:ascii="方正仿宋_GBK" w:hAnsi="方正仿宋_GBK" w:eastAsia="方正仿宋_GBK" w:cs="方正仿宋_GBK"/>
          <w:sz w:val="33"/>
          <w:szCs w:val="33"/>
          <w:lang w:eastAsia="zh-CN"/>
        </w:rPr>
        <w:t>。</w:t>
      </w:r>
    </w:p>
    <w:p>
      <w:pPr>
        <w:spacing w:line="240" w:lineRule="auto"/>
        <w:ind w:firstLine="640" w:firstLineChars="200"/>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drawing>
          <wp:inline distT="0" distB="0" distL="114300" distR="114300">
            <wp:extent cx="3771900" cy="2254250"/>
            <wp:effectExtent l="0" t="0" r="0" b="1270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7"/>
                    <a:stretch>
                      <a:fillRect/>
                    </a:stretch>
                  </pic:blipFill>
                  <pic:spPr>
                    <a:xfrm>
                      <a:off x="0" y="0"/>
                      <a:ext cx="3771900" cy="2254250"/>
                    </a:xfrm>
                    <a:prstGeom prst="rect">
                      <a:avLst/>
                    </a:prstGeom>
                  </pic:spPr>
                </pic:pic>
              </a:graphicData>
            </a:graphic>
          </wp:inline>
        </w:drawing>
      </w:r>
    </w:p>
    <w:p>
      <w:pPr>
        <w:spacing w:line="600" w:lineRule="exact"/>
        <w:ind w:firstLine="1600" w:firstLineChars="500"/>
        <w:rPr>
          <w:rFonts w:hint="eastAsia" w:ascii="仿宋_GB2312" w:eastAsia="仿宋_GB2312"/>
          <w:color w:val="FF0000"/>
          <w:sz w:val="32"/>
          <w:szCs w:val="32"/>
          <w:lang w:eastAsia="zh-CN"/>
        </w:rPr>
      </w:pPr>
      <w:r>
        <w:rPr>
          <w:rFonts w:hint="eastAsia" w:ascii="仿宋" w:hAnsi="仿宋" w:eastAsia="仿宋"/>
          <w:color w:val="000000" w:themeColor="text1"/>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2019年支出预算128.57万元，其中：基本支出125.7万元，占97.</w:t>
      </w:r>
      <w:r>
        <w:rPr>
          <w:rFonts w:hint="eastAsia" w:ascii="方正仿宋_GBK" w:hAnsi="方正仿宋_GBK" w:eastAsia="方正仿宋_GBK" w:cs="方正仿宋_GBK"/>
          <w:sz w:val="33"/>
          <w:szCs w:val="33"/>
          <w:lang w:val="en-US" w:eastAsia="zh-CN"/>
        </w:rPr>
        <w:t>77</w:t>
      </w:r>
      <w:r>
        <w:rPr>
          <w:rFonts w:hint="eastAsia" w:ascii="方正仿宋_GBK" w:hAnsi="方正仿宋_GBK" w:eastAsia="方正仿宋_GBK" w:cs="方正仿宋_GBK"/>
          <w:sz w:val="33"/>
          <w:szCs w:val="33"/>
        </w:rPr>
        <w:t>%；项目支出2.87万元，占2.</w:t>
      </w:r>
      <w:r>
        <w:rPr>
          <w:rFonts w:hint="eastAsia" w:ascii="方正仿宋_GBK" w:hAnsi="方正仿宋_GBK" w:eastAsia="方正仿宋_GBK" w:cs="方正仿宋_GBK"/>
          <w:sz w:val="33"/>
          <w:szCs w:val="33"/>
          <w:lang w:val="en-US" w:eastAsia="zh-CN"/>
        </w:rPr>
        <w:t>23</w:t>
      </w:r>
      <w:r>
        <w:rPr>
          <w:rFonts w:hint="eastAsia" w:ascii="方正仿宋_GBK" w:hAnsi="方正仿宋_GBK" w:eastAsia="方正仿宋_GBK" w:cs="方正仿宋_GBK"/>
          <w:sz w:val="33"/>
          <w:szCs w:val="33"/>
        </w:rPr>
        <w:t>%。其中基本支出行政运行87.55万元、机关事业单位基本养老保险缴费支出9.12万元、住房公积金10.29万元，项目支出2.87万元。</w:t>
      </w:r>
    </w:p>
    <w:p>
      <w:pPr>
        <w:spacing w:line="240" w:lineRule="auto"/>
        <w:ind w:firstLine="640" w:firstLineChars="200"/>
        <w:rPr>
          <w:rFonts w:hint="eastAsia" w:ascii="仿宋_GB2312" w:eastAsia="仿宋_GB2312"/>
          <w:color w:val="0000FF"/>
          <w:sz w:val="32"/>
          <w:szCs w:val="32"/>
          <w:lang w:eastAsia="zh-CN"/>
        </w:rPr>
      </w:pPr>
      <w:r>
        <w:rPr>
          <w:rFonts w:hint="eastAsia" w:ascii="仿宋_GB2312" w:eastAsia="仿宋_GB2312"/>
          <w:color w:val="0000FF"/>
          <w:sz w:val="32"/>
          <w:szCs w:val="32"/>
          <w:lang w:eastAsia="zh-CN"/>
        </w:rPr>
        <w:drawing>
          <wp:inline distT="0" distB="0" distL="114300" distR="114300">
            <wp:extent cx="3866515" cy="2103755"/>
            <wp:effectExtent l="0" t="0" r="635" b="10795"/>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8"/>
                    <a:stretch>
                      <a:fillRect/>
                    </a:stretch>
                  </pic:blipFill>
                  <pic:spPr>
                    <a:xfrm>
                      <a:off x="0" y="0"/>
                      <a:ext cx="3866515" cy="2103755"/>
                    </a:xfrm>
                    <a:prstGeom prst="rect">
                      <a:avLst/>
                    </a:prstGeom>
                  </pic:spPr>
                </pic:pic>
              </a:graphicData>
            </a:graphic>
          </wp:inline>
        </w:drawing>
      </w:r>
    </w:p>
    <w:p>
      <w:pPr>
        <w:spacing w:line="240" w:lineRule="auto"/>
        <w:ind w:firstLine="1320" w:firstLineChars="400"/>
        <w:rPr>
          <w:rFonts w:hint="eastAsia" w:ascii="仿宋_GB2312" w:eastAsia="仿宋_GB2312"/>
          <w:color w:val="0000FF"/>
          <w:sz w:val="32"/>
          <w:szCs w:val="32"/>
          <w:lang w:eastAsia="zh-CN"/>
        </w:rPr>
      </w:pPr>
      <w:r>
        <w:rPr>
          <w:rFonts w:hint="eastAsia" w:eastAsia="方正仿宋_GBK"/>
          <w:sz w:val="33"/>
          <w:szCs w:val="33"/>
        </w:rPr>
        <w:t>（图3：支出决算结构图）（饼状图）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2019年度收、支总计</w:t>
      </w:r>
      <w:r>
        <w:rPr>
          <w:rFonts w:hint="eastAsia" w:ascii="方正仿宋_GBK" w:hAnsi="方正仿宋_GBK" w:eastAsia="方正仿宋_GBK" w:cs="方正仿宋_GBK"/>
          <w:sz w:val="33"/>
          <w:szCs w:val="33"/>
          <w:lang w:val="en-US" w:eastAsia="zh-CN"/>
        </w:rPr>
        <w:t>242.34</w:t>
      </w:r>
      <w:r>
        <w:rPr>
          <w:rFonts w:hint="eastAsia" w:ascii="方正仿宋_GBK" w:hAnsi="方正仿宋_GBK" w:eastAsia="方正仿宋_GBK" w:cs="方正仿宋_GBK"/>
          <w:sz w:val="33"/>
          <w:szCs w:val="33"/>
        </w:rPr>
        <w:t>万元。与2018年相比，收、支总计各减少</w:t>
      </w:r>
      <w:r>
        <w:rPr>
          <w:rFonts w:hint="eastAsia" w:ascii="方正仿宋_GBK" w:hAnsi="方正仿宋_GBK" w:eastAsia="方正仿宋_GBK" w:cs="方正仿宋_GBK"/>
          <w:sz w:val="33"/>
          <w:szCs w:val="33"/>
          <w:lang w:val="en-US" w:eastAsia="zh-CN"/>
        </w:rPr>
        <w:t>14.06</w:t>
      </w:r>
      <w:r>
        <w:rPr>
          <w:rFonts w:hint="eastAsia" w:ascii="方正仿宋_GBK" w:hAnsi="方正仿宋_GBK" w:eastAsia="方正仿宋_GBK" w:cs="方正仿宋_GBK"/>
          <w:sz w:val="33"/>
          <w:szCs w:val="33"/>
        </w:rPr>
        <w:t>万元，下降</w:t>
      </w:r>
      <w:r>
        <w:rPr>
          <w:rFonts w:hint="eastAsia" w:ascii="方正仿宋_GBK" w:hAnsi="方正仿宋_GBK" w:eastAsia="方正仿宋_GBK" w:cs="方正仿宋_GBK"/>
          <w:sz w:val="33"/>
          <w:szCs w:val="33"/>
          <w:lang w:val="en-US" w:eastAsia="zh-CN"/>
        </w:rPr>
        <w:t>12.33</w:t>
      </w:r>
      <w:r>
        <w:rPr>
          <w:rFonts w:hint="eastAsia" w:ascii="方正仿宋_GBK" w:hAnsi="方正仿宋_GBK" w:eastAsia="方正仿宋_GBK" w:cs="方正仿宋_GBK"/>
          <w:sz w:val="33"/>
          <w:szCs w:val="33"/>
        </w:rPr>
        <w:t>%。主要变动原因是减少了</w:t>
      </w:r>
      <w:r>
        <w:rPr>
          <w:rFonts w:hint="eastAsia" w:ascii="方正仿宋_GBK" w:hAnsi="方正仿宋_GBK" w:eastAsia="方正仿宋_GBK" w:cs="方正仿宋_GBK"/>
          <w:sz w:val="33"/>
          <w:szCs w:val="33"/>
          <w:lang w:val="en-US" w:eastAsia="zh-CN"/>
        </w:rPr>
        <w:t>2</w:t>
      </w:r>
      <w:r>
        <w:rPr>
          <w:rFonts w:hint="eastAsia" w:ascii="方正仿宋_GBK" w:hAnsi="方正仿宋_GBK" w:eastAsia="方正仿宋_GBK" w:cs="方正仿宋_GBK"/>
          <w:sz w:val="33"/>
          <w:szCs w:val="33"/>
        </w:rPr>
        <w:t>名工作人员。</w:t>
      </w:r>
    </w:p>
    <w:p>
      <w:pPr>
        <w:spacing w:line="600" w:lineRule="exact"/>
        <w:ind w:firstLine="640"/>
        <w:rPr>
          <w:rFonts w:hint="eastAsia" w:ascii="仿宋" w:hAnsi="仿宋" w:eastAsia="仿宋"/>
          <w:color w:val="000000" w:themeColor="text1"/>
          <w:sz w:val="32"/>
          <w:szCs w:val="32"/>
        </w:rPr>
      </w:pPr>
      <w:r>
        <w:rPr>
          <w:rFonts w:hint="eastAsia" w:ascii="仿宋" w:hAnsi="仿宋" w:eastAsia="仿宋"/>
          <w:color w:val="000000"/>
          <w:sz w:val="32"/>
          <w:szCs w:val="32"/>
          <w:lang w:eastAsia="zh-CN"/>
        </w:rPr>
        <w:drawing>
          <wp:anchor distT="0" distB="0" distL="114300" distR="114300" simplePos="0" relativeHeight="251659264" behindDoc="0" locked="0" layoutInCell="1" allowOverlap="1">
            <wp:simplePos x="0" y="0"/>
            <wp:positionH relativeFrom="column">
              <wp:posOffset>671195</wp:posOffset>
            </wp:positionH>
            <wp:positionV relativeFrom="paragraph">
              <wp:posOffset>223520</wp:posOffset>
            </wp:positionV>
            <wp:extent cx="3975100" cy="2628900"/>
            <wp:effectExtent l="4445" t="4445" r="20955" b="1460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hint="eastAsia" w:ascii="仿宋" w:hAnsi="仿宋" w:eastAsia="仿宋"/>
          <w:color w:val="000000"/>
          <w:sz w:val="32"/>
          <w:szCs w:val="32"/>
          <w:lang w:eastAsia="zh-CN"/>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lang w:eastAsia="zh-CN"/>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320" w:firstLineChars="100"/>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2019年财政拨款支出总预算125.68万元，占本年支出合计的97.75%。比2018年预算数减少12.51万元（2018年一般公共预算财政拨款支出138.19万元），主要原因是人员减少。</w:t>
      </w:r>
    </w:p>
    <w:p>
      <w:pPr>
        <w:widowControl/>
        <w:shd w:val="clear" w:color="auto" w:fill="FFFFFF"/>
        <w:spacing w:before="255" w:after="255" w:line="352" w:lineRule="auto"/>
        <w:ind w:firstLine="640"/>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drawing>
          <wp:inline distT="0" distB="0" distL="114300" distR="114300">
            <wp:extent cx="4328160" cy="2724785"/>
            <wp:effectExtent l="4445" t="4445" r="10795"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1. 2013601：2019年预算数为:110.89万元，其中工资福利支出：基本工资23.19万元、津补贴53.28万元、奖金5.9万元、社会保障缴费17.1万元。商品服务支出：办公费7.97万元、差旅费0.96万元、其他交通费5.09万元、工会经费0.67万元、公积金11.43万元。</w:t>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2. 2120802：2019年预算数为:2.87万元，主要用于中共攀枝花市西区区委机构编制委员会办公室为完成特定的行政工作任务，用于专项业务工作的经费支出和项目费用。</w:t>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3. 2013650：2019年预算数为:11.09万元，主要用于支付事业人员工资福利、办公经费等费用。</w:t>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4、2080505：2019年预算数为9.12万元，主要用于支付行政事业人员基本养老保险费。</w:t>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5、2101101：2019年预算数为6.29万元，主要用于支付行政人员基本医疗保险费。</w:t>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6、2101102：2019年预算数为0.74万元，主要用于支付事业人员基本医疗保险费。</w:t>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7、2101103：2019年预算数为0.63万元，主要用于支付行政事业人员医疗补助缴费。</w:t>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8、2210201：2019年预算数为10.29万元，主要用于支付行政事业人员住房公积金。</w:t>
      </w:r>
    </w:p>
    <w:p>
      <w:pPr>
        <w:spacing w:line="600" w:lineRule="exact"/>
        <w:ind w:firstLine="640"/>
        <w:rPr>
          <w:rFonts w:hint="eastAsia" w:ascii="仿宋" w:hAnsi="仿宋" w:eastAsia="仿宋"/>
          <w:color w:val="0000FF"/>
          <w:sz w:val="32"/>
          <w:szCs w:val="32"/>
          <w:lang w:eastAsia="zh-CN"/>
        </w:rPr>
      </w:pPr>
      <w:r>
        <w:rPr>
          <w:rFonts w:hint="eastAsia" w:ascii="仿宋" w:hAnsi="仿宋" w:eastAsia="仿宋"/>
          <w:color w:val="0000FF"/>
          <w:sz w:val="32"/>
          <w:szCs w:val="32"/>
          <w:lang w:eastAsia="zh-CN"/>
        </w:rPr>
        <w:drawing>
          <wp:anchor distT="0" distB="0" distL="114300" distR="114300" simplePos="0" relativeHeight="251660288" behindDoc="0" locked="0" layoutInCell="1" allowOverlap="1">
            <wp:simplePos x="0" y="0"/>
            <wp:positionH relativeFrom="column">
              <wp:posOffset>525145</wp:posOffset>
            </wp:positionH>
            <wp:positionV relativeFrom="paragraph">
              <wp:posOffset>48895</wp:posOffset>
            </wp:positionV>
            <wp:extent cx="4546600" cy="3180715"/>
            <wp:effectExtent l="4445" t="4445" r="20955" b="1524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spacing w:line="600" w:lineRule="exact"/>
        <w:ind w:firstLine="640" w:firstLineChars="200"/>
        <w:rPr>
          <w:rFonts w:hint="eastAsia" w:ascii="仿宋" w:hAnsi="仿宋" w:eastAsia="仿宋"/>
          <w:color w:val="FF0000"/>
          <w:sz w:val="32"/>
          <w:szCs w:val="32"/>
        </w:rPr>
      </w:pPr>
    </w:p>
    <w:p>
      <w:pPr>
        <w:widowControl/>
        <w:shd w:val="clear" w:color="auto" w:fill="FFFFFF"/>
        <w:spacing w:before="255" w:after="255" w:line="352" w:lineRule="auto"/>
        <w:ind w:firstLine="640"/>
        <w:rPr>
          <w:rFonts w:ascii="仿宋" w:hAnsi="仿宋" w:eastAsia="仿宋"/>
          <w:color w:val="000000"/>
          <w:sz w:val="32"/>
          <w:szCs w:val="32"/>
        </w:rPr>
      </w:pPr>
      <w:r>
        <w:rPr>
          <w:rFonts w:hint="eastAsia" w:ascii="仿宋_GB2312" w:eastAsia="仿宋_GB2312" w:cs="Times New Roman"/>
          <w:color w:val="auto"/>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560" w:lineRule="exact"/>
        <w:ind w:firstLine="660" w:firstLineChars="200"/>
        <w:rPr>
          <w:rFonts w:hint="eastAsia" w:ascii="方正仿宋_GBK" w:hAnsi="方正仿宋_GBK" w:eastAsia="方正仿宋_GBK" w:cs="方正仿宋_GBK"/>
          <w:sz w:val="33"/>
          <w:szCs w:val="33"/>
          <w:lang w:val="en-US" w:eastAsia="zh-CN"/>
        </w:rPr>
      </w:pPr>
      <w:bookmarkStart w:id="37" w:name="_Toc15377444"/>
      <w:bookmarkStart w:id="38" w:name="_Toc15377213"/>
      <w:bookmarkStart w:id="39" w:name="_Toc15378460"/>
      <w:r>
        <w:rPr>
          <w:rFonts w:hint="eastAsia" w:ascii="方正仿宋_GBK" w:hAnsi="方正仿宋_GBK" w:eastAsia="方正仿宋_GBK" w:cs="方正仿宋_GBK"/>
          <w:sz w:val="33"/>
          <w:szCs w:val="33"/>
          <w:lang w:val="en-US" w:eastAsia="zh-CN"/>
        </w:rPr>
        <w:t>2019年般公共预算支出决算数为128.57万元，完成预算99.68%。其中：</w:t>
      </w:r>
      <w:bookmarkEnd w:id="37"/>
      <w:bookmarkEnd w:id="38"/>
      <w:bookmarkEnd w:id="39"/>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1.人员经费113.78万元，主要包括：基本工资、津补贴、奖金、基本养老保险、基本医疗保险、公积金、项目经费、其他商品支出。</w:t>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2.公用经费14.79万元，主要包括：办公费、差旅费、其他交通费用、福利费、工会经费、党建经费。</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560" w:lineRule="exact"/>
        <w:ind w:firstLine="660" w:firstLineChars="20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2019年一般公共预算财政拨款基本支出125.68万元，其中：人员经费110.89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_GBK" w:hAnsi="方正仿宋_GBK" w:eastAsia="方正仿宋_GBK" w:cs="方正仿宋_GBK"/>
          <w:sz w:val="33"/>
          <w:szCs w:val="33"/>
          <w:lang w:val="en-US" w:eastAsia="zh-CN"/>
        </w:rPr>
        <w:br w:type="textWrapping"/>
      </w:r>
      <w:r>
        <w:rPr>
          <w:rFonts w:hint="eastAsia" w:ascii="方正仿宋_GBK" w:hAnsi="方正仿宋_GBK" w:eastAsia="方正仿宋_GBK" w:cs="方正仿宋_GBK"/>
          <w:sz w:val="33"/>
          <w:szCs w:val="33"/>
          <w:lang w:val="en-US" w:eastAsia="zh-CN"/>
        </w:rPr>
        <w:t>　　日常公用经费14.79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方正仿宋_GBK" w:hAnsi="方正仿宋_GBK" w:eastAsia="方正仿宋_GBK" w:cs="方正仿宋_GBK"/>
          <w:sz w:val="33"/>
          <w:szCs w:val="33"/>
          <w:lang w:val="en-US" w:eastAsia="zh-CN"/>
        </w:rPr>
        <w:t>2019年“三公”经费财政拨款支出决算为0万元，2019年攀枝花市西区编办无“三公”经费支出。</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“三公”经费财政拨款支出决算中，因公出国（境）费支出决算0万元；公务用车购置及运行维护费支出决算0万元；公务接待费支出决算0万元。</w:t>
      </w:r>
      <w:bookmarkStart w:id="46" w:name="_Toc15396610"/>
      <w:bookmarkStart w:id="47" w:name="_Toc15377218"/>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2019年政府性基金预算拨款支出2.87万元。</w:t>
      </w:r>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本部门在2019年度部门决算中共有“机构编制档案规范化建设专项经费”“机构编制核查及实名制系统维护专项经费”“机构改革业务费”等三个项目。本年度共计支出2.87万元。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2019年国有资本经营预算拨款支出0万元。</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2019年，中共四川省攀枝花市西区区委机构编制委员会办公室机关运行经费支出14.79万元，比2018年减少0.29万元，下降1.9%。主要原因是工作人员减少。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2019年，攀枝花市西区区委编办政府采购支出总额0万元。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攀枝花市西区区委编办无公务车辆</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根据预算绩效管理要求，本部门（单位）在年初预算编制阶段，组织对机构编制档案规范化建设专项经费、机构编制核查及实名制系统维护专项经费、机构改革业务费三个项目开展了预算事前绩效评估，对上述三个项目编制了绩效目标，预算执行过程中，开展绩效监控，年终执行完毕后，对三个个项目开展了绩效目标完成情况自评。</w:t>
      </w:r>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本部门按要求对2019年部门整体支出开展绩效自评，从评价情况来看确保西区机关事业单位机构编制档案规范化，完成率100%；执行机构编制法律法规，保障西区机构编制不突破底线和红线，确保机构、人员等信息数据准确，严格控制财政供养人员。按照中央和省、市部署，顺利完成党政机构改革工作，完成率100%。</w:t>
      </w:r>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项目绩效目标完成情况。</w:t>
      </w:r>
      <w:r>
        <w:rPr>
          <w:rFonts w:hint="eastAsia" w:ascii="方正仿宋_GBK" w:hAnsi="方正仿宋_GBK" w:eastAsia="方正仿宋_GBK" w:cs="方正仿宋_GBK"/>
          <w:sz w:val="33"/>
          <w:szCs w:val="33"/>
          <w:lang w:val="en-US" w:eastAsia="zh-CN"/>
        </w:rPr>
        <w:br w:type="textWrapping"/>
      </w:r>
      <w:r>
        <w:rPr>
          <w:rFonts w:hint="eastAsia" w:ascii="方正仿宋_GBK" w:hAnsi="方正仿宋_GBK" w:eastAsia="方正仿宋_GBK" w:cs="方正仿宋_GBK"/>
          <w:sz w:val="33"/>
          <w:szCs w:val="33"/>
          <w:lang w:val="en-US" w:eastAsia="zh-CN"/>
        </w:rPr>
        <w:t xml:space="preserve">    本部门在2019年度部门决算中反映“机构编制档案规范化建设专项经费”“机构编制核查及实名制系统维护专项经费”“机构改革业务费”等三个项目绩效目标实际完成情况。</w:t>
      </w:r>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机构编制档案规范化建设专项经费”项目绩效目标完成情况综述。项目全年预算数0.2万元，执行数为0.2万元，完成预算的100%。通过项目实施，确保各部门机构编制文件、历史沿革、人员信息等数据准确，清晰可查。</w:t>
      </w:r>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机构编制核查及实名制系统维护专项经费”项目绩效目标完成情况综述。项目全年预算数0.3万元，执行数为0.3万元，完成预算的100%。通过项目实施，执行机构编制法律法规，保障西区机构编制不突破底线和红线，确保机构、人员等信息数据准确，严格控制财政供养人员。</w:t>
      </w:r>
    </w:p>
    <w:p>
      <w:pPr>
        <w:spacing w:line="600" w:lineRule="exact"/>
        <w:ind w:firstLine="640"/>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lang w:val="en-US" w:eastAsia="zh-CN"/>
        </w:rPr>
        <w:t>（3）“机构改革业务费”项目绩效目标完成情况综述。项目全年预算数2.5万元，执行数为2.37万元，完成预算的94.8%。通过项目实施，33个区级党政部门机构改革、1个镇、6个街道以及130个事业单位完成机构改革方案、机构、职能、编制划转调整到位。</w:t>
      </w: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600" w:lineRule="exact"/>
        <w:ind w:firstLine="640"/>
        <w:rPr>
          <w:rFonts w:hint="eastAsia" w:ascii="方正仿宋_GBK" w:hAnsi="方正仿宋_GBK" w:eastAsia="方正仿宋_GBK" w:cs="方正仿宋_GBK"/>
          <w:sz w:val="33"/>
          <w:szCs w:val="33"/>
          <w:lang w:val="en-US" w:eastAsia="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568"/>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color w:val="000000"/>
                <w:sz w:val="24"/>
                <w:lang w:eastAsia="zh-CN"/>
              </w:rPr>
              <w:t>机构编制档案规范化建设专项经费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攀枝花市西区编制委员会办公室</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0.2</w:t>
            </w:r>
            <w:r>
              <w:rPr>
                <w:rFonts w:hint="eastAsia" w:ascii="宋体" w:hAnsi="宋体" w:cs="宋体"/>
                <w:color w:val="000000"/>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0.2</w:t>
            </w:r>
            <w:r>
              <w:rPr>
                <w:rFonts w:hint="eastAsia" w:ascii="宋体" w:hAnsi="宋体" w:cs="宋体"/>
                <w:color w:val="000000"/>
                <w:sz w:val="24"/>
                <w:lang w:eastAsia="zh-CN"/>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0.2</w:t>
            </w:r>
            <w:r>
              <w:rPr>
                <w:rFonts w:hint="eastAsia" w:ascii="宋体" w:hAnsi="宋体" w:cs="宋体"/>
                <w:color w:val="000000"/>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0.2</w:t>
            </w:r>
            <w:r>
              <w:rPr>
                <w:rFonts w:hint="eastAsia" w:ascii="宋体" w:hAnsi="宋体" w:cs="宋体"/>
                <w:color w:val="000000"/>
                <w:sz w:val="24"/>
                <w:lang w:eastAsia="zh-CN"/>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确保全区机构编制档案文件规范可查，确保各类机构历史沿革有迹可循。</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确保全区机构编制档案文件规范可查，确保各类机构历史沿革有迹可循。</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开展业务学习培训1次，订阅相关规范汇编和书籍资料，采购相应文具材料。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开展业务学习培训1次，订阅相关规范汇编和书籍资料，采购相应文具材料。</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开展业务学习培训1次，订阅相关规范汇编和书籍资料，采购相应文具材料130余份。</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ascii="Times New Roman" w:hAnsi="Times New Roman" w:eastAsia="宋体" w:cs="Times New Roman"/>
                <w:kern w:val="2"/>
                <w:sz w:val="21"/>
                <w:szCs w:val="24"/>
                <w:lang w:val="en-US" w:eastAsia="zh-CN" w:bidi="ar-SA"/>
              </w:rPr>
            </w:pPr>
            <w:r>
              <w:rPr>
                <w:rFonts w:hint="eastAsia" w:ascii="宋体" w:hAnsi="宋体" w:cs="宋体"/>
                <w:color w:val="000000"/>
                <w:sz w:val="24"/>
              </w:rPr>
              <w:t>确保全区机构编制档案文件规范可查，确保各类机构历史沿革有迹可循。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ascii="Times New Roman" w:hAnsi="Times New Roman" w:eastAsia="宋体" w:cs="Times New Roman"/>
                <w:kern w:val="2"/>
                <w:sz w:val="21"/>
                <w:szCs w:val="24"/>
                <w:lang w:val="en-US" w:eastAsia="zh-CN" w:bidi="ar-SA"/>
              </w:rPr>
            </w:pPr>
            <w:r>
              <w:rPr>
                <w:rFonts w:hint="eastAsia" w:ascii="宋体" w:hAnsi="宋体" w:cs="宋体"/>
                <w:color w:val="000000"/>
                <w:sz w:val="24"/>
              </w:rPr>
              <w:t>确保全区机构编制档案文件规范可查，确保各类机构历史沿革有迹可循。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ascii="Times New Roman" w:hAnsi="Times New Roman" w:eastAsia="宋体" w:cs="Times New Roman"/>
                <w:kern w:val="2"/>
                <w:sz w:val="21"/>
                <w:szCs w:val="24"/>
                <w:lang w:val="en-US" w:eastAsia="zh-CN" w:bidi="ar-SA"/>
              </w:rPr>
            </w:pPr>
            <w:r>
              <w:rPr>
                <w:rFonts w:hint="eastAsia" w:ascii="宋体" w:hAnsi="宋体" w:cs="宋体"/>
                <w:color w:val="000000"/>
                <w:sz w:val="24"/>
              </w:rPr>
              <w:t>确保全区机构编制档案文件规范可查，确保各类机构历史沿革有迹可循。</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0.2万元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0.2万元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确保全区机构编制档案文件规范可查，确保各类机构历史沿革有迹可循。</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确保全区机构编制档案文件规范可查，确保各类机构历史沿革有迹可循。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确保全区机构编制档案文件规范可查，确保各类机构历史沿革有迹可循，为各项重点工作、各项检查提供重要依据。</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568"/>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color w:val="000000"/>
                <w:sz w:val="24"/>
                <w:lang w:eastAsia="zh-CN"/>
              </w:rPr>
              <w:t>机构编制核查及实名制系统维护专项经费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攀枝花市西区编制委员会办公室</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0.</w:t>
            </w:r>
            <w:r>
              <w:rPr>
                <w:rFonts w:hint="eastAsia" w:ascii="宋体" w:hAnsi="宋体" w:cs="宋体"/>
                <w:color w:val="000000"/>
                <w:sz w:val="24"/>
                <w:lang w:val="en-US" w:eastAsia="zh-CN"/>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0.3万元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0.</w:t>
            </w:r>
            <w:r>
              <w:rPr>
                <w:rFonts w:hint="eastAsia" w:ascii="宋体" w:hAnsi="宋体" w:cs="宋体"/>
                <w:color w:val="000000"/>
                <w:sz w:val="24"/>
                <w:lang w:val="en-US" w:eastAsia="zh-CN"/>
              </w:rPr>
              <w:t>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0.3万元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完成全区机构编制核查和实名制系统维护。</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顺利完成了完成全区机构编制核查和实名制系统维护。</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开展全年机构编制核查1次，对全区开展业务培训1次，核查机构编制数据，确保编制数底线不突破，与财政供养人员保持对应。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开展全年机构编制核查1次，对全区开展业务培训1次，核查机构编制数据，修改实名制数据1000人次。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开展全年机构编制核查1次，对全区开展业务培训1次，核查机构编制数据，修改实名制数据1500人次。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确保完成牵头开展的各项工作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确保完成牵头开展的各项工作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全面完成牵头开展的各项工作</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0.3万元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0.3万元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0.3万元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保障各项工作开展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确保全区</w:t>
            </w:r>
            <w:r>
              <w:rPr>
                <w:rFonts w:hint="eastAsia" w:ascii="宋体" w:hAnsi="宋体" w:cs="宋体"/>
                <w:color w:val="000000"/>
                <w:kern w:val="0"/>
                <w:sz w:val="24"/>
                <w:lang w:bidi="ar"/>
              </w:rPr>
              <w:t>机构编制核查及实名制系统维护</w:t>
            </w:r>
            <w:r>
              <w:rPr>
                <w:rFonts w:hint="eastAsia" w:ascii="宋体" w:hAnsi="宋体" w:cs="宋体"/>
                <w:color w:val="000000"/>
                <w:sz w:val="24"/>
              </w:rPr>
              <w:t>顺利完成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维护了全区机构编制纪律</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1568"/>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ab/>
            </w:r>
            <w:r>
              <w:rPr>
                <w:rFonts w:hint="eastAsia" w:ascii="宋体" w:hAnsi="宋体" w:cs="宋体"/>
                <w:color w:val="000000"/>
                <w:sz w:val="24"/>
                <w:lang w:eastAsia="zh-CN"/>
              </w:rPr>
              <w:t>机构改革业务费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攀枝花市西区编制委员会办公室</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确保机构改革顺利开展。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顺利开展了机构改革，确保党的十九大和十九届三中全会精神在基层的落实。</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开展机构改革调研10次以上，牵头召开机构改革动员会，形成机构改革方案。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开展机构改革调研10次以上，牵头召开机构改革动员会，形成机构改革方案。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开展机构改革调研20余次，牵头召开机构改革动员会1次，形成机构改革方案1份。</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开展机构改革调研10次以上，牵头召开机构改革动员会，形成机构改革方案。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开展机构改革调研10次以上，牵头召开机构改革动员会，形成机构改革方案。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开展机构改革调研20余次，牵头召开机构改革动员会1次，形成机构改革方案1份。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年12月31日前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w:t>
            </w:r>
            <w:r>
              <w:rPr>
                <w:rFonts w:hint="eastAsia" w:ascii="宋体" w:hAnsi="宋体" w:cs="宋体"/>
                <w:color w:val="000000"/>
                <w:sz w:val="24"/>
                <w:lang w:val="en-US" w:eastAsia="zh-CN"/>
              </w:rPr>
              <w:t>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w:t>
            </w:r>
            <w:r>
              <w:rPr>
                <w:rFonts w:hint="eastAsia" w:ascii="宋体" w:hAnsi="宋体" w:cs="宋体"/>
                <w:color w:val="000000"/>
                <w:sz w:val="24"/>
                <w:lang w:val="en-US" w:eastAsia="zh-CN"/>
              </w:rPr>
              <w:t>5</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w:t>
            </w:r>
            <w:r>
              <w:rPr>
                <w:rFonts w:hint="eastAsia" w:ascii="宋体" w:hAnsi="宋体" w:cs="宋体"/>
                <w:color w:val="000000"/>
                <w:sz w:val="24"/>
                <w:lang w:val="en-US" w:eastAsia="zh-CN"/>
              </w:rPr>
              <w:t>37</w:t>
            </w:r>
            <w:r>
              <w:rPr>
                <w:rFonts w:hint="eastAsia" w:ascii="宋体" w:hAnsi="宋体" w:cs="宋体"/>
                <w:color w:val="000000"/>
                <w:sz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确保机构改革顺利开展，党政部门运转高效。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确保机构改革顺利开展，党政部门运转高效。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确保机构改革顺利开展，党政部门运转高效。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ind w:left="630"/>
        <w:rPr>
          <w:rFonts w:ascii="仿宋_GB2312" w:hAnsi="仿宋_GB2312" w:eastAsia="仿宋_GB2312" w:cs="仿宋_GB2312"/>
          <w:sz w:val="32"/>
          <w:szCs w:val="32"/>
        </w:rPr>
      </w:pPr>
    </w:p>
    <w:p>
      <w:pPr>
        <w:spacing w:line="580" w:lineRule="exact"/>
        <w:ind w:left="630"/>
        <w:rPr>
          <w:rFonts w:hint="eastAsia" w:ascii="方正仿宋_GBK" w:hAnsi="方正仿宋_GBK" w:eastAsia="方正仿宋_GBK" w:cs="方正仿宋_GBK"/>
          <w:sz w:val="33"/>
          <w:szCs w:val="33"/>
        </w:rPr>
      </w:pPr>
      <w:r>
        <w:rPr>
          <w:rFonts w:hint="eastAsia" w:ascii="楷体_GB2312" w:hAnsi="楷体_GB2312" w:eastAsia="楷体_GB2312" w:cs="楷体_GB2312"/>
          <w:sz w:val="32"/>
          <w:szCs w:val="32"/>
        </w:rPr>
        <w:t>2</w:t>
      </w:r>
      <w:r>
        <w:rPr>
          <w:rFonts w:hint="eastAsia" w:ascii="方正仿宋_GBK" w:hAnsi="方正仿宋_GBK" w:eastAsia="方正仿宋_GBK" w:cs="方正仿宋_GBK"/>
          <w:sz w:val="33"/>
          <w:szCs w:val="33"/>
        </w:rPr>
        <w:t>.部门绩效评价结果。</w:t>
      </w:r>
    </w:p>
    <w:p>
      <w:pPr>
        <w:spacing w:line="58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本部门按要求对2019年部门整体支出绩效评价情况开展自评，《</w:t>
      </w:r>
      <w:r>
        <w:rPr>
          <w:rFonts w:hint="eastAsia" w:ascii="方正仿宋_GBK" w:hAnsi="方正仿宋_GBK" w:eastAsia="方正仿宋_GBK" w:cs="方正仿宋_GBK"/>
          <w:sz w:val="33"/>
          <w:szCs w:val="33"/>
          <w:lang w:eastAsia="zh-CN"/>
        </w:rPr>
        <w:t>中共攀枝花市西区区委编办</w:t>
      </w:r>
      <w:r>
        <w:rPr>
          <w:rFonts w:hint="eastAsia" w:ascii="方正仿宋_GBK" w:hAnsi="方正仿宋_GBK" w:eastAsia="方正仿宋_GBK" w:cs="方正仿宋_GBK"/>
          <w:sz w:val="33"/>
          <w:szCs w:val="33"/>
        </w:rPr>
        <w:t>2019年部门整体支出绩效评价报告》见附件（附件1）。</w:t>
      </w:r>
    </w:p>
    <w:p>
      <w:pPr>
        <w:spacing w:line="580" w:lineRule="exact"/>
        <w:ind w:firstLine="660" w:firstLineChars="200"/>
        <w:rPr>
          <w:rFonts w:hint="eastAsia" w:ascii="方正仿宋_GBK" w:hAnsi="方正仿宋_GBK" w:eastAsia="方正仿宋_GBK" w:cs="方正仿宋_GBK"/>
          <w:b/>
          <w:color w:val="000000"/>
          <w:sz w:val="33"/>
          <w:szCs w:val="33"/>
        </w:rPr>
      </w:pPr>
      <w:r>
        <w:rPr>
          <w:rFonts w:hint="eastAsia" w:ascii="方正仿宋_GBK" w:hAnsi="方正仿宋_GBK" w:eastAsia="方正仿宋_GBK" w:cs="方正仿宋_GBK"/>
          <w:sz w:val="33"/>
          <w:szCs w:val="33"/>
        </w:rPr>
        <w:t>本部门自行组织对“机构编制档案规范化建设专项经费”</w:t>
      </w:r>
      <w:r>
        <w:rPr>
          <w:rFonts w:hint="eastAsia" w:ascii="方正仿宋_GBK" w:hAnsi="方正仿宋_GBK" w:eastAsia="方正仿宋_GBK" w:cs="方正仿宋_GBK"/>
          <w:sz w:val="33"/>
          <w:szCs w:val="33"/>
          <w:lang w:eastAsia="zh-CN"/>
        </w:rPr>
        <w:t>、“机构编制核查及实名制系统维护专项经费</w:t>
      </w:r>
      <w:r>
        <w:rPr>
          <w:rFonts w:hint="eastAsia" w:ascii="方正仿宋_GBK" w:hAnsi="方正仿宋_GBK" w:eastAsia="方正仿宋_GBK" w:cs="方正仿宋_GBK"/>
          <w:sz w:val="33"/>
          <w:szCs w:val="33"/>
        </w:rPr>
        <w:t>”</w:t>
      </w:r>
      <w:r>
        <w:rPr>
          <w:rFonts w:hint="eastAsia" w:ascii="方正仿宋_GBK" w:hAnsi="方正仿宋_GBK" w:eastAsia="方正仿宋_GBK" w:cs="方正仿宋_GBK"/>
          <w:sz w:val="33"/>
          <w:szCs w:val="33"/>
          <w:lang w:eastAsia="zh-CN"/>
        </w:rPr>
        <w:t>、</w:t>
      </w:r>
      <w:r>
        <w:rPr>
          <w:rFonts w:hint="eastAsia" w:ascii="方正仿宋_GBK" w:hAnsi="方正仿宋_GBK" w:eastAsia="方正仿宋_GBK" w:cs="方正仿宋_GBK"/>
          <w:sz w:val="33"/>
          <w:szCs w:val="33"/>
        </w:rPr>
        <w:t>“</w:t>
      </w:r>
      <w:r>
        <w:rPr>
          <w:rFonts w:hint="eastAsia" w:ascii="方正仿宋_GBK" w:hAnsi="方正仿宋_GBK" w:eastAsia="方正仿宋_GBK" w:cs="方正仿宋_GBK"/>
          <w:sz w:val="33"/>
          <w:szCs w:val="33"/>
          <w:lang w:eastAsia="zh-CN"/>
        </w:rPr>
        <w:t>机构改革业务费</w:t>
      </w:r>
      <w:r>
        <w:rPr>
          <w:rFonts w:hint="eastAsia" w:ascii="方正仿宋_GBK" w:hAnsi="方正仿宋_GBK" w:eastAsia="方正仿宋_GBK" w:cs="方正仿宋_GBK"/>
          <w:sz w:val="33"/>
          <w:szCs w:val="33"/>
        </w:rPr>
        <w:t>”开展了绩效评价，《项目2019年绩效评价报告》见附件（附件2）。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1.财政拨款收入：指单位从级财政部门取得的财政预算资金。</w:t>
      </w: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2.事业收入：指事业单位开展专业业务活动及辅助活动取得的收入。。</w:t>
      </w:r>
    </w:p>
    <w:p>
      <w:pPr>
        <w:pStyle w:val="22"/>
        <w:spacing w:line="560" w:lineRule="exact"/>
        <w:ind w:firstLine="660" w:firstLineChars="200"/>
        <w:rPr>
          <w:rFonts w:hint="eastAsia" w:ascii="Times New Roman" w:hAnsi="Times New Roman" w:eastAsia="方正仿宋_GBK" w:cs="Times New Roman"/>
          <w:sz w:val="33"/>
          <w:szCs w:val="33"/>
        </w:rPr>
      </w:pPr>
      <w:r>
        <w:rPr>
          <w:rFonts w:ascii="Times New Roman" w:hAnsi="Times New Roman" w:eastAsia="方正仿宋_GBK" w:cs="Times New Roman"/>
          <w:sz w:val="33"/>
          <w:szCs w:val="33"/>
        </w:rPr>
        <w:t>3.经营收入：指事业单位在专业业务活动及其辅助活动之外开展非独立核算经营活动取得的收入。</w:t>
      </w: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4.其他收入：指单位取得的除上述收入以外的各项收入。主要是</w:t>
      </w:r>
      <w:r>
        <w:rPr>
          <w:rFonts w:hint="eastAsia" w:ascii="仿宋_GB2312" w:eastAsia="仿宋_GB2312"/>
          <w:sz w:val="32"/>
          <w:szCs w:val="32"/>
          <w:shd w:val="clear" w:color="auto" w:fill="FFFFFF"/>
        </w:rPr>
        <w:t>利息收入</w:t>
      </w:r>
      <w:r>
        <w:rPr>
          <w:rFonts w:ascii="Times New Roman" w:hAnsi="Times New Roman" w:eastAsia="方正仿宋_GBK" w:cs="Times New Roman"/>
          <w:sz w:val="33"/>
          <w:szCs w:val="33"/>
        </w:rPr>
        <w:t xml:space="preserve">等。 </w:t>
      </w: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 xml:space="preserve">6.年初结转和结余：指以前年度尚未完成、结转到本年按有关规定继续使用的资金。 </w:t>
      </w: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7.结余分配：指事业单位按照事业单位会计制度的规定从非财政补助结余中分配的事业基金和职工福利基金等。</w:t>
      </w: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8、年末结转和结余：指单位按有关规定结转到下年或以后年度继续使用的资金。</w:t>
      </w:r>
    </w:p>
    <w:p>
      <w:pPr>
        <w:spacing w:line="560" w:lineRule="exact"/>
        <w:ind w:firstLine="660" w:firstLineChars="200"/>
        <w:rPr>
          <w:rFonts w:eastAsia="方正仿宋_GBK"/>
          <w:color w:val="000000"/>
          <w:sz w:val="33"/>
          <w:szCs w:val="33"/>
        </w:rPr>
      </w:pPr>
      <w:r>
        <w:rPr>
          <w:rFonts w:eastAsia="方正仿宋_GBK"/>
          <w:color w:val="000000"/>
          <w:sz w:val="33"/>
          <w:szCs w:val="33"/>
        </w:rPr>
        <w:t>9.基本支出：指为保障机构正常运转、完成日常工作任务而发生的人员支出和公用支出。</w:t>
      </w:r>
    </w:p>
    <w:p>
      <w:pPr>
        <w:spacing w:line="560" w:lineRule="exact"/>
        <w:ind w:firstLine="660" w:firstLineChars="200"/>
        <w:rPr>
          <w:rFonts w:eastAsia="方正仿宋_GBK"/>
          <w:color w:val="000000"/>
          <w:sz w:val="33"/>
          <w:szCs w:val="33"/>
        </w:rPr>
      </w:pPr>
      <w:r>
        <w:rPr>
          <w:rFonts w:eastAsia="方正仿宋_GBK"/>
          <w:color w:val="000000"/>
          <w:sz w:val="33"/>
          <w:szCs w:val="33"/>
        </w:rPr>
        <w:t xml:space="preserve">10.项目支出：指在基本支出之外为完成特定行政任务和事业发展目标所发生的支出。 </w:t>
      </w:r>
    </w:p>
    <w:p>
      <w:pPr>
        <w:spacing w:line="560" w:lineRule="exact"/>
        <w:ind w:firstLine="660" w:firstLineChars="200"/>
        <w:rPr>
          <w:rFonts w:eastAsia="方正仿宋_GBK"/>
          <w:color w:val="000000"/>
          <w:sz w:val="33"/>
          <w:szCs w:val="33"/>
        </w:rPr>
      </w:pPr>
      <w:r>
        <w:rPr>
          <w:rFonts w:eastAsia="方正仿宋_GBK"/>
          <w:color w:val="000000"/>
          <w:sz w:val="33"/>
          <w:szCs w:val="33"/>
        </w:rPr>
        <w:t>11.经营支出：指事业单位在专业业务活动及其辅助活动之外开展非独立核算经营活动发生的支出。</w:t>
      </w: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60" w:firstLineChars="200"/>
        <w:rPr>
          <w:rFonts w:ascii="Times New Roman" w:hAnsi="Times New Roman" w:eastAsia="方正仿宋_GBK" w:cs="Times New Roman"/>
          <w:sz w:val="33"/>
          <w:szCs w:val="33"/>
        </w:rPr>
      </w:pPr>
      <w:r>
        <w:rPr>
          <w:rFonts w:ascii="Times New Roman" w:hAnsi="Times New Roman" w:eastAsia="方正仿宋_GBK" w:cs="Times New Roman"/>
          <w:sz w:val="33"/>
          <w:szCs w:val="33"/>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left="630"/>
        <w:rPr>
          <w:rFonts w:hint="eastAsia" w:ascii="Times New Roman" w:hAnsi="Times New Roman" w:eastAsia="方正仿宋_GBK" w:cs="Times New Roman"/>
          <w:color w:val="000000"/>
          <w:kern w:val="0"/>
          <w:sz w:val="33"/>
          <w:szCs w:val="33"/>
          <w:lang w:val="en-US" w:eastAsia="zh-CN" w:bidi="ar-SA"/>
        </w:rPr>
      </w:pP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中共攀枝花市西区区委编办</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60" w:firstLineChars="200"/>
        <w:contextualSpacing/>
        <w:jc w:val="left"/>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color w:val="000000"/>
          <w:kern w:val="0"/>
          <w:sz w:val="33"/>
          <w:szCs w:val="33"/>
          <w:shd w:val="clear" w:color="auto" w:fill="FFFFFF"/>
          <w:lang w:val="zh-CN"/>
        </w:rPr>
        <w:t>（一）机构组成。</w:t>
      </w:r>
    </w:p>
    <w:p>
      <w:pPr>
        <w:widowControl/>
        <w:adjustRightInd w:val="0"/>
        <w:snapToGrid w:val="0"/>
        <w:spacing w:line="580" w:lineRule="exact"/>
        <w:ind w:firstLine="660" w:firstLineChars="200"/>
        <w:contextualSpacing/>
        <w:jc w:val="left"/>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sz w:val="33"/>
          <w:szCs w:val="33"/>
        </w:rPr>
        <w:t>设置3个内设机构，分别为：</w:t>
      </w:r>
      <w:r>
        <w:rPr>
          <w:rFonts w:hint="eastAsia" w:eastAsia="方正仿宋_GBK"/>
          <w:sz w:val="33"/>
          <w:szCs w:val="33"/>
        </w:rPr>
        <w:t>综合股（区事业单位登记管理局）</w:t>
      </w:r>
      <w:r>
        <w:rPr>
          <w:rFonts w:hint="eastAsia" w:ascii="方正仿宋_GBK" w:hAnsi="方正仿宋_GBK" w:eastAsia="方正仿宋_GBK" w:cs="方正仿宋_GBK"/>
          <w:sz w:val="33"/>
          <w:szCs w:val="33"/>
        </w:rPr>
        <w:t>、</w:t>
      </w:r>
      <w:r>
        <w:rPr>
          <w:rFonts w:hint="eastAsia" w:eastAsia="方正仿宋_GBK"/>
          <w:sz w:val="33"/>
          <w:szCs w:val="33"/>
        </w:rPr>
        <w:t>机构编制管理股（督查调研股）</w:t>
      </w:r>
      <w:r>
        <w:rPr>
          <w:rFonts w:hint="eastAsia" w:ascii="方正仿宋_GBK" w:hAnsi="方正仿宋_GBK" w:eastAsia="方正仿宋_GBK" w:cs="方正仿宋_GBK"/>
          <w:sz w:val="33"/>
          <w:szCs w:val="33"/>
        </w:rPr>
        <w:t>。下属1家参公事业单位，即攀枝花市西区</w:t>
      </w:r>
      <w:r>
        <w:rPr>
          <w:rFonts w:hint="eastAsia" w:eastAsia="方正仿宋_GBK"/>
          <w:sz w:val="33"/>
          <w:szCs w:val="33"/>
        </w:rPr>
        <w:t>西区事业单位登记服务中心</w:t>
      </w:r>
      <w:r>
        <w:rPr>
          <w:rFonts w:hint="eastAsia" w:ascii="方正仿宋_GBK" w:hAnsi="方正仿宋_GBK" w:eastAsia="方正仿宋_GBK" w:cs="方正仿宋_GBK"/>
          <w:sz w:val="33"/>
          <w:szCs w:val="33"/>
        </w:rPr>
        <w:t>。</w:t>
      </w:r>
      <w:bookmarkStart w:id="73" w:name="_GoBack"/>
      <w:bookmarkEnd w:id="73"/>
    </w:p>
    <w:p>
      <w:pPr>
        <w:spacing w:line="560" w:lineRule="exact"/>
        <w:ind w:firstLine="660" w:firstLineChars="200"/>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color w:val="000000"/>
          <w:kern w:val="0"/>
          <w:sz w:val="33"/>
          <w:szCs w:val="33"/>
          <w:shd w:val="clear" w:color="auto" w:fill="FFFFFF"/>
          <w:lang w:val="zh-CN"/>
        </w:rPr>
        <w:t>（二）机构职能。</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1.贯彻执行中央、省、市行政管理体制改革和机构改革、事业单位改革及机构编制管理的方针政策和法律法规，制定相关政策并监督实施。</w:t>
      </w:r>
    </w:p>
    <w:p>
      <w:pPr>
        <w:spacing w:line="560" w:lineRule="exact"/>
        <w:ind w:firstLine="636" w:firstLineChars="200"/>
        <w:rPr>
          <w:rFonts w:hint="eastAsia" w:ascii="方正仿宋_GBK" w:hAnsi="方正仿宋_GBK" w:eastAsia="方正仿宋_GBK" w:cs="方正仿宋_GBK"/>
          <w:spacing w:val="-6"/>
          <w:sz w:val="33"/>
          <w:szCs w:val="33"/>
        </w:rPr>
      </w:pPr>
      <w:r>
        <w:rPr>
          <w:rFonts w:hint="eastAsia" w:ascii="方正仿宋_GBK" w:hAnsi="方正仿宋_GBK" w:eastAsia="方正仿宋_GBK" w:cs="方正仿宋_GBK"/>
          <w:spacing w:val="-6"/>
          <w:sz w:val="33"/>
          <w:szCs w:val="33"/>
        </w:rPr>
        <w:t>2.研究拟订全区行政管理体制改革和机构改革方案，审核区级各部门“三定”规定以及乡（镇）机构改革方案，评估改革效果。参与行政审批制度改革和行政区划调整的有关工作。</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3.拟订全区各级行政编制、政法专项编制总额分配方案。负责全区行政事业编制总量控制和机关事业单位机构编制实名制管理工作，建立健全机构编制管理联动机制，会同有关部门严格控制财政供养人员。对全区机关事业单位使用空缺编制补充人员进行核批。</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4.负责区委、区政府各部门，区人大、区政协机关，区法院、区检察院机关，工商联和群团机关以及其他行政机构的机构编制管理工作。</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5.拟订全区事业单位改革方案及相关配套政策，审核区属事业单位机构编制方案，评估改革效果。负责区属事业单位的机构编制管理工作。负责拟参照公务员法管理事业单位机构编制事项的审核工作。</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6.监督检查全区各级行政管理体制改革和机构改革方案及机构编制规定执行情况，建立机构编制工作考核评估制度，会同有关部门查处机构编制违法违纪行为。</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7.负责行政管理体制、机构改革及机构编制的理论研究和信息传递、交流工作，负责机构编制的统计工作。</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8.负责市委机构编制委员会及其办公室下达有关部门专项编制的分配和管理工作。</w:t>
      </w:r>
    </w:p>
    <w:p>
      <w:pPr>
        <w:spacing w:line="56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9.监督检查全区事业单位登记管理工作。</w:t>
      </w:r>
    </w:p>
    <w:p>
      <w:pPr>
        <w:widowControl/>
        <w:adjustRightInd w:val="0"/>
        <w:snapToGrid w:val="0"/>
        <w:spacing w:line="580" w:lineRule="exact"/>
        <w:ind w:firstLine="660" w:firstLineChars="200"/>
        <w:contextualSpacing/>
        <w:jc w:val="left"/>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sz w:val="33"/>
          <w:szCs w:val="33"/>
        </w:rPr>
        <w:t>10.承办区委、区政府和区委编委交办的其他工作。</w:t>
      </w:r>
    </w:p>
    <w:p>
      <w:pPr>
        <w:spacing w:line="580" w:lineRule="exact"/>
        <w:ind w:firstLine="660" w:firstLineChars="200"/>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color w:val="000000"/>
          <w:kern w:val="0"/>
          <w:sz w:val="33"/>
          <w:szCs w:val="33"/>
          <w:shd w:val="clear" w:color="auto" w:fill="FFFFFF"/>
          <w:lang w:val="zh-CN"/>
        </w:rPr>
        <w:t>（三）人员概况。</w:t>
      </w:r>
    </w:p>
    <w:p>
      <w:pPr>
        <w:spacing w:line="580" w:lineRule="exact"/>
        <w:ind w:firstLine="660" w:firstLineChars="200"/>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sz w:val="33"/>
          <w:szCs w:val="33"/>
        </w:rPr>
        <w:t>机关及所属事业单位共</w:t>
      </w:r>
      <w:r>
        <w:rPr>
          <w:rFonts w:hint="eastAsia" w:ascii="方正仿宋_GBK" w:hAnsi="方正仿宋_GBK" w:eastAsia="方正仿宋_GBK" w:cs="方正仿宋_GBK"/>
          <w:sz w:val="33"/>
          <w:szCs w:val="33"/>
          <w:lang w:val="en-US" w:eastAsia="zh-CN"/>
        </w:rPr>
        <w:t>7</w:t>
      </w:r>
      <w:r>
        <w:rPr>
          <w:rFonts w:hint="eastAsia" w:ascii="方正仿宋_GBK" w:hAnsi="方正仿宋_GBK" w:eastAsia="方正仿宋_GBK" w:cs="方正仿宋_GBK"/>
          <w:sz w:val="33"/>
          <w:szCs w:val="33"/>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60" w:firstLineChars="200"/>
        <w:contextualSpacing/>
        <w:jc w:val="left"/>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color w:val="000000"/>
          <w:kern w:val="0"/>
          <w:sz w:val="33"/>
          <w:szCs w:val="33"/>
          <w:shd w:val="clear" w:color="auto" w:fill="FFFFFF"/>
          <w:lang w:val="zh-CN"/>
        </w:rPr>
        <w:t>（一）部门财政资金收入情况。</w:t>
      </w:r>
    </w:p>
    <w:p>
      <w:pPr>
        <w:widowControl/>
        <w:adjustRightInd w:val="0"/>
        <w:snapToGrid w:val="0"/>
        <w:spacing w:line="580" w:lineRule="exact"/>
        <w:ind w:firstLine="660" w:firstLineChars="200"/>
        <w:contextualSpacing/>
        <w:jc w:val="left"/>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sz w:val="33"/>
          <w:szCs w:val="33"/>
        </w:rPr>
        <w:t>201</w:t>
      </w:r>
      <w:r>
        <w:rPr>
          <w:rFonts w:hint="eastAsia" w:ascii="方正仿宋_GBK" w:hAnsi="方正仿宋_GBK" w:eastAsia="方正仿宋_GBK" w:cs="方正仿宋_GBK"/>
          <w:sz w:val="33"/>
          <w:szCs w:val="33"/>
          <w:lang w:val="en-US" w:eastAsia="zh-CN"/>
        </w:rPr>
        <w:t>9</w:t>
      </w:r>
      <w:r>
        <w:rPr>
          <w:rFonts w:hint="eastAsia" w:ascii="方正仿宋_GBK" w:hAnsi="方正仿宋_GBK" w:eastAsia="方正仿宋_GBK" w:cs="方正仿宋_GBK"/>
          <w:sz w:val="33"/>
          <w:szCs w:val="33"/>
        </w:rPr>
        <w:t>年收入</w:t>
      </w:r>
      <w:r>
        <w:rPr>
          <w:rFonts w:hint="eastAsia" w:ascii="方正仿宋_GBK" w:hAnsi="方正仿宋_GBK" w:eastAsia="方正仿宋_GBK" w:cs="方正仿宋_GBK"/>
          <w:sz w:val="33"/>
          <w:szCs w:val="33"/>
          <w:lang w:val="en-US" w:eastAsia="zh-CN"/>
        </w:rPr>
        <w:t>126.07</w:t>
      </w:r>
      <w:r>
        <w:rPr>
          <w:rFonts w:hint="eastAsia" w:ascii="方正仿宋_GBK" w:hAnsi="方正仿宋_GBK" w:eastAsia="方正仿宋_GBK" w:cs="方正仿宋_GBK"/>
          <w:sz w:val="33"/>
          <w:szCs w:val="33"/>
        </w:rPr>
        <w:t>万元。</w:t>
      </w:r>
    </w:p>
    <w:p>
      <w:pPr>
        <w:widowControl/>
        <w:numPr>
          <w:ilvl w:val="0"/>
          <w:numId w:val="4"/>
        </w:numPr>
        <w:adjustRightInd w:val="0"/>
        <w:snapToGrid w:val="0"/>
        <w:spacing w:line="580" w:lineRule="exact"/>
        <w:ind w:firstLine="660" w:firstLineChars="200"/>
        <w:contextualSpacing/>
        <w:jc w:val="left"/>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color w:val="000000"/>
          <w:kern w:val="0"/>
          <w:sz w:val="33"/>
          <w:szCs w:val="33"/>
          <w:shd w:val="clear" w:color="auto" w:fill="FFFFFF"/>
          <w:lang w:val="zh-CN"/>
        </w:rPr>
        <w:t>部门财政资金支出情况。</w:t>
      </w:r>
    </w:p>
    <w:p>
      <w:pPr>
        <w:widowControl/>
        <w:numPr>
          <w:ilvl w:val="0"/>
          <w:numId w:val="0"/>
        </w:numPr>
        <w:adjustRightInd w:val="0"/>
        <w:snapToGrid w:val="0"/>
        <w:spacing w:line="580" w:lineRule="exact"/>
        <w:ind w:firstLine="660" w:firstLineChars="200"/>
        <w:contextualSpacing/>
        <w:jc w:val="left"/>
        <w:rPr>
          <w:rFonts w:hint="eastAsia" w:ascii="方正仿宋_GBK" w:hAnsi="方正仿宋_GBK" w:eastAsia="方正仿宋_GBK" w:cs="方正仿宋_GBK"/>
          <w:color w:val="000000"/>
          <w:kern w:val="0"/>
          <w:sz w:val="33"/>
          <w:szCs w:val="33"/>
          <w:shd w:val="clear" w:color="auto" w:fill="FFFFFF"/>
          <w:lang w:val="zh-CN"/>
        </w:rPr>
      </w:pPr>
      <w:r>
        <w:rPr>
          <w:rFonts w:hint="eastAsia" w:ascii="方正仿宋_GBK" w:hAnsi="方正仿宋_GBK" w:eastAsia="方正仿宋_GBK" w:cs="方正仿宋_GBK"/>
          <w:sz w:val="33"/>
          <w:szCs w:val="33"/>
        </w:rPr>
        <w:t>201</w:t>
      </w:r>
      <w:r>
        <w:rPr>
          <w:rFonts w:hint="eastAsia" w:ascii="方正仿宋_GBK" w:hAnsi="方正仿宋_GBK" w:eastAsia="方正仿宋_GBK" w:cs="方正仿宋_GBK"/>
          <w:sz w:val="33"/>
          <w:szCs w:val="33"/>
          <w:lang w:val="en-US" w:eastAsia="zh-CN"/>
        </w:rPr>
        <w:t>9</w:t>
      </w:r>
      <w:r>
        <w:rPr>
          <w:rFonts w:hint="eastAsia" w:ascii="方正仿宋_GBK" w:hAnsi="方正仿宋_GBK" w:eastAsia="方正仿宋_GBK" w:cs="方正仿宋_GBK"/>
          <w:sz w:val="33"/>
          <w:szCs w:val="33"/>
        </w:rPr>
        <w:t>年</w:t>
      </w:r>
      <w:r>
        <w:rPr>
          <w:rFonts w:hint="eastAsia" w:ascii="方正仿宋_GBK" w:hAnsi="方正仿宋_GBK" w:eastAsia="方正仿宋_GBK" w:cs="方正仿宋_GBK"/>
          <w:sz w:val="33"/>
          <w:szCs w:val="33"/>
          <w:lang w:eastAsia="zh-CN"/>
        </w:rPr>
        <w:t>支出</w:t>
      </w:r>
      <w:r>
        <w:rPr>
          <w:rFonts w:hint="eastAsia" w:ascii="方正仿宋_GBK" w:hAnsi="方正仿宋_GBK" w:eastAsia="方正仿宋_GBK" w:cs="方正仿宋_GBK"/>
          <w:sz w:val="33"/>
          <w:szCs w:val="33"/>
          <w:lang w:val="en-US" w:eastAsia="zh-CN"/>
        </w:rPr>
        <w:t>128.57</w:t>
      </w:r>
      <w:r>
        <w:rPr>
          <w:rFonts w:hint="eastAsia" w:ascii="方正仿宋_GBK" w:hAnsi="方正仿宋_GBK" w:eastAsia="方正仿宋_GBK" w:cs="方正仿宋_GBK"/>
          <w:sz w:val="33"/>
          <w:szCs w:val="33"/>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firstLine="660" w:firstLineChars="200"/>
        <w:rPr>
          <w:rFonts w:hint="eastAsia"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lang w:val="zh-CN"/>
        </w:rPr>
        <w:t>（一）部门预算管理。</w:t>
      </w:r>
    </w:p>
    <w:p>
      <w:pPr>
        <w:spacing w:line="58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及时制定了部门绩效目标，支出控制严格、预算全面，无违规记录。</w:t>
      </w:r>
    </w:p>
    <w:p>
      <w:pPr>
        <w:spacing w:line="580" w:lineRule="exact"/>
        <w:ind w:firstLine="660" w:firstLineChars="200"/>
        <w:rPr>
          <w:rFonts w:hint="eastAsia"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lang w:val="zh-CN"/>
        </w:rPr>
        <w:t>（二）结果应用情况。</w:t>
      </w:r>
    </w:p>
    <w:p>
      <w:pPr>
        <w:spacing w:line="58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按要求及时完成各项公开工作。</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（一）评价结论。整体预算执行较好。</w:t>
      </w:r>
    </w:p>
    <w:p>
      <w:pPr>
        <w:spacing w:line="580" w:lineRule="exact"/>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 xml:space="preserve">    （二）存在问题。预算绩效管理是一项系统性、全面性的工作，单位人员对预算绩效管理工作认识还不够，各项指标设置不够科学合理。</w:t>
      </w:r>
    </w:p>
    <w:p>
      <w:pPr>
        <w:spacing w:line="58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（三）改进建议。在今后的预算绩效管理工作中，领导应引起重视，细化预算编制工作，完善绩效评价指标体系，逐步健全绩效评价指标体系，全面加快预算绩效管理步伐、健全预算绩效监控机制。</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中共攀枝花市西区区委编办</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600" w:lineRule="exact"/>
        <w:ind w:firstLine="645"/>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根据预算绩效管理要求，本单位在年初预算编制阶段，组织对3个项目开展了预算事前绩效评估，对3个项目编制了绩效目标，预算执行过程中，选取3个项目开展绩效监控，年终执行完毕后，对3个项目开展了绩效目标完成情况梳理填报。</w:t>
      </w:r>
    </w:p>
    <w:p>
      <w:pPr>
        <w:spacing w:line="600" w:lineRule="exact"/>
        <w:ind w:firstLine="645"/>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本部门按要求对201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val="zh-CN"/>
        </w:rPr>
        <w:t>年部门整体支出开展绩效自评，从评价情况来看通过加强预算收支管理，健全内部管理制度，严格内部管理流程，部门整体支出控制在预算范围内，财务收支平衡，有效保障了各项工作有序开展。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600" w:lineRule="exact"/>
        <w:ind w:firstLine="645"/>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1．项目主要内容；</w:t>
      </w:r>
      <w:r>
        <w:rPr>
          <w:rFonts w:hint="eastAsia" w:ascii="方正仿宋_GBK" w:hAnsi="方正仿宋_GBK" w:eastAsia="方正仿宋_GBK" w:cs="方正仿宋_GBK"/>
          <w:color w:val="000000"/>
          <w:sz w:val="32"/>
          <w:szCs w:val="32"/>
        </w:rPr>
        <w:t>本部门在201</w:t>
      </w:r>
      <w:r>
        <w:rPr>
          <w:rFonts w:hint="eastAsia" w:ascii="方正仿宋_GBK" w:hAnsi="方正仿宋_GBK" w:eastAsia="方正仿宋_GBK" w:cs="方正仿宋_GBK"/>
          <w:color w:val="000000"/>
          <w:sz w:val="32"/>
          <w:szCs w:val="32"/>
          <w:lang w:val="en-US" w:eastAsia="zh-CN"/>
        </w:rPr>
        <w:t>9</w:t>
      </w:r>
      <w:r>
        <w:rPr>
          <w:rFonts w:hint="eastAsia" w:ascii="方正仿宋_GBK" w:hAnsi="方正仿宋_GBK" w:eastAsia="方正仿宋_GBK" w:cs="方正仿宋_GBK"/>
          <w:color w:val="000000"/>
          <w:sz w:val="32"/>
          <w:szCs w:val="32"/>
        </w:rPr>
        <w:t>年度部门决算中反映“机构编制核查及实名制系统维护”、“机构改革业务”、“机构编制档案规范化建设” 3个项目绩效目标实际完成情况</w:t>
      </w:r>
      <w:r>
        <w:rPr>
          <w:rFonts w:hint="eastAsia" w:ascii="方正仿宋_GBK" w:hAnsi="方正仿宋_GBK" w:eastAsia="方正仿宋_GBK" w:cs="方正仿宋_GBK"/>
          <w:sz w:val="32"/>
          <w:szCs w:val="32"/>
          <w:lang w:val="zh-CN"/>
        </w:rPr>
        <w:t>。</w:t>
      </w:r>
    </w:p>
    <w:p>
      <w:pPr>
        <w:spacing w:line="600" w:lineRule="exact"/>
        <w:ind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2．项目应实现的具体绩效目标，包括目标的量化、细化情况以及项目实施进度计划等。</w:t>
      </w:r>
    </w:p>
    <w:p>
      <w:pPr>
        <w:spacing w:line="60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color w:val="000000"/>
          <w:sz w:val="32"/>
          <w:szCs w:val="32"/>
        </w:rPr>
        <w:t>机构编制核查及实名制系统维护。项目全年预算数0.3万元，执行数为0.3万元，完成预算的100%。通过项目实施，保障了我办牵头开展的机构编制核查和实名制系统维护工作顺利开展。</w:t>
      </w:r>
    </w:p>
    <w:p>
      <w:pPr>
        <w:spacing w:line="600" w:lineRule="exact"/>
        <w:ind w:firstLine="645"/>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color w:val="000000"/>
          <w:sz w:val="32"/>
          <w:szCs w:val="32"/>
        </w:rPr>
        <w:t>构改革业务项目绩效目标完成情况综述。项目全年预算数2.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万元，执行数为2.</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7万元，完成预算的</w:t>
      </w:r>
      <w:r>
        <w:rPr>
          <w:rFonts w:hint="eastAsia" w:ascii="方正仿宋_GBK" w:hAnsi="方正仿宋_GBK" w:eastAsia="方正仿宋_GBK" w:cs="方正仿宋_GBK"/>
          <w:color w:val="000000"/>
          <w:sz w:val="32"/>
          <w:szCs w:val="32"/>
          <w:lang w:val="en-US" w:eastAsia="zh-CN"/>
        </w:rPr>
        <w:t>94.8</w:t>
      </w:r>
      <w:r>
        <w:rPr>
          <w:rFonts w:hint="eastAsia" w:ascii="方正仿宋_GBK" w:hAnsi="方正仿宋_GBK" w:eastAsia="方正仿宋_GBK" w:cs="方正仿宋_GBK"/>
          <w:color w:val="000000"/>
          <w:sz w:val="32"/>
          <w:szCs w:val="32"/>
        </w:rPr>
        <w:t>%。通过项目实施，保障了全区机构改革工作顺利推进，未发现问题。</w:t>
      </w:r>
    </w:p>
    <w:p>
      <w:pPr>
        <w:spacing w:line="600" w:lineRule="exact"/>
        <w:ind w:firstLine="645"/>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color w:val="000000"/>
          <w:sz w:val="32"/>
          <w:szCs w:val="32"/>
        </w:rPr>
        <w:t>机构编制档案规范化建设目标完成情况综述。项目全年预算数0.2万元，执行数为0.2万元，完成预算的100%。通过项目实施，推进全区机构编制档案文件规范可查，确保各类机构历史沿革有迹可循，为各项重点工作、各项检查提供重要依据。</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3．评价申报内容与实际相符，申报目标合理可行。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及时制定了部门绩效目标，支出控制严格、预算全面，无违规记录。</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1．资金计划。已纳入年初预算。</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2．资金到位。预算资金已及时到位。</w:t>
      </w:r>
    </w:p>
    <w:p>
      <w:pPr>
        <w:adjustRightInd w:val="0"/>
        <w:snapToGrid w:val="0"/>
        <w:spacing w:line="600" w:lineRule="exact"/>
        <w:ind w:firstLine="72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3．资金使用。统计资金支出情况，对资金使用的安全性、规范性及有效性进行重点分析，包括资金支付范围、支付标准、支付进度、支付依据等合规合法、与预算相符。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80" w:lineRule="exact"/>
        <w:ind w:firstLine="660" w:firstLineChars="200"/>
        <w:rPr>
          <w:rFonts w:hint="eastAsia"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lang w:val="zh-CN"/>
        </w:rPr>
        <w:t>目实施单位财务管理制度健全，严格执行财务管理制度，账务处理及时，会计核算规范。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80" w:lineRule="exact"/>
        <w:ind w:firstLine="660" w:firstLineChars="200"/>
        <w:rPr>
          <w:rFonts w:hint="eastAsia" w:ascii="方正仿宋_GBK" w:hAnsi="方正仿宋_GBK" w:eastAsia="方正仿宋_GBK" w:cs="方正仿宋_GBK"/>
          <w:sz w:val="33"/>
          <w:szCs w:val="33"/>
          <w:lang w:val="zh-CN" w:eastAsia="zh-CN"/>
        </w:rPr>
      </w:pPr>
      <w:r>
        <w:rPr>
          <w:rFonts w:hint="eastAsia" w:ascii="方正仿宋_GBK" w:hAnsi="方正仿宋_GBK" w:eastAsia="方正仿宋_GBK" w:cs="方正仿宋_GBK"/>
          <w:sz w:val="33"/>
          <w:szCs w:val="33"/>
          <w:lang w:val="zh-CN"/>
        </w:rPr>
        <w:t>开展全年机构编制核查1次，核查机构编制数据，修改实名制数据1500人次；开展机构改革调研10次以上，牵头召开机构改革动员会，形成机构改革方案</w:t>
      </w:r>
      <w:r>
        <w:rPr>
          <w:rFonts w:hint="eastAsia" w:ascii="方正仿宋_GBK" w:hAnsi="方正仿宋_GBK" w:eastAsia="方正仿宋_GBK" w:cs="方正仿宋_GBK"/>
          <w:sz w:val="33"/>
          <w:szCs w:val="33"/>
          <w:lang w:val="zh-CN" w:eastAsia="zh-CN"/>
        </w:rPr>
        <w:t>；</w:t>
      </w:r>
      <w:r>
        <w:rPr>
          <w:rFonts w:hint="eastAsia" w:ascii="方正仿宋_GBK" w:hAnsi="方正仿宋_GBK" w:eastAsia="方正仿宋_GBK" w:cs="方正仿宋_GBK"/>
          <w:sz w:val="33"/>
          <w:szCs w:val="33"/>
          <w:lang w:val="zh-CN"/>
        </w:rPr>
        <w:t>订阅相关规范汇编和书籍资料，采购相应文具材料。</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60" w:firstLineChars="200"/>
        <w:rPr>
          <w:rFonts w:hint="eastAsia" w:ascii="方正仿宋_GBK" w:hAnsi="方正仿宋_GBK" w:eastAsia="方正仿宋_GBK" w:cs="方正仿宋_GBK"/>
          <w:sz w:val="33"/>
          <w:szCs w:val="33"/>
          <w:lang w:val="zh-CN"/>
        </w:rPr>
      </w:pPr>
      <w:r>
        <w:rPr>
          <w:rFonts w:hint="eastAsia" w:ascii="方正仿宋_GBK" w:hAnsi="方正仿宋_GBK" w:eastAsia="方正仿宋_GBK" w:cs="方正仿宋_GBK"/>
          <w:sz w:val="33"/>
          <w:szCs w:val="33"/>
          <w:lang w:val="zh-CN"/>
        </w:rPr>
        <w:t>确保全区机构编制核查及实名制系统维护顺利完成</w:t>
      </w:r>
      <w:r>
        <w:rPr>
          <w:rFonts w:hint="eastAsia" w:ascii="方正仿宋_GBK" w:hAnsi="方正仿宋_GBK" w:eastAsia="方正仿宋_GBK" w:cs="方正仿宋_GBK"/>
          <w:sz w:val="33"/>
          <w:szCs w:val="33"/>
          <w:lang w:val="zh-CN" w:eastAsia="zh-CN"/>
        </w:rPr>
        <w:t>，</w:t>
      </w:r>
      <w:r>
        <w:rPr>
          <w:rFonts w:hint="eastAsia" w:ascii="方正仿宋_GBK" w:hAnsi="方正仿宋_GBK" w:eastAsia="方正仿宋_GBK" w:cs="方正仿宋_GBK"/>
          <w:sz w:val="33"/>
          <w:szCs w:val="33"/>
          <w:lang w:val="zh-CN"/>
        </w:rPr>
        <w:t>维护了全区机构编制纪律</w:t>
      </w:r>
      <w:r>
        <w:rPr>
          <w:rFonts w:hint="eastAsia" w:ascii="方正仿宋_GBK" w:hAnsi="方正仿宋_GBK" w:eastAsia="方正仿宋_GBK" w:cs="方正仿宋_GBK"/>
          <w:sz w:val="33"/>
          <w:szCs w:val="33"/>
          <w:lang w:val="zh-CN" w:eastAsia="zh-CN"/>
        </w:rPr>
        <w:t>；</w:t>
      </w:r>
      <w:r>
        <w:rPr>
          <w:rFonts w:hint="eastAsia" w:ascii="方正仿宋_GBK" w:hAnsi="方正仿宋_GBK" w:eastAsia="方正仿宋_GBK" w:cs="方正仿宋_GBK"/>
          <w:sz w:val="33"/>
          <w:szCs w:val="33"/>
          <w:lang w:val="zh-CN"/>
        </w:rPr>
        <w:t>确保机构改革顺利开展，党政部门运转高效</w:t>
      </w:r>
      <w:r>
        <w:rPr>
          <w:rFonts w:hint="eastAsia" w:ascii="方正仿宋_GBK" w:hAnsi="方正仿宋_GBK" w:eastAsia="方正仿宋_GBK" w:cs="方正仿宋_GBK"/>
          <w:sz w:val="33"/>
          <w:szCs w:val="33"/>
          <w:lang w:val="zh-CN" w:eastAsia="zh-CN"/>
        </w:rPr>
        <w:t>；</w:t>
      </w:r>
      <w:r>
        <w:rPr>
          <w:rFonts w:hint="eastAsia" w:ascii="方正仿宋_GBK" w:hAnsi="方正仿宋_GBK" w:eastAsia="方正仿宋_GBK" w:cs="方正仿宋_GBK"/>
          <w:sz w:val="33"/>
          <w:szCs w:val="33"/>
          <w:lang w:val="zh-CN"/>
        </w:rPr>
        <w:t>确保全区机构编制档案文件规范可查，确保各类机构历史沿革有迹可循。</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8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整体预算执行较好。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60" w:firstLineChars="200"/>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预算绩效管理是一项系统性、全面性的工作，单位人员对预算绩效管理工作认识还不够，各项指标设置不够科学合理。</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60" w:firstLineChars="200"/>
        <w:rPr>
          <w:rFonts w:hint="eastAsia" w:ascii="仿宋_GB2312" w:hAnsi="仿宋_GB2312" w:eastAsia="仿宋_GB2312" w:cs="仿宋_GB2312"/>
          <w:sz w:val="33"/>
          <w:szCs w:val="33"/>
        </w:rPr>
      </w:pPr>
      <w:r>
        <w:rPr>
          <w:rFonts w:hint="eastAsia" w:ascii="仿宋_GB2312" w:hAnsi="仿宋_GB2312" w:eastAsia="仿宋_GB2312" w:cs="仿宋_GB2312"/>
          <w:sz w:val="33"/>
          <w:szCs w:val="33"/>
        </w:rPr>
        <w:t>在今后的预算绩效管理工作中，领导应引起重视，细化预算编制工作，完善绩效评价指标体系，逐步健全绩效评价指标体系，全面加快预算绩效管理步伐、健全预算绩效监控机制。</w:t>
      </w:r>
    </w:p>
    <w:p>
      <w:pPr>
        <w:spacing w:line="580" w:lineRule="exact"/>
        <w:ind w:firstLine="640"/>
        <w:rPr>
          <w:rFonts w:hint="eastAsia" w:ascii="仿宋_GB2312" w:hAnsi="仿宋_GB2312" w:eastAsia="仿宋_GB2312" w:cs="仿宋_GB2312"/>
          <w:sz w:val="33"/>
          <w:szCs w:val="33"/>
        </w:rPr>
      </w:pPr>
    </w:p>
    <w:p>
      <w:pPr>
        <w:spacing w:line="580" w:lineRule="exact"/>
        <w:ind w:firstLine="640"/>
        <w:rPr>
          <w:rFonts w:hint="eastAsia" w:ascii="仿宋_GB2312" w:hAnsi="仿宋_GB2312" w:eastAsia="仿宋_GB2312" w:cs="仿宋_GB2312"/>
          <w:sz w:val="33"/>
          <w:szCs w:val="33"/>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0282616"/>
    <w:multiLevelType w:val="singleLevel"/>
    <w:tmpl w:val="D0282616"/>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64EB"/>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F104A"/>
    <w:rsid w:val="024B40A7"/>
    <w:rsid w:val="03203223"/>
    <w:rsid w:val="03BC1C8C"/>
    <w:rsid w:val="03F57C2F"/>
    <w:rsid w:val="047945C7"/>
    <w:rsid w:val="04DE1903"/>
    <w:rsid w:val="06020836"/>
    <w:rsid w:val="07884FF3"/>
    <w:rsid w:val="082F2659"/>
    <w:rsid w:val="08A86B2A"/>
    <w:rsid w:val="08AB51DC"/>
    <w:rsid w:val="09995D3D"/>
    <w:rsid w:val="09DB0482"/>
    <w:rsid w:val="0A4C5A02"/>
    <w:rsid w:val="0A9E0016"/>
    <w:rsid w:val="0AC85088"/>
    <w:rsid w:val="0B0543BE"/>
    <w:rsid w:val="0B5E4E49"/>
    <w:rsid w:val="0BFB2AEB"/>
    <w:rsid w:val="0C936120"/>
    <w:rsid w:val="0EF70D85"/>
    <w:rsid w:val="0F6D36F1"/>
    <w:rsid w:val="10C055FF"/>
    <w:rsid w:val="10C2093B"/>
    <w:rsid w:val="10EA30AF"/>
    <w:rsid w:val="12F56673"/>
    <w:rsid w:val="13361F77"/>
    <w:rsid w:val="136E69E5"/>
    <w:rsid w:val="137763A5"/>
    <w:rsid w:val="13941927"/>
    <w:rsid w:val="139A1EAE"/>
    <w:rsid w:val="14AA38B9"/>
    <w:rsid w:val="1673670D"/>
    <w:rsid w:val="169C3D8E"/>
    <w:rsid w:val="16BB723D"/>
    <w:rsid w:val="16F200CA"/>
    <w:rsid w:val="1729111D"/>
    <w:rsid w:val="174100CF"/>
    <w:rsid w:val="176F18DF"/>
    <w:rsid w:val="17804C7B"/>
    <w:rsid w:val="19416E08"/>
    <w:rsid w:val="19884A05"/>
    <w:rsid w:val="19DD0FFA"/>
    <w:rsid w:val="1AC85EC3"/>
    <w:rsid w:val="1ADA5EE4"/>
    <w:rsid w:val="1B62639E"/>
    <w:rsid w:val="1B760CA2"/>
    <w:rsid w:val="1BD07C48"/>
    <w:rsid w:val="1D827B32"/>
    <w:rsid w:val="1DB51A0A"/>
    <w:rsid w:val="1E834B96"/>
    <w:rsid w:val="1E9655EE"/>
    <w:rsid w:val="20AC4B01"/>
    <w:rsid w:val="20C81750"/>
    <w:rsid w:val="20D96EDA"/>
    <w:rsid w:val="215F7B2D"/>
    <w:rsid w:val="21CA6D5D"/>
    <w:rsid w:val="220751D0"/>
    <w:rsid w:val="228C33C5"/>
    <w:rsid w:val="240371BF"/>
    <w:rsid w:val="24212EF6"/>
    <w:rsid w:val="25111239"/>
    <w:rsid w:val="25EA7903"/>
    <w:rsid w:val="26277E15"/>
    <w:rsid w:val="262E745F"/>
    <w:rsid w:val="26CD4E20"/>
    <w:rsid w:val="27350B23"/>
    <w:rsid w:val="275D4140"/>
    <w:rsid w:val="27AB09A3"/>
    <w:rsid w:val="27CB6170"/>
    <w:rsid w:val="27D709EB"/>
    <w:rsid w:val="27D943B7"/>
    <w:rsid w:val="286D5E5E"/>
    <w:rsid w:val="289612CC"/>
    <w:rsid w:val="291D615F"/>
    <w:rsid w:val="298751E8"/>
    <w:rsid w:val="29B7139E"/>
    <w:rsid w:val="29E163EC"/>
    <w:rsid w:val="29FD04D3"/>
    <w:rsid w:val="2AC1404F"/>
    <w:rsid w:val="2B494374"/>
    <w:rsid w:val="2B6C2881"/>
    <w:rsid w:val="2B8A7CF7"/>
    <w:rsid w:val="2C167301"/>
    <w:rsid w:val="2C46492C"/>
    <w:rsid w:val="2C7864EF"/>
    <w:rsid w:val="2C844AB2"/>
    <w:rsid w:val="2C9E6394"/>
    <w:rsid w:val="2CC73F54"/>
    <w:rsid w:val="2DF648F0"/>
    <w:rsid w:val="2E791124"/>
    <w:rsid w:val="2E917D84"/>
    <w:rsid w:val="2F156703"/>
    <w:rsid w:val="2F407822"/>
    <w:rsid w:val="2FA103E6"/>
    <w:rsid w:val="30A4173F"/>
    <w:rsid w:val="31383F09"/>
    <w:rsid w:val="317B1179"/>
    <w:rsid w:val="319F7F4E"/>
    <w:rsid w:val="31DB2BA1"/>
    <w:rsid w:val="324E0C09"/>
    <w:rsid w:val="326D5FCE"/>
    <w:rsid w:val="326E0E12"/>
    <w:rsid w:val="32F015C8"/>
    <w:rsid w:val="331A7D9E"/>
    <w:rsid w:val="34CE1A79"/>
    <w:rsid w:val="35560926"/>
    <w:rsid w:val="35CB1A33"/>
    <w:rsid w:val="360D1AA4"/>
    <w:rsid w:val="368168E3"/>
    <w:rsid w:val="369A2F51"/>
    <w:rsid w:val="37624CDD"/>
    <w:rsid w:val="379F2566"/>
    <w:rsid w:val="37A9349F"/>
    <w:rsid w:val="37BE0D47"/>
    <w:rsid w:val="37C266B4"/>
    <w:rsid w:val="38AB504A"/>
    <w:rsid w:val="390D64CA"/>
    <w:rsid w:val="396640E5"/>
    <w:rsid w:val="39EE3844"/>
    <w:rsid w:val="3A7B1474"/>
    <w:rsid w:val="3B1E2BED"/>
    <w:rsid w:val="3B287B22"/>
    <w:rsid w:val="3B780063"/>
    <w:rsid w:val="3CB92CA5"/>
    <w:rsid w:val="3D19677F"/>
    <w:rsid w:val="3D8216C3"/>
    <w:rsid w:val="3DB95EB5"/>
    <w:rsid w:val="401E6615"/>
    <w:rsid w:val="402A407C"/>
    <w:rsid w:val="40B95C69"/>
    <w:rsid w:val="4229679C"/>
    <w:rsid w:val="43655242"/>
    <w:rsid w:val="43D734F0"/>
    <w:rsid w:val="442E38DD"/>
    <w:rsid w:val="44300022"/>
    <w:rsid w:val="44EE1949"/>
    <w:rsid w:val="44F862B1"/>
    <w:rsid w:val="45AB5267"/>
    <w:rsid w:val="45F0208F"/>
    <w:rsid w:val="463E0E08"/>
    <w:rsid w:val="466A07D7"/>
    <w:rsid w:val="47256204"/>
    <w:rsid w:val="473C7613"/>
    <w:rsid w:val="475F5D71"/>
    <w:rsid w:val="47695465"/>
    <w:rsid w:val="483134DD"/>
    <w:rsid w:val="48CB453B"/>
    <w:rsid w:val="49F633A3"/>
    <w:rsid w:val="4A3F488E"/>
    <w:rsid w:val="4A582B56"/>
    <w:rsid w:val="4A934EC7"/>
    <w:rsid w:val="4BED41F5"/>
    <w:rsid w:val="4DE0067C"/>
    <w:rsid w:val="4DE60775"/>
    <w:rsid w:val="4E095662"/>
    <w:rsid w:val="4EBD54E1"/>
    <w:rsid w:val="4ECE2238"/>
    <w:rsid w:val="4F2B5076"/>
    <w:rsid w:val="50734C21"/>
    <w:rsid w:val="50855E50"/>
    <w:rsid w:val="50D4749E"/>
    <w:rsid w:val="51061867"/>
    <w:rsid w:val="51686170"/>
    <w:rsid w:val="51F04B52"/>
    <w:rsid w:val="5287552F"/>
    <w:rsid w:val="53282B67"/>
    <w:rsid w:val="53BE4B76"/>
    <w:rsid w:val="54E22708"/>
    <w:rsid w:val="55454118"/>
    <w:rsid w:val="573071F9"/>
    <w:rsid w:val="57C86CBA"/>
    <w:rsid w:val="599A4227"/>
    <w:rsid w:val="5A7A2FCA"/>
    <w:rsid w:val="5CDD77CB"/>
    <w:rsid w:val="5DD350E3"/>
    <w:rsid w:val="5DE10B3A"/>
    <w:rsid w:val="5E047EA2"/>
    <w:rsid w:val="5E2B751E"/>
    <w:rsid w:val="5E742D9C"/>
    <w:rsid w:val="5EB16E7A"/>
    <w:rsid w:val="5F8334D3"/>
    <w:rsid w:val="5F8432E9"/>
    <w:rsid w:val="5FB46C83"/>
    <w:rsid w:val="5FD5303A"/>
    <w:rsid w:val="6093372F"/>
    <w:rsid w:val="6131420B"/>
    <w:rsid w:val="6170151C"/>
    <w:rsid w:val="62F57302"/>
    <w:rsid w:val="63311462"/>
    <w:rsid w:val="6543780F"/>
    <w:rsid w:val="661C7566"/>
    <w:rsid w:val="666A1380"/>
    <w:rsid w:val="669D2D77"/>
    <w:rsid w:val="680F312B"/>
    <w:rsid w:val="691A06C6"/>
    <w:rsid w:val="695B13F7"/>
    <w:rsid w:val="69D84642"/>
    <w:rsid w:val="6A88508F"/>
    <w:rsid w:val="6B1B01C4"/>
    <w:rsid w:val="6B291E84"/>
    <w:rsid w:val="6C0A16A4"/>
    <w:rsid w:val="6C0F19B2"/>
    <w:rsid w:val="6D7D4BE6"/>
    <w:rsid w:val="6D7E62DC"/>
    <w:rsid w:val="6D911613"/>
    <w:rsid w:val="6DF91205"/>
    <w:rsid w:val="6E254319"/>
    <w:rsid w:val="6E443C01"/>
    <w:rsid w:val="6EEF7802"/>
    <w:rsid w:val="6F543D9A"/>
    <w:rsid w:val="704D115E"/>
    <w:rsid w:val="70673083"/>
    <w:rsid w:val="7178038D"/>
    <w:rsid w:val="71EE0A70"/>
    <w:rsid w:val="72734D90"/>
    <w:rsid w:val="727922AE"/>
    <w:rsid w:val="7297705D"/>
    <w:rsid w:val="72FB1C5C"/>
    <w:rsid w:val="736F6A4A"/>
    <w:rsid w:val="73821A04"/>
    <w:rsid w:val="763A5F55"/>
    <w:rsid w:val="77604997"/>
    <w:rsid w:val="781503BE"/>
    <w:rsid w:val="782B1C6A"/>
    <w:rsid w:val="7A0504B7"/>
    <w:rsid w:val="7A456D0B"/>
    <w:rsid w:val="7A6B7191"/>
    <w:rsid w:val="7B3857C5"/>
    <w:rsid w:val="7B5B1A7C"/>
    <w:rsid w:val="7CD63DE6"/>
    <w:rsid w:val="7D1F4971"/>
    <w:rsid w:val="7D5C030B"/>
    <w:rsid w:val="7D6B774A"/>
    <w:rsid w:val="7D747825"/>
    <w:rsid w:val="7D8B7639"/>
    <w:rsid w:val="7E027302"/>
    <w:rsid w:val="7E546206"/>
    <w:rsid w:val="7E9B59BE"/>
    <w:rsid w:val="7F392A7D"/>
    <w:rsid w:val="7FBF668A"/>
    <w:rsid w:val="7FCC0B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收、支决算总计变动情况图</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276.42</c:v>
                </c:pt>
                <c:pt idx="1">
                  <c:v>254.64</c:v>
                </c:pt>
              </c:numCache>
            </c:numRef>
          </c:val>
        </c:ser>
        <c:dLbls>
          <c:showLegendKey val="0"/>
          <c:showVal val="0"/>
          <c:showCatName val="0"/>
          <c:showSerName val="0"/>
          <c:showPercent val="0"/>
          <c:showBubbleSize val="0"/>
        </c:dLbls>
        <c:gapWidth val="219"/>
        <c:overlap val="-27"/>
        <c:axId val="865954809"/>
        <c:axId val="975757155"/>
      </c:barChart>
      <c:catAx>
        <c:axId val="8659548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757155"/>
        <c:crosses val="autoZero"/>
        <c:auto val="1"/>
        <c:lblAlgn val="ctr"/>
        <c:lblOffset val="100"/>
        <c:noMultiLvlLbl val="0"/>
      </c:catAx>
      <c:valAx>
        <c:axId val="9757571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59548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1"/>
          <c:order val="0"/>
          <c:tx>
            <c:strRef>
              <c:f>Sheet1!$C$1</c:f>
              <c:strCache>
                <c:ptCount val="1"/>
                <c:pt idx="0">
                  <c:v>财政拨款收、支决算总计变动情况</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276.42</c:v>
                </c:pt>
                <c:pt idx="1">
                  <c:v>242.34</c:v>
                </c:pt>
              </c:numCache>
            </c:numRef>
          </c:val>
        </c:ser>
        <c:dLbls>
          <c:showLegendKey val="0"/>
          <c:showVal val="0"/>
          <c:showCatName val="0"/>
          <c:showSerName val="0"/>
          <c:showPercent val="0"/>
          <c:showBubbleSize val="0"/>
        </c:dLbls>
        <c:gapWidth val="219"/>
        <c:overlap val="-27"/>
        <c:axId val="591134380"/>
        <c:axId val="682491027"/>
      </c:barChart>
      <c:catAx>
        <c:axId val="5911343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2491027"/>
        <c:crosses val="autoZero"/>
        <c:auto val="1"/>
        <c:lblAlgn val="ctr"/>
        <c:lblOffset val="100"/>
        <c:noMultiLvlLbl val="0"/>
      </c:catAx>
      <c:valAx>
        <c:axId val="6824910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13438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图表标题</a:t>
            </a:r>
          </a:p>
        </c:rich>
      </c:tx>
      <c:layout/>
      <c:overlay val="0"/>
      <c:spPr>
        <a:noFill/>
        <a:ln>
          <a:noFill/>
        </a:ln>
        <a:effectLst/>
      </c:spPr>
    </c:title>
    <c:autoTitleDeleted val="0"/>
    <c:plotArea>
      <c:layout/>
      <c:barChart>
        <c:barDir val="col"/>
        <c:grouping val="clustered"/>
        <c:varyColors val="0"/>
        <c:ser>
          <c:idx val="2"/>
          <c:order val="0"/>
          <c:tx>
            <c:strRef>
              <c:f>Sheet1!$D$1</c:f>
              <c:strCache>
                <c:ptCount val="1"/>
                <c:pt idx="0">
                  <c:v>一般公共预算财政拨款支出决算变动情况</c:v>
                </c:pt>
              </c:strCache>
            </c:strRef>
          </c:tx>
          <c:spPr>
            <a:solidFill>
              <a:schemeClr val="accent3"/>
            </a:solidFill>
            <a:ln>
              <a:noFill/>
            </a:ln>
            <a:effectLst/>
          </c:spPr>
          <c:invertIfNegative val="0"/>
          <c:dLbls>
            <c:delete val="1"/>
          </c:dLbls>
          <c:cat>
            <c:strRef>
              <c:f>Sheet1!$A$2:$A$3</c:f>
              <c:strCache>
                <c:ptCount val="2"/>
                <c:pt idx="0">
                  <c:v>2018年</c:v>
                </c:pt>
                <c:pt idx="1">
                  <c:v>2019年</c:v>
                </c:pt>
              </c:strCache>
            </c:strRef>
          </c:cat>
          <c:val>
            <c:numRef>
              <c:f>Sheet1!$D$2:$D$3</c:f>
              <c:numCache>
                <c:formatCode>General</c:formatCode>
                <c:ptCount val="2"/>
                <c:pt idx="0">
                  <c:v>138.19</c:v>
                </c:pt>
                <c:pt idx="1">
                  <c:v>125.68</c:v>
                </c:pt>
              </c:numCache>
            </c:numRef>
          </c:val>
        </c:ser>
        <c:dLbls>
          <c:showLegendKey val="0"/>
          <c:showVal val="0"/>
          <c:showCatName val="0"/>
          <c:showSerName val="0"/>
          <c:showPercent val="0"/>
          <c:showBubbleSize val="0"/>
        </c:dLbls>
        <c:gapWidth val="219"/>
        <c:overlap val="-27"/>
        <c:axId val="201465465"/>
        <c:axId val="426379708"/>
      </c:barChart>
      <c:catAx>
        <c:axId val="20146546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6379708"/>
        <c:crosses val="autoZero"/>
        <c:auto val="1"/>
        <c:lblAlgn val="ctr"/>
        <c:lblOffset val="100"/>
        <c:noMultiLvlLbl val="0"/>
      </c:catAx>
      <c:valAx>
        <c:axId val="4263797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46546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elete val="1"/>
          </c:dLbls>
          <c:cat>
            <c:numRef>
              <c:f>Sheet1!$A$2:$A$12</c:f>
              <c:numCache>
                <c:formatCode>General</c:formatCode>
                <c:ptCount val="11"/>
                <c:pt idx="0">
                  <c:v>2013601</c:v>
                </c:pt>
                <c:pt idx="1">
                  <c:v>2120802</c:v>
                </c:pt>
                <c:pt idx="2">
                  <c:v>2013650</c:v>
                </c:pt>
                <c:pt idx="3">
                  <c:v>2080505</c:v>
                </c:pt>
                <c:pt idx="4">
                  <c:v>2101101</c:v>
                </c:pt>
                <c:pt idx="5">
                  <c:v>2101102</c:v>
                </c:pt>
                <c:pt idx="6">
                  <c:v>2101103</c:v>
                </c:pt>
                <c:pt idx="7">
                  <c:v>2210201</c:v>
                </c:pt>
              </c:numCache>
            </c:numRef>
          </c:cat>
          <c:val>
            <c:numRef>
              <c:f>Sheet1!$B$2:$B$12</c:f>
              <c:numCache>
                <c:formatCode>General</c:formatCode>
                <c:ptCount val="11"/>
                <c:pt idx="0">
                  <c:v>110.89</c:v>
                </c:pt>
                <c:pt idx="1">
                  <c:v>2.87</c:v>
                </c:pt>
                <c:pt idx="2">
                  <c:v>11.09</c:v>
                </c:pt>
                <c:pt idx="3">
                  <c:v>9.12</c:v>
                </c:pt>
                <c:pt idx="4">
                  <c:v>6.29</c:v>
                </c:pt>
                <c:pt idx="5">
                  <c:v>0.74</c:v>
                </c:pt>
                <c:pt idx="6">
                  <c:v>0.63</c:v>
                </c:pt>
                <c:pt idx="7">
                  <c:v>10.29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0</TotalTime>
  <ScaleCrop>false</ScaleCrop>
  <LinksUpToDate>false</LinksUpToDate>
  <CharactersWithSpaces>8536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绝版莉</cp:lastModifiedBy>
  <cp:lastPrinted>2020-07-23T02:58:00Z</cp:lastPrinted>
  <dcterms:modified xsi:type="dcterms:W3CDTF">2020-11-16T01:38:29Z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